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17, 2018.</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333-221472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142875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142875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ENTERA BIO LTD.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142240</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26"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3060" w:type="dxa"/>
            <w:vAlign w:val="bottom"/>
          </w:tcPr>
          <w:p>
            <w:pPr>
              <w:jc w:val="center"/>
              <w:ind w:right="750"/>
              <w:spacing w:after="0"/>
              <w:rPr>
                <w:sz w:val="20"/>
                <w:szCs w:val="20"/>
                <w:color w:val="auto"/>
              </w:rPr>
            </w:pPr>
            <w:r>
              <w:rPr>
                <w:rFonts w:ascii="Arial" w:cs="Arial" w:eastAsia="Arial" w:hAnsi="Arial"/>
                <w:sz w:val="18"/>
                <w:szCs w:val="18"/>
                <w:b w:val="1"/>
                <w:bCs w:val="1"/>
                <w:color w:val="auto"/>
                <w:w w:val="89"/>
              </w:rPr>
              <w:t>State of Israel</w:t>
            </w:r>
          </w:p>
        </w:tc>
        <w:tc>
          <w:tcPr>
            <w:tcW w:w="39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2836</w:t>
            </w:r>
          </w:p>
        </w:tc>
        <w:tc>
          <w:tcPr>
            <w:tcW w:w="2360" w:type="dxa"/>
            <w:vAlign w:val="bottom"/>
          </w:tcPr>
          <w:p>
            <w:pPr>
              <w:jc w:val="center"/>
              <w:ind w:left="910"/>
              <w:spacing w:after="0"/>
              <w:rPr>
                <w:sz w:val="20"/>
                <w:szCs w:val="20"/>
                <w:color w:val="auto"/>
              </w:rPr>
            </w:pPr>
            <w:r>
              <w:rPr>
                <w:rFonts w:ascii="Arial" w:cs="Arial" w:eastAsia="Arial" w:hAnsi="Arial"/>
                <w:sz w:val="18"/>
                <w:szCs w:val="18"/>
                <w:b w:val="1"/>
                <w:bCs w:val="1"/>
                <w:color w:val="auto"/>
                <w:w w:val="92"/>
              </w:rPr>
              <w:t>Not Applicable</w:t>
            </w:r>
          </w:p>
        </w:tc>
      </w:tr>
      <w:tr>
        <w:trPr>
          <w:trHeight w:val="216"/>
        </w:trPr>
        <w:tc>
          <w:tcPr>
            <w:tcW w:w="3060" w:type="dxa"/>
            <w:vAlign w:val="bottom"/>
          </w:tcPr>
          <w:p>
            <w:pPr>
              <w:jc w:val="center"/>
              <w:ind w:right="750"/>
              <w:spacing w:after="0"/>
              <w:rPr>
                <w:sz w:val="20"/>
                <w:szCs w:val="20"/>
                <w:color w:val="auto"/>
              </w:rPr>
            </w:pPr>
            <w:r>
              <w:rPr>
                <w:rFonts w:ascii="Arial" w:cs="Arial" w:eastAsia="Arial" w:hAnsi="Arial"/>
                <w:sz w:val="18"/>
                <w:szCs w:val="18"/>
                <w:color w:val="auto"/>
                <w:w w:val="91"/>
              </w:rPr>
              <w:t>(State or Other Jurisdiction of</w:t>
            </w:r>
          </w:p>
        </w:tc>
        <w:tc>
          <w:tcPr>
            <w:tcW w:w="3960" w:type="dxa"/>
            <w:vAlign w:val="bottom"/>
          </w:tcPr>
          <w:p>
            <w:pPr>
              <w:jc w:val="center"/>
              <w:ind w:right="90"/>
              <w:spacing w:after="0"/>
              <w:rPr>
                <w:sz w:val="20"/>
                <w:szCs w:val="20"/>
                <w:color w:val="auto"/>
              </w:rPr>
            </w:pPr>
            <w:r>
              <w:rPr>
                <w:rFonts w:ascii="Arial" w:cs="Arial" w:eastAsia="Arial" w:hAnsi="Arial"/>
                <w:sz w:val="18"/>
                <w:szCs w:val="18"/>
                <w:color w:val="auto"/>
                <w:w w:val="91"/>
              </w:rPr>
              <w:t>(Primary Standard Industrial</w:t>
            </w:r>
          </w:p>
        </w:tc>
        <w:tc>
          <w:tcPr>
            <w:tcW w:w="2360" w:type="dxa"/>
            <w:vAlign w:val="bottom"/>
          </w:tcPr>
          <w:p>
            <w:pPr>
              <w:jc w:val="center"/>
              <w:ind w:left="910"/>
              <w:spacing w:after="0"/>
              <w:rPr>
                <w:sz w:val="20"/>
                <w:szCs w:val="20"/>
                <w:color w:val="auto"/>
              </w:rPr>
            </w:pPr>
            <w:r>
              <w:rPr>
                <w:rFonts w:ascii="Arial" w:cs="Arial" w:eastAsia="Arial" w:hAnsi="Arial"/>
                <w:sz w:val="18"/>
                <w:szCs w:val="18"/>
                <w:color w:val="auto"/>
                <w:w w:val="93"/>
              </w:rPr>
              <w:t>(I.R.S. Employer</w:t>
            </w:r>
          </w:p>
        </w:tc>
      </w:tr>
      <w:tr>
        <w:trPr>
          <w:trHeight w:val="230"/>
        </w:trPr>
        <w:tc>
          <w:tcPr>
            <w:tcW w:w="3060" w:type="dxa"/>
            <w:vAlign w:val="bottom"/>
          </w:tcPr>
          <w:p>
            <w:pPr>
              <w:jc w:val="center"/>
              <w:ind w:right="750"/>
              <w:spacing w:after="0"/>
              <w:rPr>
                <w:sz w:val="20"/>
                <w:szCs w:val="20"/>
                <w:color w:val="auto"/>
              </w:rPr>
            </w:pPr>
            <w:r>
              <w:rPr>
                <w:rFonts w:ascii="Arial" w:cs="Arial" w:eastAsia="Arial" w:hAnsi="Arial"/>
                <w:sz w:val="18"/>
                <w:szCs w:val="18"/>
                <w:color w:val="auto"/>
                <w:w w:val="92"/>
              </w:rPr>
              <w:t>Incorporation or Organization)</w:t>
            </w:r>
          </w:p>
        </w:tc>
        <w:tc>
          <w:tcPr>
            <w:tcW w:w="3960" w:type="dxa"/>
            <w:vAlign w:val="bottom"/>
          </w:tcPr>
          <w:p>
            <w:pPr>
              <w:jc w:val="center"/>
              <w:ind w:right="90"/>
              <w:spacing w:after="0"/>
              <w:rPr>
                <w:sz w:val="20"/>
                <w:szCs w:val="20"/>
                <w:color w:val="auto"/>
              </w:rPr>
            </w:pPr>
            <w:r>
              <w:rPr>
                <w:rFonts w:ascii="Arial" w:cs="Arial" w:eastAsia="Arial" w:hAnsi="Arial"/>
                <w:sz w:val="18"/>
                <w:szCs w:val="18"/>
                <w:color w:val="auto"/>
                <w:w w:val="91"/>
              </w:rPr>
              <w:t>Classification Code Number)</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5"/>
              </w:rPr>
              <w:t>Identification No.)</w:t>
            </w:r>
          </w:p>
        </w:tc>
      </w:tr>
    </w:tbl>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Entera Bio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Kiryat Hadassah</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Minrav Building – Fifth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Jerusalem 9112002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 (2) 532-7151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142875</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 E 40th Street, 10th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(800) 221-0102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142875</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tbl>
      <w:tblPr>
        <w:tblLayout w:type="fixed"/>
        <w:tblInd w:w="340" w:type="dxa"/>
        <w:tblCellMar>
          <w:top w:w="0" w:type="dxa"/>
          <w:left w:w="0" w:type="dxa"/>
          <w:bottom w:w="0" w:type="dxa"/>
          <w:right w:w="0" w:type="dxa"/>
        </w:tblCellMar>
      </w:tblPr>
      <w:tr>
        <w:trPr>
          <w:trHeight w:val="212"/>
        </w:trPr>
        <w:tc>
          <w:tcPr>
            <w:tcW w:w="2600" w:type="dxa"/>
            <w:vAlign w:val="bottom"/>
          </w:tcPr>
          <w:p>
            <w:pPr>
              <w:spacing w:after="0"/>
              <w:rPr>
                <w:sz w:val="18"/>
                <w:szCs w:val="18"/>
                <w:color w:val="auto"/>
              </w:rPr>
            </w:pPr>
          </w:p>
        </w:tc>
        <w:tc>
          <w:tcPr>
            <w:tcW w:w="3180" w:type="dxa"/>
            <w:vAlign w:val="bottom"/>
          </w:tcPr>
          <w:p>
            <w:pPr>
              <w:ind w:left="2400"/>
              <w:spacing w:after="0"/>
              <w:rPr>
                <w:sz w:val="20"/>
                <w:szCs w:val="20"/>
                <w:color w:val="auto"/>
              </w:rPr>
            </w:pPr>
            <w:r>
              <w:rPr>
                <w:rFonts w:ascii="Arial" w:cs="Arial" w:eastAsia="Arial" w:hAnsi="Arial"/>
                <w:sz w:val="18"/>
                <w:szCs w:val="18"/>
                <w:b w:val="1"/>
                <w:bCs w:val="1"/>
                <w:i w:val="1"/>
                <w:iCs w:val="1"/>
                <w:color w:val="auto"/>
                <w:w w:val="86"/>
              </w:rPr>
              <w:t>Copies to:</w:t>
            </w:r>
          </w:p>
        </w:tc>
        <w:tc>
          <w:tcPr>
            <w:tcW w:w="25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600" w:type="dxa"/>
            <w:vAlign w:val="bottom"/>
          </w:tcPr>
          <w:p>
            <w:pPr>
              <w:jc w:val="center"/>
              <w:ind w:right="310"/>
              <w:spacing w:after="0"/>
              <w:rPr>
                <w:sz w:val="20"/>
                <w:szCs w:val="20"/>
                <w:color w:val="auto"/>
              </w:rPr>
            </w:pPr>
            <w:r>
              <w:rPr>
                <w:rFonts w:ascii="Arial" w:cs="Arial" w:eastAsia="Arial" w:hAnsi="Arial"/>
                <w:sz w:val="18"/>
                <w:szCs w:val="18"/>
                <w:b w:val="1"/>
                <w:bCs w:val="1"/>
                <w:color w:val="auto"/>
                <w:w w:val="91"/>
              </w:rPr>
              <w:t>Michael P. Kaplan, Esq.</w:t>
            </w:r>
          </w:p>
        </w:tc>
        <w:tc>
          <w:tcPr>
            <w:tcW w:w="318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Yair Geva, Adv.</w:t>
            </w:r>
          </w:p>
        </w:tc>
        <w:tc>
          <w:tcPr>
            <w:tcW w:w="2580" w:type="dxa"/>
            <w:vAlign w:val="bottom"/>
          </w:tcPr>
          <w:p>
            <w:pPr>
              <w:jc w:val="center"/>
              <w:ind w:right="290"/>
              <w:spacing w:after="0"/>
              <w:rPr>
                <w:sz w:val="20"/>
                <w:szCs w:val="20"/>
                <w:color w:val="auto"/>
              </w:rPr>
            </w:pPr>
            <w:r>
              <w:rPr>
                <w:rFonts w:ascii="Arial" w:cs="Arial" w:eastAsia="Arial" w:hAnsi="Arial"/>
                <w:sz w:val="18"/>
                <w:szCs w:val="18"/>
                <w:b w:val="1"/>
                <w:bCs w:val="1"/>
                <w:color w:val="auto"/>
                <w:w w:val="93"/>
              </w:rPr>
              <w:t>Ivan K. Blumenthal, Esq.</w:t>
            </w:r>
          </w:p>
        </w:tc>
        <w:tc>
          <w:tcPr>
            <w:tcW w:w="2280" w:type="dxa"/>
            <w:vAlign w:val="bottom"/>
          </w:tcPr>
          <w:p>
            <w:pPr>
              <w:jc w:val="center"/>
              <w:ind w:left="350"/>
              <w:spacing w:after="0"/>
              <w:rPr>
                <w:sz w:val="20"/>
                <w:szCs w:val="20"/>
                <w:color w:val="auto"/>
              </w:rPr>
            </w:pPr>
            <w:r>
              <w:rPr>
                <w:rFonts w:ascii="Arial" w:cs="Arial" w:eastAsia="Arial" w:hAnsi="Arial"/>
                <w:sz w:val="18"/>
                <w:szCs w:val="18"/>
                <w:b w:val="1"/>
                <w:bCs w:val="1"/>
                <w:color w:val="auto"/>
                <w:w w:val="92"/>
              </w:rPr>
              <w:t>Chaim Friedland, Adv.</w:t>
            </w:r>
          </w:p>
        </w:tc>
      </w:tr>
      <w:tr>
        <w:trPr>
          <w:trHeight w:val="216"/>
        </w:trPr>
        <w:tc>
          <w:tcPr>
            <w:tcW w:w="2600" w:type="dxa"/>
            <w:vAlign w:val="bottom"/>
          </w:tcPr>
          <w:p>
            <w:pPr>
              <w:jc w:val="center"/>
              <w:ind w:right="310"/>
              <w:spacing w:after="0"/>
              <w:rPr>
                <w:sz w:val="20"/>
                <w:szCs w:val="20"/>
                <w:color w:val="auto"/>
              </w:rPr>
            </w:pPr>
            <w:r>
              <w:rPr>
                <w:rFonts w:ascii="Arial" w:cs="Arial" w:eastAsia="Arial" w:hAnsi="Arial"/>
                <w:sz w:val="18"/>
                <w:szCs w:val="18"/>
                <w:b w:val="1"/>
                <w:bCs w:val="1"/>
                <w:color w:val="auto"/>
                <w:w w:val="88"/>
              </w:rPr>
              <w:t>Sophia Hudson, Esq.</w:t>
            </w:r>
          </w:p>
        </w:tc>
        <w:tc>
          <w:tcPr>
            <w:tcW w:w="318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Ron Ben-Menachem, Adv.</w:t>
            </w:r>
          </w:p>
        </w:tc>
        <w:tc>
          <w:tcPr>
            <w:tcW w:w="2580" w:type="dxa"/>
            <w:vAlign w:val="bottom"/>
          </w:tcPr>
          <w:p>
            <w:pPr>
              <w:jc w:val="center"/>
              <w:ind w:right="290"/>
              <w:spacing w:after="0"/>
              <w:rPr>
                <w:sz w:val="20"/>
                <w:szCs w:val="20"/>
                <w:color w:val="auto"/>
              </w:rPr>
            </w:pPr>
            <w:r>
              <w:rPr>
                <w:rFonts w:ascii="Arial" w:cs="Arial" w:eastAsia="Arial" w:hAnsi="Arial"/>
                <w:sz w:val="18"/>
                <w:szCs w:val="18"/>
                <w:b w:val="1"/>
                <w:bCs w:val="1"/>
                <w:color w:val="auto"/>
                <w:w w:val="94"/>
              </w:rPr>
              <w:t>Mintz, Levin, Cohn, Ferris,</w:t>
            </w:r>
          </w:p>
        </w:tc>
        <w:tc>
          <w:tcPr>
            <w:tcW w:w="2280" w:type="dxa"/>
            <w:vAlign w:val="bottom"/>
          </w:tcPr>
          <w:p>
            <w:pPr>
              <w:jc w:val="center"/>
              <w:ind w:left="350"/>
              <w:spacing w:after="0"/>
              <w:rPr>
                <w:sz w:val="20"/>
                <w:szCs w:val="20"/>
                <w:color w:val="auto"/>
              </w:rPr>
            </w:pPr>
            <w:r>
              <w:rPr>
                <w:rFonts w:ascii="Arial" w:cs="Arial" w:eastAsia="Arial" w:hAnsi="Arial"/>
                <w:sz w:val="18"/>
                <w:szCs w:val="18"/>
                <w:b w:val="1"/>
                <w:bCs w:val="1"/>
                <w:color w:val="auto"/>
                <w:w w:val="94"/>
              </w:rPr>
              <w:t>Ari Fried, Adv.</w:t>
            </w:r>
          </w:p>
        </w:tc>
      </w:tr>
      <w:tr>
        <w:trPr>
          <w:trHeight w:val="216"/>
        </w:trPr>
        <w:tc>
          <w:tcPr>
            <w:tcW w:w="2600" w:type="dxa"/>
            <w:vAlign w:val="bottom"/>
          </w:tcPr>
          <w:p>
            <w:pPr>
              <w:jc w:val="center"/>
              <w:ind w:right="310"/>
              <w:spacing w:after="0"/>
              <w:rPr>
                <w:sz w:val="20"/>
                <w:szCs w:val="20"/>
                <w:color w:val="auto"/>
              </w:rPr>
            </w:pPr>
            <w:r>
              <w:rPr>
                <w:rFonts w:ascii="Arial" w:cs="Arial" w:eastAsia="Arial" w:hAnsi="Arial"/>
                <w:sz w:val="18"/>
                <w:szCs w:val="18"/>
                <w:b w:val="1"/>
                <w:bCs w:val="1"/>
                <w:color w:val="auto"/>
                <w:w w:val="94"/>
              </w:rPr>
              <w:t>Davis Polk &amp; Wardwell LLP</w:t>
            </w:r>
          </w:p>
        </w:tc>
        <w:tc>
          <w:tcPr>
            <w:tcW w:w="318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Tomer Farkash, Adv.</w:t>
            </w:r>
          </w:p>
        </w:tc>
        <w:tc>
          <w:tcPr>
            <w:tcW w:w="258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Glovsky, and Popeo PC</w:t>
            </w:r>
          </w:p>
        </w:tc>
        <w:tc>
          <w:tcPr>
            <w:tcW w:w="2280" w:type="dxa"/>
            <w:vAlign w:val="bottom"/>
          </w:tcPr>
          <w:p>
            <w:pPr>
              <w:jc w:val="center"/>
              <w:ind w:left="330"/>
              <w:spacing w:after="0"/>
              <w:rPr>
                <w:sz w:val="20"/>
                <w:szCs w:val="20"/>
                <w:color w:val="auto"/>
              </w:rPr>
            </w:pPr>
            <w:r>
              <w:rPr>
                <w:rFonts w:ascii="Arial" w:cs="Arial" w:eastAsia="Arial" w:hAnsi="Arial"/>
                <w:sz w:val="18"/>
                <w:szCs w:val="18"/>
                <w:b w:val="1"/>
                <w:bCs w:val="1"/>
                <w:color w:val="auto"/>
                <w:w w:val="96"/>
              </w:rPr>
              <w:t>Gornitzky &amp; Co.</w:t>
            </w:r>
          </w:p>
        </w:tc>
      </w:tr>
      <w:tr>
        <w:trPr>
          <w:trHeight w:val="216"/>
        </w:trPr>
        <w:tc>
          <w:tcPr>
            <w:tcW w:w="260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450 Lexington Avenue</w:t>
            </w:r>
          </w:p>
        </w:tc>
        <w:tc>
          <w:tcPr>
            <w:tcW w:w="318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Herzog Fox &amp; Neeman</w:t>
            </w:r>
          </w:p>
        </w:tc>
        <w:tc>
          <w:tcPr>
            <w:tcW w:w="258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666 Third Avenue</w:t>
            </w:r>
          </w:p>
        </w:tc>
        <w:tc>
          <w:tcPr>
            <w:tcW w:w="2280" w:type="dxa"/>
            <w:vAlign w:val="bottom"/>
          </w:tcPr>
          <w:p>
            <w:pPr>
              <w:jc w:val="center"/>
              <w:ind w:left="350"/>
              <w:spacing w:after="0"/>
              <w:rPr>
                <w:sz w:val="20"/>
                <w:szCs w:val="20"/>
                <w:color w:val="auto"/>
              </w:rPr>
            </w:pPr>
            <w:r>
              <w:rPr>
                <w:rFonts w:ascii="Arial" w:cs="Arial" w:eastAsia="Arial" w:hAnsi="Arial"/>
                <w:sz w:val="18"/>
                <w:szCs w:val="18"/>
                <w:b w:val="1"/>
                <w:bCs w:val="1"/>
                <w:color w:val="auto"/>
                <w:w w:val="89"/>
              </w:rPr>
              <w:t>Zion House</w:t>
            </w:r>
          </w:p>
        </w:tc>
      </w:tr>
      <w:tr>
        <w:trPr>
          <w:trHeight w:val="216"/>
        </w:trPr>
        <w:tc>
          <w:tcPr>
            <w:tcW w:w="2600" w:type="dxa"/>
            <w:vAlign w:val="bottom"/>
          </w:tcPr>
          <w:p>
            <w:pPr>
              <w:jc w:val="center"/>
              <w:ind w:right="310"/>
              <w:spacing w:after="0"/>
              <w:rPr>
                <w:sz w:val="20"/>
                <w:szCs w:val="20"/>
                <w:color w:val="auto"/>
              </w:rPr>
            </w:pPr>
            <w:r>
              <w:rPr>
                <w:rFonts w:ascii="Arial" w:cs="Arial" w:eastAsia="Arial" w:hAnsi="Arial"/>
                <w:sz w:val="18"/>
                <w:szCs w:val="18"/>
                <w:b w:val="1"/>
                <w:bCs w:val="1"/>
                <w:color w:val="auto"/>
                <w:w w:val="92"/>
              </w:rPr>
              <w:t>New York, New York 10017</w:t>
            </w:r>
          </w:p>
        </w:tc>
        <w:tc>
          <w:tcPr>
            <w:tcW w:w="318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4 Weizmann Street</w:t>
            </w:r>
          </w:p>
        </w:tc>
        <w:tc>
          <w:tcPr>
            <w:tcW w:w="2580" w:type="dxa"/>
            <w:vAlign w:val="bottom"/>
          </w:tcPr>
          <w:p>
            <w:pPr>
              <w:jc w:val="center"/>
              <w:ind w:right="290"/>
              <w:spacing w:after="0"/>
              <w:rPr>
                <w:sz w:val="20"/>
                <w:szCs w:val="20"/>
                <w:color w:val="auto"/>
              </w:rPr>
            </w:pPr>
            <w:r>
              <w:rPr>
                <w:rFonts w:ascii="Arial" w:cs="Arial" w:eastAsia="Arial" w:hAnsi="Arial"/>
                <w:sz w:val="18"/>
                <w:szCs w:val="18"/>
                <w:b w:val="1"/>
                <w:bCs w:val="1"/>
                <w:color w:val="auto"/>
                <w:w w:val="92"/>
              </w:rPr>
              <w:t>New York, New York 10017</w:t>
            </w:r>
          </w:p>
        </w:tc>
        <w:tc>
          <w:tcPr>
            <w:tcW w:w="228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45 Rothschild Blvd.</w:t>
            </w:r>
          </w:p>
        </w:tc>
      </w:tr>
      <w:tr>
        <w:trPr>
          <w:trHeight w:val="216"/>
        </w:trPr>
        <w:tc>
          <w:tcPr>
            <w:tcW w:w="2600" w:type="dxa"/>
            <w:vAlign w:val="bottom"/>
          </w:tcPr>
          <w:p>
            <w:pPr>
              <w:jc w:val="center"/>
              <w:ind w:right="310"/>
              <w:spacing w:after="0"/>
              <w:rPr>
                <w:sz w:val="20"/>
                <w:szCs w:val="20"/>
                <w:color w:val="auto"/>
              </w:rPr>
            </w:pPr>
            <w:r>
              <w:rPr>
                <w:rFonts w:ascii="Arial" w:cs="Arial" w:eastAsia="Arial" w:hAnsi="Arial"/>
                <w:sz w:val="18"/>
                <w:szCs w:val="18"/>
                <w:b w:val="1"/>
                <w:bCs w:val="1"/>
                <w:color w:val="auto"/>
                <w:w w:val="90"/>
              </w:rPr>
              <w:t>(212) 450-4000</w:t>
            </w:r>
          </w:p>
        </w:tc>
        <w:tc>
          <w:tcPr>
            <w:tcW w:w="318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Tel Aviv 6423904, Israel</w:t>
            </w:r>
          </w:p>
        </w:tc>
        <w:tc>
          <w:tcPr>
            <w:tcW w:w="258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(212) 935-3000</w:t>
            </w:r>
          </w:p>
        </w:tc>
        <w:tc>
          <w:tcPr>
            <w:tcW w:w="228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Tel Aviv 6578403, Israel</w:t>
            </w:r>
          </w:p>
        </w:tc>
      </w:tr>
      <w:tr>
        <w:trPr>
          <w:trHeight w:val="234"/>
        </w:trPr>
        <w:tc>
          <w:tcPr>
            <w:tcW w:w="2600" w:type="dxa"/>
            <w:vAlign w:val="bottom"/>
          </w:tcPr>
          <w:p>
            <w:pPr>
              <w:spacing w:after="0"/>
              <w:rPr>
                <w:sz w:val="20"/>
                <w:szCs w:val="20"/>
                <w:color w:val="auto"/>
              </w:rPr>
            </w:pPr>
          </w:p>
        </w:tc>
        <w:tc>
          <w:tcPr>
            <w:tcW w:w="318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+972 (3) 692-2020</w:t>
            </w:r>
          </w:p>
        </w:tc>
        <w:tc>
          <w:tcPr>
            <w:tcW w:w="2580" w:type="dxa"/>
            <w:vAlign w:val="bottom"/>
          </w:tcPr>
          <w:p>
            <w:pPr>
              <w:spacing w:after="0"/>
              <w:rPr>
                <w:sz w:val="20"/>
                <w:szCs w:val="20"/>
                <w:color w:val="auto"/>
              </w:rPr>
            </w:pPr>
          </w:p>
        </w:tc>
        <w:tc>
          <w:tcPr>
            <w:tcW w:w="228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+972 (3) 710-9191</w:t>
            </w:r>
          </w:p>
        </w:tc>
      </w:tr>
    </w:tbl>
    <w:p>
      <w:pPr>
        <w:spacing w:after="0" w:line="19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As soon as practicable after effectiveness of this registration statement.</w:t>
      </w:r>
    </w:p>
    <w:p>
      <w:pPr>
        <w:spacing w:after="0" w:line="241"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46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7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70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1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84" w:lineRule="exact"/>
        <w:rPr>
          <w:sz w:val="24"/>
          <w:szCs w:val="24"/>
          <w:color w:val="auto"/>
        </w:rPr>
      </w:pPr>
    </w:p>
    <w:p>
      <w:pPr>
        <w:ind w:left="260" w:right="500" w:hanging="198"/>
        <w:spacing w:after="0" w:line="277"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ectPr>
          <w:pgSz w:w="11900" w:h="16838" w:orient="portrait"/>
          <w:cols w:equalWidth="0" w:num="1">
            <w:col w:w="11420"/>
          </w:cols>
          <w:pgMar w:left="240" w:top="229" w:right="239" w:bottom="0" w:gutter="0" w:footer="0" w:header="0"/>
        </w:sectPr>
      </w:pPr>
    </w:p>
    <w:p>
      <w:pPr>
        <w:spacing w:after="0" w:line="383" w:lineRule="exact"/>
        <w:rPr>
          <w:sz w:val="24"/>
          <w:szCs w:val="24"/>
          <w:color w:val="auto"/>
        </w:rPr>
      </w:pPr>
    </w:p>
    <w:p>
      <w:pPr>
        <w:spacing w:after="0"/>
        <w:tabs>
          <w:tab w:leader="none" w:pos="6100" w:val="left"/>
          <w:tab w:leader="none" w:pos="7200" w:val="left"/>
          <w:tab w:leader="none" w:pos="8440" w:val="left"/>
          <w:tab w:leader="none" w:pos="10360" w:val="left"/>
        </w:tabs>
        <w:rPr>
          <w:sz w:val="20"/>
          <w:szCs w:val="20"/>
          <w:color w:val="auto"/>
        </w:rPr>
      </w:pPr>
      <w:r>
        <w:rPr>
          <w:rFonts w:ascii="Arial" w:cs="Arial" w:eastAsia="Arial" w:hAnsi="Arial"/>
          <w:sz w:val="18"/>
          <w:szCs w:val="18"/>
          <w:b w:val="1"/>
          <w:bCs w:val="1"/>
          <w:color w:val="auto"/>
        </w:rPr>
        <w:t>Title of Each Class of Securities to be Registered</w:t>
      </w:r>
      <w:r>
        <w:rPr>
          <w:sz w:val="20"/>
          <w:szCs w:val="20"/>
          <w:color w:val="auto"/>
        </w:rPr>
        <w:tab/>
      </w:r>
      <w:r>
        <w:rPr>
          <w:rFonts w:ascii="Arial" w:cs="Arial" w:eastAsia="Arial" w:hAnsi="Arial"/>
          <w:sz w:val="18"/>
          <w:szCs w:val="18"/>
          <w:b w:val="1"/>
          <w:bCs w:val="1"/>
          <w:color w:val="auto"/>
        </w:rPr>
        <w:t>Amount</w:t>
      </w:r>
      <w:r>
        <w:rPr>
          <w:sz w:val="20"/>
          <w:szCs w:val="20"/>
          <w:color w:val="auto"/>
        </w:rPr>
        <w:tab/>
      </w:r>
      <w:r>
        <w:rPr>
          <w:rFonts w:ascii="Arial" w:cs="Arial" w:eastAsia="Arial" w:hAnsi="Arial"/>
          <w:sz w:val="18"/>
          <w:szCs w:val="18"/>
          <w:b w:val="1"/>
          <w:bCs w:val="1"/>
          <w:color w:val="auto"/>
        </w:rPr>
        <w:t>Proposed</w:t>
      </w:r>
      <w:r>
        <w:rPr>
          <w:sz w:val="20"/>
          <w:szCs w:val="20"/>
          <w:color w:val="auto"/>
        </w:rPr>
        <w:tab/>
      </w:r>
      <w:r>
        <w:rPr>
          <w:rFonts w:ascii="Arial" w:cs="Arial" w:eastAsia="Arial" w:hAnsi="Arial"/>
          <w:sz w:val="18"/>
          <w:szCs w:val="18"/>
          <w:b w:val="1"/>
          <w:bCs w:val="1"/>
          <w:color w:val="auto"/>
        </w:rPr>
        <w:t>Proposed Maximum</w:t>
      </w:r>
      <w:r>
        <w:rPr>
          <w:sz w:val="20"/>
          <w:szCs w:val="20"/>
          <w:color w:val="auto"/>
        </w:rPr>
        <w:tab/>
      </w:r>
      <w:r>
        <w:rPr>
          <w:rFonts w:ascii="Arial" w:cs="Arial" w:eastAsia="Arial" w:hAnsi="Arial"/>
          <w:sz w:val="16"/>
          <w:szCs w:val="16"/>
          <w:b w:val="1"/>
          <w:bCs w:val="1"/>
          <w:color w:val="auto"/>
        </w:rPr>
        <w:t>Amount of</w:t>
      </w:r>
    </w:p>
    <w:p>
      <w:pPr>
        <w:sectPr>
          <w:pgSz w:w="11900" w:h="16838" w:orient="portrait"/>
          <w:cols w:equalWidth="0" w:num="1">
            <w:col w:w="11420"/>
          </w:cols>
          <w:pgMar w:left="240" w:top="229"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280"/>
              <w:spacing w:after="0"/>
              <w:rPr>
                <w:sz w:val="20"/>
                <w:szCs w:val="20"/>
                <w:color w:val="auto"/>
              </w:rPr>
            </w:pPr>
            <w:r>
              <w:rPr>
                <w:rFonts w:ascii="Arial" w:cs="Arial" w:eastAsia="Arial" w:hAnsi="Arial"/>
                <w:sz w:val="18"/>
                <w:szCs w:val="18"/>
                <w:b w:val="1"/>
                <w:bCs w:val="1"/>
                <w:color w:val="auto"/>
              </w:rPr>
              <w:t>To</w:t>
            </w:r>
          </w:p>
        </w:tc>
        <w:tc>
          <w:tcPr>
            <w:tcW w:w="12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Maximum</w:t>
            </w:r>
          </w:p>
        </w:tc>
        <w:tc>
          <w:tcPr>
            <w:tcW w:w="206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Aggregate Offering Price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89"/>
              </w:rPr>
              <w:t>Registration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ind w:left="300"/>
              <w:spacing w:after="0"/>
              <w:rPr>
                <w:sz w:val="20"/>
                <w:szCs w:val="20"/>
                <w:color w:val="auto"/>
              </w:rPr>
            </w:pPr>
            <w:r>
              <w:rPr>
                <w:rFonts w:ascii="Arial" w:cs="Arial" w:eastAsia="Arial" w:hAnsi="Arial"/>
                <w:sz w:val="18"/>
                <w:szCs w:val="18"/>
                <w:b w:val="1"/>
                <w:bCs w:val="1"/>
                <w:color w:val="auto"/>
              </w:rPr>
              <w:t>Be</w:t>
            </w:r>
          </w:p>
        </w:tc>
        <w:tc>
          <w:tcPr>
            <w:tcW w:w="120" w:type="dxa"/>
            <w:vAlign w:val="bottom"/>
          </w:tcPr>
          <w:p>
            <w:pPr>
              <w:spacing w:after="0"/>
              <w:rPr>
                <w:sz w:val="19"/>
                <w:szCs w:val="19"/>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b w:val="1"/>
                <w:bCs w:val="1"/>
                <w:color w:val="auto"/>
              </w:rPr>
              <w:t>Aggregate</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172"/>
              <w:spacing w:after="0" w:line="221" w:lineRule="exact"/>
              <w:rPr>
                <w:sz w:val="20"/>
                <w:szCs w:val="20"/>
                <w:color w:val="auto"/>
              </w:rPr>
            </w:pPr>
            <w:r>
              <w:rPr>
                <w:rFonts w:ascii="Arial" w:cs="Arial" w:eastAsia="Arial" w:hAnsi="Arial"/>
                <w:sz w:val="16"/>
                <w:szCs w:val="16"/>
                <w:b w:val="1"/>
                <w:bCs w:val="1"/>
                <w:color w:val="auto"/>
              </w:rPr>
              <w:t>Fee</w:t>
            </w:r>
            <w:r>
              <w:rPr>
                <w:rFonts w:ascii="Arial" w:cs="Arial" w:eastAsia="Arial" w:hAnsi="Arial"/>
                <w:sz w:val="25"/>
                <w:szCs w:val="25"/>
                <w:b w:val="1"/>
                <w:bCs w:val="1"/>
                <w:color w:val="auto"/>
                <w:vertAlign w:val="superscript"/>
              </w:rPr>
              <w:t>(2)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b w:val="1"/>
                <w:bCs w:val="1"/>
                <w:color w:val="auto"/>
                <w:w w:val="88"/>
              </w:rPr>
              <w:t>Registered</w:t>
            </w:r>
          </w:p>
        </w:tc>
        <w:tc>
          <w:tcPr>
            <w:tcW w:w="12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Offering</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Price Per</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center"/>
              <w:ind w:right="100"/>
              <w:spacing w:after="0" w:line="271" w:lineRule="exact"/>
              <w:rPr>
                <w:sz w:val="20"/>
                <w:szCs w:val="20"/>
                <w:color w:val="auto"/>
              </w:rPr>
            </w:pPr>
            <w:r>
              <w:rPr>
                <w:rFonts w:ascii="Arial" w:cs="Arial" w:eastAsia="Arial" w:hAnsi="Arial"/>
                <w:sz w:val="18"/>
                <w:szCs w:val="18"/>
                <w:b w:val="1"/>
                <w:bCs w:val="1"/>
                <w:color w:val="auto"/>
                <w:w w:val="83"/>
              </w:rPr>
              <w:t>Share</w:t>
            </w:r>
            <w:r>
              <w:rPr>
                <w:rFonts w:ascii="Arial" w:cs="Arial" w:eastAsia="Arial" w:hAnsi="Arial"/>
                <w:sz w:val="30"/>
                <w:szCs w:val="30"/>
                <w:b w:val="1"/>
                <w:bCs w:val="1"/>
                <w:color w:val="auto"/>
                <w:w w:val="83"/>
                <w:vertAlign w:val="superscript"/>
              </w:rPr>
              <w:t>(1)</w:t>
            </w:r>
          </w:p>
        </w:tc>
        <w:tc>
          <w:tcPr>
            <w:tcW w:w="1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Units consisting of:</w:t>
            </w:r>
          </w:p>
        </w:tc>
        <w:tc>
          <w:tcPr>
            <w:tcW w:w="160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w w:val="92"/>
              </w:rPr>
              <w:t>Ordinary shares, par value NIS</w:t>
            </w:r>
          </w:p>
        </w:tc>
        <w:tc>
          <w:tcPr>
            <w:tcW w:w="1600" w:type="dxa"/>
            <w:vAlign w:val="bottom"/>
          </w:tcPr>
          <w:p>
            <w:pPr>
              <w:ind w:left="240"/>
              <w:spacing w:after="0"/>
              <w:rPr>
                <w:sz w:val="20"/>
                <w:szCs w:val="20"/>
                <w:color w:val="auto"/>
              </w:rPr>
            </w:pPr>
            <w:r>
              <w:rPr>
                <w:rFonts w:ascii="Arial" w:cs="Arial" w:eastAsia="Arial" w:hAnsi="Arial"/>
                <w:sz w:val="18"/>
                <w:szCs w:val="18"/>
                <w:color w:val="auto"/>
              </w:rPr>
              <w:t>per share</w:t>
            </w:r>
          </w:p>
        </w:tc>
        <w:tc>
          <w:tcPr>
            <w:tcW w:w="2740" w:type="dxa"/>
            <w:vAlign w:val="bottom"/>
            <w:gridSpan w:val="3"/>
            <w:vMerge w:val="restart"/>
          </w:tcPr>
          <w:p>
            <w:pPr>
              <w:ind w:left="160"/>
              <w:spacing w:after="0"/>
              <w:rPr>
                <w:sz w:val="20"/>
                <w:szCs w:val="20"/>
                <w:color w:val="auto"/>
              </w:rPr>
            </w:pPr>
            <w:r>
              <w:rPr>
                <w:rFonts w:ascii="Arial" w:cs="Arial" w:eastAsia="Arial" w:hAnsi="Arial"/>
                <w:sz w:val="18"/>
                <w:szCs w:val="18"/>
                <w:color w:val="auto"/>
              </w:rPr>
              <w:t>per share</w:t>
            </w:r>
            <w:r>
              <w:rPr>
                <w:rFonts w:ascii="Arial" w:cs="Arial" w:eastAsia="Arial" w:hAnsi="Arial"/>
                <w:sz w:val="30"/>
                <w:szCs w:val="30"/>
                <w:color w:val="auto"/>
                <w:vertAlign w:val="superscript"/>
              </w:rPr>
              <w:t>(3)</w:t>
            </w:r>
          </w:p>
        </w:tc>
        <w:tc>
          <w:tcPr>
            <w:tcW w:w="130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96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120" w:type="dxa"/>
            <w:vAlign w:val="bottom"/>
            <w:gridSpan w:val="2"/>
          </w:tcPr>
          <w:p>
            <w:pPr>
              <w:ind w:left="200"/>
              <w:spacing w:after="0"/>
              <w:rPr>
                <w:sz w:val="20"/>
                <w:szCs w:val="20"/>
                <w:color w:val="auto"/>
              </w:rPr>
            </w:pPr>
            <w:r>
              <w:rPr>
                <w:rFonts w:ascii="Arial" w:cs="Arial" w:eastAsia="Arial" w:hAnsi="Arial"/>
                <w:sz w:val="18"/>
                <w:szCs w:val="18"/>
                <w:color w:val="auto"/>
                <w:w w:val="92"/>
              </w:rPr>
              <w:t>Warrants to purchase ordinary shares, par value NIS</w:t>
            </w:r>
          </w:p>
        </w:tc>
        <w:tc>
          <w:tcPr>
            <w:tcW w:w="2740" w:type="dxa"/>
            <w:vAlign w:val="bottom"/>
            <w:gridSpan w:val="3"/>
            <w:vMerge w:val="continue"/>
          </w:tcPr>
          <w:p>
            <w:pPr>
              <w:spacing w:after="0"/>
              <w:rPr>
                <w:sz w:val="21"/>
                <w:szCs w:val="21"/>
                <w:color w:val="auto"/>
              </w:rPr>
            </w:pPr>
          </w:p>
        </w:tc>
        <w:tc>
          <w:tcPr>
            <w:tcW w:w="130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96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40"/>
              <w:spacing w:after="0"/>
              <w:rPr>
                <w:sz w:val="20"/>
                <w:szCs w:val="20"/>
                <w:color w:val="auto"/>
              </w:rPr>
            </w:pPr>
            <w:r>
              <w:rPr>
                <w:rFonts w:ascii="Arial" w:cs="Arial" w:eastAsia="Arial" w:hAnsi="Arial"/>
                <w:sz w:val="18"/>
                <w:szCs w:val="18"/>
                <w:color w:val="auto"/>
                <w:w w:val="99"/>
              </w:rPr>
              <w:t>Ordinary shares, par value NIS</w:t>
            </w:r>
          </w:p>
        </w:tc>
        <w:tc>
          <w:tcPr>
            <w:tcW w:w="4340" w:type="dxa"/>
            <w:vAlign w:val="bottom"/>
            <w:gridSpan w:val="4"/>
          </w:tcPr>
          <w:p>
            <w:pPr>
              <w:ind w:left="60"/>
              <w:spacing w:after="0"/>
              <w:rPr>
                <w:sz w:val="20"/>
                <w:szCs w:val="20"/>
                <w:color w:val="auto"/>
              </w:rPr>
            </w:pPr>
            <w:r>
              <w:rPr>
                <w:rFonts w:ascii="Arial" w:cs="Arial" w:eastAsia="Arial" w:hAnsi="Arial"/>
                <w:sz w:val="18"/>
                <w:szCs w:val="18"/>
                <w:color w:val="auto"/>
              </w:rPr>
              <w:t>per share, issuable upon exercise of the</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gridSpan w:val="3"/>
          </w:tcPr>
          <w:p>
            <w:pPr>
              <w:spacing w:after="0"/>
              <w:rPr>
                <w:sz w:val="20"/>
                <w:szCs w:val="20"/>
                <w:color w:val="auto"/>
              </w:rPr>
            </w:pPr>
            <w:r>
              <w:rPr>
                <w:rFonts w:ascii="Arial" w:cs="Arial" w:eastAsia="Arial" w:hAnsi="Arial"/>
                <w:sz w:val="18"/>
                <w:szCs w:val="18"/>
                <w:color w:val="auto"/>
              </w:rPr>
              <w:t>warrants to purchase ordinary shares</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96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-719455</wp:posOffset>
            </wp:positionV>
            <wp:extent cx="342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-719455</wp:posOffset>
            </wp:positionV>
            <wp:extent cx="85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3083560</wp:posOffset>
            </wp:positionH>
            <wp:positionV relativeFrom="paragraph">
              <wp:posOffset>274320</wp:posOffset>
            </wp:positionV>
            <wp:extent cx="10890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0" w:right="460" w:hanging="332"/>
        <w:spacing w:after="0" w:line="25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457(o) under the Securities Act of 1933. Includes the aggregate offering price of additional securities that the underwriter has the option to purchase, if any.</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 has previously paid $10,062 in connection with this Registration Statement.</w:t>
      </w:r>
    </w:p>
    <w:p>
      <w:pPr>
        <w:spacing w:after="0" w:line="9" w:lineRule="exact"/>
        <w:rPr>
          <w:rFonts w:ascii="Arial" w:cs="Arial" w:eastAsia="Arial" w:hAnsi="Arial"/>
          <w:sz w:val="18"/>
          <w:szCs w:val="18"/>
          <w:color w:val="auto"/>
        </w:rPr>
      </w:pPr>
    </w:p>
    <w:p>
      <w:pPr>
        <w:ind w:left="340" w:right="80" w:hanging="332"/>
        <w:spacing w:after="0" w:line="26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this registration statement shall also cover an indeterminate number of shares that may be issued and resold resulting from stock splits, stock dividends or similar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shall file a further amendment which specifically states that this Registration Statement shall thereafter become effective in accordance with</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Section 8(a) of the Securities Act or until the Registration Statement shall become effective on such date as the Securities and Exchange Commission,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p>
      <w:pPr>
        <w:spacing w:after="0" w:line="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FF2874"/>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FF2874"/>
        </w:rPr>
        <w:t>PROSPECTUS (Subject to Completion)</w:t>
      </w:r>
    </w:p>
    <w:p>
      <w:pPr>
        <w:spacing w:after="0" w:line="2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FF2874"/>
        </w:rPr>
        <w:t>Dated</w:t>
      </w:r>
      <w:r>
        <w:rPr>
          <w:sz w:val="20"/>
          <w:szCs w:val="20"/>
          <w:color w:val="auto"/>
        </w:rPr>
        <w:tab/>
      </w:r>
      <w:r>
        <w:rPr>
          <w:rFonts w:ascii="Arial" w:cs="Arial" w:eastAsia="Arial" w:hAnsi="Arial"/>
          <w:sz w:val="18"/>
          <w:szCs w:val="18"/>
          <w:b w:val="1"/>
          <w:bCs w:val="1"/>
          <w:color w:val="FF2874"/>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142875</wp:posOffset>
            </wp:positionV>
            <wp:extent cx="2255520" cy="1397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5552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ORDINARY SHARES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WARRANTS TO PURCHASE ORDINARY SHARES</w:t>
      </w:r>
    </w:p>
    <w:p>
      <w:pPr>
        <w:spacing w:after="0" w:line="246"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Entera Bio Ltd. is offering ordinary shares and warrants (the “warrants”) to purchase up to ordinary shares (and the ordinary shares that are issuable from time to time upon exercise of the warrants). The ordinary shares and warrants will be sold in units (each a “unit”), with each unit consisting of</w:t>
      </w:r>
    </w:p>
    <w:p>
      <w:pPr>
        <w:ind w:right="60"/>
        <w:spacing w:after="0" w:line="255" w:lineRule="auto"/>
        <w:rPr>
          <w:sz w:val="20"/>
          <w:szCs w:val="20"/>
          <w:color w:val="auto"/>
        </w:rPr>
      </w:pPr>
      <w:r>
        <w:rPr>
          <w:rFonts w:ascii="Arial" w:cs="Arial" w:eastAsia="Arial" w:hAnsi="Arial"/>
          <w:sz w:val="18"/>
          <w:szCs w:val="18"/>
          <w:color w:val="auto"/>
        </w:rPr>
        <w:t>one ordinary share and one warrant to purchase of an ordinary share. This is our initial public offering and no public market exists for our shares. We anticipate that the initial public offering price will be between $ and $ per unit. The ordinary shares and warrants are immediately separable and will be issued separately.</w:t>
      </w:r>
    </w:p>
    <w:p>
      <w:pPr>
        <w:spacing w:after="0" w:line="19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warrants will become exercisable on the date of issuance, and will remain exercisable until , 20 , unless earlier repurchased by us or subject to early expiration as described herein. The exercise price for the warrants initially will be $ per ordinary share, and will be subject to adjustments as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87630</wp:posOffset>
            </wp:positionV>
            <wp:extent cx="10890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We have applied to list our ordinary shares on the NASDAQ Capital Market under the symbol “ENTX”.</w:t>
      </w:r>
    </w:p>
    <w:p>
      <w:pPr>
        <w:spacing w:after="0" w:line="22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There is no established public trading market for the warrants and we do not expect a market to develop. In addition, we do not intend to apply to list the warrants on the NASDAQ Capital Market, any other securities exchange or any other nationally recognized trading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102235</wp:posOffset>
            </wp:positionV>
            <wp:extent cx="10890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79"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We are an “emerging growth company” as defined in the Jumpstart Our Business Startups Act and will therefore be subject to reduced reporting requirements.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ordinary shares and warrants involves risks. See “Risk Factors” beginning on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154940</wp:posOffset>
            </wp:positionV>
            <wp:extent cx="10890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620" w:type="dxa"/>
            <w:vAlign w:val="bottom"/>
            <w:gridSpan w:val="2"/>
          </w:tcPr>
          <w:p>
            <w:pPr>
              <w:ind w:left="4440"/>
              <w:spacing w:after="0"/>
              <w:rPr>
                <w:sz w:val="20"/>
                <w:szCs w:val="20"/>
                <w:color w:val="auto"/>
              </w:rPr>
            </w:pPr>
            <w:r>
              <w:rPr>
                <w:rFonts w:ascii="Arial" w:cs="Arial" w:eastAsia="Arial" w:hAnsi="Arial"/>
                <w:sz w:val="22"/>
                <w:szCs w:val="22"/>
                <w:b w:val="1"/>
                <w:bCs w:val="1"/>
                <w:color w:val="auto"/>
              </w:rPr>
              <w:t>PRICE $</w:t>
            </w:r>
          </w:p>
        </w:tc>
        <w:tc>
          <w:tcPr>
            <w:tcW w:w="3240" w:type="dxa"/>
            <w:vAlign w:val="bottom"/>
            <w:gridSpan w:val="4"/>
          </w:tcPr>
          <w:p>
            <w:pPr>
              <w:ind w:left="340"/>
              <w:spacing w:after="0"/>
              <w:rPr>
                <w:sz w:val="20"/>
                <w:szCs w:val="20"/>
                <w:color w:val="auto"/>
              </w:rPr>
            </w:pPr>
            <w:r>
              <w:rPr>
                <w:rFonts w:ascii="Arial" w:cs="Arial" w:eastAsia="Arial" w:hAnsi="Arial"/>
                <w:sz w:val="22"/>
                <w:szCs w:val="22"/>
                <w:b w:val="1"/>
                <w:bCs w:val="1"/>
                <w:color w:val="auto"/>
              </w:rPr>
              <w:t>PER UNIT</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8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Underwriting</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4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Discounts and</w:t>
            </w: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w w:val="95"/>
              </w:rPr>
              <w:t>Proceeds to</w:t>
            </w:r>
          </w:p>
        </w:tc>
        <w:tc>
          <w:tcPr>
            <w:tcW w:w="0" w:type="dxa"/>
            <w:vAlign w:val="bottom"/>
          </w:tcPr>
          <w:p>
            <w:pPr>
              <w:spacing w:after="0"/>
              <w:rPr>
                <w:sz w:val="1"/>
                <w:szCs w:val="1"/>
                <w:color w:val="auto"/>
              </w:rPr>
            </w:pPr>
          </w:p>
        </w:tc>
      </w:tr>
      <w:tr>
        <w:trPr>
          <w:trHeight w:val="234"/>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Per unit</w:t>
            </w: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Price to Public</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Commissions</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w w:val="98"/>
              </w:rPr>
              <w:t>Company(1)</w:t>
            </w:r>
          </w:p>
        </w:tc>
        <w:tc>
          <w:tcPr>
            <w:tcW w:w="0" w:type="dxa"/>
            <w:vAlign w:val="bottom"/>
          </w:tcPr>
          <w:p>
            <w:pPr>
              <w:spacing w:after="0"/>
              <w:rPr>
                <w:sz w:val="1"/>
                <w:szCs w:val="1"/>
                <w:color w:val="auto"/>
              </w:rPr>
            </w:pPr>
          </w:p>
        </w:tc>
      </w:tr>
      <w:tr>
        <w:trPr>
          <w:trHeight w:val="195"/>
        </w:trPr>
        <w:tc>
          <w:tcPr>
            <w:tcW w:w="5620" w:type="dxa"/>
            <w:vAlign w:val="bottom"/>
            <w:gridSpan w:val="2"/>
            <w:vMerge w:val="continue"/>
          </w:tcPr>
          <w:p>
            <w:pPr>
              <w:spacing w:after="0"/>
              <w:rPr>
                <w:sz w:val="16"/>
                <w:szCs w:val="16"/>
                <w:color w:val="auto"/>
              </w:rPr>
            </w:pPr>
          </w:p>
        </w:tc>
        <w:tc>
          <w:tcPr>
            <w:tcW w:w="1700" w:type="dxa"/>
            <w:vAlign w:val="bottom"/>
            <w:gridSpan w:val="2"/>
          </w:tcPr>
          <w:p>
            <w:pPr>
              <w:spacing w:after="0"/>
              <w:rPr>
                <w:sz w:val="16"/>
                <w:szCs w:val="16"/>
                <w:color w:val="auto"/>
              </w:rPr>
            </w:pPr>
          </w:p>
        </w:tc>
        <w:tc>
          <w:tcPr>
            <w:tcW w:w="1300" w:type="dxa"/>
            <w:vAlign w:val="bottom"/>
            <w:tcBorders>
              <w:top w:val="single" w:sz="8" w:color="auto"/>
            </w:tcBorders>
          </w:tcPr>
          <w:p>
            <w:pPr>
              <w:jc w:val="right"/>
              <w:ind w:right="630"/>
              <w:spacing w:after="0" w:line="195"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right"/>
              <w:ind w:right="47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000" w:type="dxa"/>
            <w:vAlign w:val="bottom"/>
            <w:gridSpan w:val="3"/>
          </w:tcPr>
          <w:p>
            <w:pPr>
              <w:jc w:val="right"/>
              <w:ind w:right="6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0890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040" w:right="20" w:hanging="519"/>
        <w:spacing w:after="0" w:line="259"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agreed to reimburse the underwriters for certain expenses. We have also agreed to issue to the representative 10,000 ordinary shares following the closing of this offering, as well as underwriter warrants, certain terms of which are described under “Underwriting”, to purchase a number of ordinary shares equal to an aggregate of 5.0% of the ordinary shares sold as part of the units in this offering. See “Underwriting” for additional information regarding underwriting compensation.</w:t>
      </w:r>
    </w:p>
    <w:p>
      <w:pPr>
        <w:spacing w:after="0" w:line="18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Entera Bio Ltd. has granted the underwriters the right to purchase up to an additional ordinary shares and/or additional warrants to cover over-allotments, if any, at the initial public offering price per unit less the underwriting discounts and commissions payable by us, for 30 days after the date of this prospectus. The public offering price per unit corresponds to a public offering price per ordinary share of $ and a public offering price per warrant of $ .</w:t>
      </w:r>
    </w:p>
    <w:p>
      <w:pPr>
        <w:spacing w:after="0" w:line="17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Certain of our existing shareholders have indicated an interest in purchasing an aggregate of up to approximately $ million of the units in this offering at the initial public offering price per unit. However, indications of interest are not binding agreements or commitments to purchase, and these entities may determine to purchase a greater or lesser number of units than they have indicated an interest in purchasing or to not purchase any units in this offering. In addition, we and the underwriters could determine to sell a greater or lesser number of units to any of these entities than the entities have indicated an interest in purchasing or to not sell any units to these entities.</w:t>
      </w:r>
    </w:p>
    <w:p>
      <w:pPr>
        <w:sectPr>
          <w:pgSz w:w="11900" w:h="16843" w:orient="portrait"/>
          <w:cols w:equalWidth="0" w:num="1">
            <w:col w:w="11420"/>
          </w:cols>
          <w:pgMar w:left="240" w:top="580" w:right="239" w:bottom="0" w:gutter="0" w:footer="0" w:header="0"/>
        </w:sectPr>
      </w:pPr>
    </w:p>
    <w:bookmarkStart w:id="3" w:name="page4"/>
    <w:bookmarkEnd w:id="3"/>
    <w:p>
      <w:pPr>
        <w:spacing w:after="0"/>
        <w:tabs>
          <w:tab w:leader="none" w:pos="7060" w:val="left"/>
        </w:tabs>
        <w:rPr>
          <w:sz w:val="20"/>
          <w:szCs w:val="20"/>
          <w:color w:val="auto"/>
        </w:rPr>
      </w:pPr>
      <w:r>
        <w:rPr>
          <w:rFonts w:ascii="Arial" w:cs="Arial" w:eastAsia="Arial" w:hAnsi="Arial"/>
          <w:sz w:val="18"/>
          <w:szCs w:val="18"/>
          <w:color w:val="auto"/>
        </w:rPr>
        <w:t>The underwriters expect to deliver the ordinary shares and warrants to purchasers on</w:t>
      </w:r>
      <w:r>
        <w:rPr>
          <w:sz w:val="20"/>
          <w:szCs w:val="20"/>
          <w:color w:val="auto"/>
        </w:rPr>
        <w:tab/>
      </w:r>
      <w:r>
        <w:rPr>
          <w:rFonts w:ascii="Arial" w:cs="Arial" w:eastAsia="Arial" w:hAnsi="Arial"/>
          <w:sz w:val="16"/>
          <w:szCs w:val="16"/>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289560</wp:posOffset>
            </wp:positionV>
            <wp:extent cx="10890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60"/>
        <w:spacing w:after="0"/>
        <w:rPr>
          <w:sz w:val="20"/>
          <w:szCs w:val="20"/>
          <w:color w:val="auto"/>
        </w:rPr>
      </w:pPr>
      <w:r>
        <w:rPr>
          <w:rFonts w:ascii="Arial" w:cs="Arial" w:eastAsia="Arial" w:hAnsi="Arial"/>
          <w:sz w:val="24"/>
          <w:szCs w:val="24"/>
          <w:b w:val="1"/>
          <w:bCs w:val="1"/>
          <w:color w:val="auto"/>
        </w:rPr>
        <w:t>Maxim Group LLC</w:t>
      </w:r>
    </w:p>
    <w:p>
      <w:pPr>
        <w:spacing w:after="0" w:line="32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type w:val="continuous"/>
        </w:sectPr>
      </w:pPr>
    </w:p>
    <w:bookmarkStart w:id="4" w:name="page5"/>
    <w:bookmarkEnd w:id="4"/>
    <w:p>
      <w:pPr>
        <w:jc w:val="center"/>
        <w:ind w:right="-39"/>
        <w:spacing w:after="0"/>
        <w:rPr>
          <w:sz w:val="20"/>
          <w:szCs w:val="20"/>
          <w:color w:val="auto"/>
        </w:rPr>
      </w:pPr>
      <w:r>
        <w:rPr>
          <w:rFonts w:ascii="Arial" w:cs="Arial" w:eastAsia="Arial" w:hAnsi="Arial"/>
          <w:sz w:val="22"/>
          <w:szCs w:val="22"/>
          <w:b w:val="1"/>
          <w:bCs w:val="1"/>
          <w:color w:val="auto"/>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gridSpan w:val="9"/>
            <w:vMerge w:val="restart"/>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Presentation of Financial Information</w:t>
              </w:r>
            </w:hyperlink>
          </w:p>
        </w:tc>
        <w:tc>
          <w:tcPr>
            <w:tcW w:w="2420" w:type="dxa"/>
            <w:vAlign w:val="bottom"/>
            <w:gridSpan w:val="3"/>
            <w:vMerge w:val="restart"/>
          </w:tcPr>
          <w:p>
            <w:pPr>
              <w:spacing w:after="0"/>
              <w:rPr>
                <w:sz w:val="20"/>
                <w:szCs w:val="20"/>
                <w:color w:val="auto"/>
              </w:rPr>
            </w:pPr>
          </w:p>
        </w:tc>
        <w:tc>
          <w:tcPr>
            <w:tcW w:w="680" w:type="dxa"/>
            <w:vAlign w:val="bottom"/>
            <w:gridSpan w:val="4"/>
          </w:tcPr>
          <w:p>
            <w:pPr>
              <w:ind w:left="20"/>
              <w:spacing w:after="0"/>
              <w:rPr>
                <w:sz w:val="20"/>
                <w:szCs w:val="20"/>
                <w:color w:val="auto"/>
              </w:rPr>
            </w:pPr>
            <w:r>
              <w:rPr>
                <w:rFonts w:ascii="Arial" w:cs="Arial" w:eastAsia="Arial" w:hAnsi="Arial"/>
                <w:sz w:val="18"/>
                <w:szCs w:val="18"/>
                <w:b w:val="1"/>
                <w:bCs w:val="1"/>
                <w:color w:val="auto"/>
              </w:rPr>
              <w:t>Page</w:t>
            </w:r>
          </w:p>
        </w:tc>
        <w:tc>
          <w:tcPr>
            <w:tcW w:w="5120" w:type="dxa"/>
            <w:vAlign w:val="bottom"/>
            <w:gridSpan w:val="14"/>
            <w:vMerge w:val="restart"/>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Management</w:t>
              </w:r>
            </w:hyperlink>
          </w:p>
        </w:tc>
        <w:tc>
          <w:tcPr>
            <w:tcW w:w="420" w:type="dxa"/>
            <w:vAlign w:val="bottom"/>
            <w:gridSpan w:val="3"/>
          </w:tcPr>
          <w:p>
            <w:pPr>
              <w:ind w:left="2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69"/>
        </w:trPr>
        <w:tc>
          <w:tcPr>
            <w:tcW w:w="2720" w:type="dxa"/>
            <w:vAlign w:val="bottom"/>
            <w:gridSpan w:val="9"/>
            <w:vMerge w:val="continue"/>
          </w:tcPr>
          <w:p>
            <w:pPr>
              <w:spacing w:after="0"/>
              <w:rPr>
                <w:sz w:val="14"/>
                <w:szCs w:val="14"/>
                <w:color w:val="auto"/>
              </w:rPr>
            </w:pPr>
          </w:p>
        </w:tc>
        <w:tc>
          <w:tcPr>
            <w:tcW w:w="2420" w:type="dxa"/>
            <w:vAlign w:val="bottom"/>
            <w:gridSpan w:val="3"/>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jc w:val="right"/>
              <w:spacing w:after="0" w:line="169" w:lineRule="exact"/>
              <w:rPr>
                <w:rFonts w:ascii="Arial" w:cs="Arial" w:eastAsia="Arial" w:hAnsi="Arial"/>
                <w:sz w:val="17"/>
                <w:szCs w:val="17"/>
                <w:color w:val="0000EE"/>
                <w:w w:val="70"/>
              </w:rPr>
            </w:pPr>
            <w:hyperlink w:anchor="page6">
              <w:r>
                <w:rPr>
                  <w:rFonts w:ascii="Arial" w:cs="Arial" w:eastAsia="Arial" w:hAnsi="Arial"/>
                  <w:sz w:val="17"/>
                  <w:szCs w:val="17"/>
                  <w:color w:val="0000EE"/>
                  <w:w w:val="70"/>
                </w:rPr>
                <w:t>iii</w:t>
              </w:r>
            </w:hyperlink>
          </w:p>
        </w:tc>
        <w:tc>
          <w:tcPr>
            <w:tcW w:w="1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120" w:type="dxa"/>
            <w:vAlign w:val="bottom"/>
            <w:gridSpan w:val="14"/>
            <w:vMerge w:val="continue"/>
          </w:tcPr>
          <w:p>
            <w:pPr>
              <w:spacing w:after="0"/>
              <w:rPr>
                <w:sz w:val="14"/>
                <w:szCs w:val="14"/>
                <w:color w:val="auto"/>
              </w:rPr>
            </w:pPr>
          </w:p>
        </w:tc>
        <w:tc>
          <w:tcPr>
            <w:tcW w:w="420" w:type="dxa"/>
            <w:vAlign w:val="bottom"/>
            <w:tcBorders>
              <w:top w:val="single" w:sz="8" w:color="auto"/>
            </w:tcBorders>
            <w:gridSpan w:val="3"/>
          </w:tcPr>
          <w:p>
            <w:pPr>
              <w:jc w:val="right"/>
              <w:ind w:right="40"/>
              <w:spacing w:after="0" w:line="170" w:lineRule="exact"/>
              <w:rPr>
                <w:rFonts w:ascii="Arial" w:cs="Arial" w:eastAsia="Arial" w:hAnsi="Arial"/>
                <w:sz w:val="18"/>
                <w:szCs w:val="18"/>
                <w:color w:val="0000EE"/>
              </w:rPr>
            </w:pPr>
            <w:hyperlink w:anchor="page118">
              <w:r>
                <w:rPr>
                  <w:rFonts w:ascii="Arial" w:cs="Arial" w:eastAsia="Arial" w:hAnsi="Arial"/>
                  <w:sz w:val="18"/>
                  <w:szCs w:val="18"/>
                  <w:color w:val="0000EE"/>
                </w:rPr>
                <w:t>110</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gridSpan w:val="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Market and Industry Data</w:t>
              </w:r>
            </w:hyperlink>
          </w:p>
        </w:tc>
        <w:tc>
          <w:tcPr>
            <w:tcW w:w="242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jc w:val="right"/>
              <w:spacing w:after="0"/>
              <w:rPr>
                <w:rFonts w:ascii="Arial" w:cs="Arial" w:eastAsia="Arial" w:hAnsi="Arial"/>
                <w:sz w:val="17"/>
                <w:szCs w:val="17"/>
                <w:color w:val="0000EE"/>
                <w:w w:val="70"/>
              </w:rPr>
            </w:pPr>
            <w:hyperlink w:anchor="page6">
              <w:r>
                <w:rPr>
                  <w:rFonts w:ascii="Arial" w:cs="Arial" w:eastAsia="Arial" w:hAnsi="Arial"/>
                  <w:sz w:val="17"/>
                  <w:szCs w:val="17"/>
                  <w:color w:val="0000EE"/>
                  <w:w w:val="70"/>
                </w:rPr>
                <w:t>iii</w:t>
              </w:r>
            </w:hyperlink>
          </w:p>
        </w:tc>
        <w:tc>
          <w:tcPr>
            <w:tcW w:w="380" w:type="dxa"/>
            <w:vAlign w:val="bottom"/>
            <w:gridSpan w:val="2"/>
          </w:tcPr>
          <w:p>
            <w:pPr>
              <w:spacing w:after="0"/>
              <w:rPr>
                <w:sz w:val="17"/>
                <w:szCs w:val="17"/>
                <w:color w:val="auto"/>
              </w:rPr>
            </w:pPr>
          </w:p>
        </w:tc>
        <w:tc>
          <w:tcPr>
            <w:tcW w:w="5120" w:type="dxa"/>
            <w:vAlign w:val="bottom"/>
            <w:gridSpan w:val="14"/>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Certain Relationships and Related Party</w:t>
              </w:r>
            </w:hyperlink>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3280" w:type="dxa"/>
            <w:vAlign w:val="bottom"/>
            <w:gridSpan w:val="4"/>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1</w:t>
              </w:r>
            </w:hyperlink>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8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Transactions</w:t>
              </w:r>
            </w:hyperlink>
          </w:p>
        </w:tc>
        <w:tc>
          <w:tcPr>
            <w:tcW w:w="2180" w:type="dxa"/>
            <w:vAlign w:val="bottom"/>
          </w:tcPr>
          <w:p>
            <w:pPr>
              <w:spacing w:after="0"/>
              <w:rPr>
                <w:sz w:val="17"/>
                <w:szCs w:val="17"/>
                <w:color w:val="auto"/>
              </w:rPr>
            </w:pPr>
          </w:p>
        </w:tc>
        <w:tc>
          <w:tcPr>
            <w:tcW w:w="420" w:type="dxa"/>
            <w:vAlign w:val="bottom"/>
            <w:gridSpan w:val="3"/>
          </w:tcPr>
          <w:p>
            <w:pPr>
              <w:jc w:val="right"/>
              <w:ind w:right="40"/>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121</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4"/>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Risk Factors</w:t>
              </w:r>
            </w:hyperlink>
          </w:p>
        </w:tc>
        <w:tc>
          <w:tcPr>
            <w:tcW w:w="4220" w:type="dxa"/>
            <w:vAlign w:val="bottom"/>
            <w:gridSpan w:val="8"/>
          </w:tcPr>
          <w:p>
            <w:pPr>
              <w:spacing w:after="0"/>
              <w:rPr>
                <w:sz w:val="17"/>
                <w:szCs w:val="17"/>
                <w:color w:val="auto"/>
              </w:rPr>
            </w:pPr>
          </w:p>
        </w:tc>
        <w:tc>
          <w:tcPr>
            <w:tcW w:w="400" w:type="dxa"/>
            <w:vAlign w:val="bottom"/>
            <w:gridSpan w:val="3"/>
          </w:tcPr>
          <w:p>
            <w:pPr>
              <w:jc w:val="right"/>
              <w:ind w:right="100"/>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12</w:t>
              </w:r>
            </w:hyperlink>
          </w:p>
        </w:tc>
        <w:tc>
          <w:tcPr>
            <w:tcW w:w="280" w:type="dxa"/>
            <w:vAlign w:val="bottom"/>
          </w:tcPr>
          <w:p>
            <w:pPr>
              <w:spacing w:after="0"/>
              <w:rPr>
                <w:sz w:val="17"/>
                <w:szCs w:val="17"/>
                <w:color w:val="auto"/>
              </w:rPr>
            </w:pPr>
          </w:p>
        </w:tc>
        <w:tc>
          <w:tcPr>
            <w:tcW w:w="5120" w:type="dxa"/>
            <w:vAlign w:val="bottom"/>
            <w:gridSpan w:val="14"/>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Principal Shareholders</w:t>
              </w:r>
            </w:hyperlink>
          </w:p>
        </w:tc>
        <w:tc>
          <w:tcPr>
            <w:tcW w:w="420" w:type="dxa"/>
            <w:vAlign w:val="bottom"/>
            <w:gridSpan w:val="3"/>
          </w:tcPr>
          <w:p>
            <w:pPr>
              <w:jc w:val="right"/>
              <w:ind w:right="40"/>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126</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0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Special Note Regarding Forward-Looking</w:t>
              </w:r>
            </w:hyperlink>
          </w:p>
        </w:tc>
        <w:tc>
          <w:tcPr>
            <w:tcW w:w="20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138">
              <w:r>
                <w:rPr>
                  <w:rFonts w:ascii="Arial" w:cs="Arial" w:eastAsia="Arial" w:hAnsi="Arial"/>
                  <w:sz w:val="18"/>
                  <w:szCs w:val="18"/>
                  <w:color w:val="0000EE"/>
                  <w:w w:val="91"/>
                </w:rPr>
                <w:t>Description of Warrants</w:t>
              </w:r>
            </w:hyperlink>
          </w:p>
        </w:tc>
        <w:tc>
          <w:tcPr>
            <w:tcW w:w="338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38">
              <w:r>
                <w:rPr>
                  <w:rFonts w:ascii="Arial" w:cs="Arial" w:eastAsia="Arial" w:hAnsi="Arial"/>
                  <w:sz w:val="18"/>
                  <w:szCs w:val="18"/>
                  <w:color w:val="0000EE"/>
                  <w:w w:val="79"/>
                </w:rPr>
                <w:t>129</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40" w:type="dxa"/>
            <w:vAlign w:val="bottom"/>
            <w:gridSpan w:val="12"/>
          </w:tcPr>
          <w:p>
            <w:pPr>
              <w:ind w:left="140"/>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Statements</w:t>
              </w:r>
            </w:hyperlink>
          </w:p>
        </w:tc>
        <w:tc>
          <w:tcPr>
            <w:tcW w:w="400" w:type="dxa"/>
            <w:vAlign w:val="bottom"/>
            <w:gridSpan w:val="3"/>
          </w:tcPr>
          <w:p>
            <w:pPr>
              <w:jc w:val="right"/>
              <w:ind w:right="100"/>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48</w:t>
              </w:r>
            </w:hyperlink>
          </w:p>
        </w:tc>
        <w:tc>
          <w:tcPr>
            <w:tcW w:w="280" w:type="dxa"/>
            <w:vAlign w:val="bottom"/>
          </w:tcPr>
          <w:p>
            <w:pPr>
              <w:spacing w:after="0"/>
              <w:rPr>
                <w:sz w:val="17"/>
                <w:szCs w:val="17"/>
                <w:color w:val="auto"/>
              </w:rPr>
            </w:pPr>
          </w:p>
        </w:tc>
        <w:tc>
          <w:tcPr>
            <w:tcW w:w="5120" w:type="dxa"/>
            <w:vAlign w:val="bottom"/>
            <w:gridSpan w:val="14"/>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Description of Share Capital</w:t>
              </w:r>
            </w:hyperlink>
          </w:p>
        </w:tc>
        <w:tc>
          <w:tcPr>
            <w:tcW w:w="420" w:type="dxa"/>
            <w:vAlign w:val="bottom"/>
            <w:gridSpan w:val="3"/>
          </w:tcPr>
          <w:p>
            <w:pPr>
              <w:jc w:val="right"/>
              <w:ind w:right="40"/>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132</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6"/>
          </w:tcPr>
          <w:p>
            <w:pPr>
              <w:spacing w:after="0" w:line="196" w:lineRule="exact"/>
              <w:rPr>
                <w:rFonts w:ascii="Arial" w:cs="Arial" w:eastAsia="Arial" w:hAnsi="Arial"/>
                <w:sz w:val="18"/>
                <w:szCs w:val="18"/>
                <w:color w:val="0000EE"/>
                <w:w w:val="84"/>
              </w:rPr>
            </w:pPr>
            <w:hyperlink w:anchor="page58">
              <w:r>
                <w:rPr>
                  <w:rFonts w:ascii="Arial" w:cs="Arial" w:eastAsia="Arial" w:hAnsi="Arial"/>
                  <w:sz w:val="18"/>
                  <w:szCs w:val="18"/>
                  <w:color w:val="0000EE"/>
                  <w:w w:val="84"/>
                </w:rPr>
                <w:t>Use of Proceeds</w:t>
              </w:r>
            </w:hyperlink>
          </w:p>
        </w:tc>
        <w:tc>
          <w:tcPr>
            <w:tcW w:w="3980" w:type="dxa"/>
            <w:vAlign w:val="bottom"/>
            <w:gridSpan w:val="6"/>
          </w:tcPr>
          <w:p>
            <w:pPr>
              <w:spacing w:after="0"/>
              <w:rPr>
                <w:sz w:val="17"/>
                <w:szCs w:val="17"/>
                <w:color w:val="auto"/>
              </w:rPr>
            </w:pPr>
          </w:p>
        </w:tc>
        <w:tc>
          <w:tcPr>
            <w:tcW w:w="400" w:type="dxa"/>
            <w:vAlign w:val="bottom"/>
            <w:gridSpan w:val="3"/>
          </w:tcPr>
          <w:p>
            <w:pPr>
              <w:jc w:val="right"/>
              <w:ind w:right="100"/>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50</w:t>
              </w:r>
            </w:hyperlink>
          </w:p>
        </w:tc>
        <w:tc>
          <w:tcPr>
            <w:tcW w:w="280" w:type="dxa"/>
            <w:vAlign w:val="bottom"/>
          </w:tcPr>
          <w:p>
            <w:pPr>
              <w:spacing w:after="0"/>
              <w:rPr>
                <w:sz w:val="17"/>
                <w:szCs w:val="17"/>
                <w:color w:val="auto"/>
              </w:rPr>
            </w:pPr>
          </w:p>
        </w:tc>
        <w:tc>
          <w:tcPr>
            <w:tcW w:w="5120" w:type="dxa"/>
            <w:vAlign w:val="bottom"/>
            <w:gridSpan w:val="14"/>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Taxation and Government Programs</w:t>
              </w:r>
            </w:hyperlink>
          </w:p>
        </w:tc>
        <w:tc>
          <w:tcPr>
            <w:tcW w:w="420" w:type="dxa"/>
            <w:vAlign w:val="bottom"/>
            <w:gridSpan w:val="3"/>
          </w:tcPr>
          <w:p>
            <w:pPr>
              <w:jc w:val="right"/>
              <w:ind w:right="40"/>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140</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gridSpan w:val="12"/>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Dividend Policy</w:t>
              </w:r>
            </w:hyperlink>
          </w:p>
        </w:tc>
        <w:tc>
          <w:tcPr>
            <w:tcW w:w="400" w:type="dxa"/>
            <w:vAlign w:val="bottom"/>
            <w:gridSpan w:val="3"/>
          </w:tcPr>
          <w:p>
            <w:pPr>
              <w:jc w:val="right"/>
              <w:ind w:right="100"/>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51</w:t>
              </w:r>
            </w:hyperlink>
          </w:p>
        </w:tc>
        <w:tc>
          <w:tcPr>
            <w:tcW w:w="280" w:type="dxa"/>
            <w:vAlign w:val="bottom"/>
          </w:tcPr>
          <w:p>
            <w:pPr>
              <w:spacing w:after="0"/>
              <w:rPr>
                <w:sz w:val="17"/>
                <w:szCs w:val="17"/>
                <w:color w:val="auto"/>
              </w:rPr>
            </w:pPr>
          </w:p>
        </w:tc>
        <w:tc>
          <w:tcPr>
            <w:tcW w:w="5120" w:type="dxa"/>
            <w:vAlign w:val="bottom"/>
            <w:gridSpan w:val="14"/>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Shares Eligible for Future Sale</w:t>
              </w:r>
            </w:hyperlink>
          </w:p>
        </w:tc>
        <w:tc>
          <w:tcPr>
            <w:tcW w:w="420" w:type="dxa"/>
            <w:vAlign w:val="bottom"/>
            <w:gridSpan w:val="3"/>
          </w:tcPr>
          <w:p>
            <w:pPr>
              <w:jc w:val="right"/>
              <w:ind w:right="40"/>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150</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tcBorders>
              <w:left w:val="single" w:sz="8" w:color="0000EE"/>
            </w:tcBorders>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5"/>
          </w:tcPr>
          <w:p>
            <w:pPr>
              <w:spacing w:after="0" w:line="196"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Capitalization</w:t>
              </w:r>
            </w:hyperlink>
          </w:p>
        </w:tc>
        <w:tc>
          <w:tcPr>
            <w:tcW w:w="140" w:type="dxa"/>
            <w:vAlign w:val="bottom"/>
          </w:tcPr>
          <w:p>
            <w:pPr>
              <w:spacing w:after="0"/>
              <w:rPr>
                <w:sz w:val="17"/>
                <w:szCs w:val="17"/>
                <w:color w:val="auto"/>
              </w:rPr>
            </w:pPr>
          </w:p>
        </w:tc>
        <w:tc>
          <w:tcPr>
            <w:tcW w:w="3980" w:type="dxa"/>
            <w:vAlign w:val="bottom"/>
            <w:gridSpan w:val="6"/>
          </w:tcPr>
          <w:p>
            <w:pPr>
              <w:spacing w:after="0"/>
              <w:rPr>
                <w:sz w:val="17"/>
                <w:szCs w:val="17"/>
                <w:color w:val="auto"/>
              </w:rPr>
            </w:pPr>
          </w:p>
        </w:tc>
        <w:tc>
          <w:tcPr>
            <w:tcW w:w="400" w:type="dxa"/>
            <w:vAlign w:val="bottom"/>
            <w:gridSpan w:val="3"/>
          </w:tcPr>
          <w:p>
            <w:pPr>
              <w:jc w:val="right"/>
              <w:ind w:right="100"/>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52</w:t>
              </w:r>
            </w:hyperlink>
          </w:p>
        </w:tc>
        <w:tc>
          <w:tcPr>
            <w:tcW w:w="280" w:type="dxa"/>
            <w:vAlign w:val="bottom"/>
          </w:tcPr>
          <w:p>
            <w:pPr>
              <w:spacing w:after="0"/>
              <w:rPr>
                <w:sz w:val="17"/>
                <w:szCs w:val="17"/>
                <w:color w:val="auto"/>
              </w:rPr>
            </w:pPr>
          </w:p>
        </w:tc>
        <w:tc>
          <w:tcPr>
            <w:tcW w:w="5120" w:type="dxa"/>
            <w:vAlign w:val="bottom"/>
            <w:gridSpan w:val="14"/>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Underwriting</w:t>
              </w:r>
            </w:hyperlink>
          </w:p>
        </w:tc>
        <w:tc>
          <w:tcPr>
            <w:tcW w:w="420" w:type="dxa"/>
            <w:vAlign w:val="bottom"/>
            <w:gridSpan w:val="3"/>
          </w:tcPr>
          <w:p>
            <w:pPr>
              <w:jc w:val="right"/>
              <w:ind w:right="40"/>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153</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5"/>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Dilution</w:t>
              </w:r>
            </w:hyperlink>
          </w:p>
        </w:tc>
        <w:tc>
          <w:tcPr>
            <w:tcW w:w="4120" w:type="dxa"/>
            <w:vAlign w:val="bottom"/>
            <w:gridSpan w:val="7"/>
          </w:tcPr>
          <w:p>
            <w:pPr>
              <w:spacing w:after="0"/>
              <w:rPr>
                <w:sz w:val="17"/>
                <w:szCs w:val="17"/>
                <w:color w:val="auto"/>
              </w:rPr>
            </w:pPr>
          </w:p>
        </w:tc>
        <w:tc>
          <w:tcPr>
            <w:tcW w:w="400" w:type="dxa"/>
            <w:vAlign w:val="bottom"/>
            <w:gridSpan w:val="3"/>
          </w:tcPr>
          <w:p>
            <w:pPr>
              <w:jc w:val="right"/>
              <w:ind w:right="100"/>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54</w:t>
              </w:r>
            </w:hyperlink>
          </w:p>
        </w:tc>
        <w:tc>
          <w:tcPr>
            <w:tcW w:w="280" w:type="dxa"/>
            <w:vAlign w:val="bottom"/>
          </w:tcPr>
          <w:p>
            <w:pPr>
              <w:spacing w:after="0"/>
              <w:rPr>
                <w:sz w:val="17"/>
                <w:szCs w:val="17"/>
                <w:color w:val="auto"/>
              </w:rPr>
            </w:pPr>
          </w:p>
        </w:tc>
        <w:tc>
          <w:tcPr>
            <w:tcW w:w="5120" w:type="dxa"/>
            <w:vAlign w:val="bottom"/>
            <w:gridSpan w:val="14"/>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Expenses Related to the Offering</w:t>
              </w:r>
            </w:hyperlink>
          </w:p>
        </w:tc>
        <w:tc>
          <w:tcPr>
            <w:tcW w:w="420" w:type="dxa"/>
            <w:vAlign w:val="bottom"/>
            <w:gridSpan w:val="3"/>
          </w:tcPr>
          <w:p>
            <w:pPr>
              <w:jc w:val="right"/>
              <w:ind w:right="40"/>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159</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gridSpan w:val="12"/>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Exchange Rates</w:t>
              </w:r>
            </w:hyperlink>
          </w:p>
        </w:tc>
        <w:tc>
          <w:tcPr>
            <w:tcW w:w="400" w:type="dxa"/>
            <w:vAlign w:val="bottom"/>
            <w:gridSpan w:val="3"/>
          </w:tcPr>
          <w:p>
            <w:pPr>
              <w:jc w:val="right"/>
              <w:ind w:right="100"/>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56</w:t>
              </w:r>
            </w:hyperlink>
          </w:p>
        </w:tc>
        <w:tc>
          <w:tcPr>
            <w:tcW w:w="280" w:type="dxa"/>
            <w:vAlign w:val="bottom"/>
          </w:tcPr>
          <w:p>
            <w:pPr>
              <w:spacing w:after="0"/>
              <w:rPr>
                <w:sz w:val="17"/>
                <w:szCs w:val="17"/>
                <w:color w:val="auto"/>
              </w:rPr>
            </w:pPr>
          </w:p>
        </w:tc>
        <w:tc>
          <w:tcPr>
            <w:tcW w:w="5120" w:type="dxa"/>
            <w:vAlign w:val="bottom"/>
            <w:gridSpan w:val="14"/>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Legal Matters</w:t>
              </w:r>
            </w:hyperlink>
          </w:p>
        </w:tc>
        <w:tc>
          <w:tcPr>
            <w:tcW w:w="420" w:type="dxa"/>
            <w:vAlign w:val="bottom"/>
            <w:gridSpan w:val="3"/>
          </w:tcPr>
          <w:p>
            <w:pPr>
              <w:jc w:val="right"/>
              <w:ind w:right="40"/>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159</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gridSpan w:val="7"/>
          </w:tcPr>
          <w:p>
            <w:pPr>
              <w:spacing w:after="0" w:line="196"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Selected Financial Data</w:t>
              </w:r>
            </w:hyperlink>
          </w:p>
        </w:tc>
        <w:tc>
          <w:tcPr>
            <w:tcW w:w="3440" w:type="dxa"/>
            <w:vAlign w:val="bottom"/>
            <w:gridSpan w:val="5"/>
          </w:tcPr>
          <w:p>
            <w:pPr>
              <w:spacing w:after="0"/>
              <w:rPr>
                <w:sz w:val="17"/>
                <w:szCs w:val="17"/>
                <w:color w:val="auto"/>
              </w:rPr>
            </w:pPr>
          </w:p>
        </w:tc>
        <w:tc>
          <w:tcPr>
            <w:tcW w:w="400" w:type="dxa"/>
            <w:vAlign w:val="bottom"/>
            <w:gridSpan w:val="3"/>
          </w:tcPr>
          <w:p>
            <w:pPr>
              <w:jc w:val="right"/>
              <w:ind w:right="100"/>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57</w:t>
              </w:r>
            </w:hyperlink>
          </w:p>
        </w:tc>
        <w:tc>
          <w:tcPr>
            <w:tcW w:w="280" w:type="dxa"/>
            <w:vAlign w:val="bottom"/>
          </w:tcPr>
          <w:p>
            <w:pPr>
              <w:spacing w:after="0"/>
              <w:rPr>
                <w:sz w:val="17"/>
                <w:szCs w:val="17"/>
                <w:color w:val="auto"/>
              </w:rPr>
            </w:pPr>
          </w:p>
        </w:tc>
        <w:tc>
          <w:tcPr>
            <w:tcW w:w="5120" w:type="dxa"/>
            <w:vAlign w:val="bottom"/>
            <w:gridSpan w:val="14"/>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Experts</w:t>
              </w:r>
            </w:hyperlink>
          </w:p>
        </w:tc>
        <w:tc>
          <w:tcPr>
            <w:tcW w:w="420" w:type="dxa"/>
            <w:vAlign w:val="bottom"/>
            <w:gridSpan w:val="3"/>
          </w:tcPr>
          <w:p>
            <w:pPr>
              <w:jc w:val="right"/>
              <w:ind w:right="40"/>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159</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gridSpan w:val="12"/>
          </w:tcPr>
          <w:p>
            <w:pPr>
              <w:spacing w:after="0" w:line="196" w:lineRule="exact"/>
              <w:rPr>
                <w:rFonts w:ascii="Arial" w:cs="Arial" w:eastAsia="Arial" w:hAnsi="Arial"/>
                <w:sz w:val="18"/>
                <w:szCs w:val="18"/>
                <w:color w:val="0000EE"/>
                <w:w w:val="96"/>
              </w:rPr>
            </w:pPr>
            <w:hyperlink w:anchor="page67">
              <w:r>
                <w:rPr>
                  <w:rFonts w:ascii="Arial" w:cs="Arial" w:eastAsia="Arial" w:hAnsi="Arial"/>
                  <w:sz w:val="18"/>
                  <w:szCs w:val="18"/>
                  <w:color w:val="0000EE"/>
                  <w:w w:val="96"/>
                </w:rPr>
                <w:t>Management’s Discussion and Analysis of Financial Condition and</w:t>
              </w:r>
            </w:hyperlink>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120" w:type="dxa"/>
            <w:vAlign w:val="bottom"/>
            <w:gridSpan w:val="14"/>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Enforceability of Civil Liabilities</w:t>
              </w:r>
            </w:hyperlink>
          </w:p>
        </w:tc>
        <w:tc>
          <w:tcPr>
            <w:tcW w:w="420" w:type="dxa"/>
            <w:vAlign w:val="bottom"/>
            <w:gridSpan w:val="3"/>
          </w:tcPr>
          <w:p>
            <w:pPr>
              <w:jc w:val="right"/>
              <w:ind w:right="40"/>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160</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gridSpan w:val="11"/>
          </w:tcPr>
          <w:p>
            <w:pPr>
              <w:ind w:left="140"/>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Results of Operations</w:t>
              </w:r>
            </w:hyperlink>
          </w:p>
        </w:tc>
        <w:tc>
          <w:tcPr>
            <w:tcW w:w="280" w:type="dxa"/>
            <w:vAlign w:val="bottom"/>
          </w:tcPr>
          <w:p>
            <w:pPr>
              <w:spacing w:after="0"/>
              <w:rPr>
                <w:sz w:val="17"/>
                <w:szCs w:val="17"/>
                <w:color w:val="auto"/>
              </w:rPr>
            </w:pPr>
          </w:p>
        </w:tc>
        <w:tc>
          <w:tcPr>
            <w:tcW w:w="400" w:type="dxa"/>
            <w:vAlign w:val="bottom"/>
            <w:gridSpan w:val="3"/>
          </w:tcPr>
          <w:p>
            <w:pPr>
              <w:jc w:val="right"/>
              <w:ind w:right="100"/>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59</w:t>
              </w:r>
            </w:hyperlink>
          </w:p>
        </w:tc>
        <w:tc>
          <w:tcPr>
            <w:tcW w:w="280" w:type="dxa"/>
            <w:vAlign w:val="bottom"/>
          </w:tcPr>
          <w:p>
            <w:pPr>
              <w:spacing w:after="0"/>
              <w:rPr>
                <w:sz w:val="17"/>
                <w:szCs w:val="17"/>
                <w:color w:val="auto"/>
              </w:rPr>
            </w:pPr>
          </w:p>
        </w:tc>
        <w:tc>
          <w:tcPr>
            <w:tcW w:w="5120" w:type="dxa"/>
            <w:vAlign w:val="bottom"/>
            <w:gridSpan w:val="14"/>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Where You Can Find More Information</w:t>
              </w:r>
            </w:hyperlink>
          </w:p>
        </w:tc>
        <w:tc>
          <w:tcPr>
            <w:tcW w:w="420" w:type="dxa"/>
            <w:vAlign w:val="bottom"/>
            <w:gridSpan w:val="3"/>
          </w:tcPr>
          <w:p>
            <w:pPr>
              <w:jc w:val="right"/>
              <w:ind w:right="40"/>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161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gridSpan w:val="9"/>
            <w:shd w:val="clear" w:color="auto" w:fill="0000EE"/>
          </w:tcPr>
          <w:p>
            <w:pPr>
              <w:spacing w:after="0" w:line="20" w:lineRule="exact"/>
              <w:rPr>
                <w:sz w:val="1"/>
                <w:szCs w:val="1"/>
                <w:color w:val="auto"/>
              </w:rPr>
            </w:pPr>
          </w:p>
        </w:tc>
        <w:tc>
          <w:tcPr>
            <w:tcW w:w="720" w:type="dxa"/>
            <w:vAlign w:val="bottom"/>
            <w:tcBorders>
              <w:left w:val="single" w:sz="8" w:color="0000EE"/>
            </w:tcBorders>
            <w:gridSpan w:val="3"/>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gridSpan w:val="12"/>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Business</w:t>
              </w:r>
            </w:hyperlink>
          </w:p>
        </w:tc>
        <w:tc>
          <w:tcPr>
            <w:tcW w:w="400" w:type="dxa"/>
            <w:vAlign w:val="bottom"/>
            <w:gridSpan w:val="3"/>
          </w:tcPr>
          <w:p>
            <w:pPr>
              <w:jc w:val="right"/>
              <w:ind w:right="100"/>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72</w:t>
              </w:r>
            </w:hyperlink>
          </w:p>
        </w:tc>
        <w:tc>
          <w:tcPr>
            <w:tcW w:w="280" w:type="dxa"/>
            <w:vAlign w:val="bottom"/>
          </w:tcPr>
          <w:p>
            <w:pPr>
              <w:spacing w:after="0"/>
              <w:rPr>
                <w:sz w:val="17"/>
                <w:szCs w:val="17"/>
                <w:color w:val="auto"/>
              </w:rPr>
            </w:pPr>
          </w:p>
        </w:tc>
        <w:tc>
          <w:tcPr>
            <w:tcW w:w="5120" w:type="dxa"/>
            <w:vAlign w:val="bottom"/>
            <w:gridSpan w:val="14"/>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Index to Financial Statements</w:t>
              </w:r>
            </w:hyperlink>
          </w:p>
        </w:tc>
        <w:tc>
          <w:tcPr>
            <w:tcW w:w="120" w:type="dxa"/>
            <w:vAlign w:val="bottom"/>
          </w:tcPr>
          <w:p>
            <w:pPr>
              <w:spacing w:after="0"/>
              <w:rPr>
                <w:sz w:val="17"/>
                <w:szCs w:val="17"/>
                <w:color w:val="auto"/>
              </w:rPr>
            </w:pPr>
          </w:p>
        </w:tc>
        <w:tc>
          <w:tcPr>
            <w:tcW w:w="300" w:type="dxa"/>
            <w:vAlign w:val="bottom"/>
            <w:gridSpan w:val="2"/>
          </w:tcPr>
          <w:p>
            <w:pPr>
              <w:jc w:val="right"/>
              <w:ind w:right="40"/>
              <w:spacing w:after="0" w:line="196" w:lineRule="exact"/>
              <w:rPr>
                <w:rFonts w:ascii="Arial" w:cs="Arial" w:eastAsia="Arial" w:hAnsi="Arial"/>
                <w:sz w:val="18"/>
                <w:szCs w:val="18"/>
                <w:color w:val="0000EE"/>
                <w:w w:val="88"/>
              </w:rPr>
            </w:pPr>
            <w:hyperlink w:anchor="page171">
              <w:r>
                <w:rPr>
                  <w:rFonts w:ascii="Arial" w:cs="Arial" w:eastAsia="Arial" w:hAnsi="Arial"/>
                  <w:sz w:val="18"/>
                  <w:szCs w:val="18"/>
                  <w:color w:val="0000EE"/>
                  <w:w w:val="88"/>
                </w:rPr>
                <w:t>F-1</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325755</wp:posOffset>
            </wp:positionV>
            <wp:extent cx="10890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Neither we nor the underwriters have authorized anyone to provide information other than that contained in this prospectus, any amendment or supplement to this prospectus or in any free writing prospectus prepared by us or on our behalf. Neither we nor the underwriters take any responsibility for, and can provide no assurance as to the reliability of, any information other than the information in this prospectus, any amendment or supplement to this prospectus and any free writing prospectus prepared by us or on our behalf. You should assume that the information appearing in this prospectus is accurate only as of the date on the front cover of this prospectus, regardless of the time of delivery of this prospectus or any sale of our ordinary shares or warrants. This prospectus is not an offer to sell or the solicitation of an offer to buy these ordinary shares or warrants in any circumstances under which such offer or solicitation is unlawful.</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not taken any action to permit a public offering of the ordinary shares and warrants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 ordinary shares and warrants, and the distribution of this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PRESENTATION OF FINANCIAL INFORMATION</w:t>
      </w:r>
    </w:p>
    <w:p>
      <w:pPr>
        <w:spacing w:after="0" w:line="2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report under International Financial Reporting Standards as issued by the International Accounting Standards Board (the “IFRS” and the “IASB”). None of the financial statements were prepared in accordance with generally accepted accounting principles in the United States. We present our financial statements in U.S. dollars. We have made rounding adjustments to some of the figures included in this prospectus. Accordingly, numerical figures shown as totals in some tables may not be an arithmetic aggregation of the figures that precede them.</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Items included in our financial statements are measured using the currency of the primary economic environment in which we operate, the U.S. dollar (“the functional currency”). Our financial statements and other financial information included in this prospectus are presented in U.S. dollars unless otherwise noted. See Note 2 to our financial statements included elsewhere in this prospectus.</w:t>
      </w:r>
    </w:p>
    <w:p>
      <w:pPr>
        <w:spacing w:after="0" w:line="18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Unless otherwise indicated or the context otherwise requires, references in this prospectus to “NIS” are to the legal currency of Israel, “U.S. dollars,” “$” or “dollars” are to United States dollars, “euro” or “€” are to the Euro, the legal currency of certain countries of the European Union.</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MARKET AND INDUSTRY DATA</w:t>
      </w:r>
    </w:p>
    <w:p>
      <w:pPr>
        <w:spacing w:after="0" w:line="2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prospectus includes market and industry data and forecasts that we obtained from publicly available information and independent industry publications and reports that we believe to be reliable sources. These publicly available industry publications and reports generally state that they obtain their information from sources that they believe to be reliable, but they do not guarantee the accuracy or completeness of the information. Certain estimates and forecasts involve uncertainties and risks and are subject to change based on various factors, including those discussed under the headings “Special Note Regarding Forward-Looking Statements” and “Risk Factors” in this prospectus.</w:t>
      </w: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5" w:right="35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50430" cy="78765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787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SUMMARY</w:t>
      </w:r>
    </w:p>
    <w:p>
      <w:pPr>
        <w:spacing w:after="0" w:line="24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This summary does not contain all of the information that you should consider before deciding to invest in our ordinary shares and warrants. You should read this entire prospectus carefully, including the “Risk Factors” section and the financial statements included elsewhere in this prospectus and the notes to those financial statements, before making an investment decision. In this prospectus, the terms “Entera,” “we,” “us,” “our,” “the Company” and “our company” refer to Entera Bio Ltd.</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orally delivered large molecule therapeutics for use in orphan indications and other areas with significant unmet medical need. We are initially applying our technology to develop an oral formulation of parathyroid hormone, or PTH, which has been approved in the United States in injectable form for over a decade. Our lead oral PTH product candidate, EB612, has successfully completed a Phase 2a trial for hypoparathyroidism, a rare condition in which the body fails to produce sufficient amounts of PTH. The U.S. Food and Drug Administration, or FDA, and the European Medicines Agency, or EMA, have granted EB612 orphan drug designation for the treatment of hypoparathyroidism. We intend to utilize future funds, as available, to prepare EB612 for advanced clinical studies and ultimately for regulatory approval.</w:t>
      </w:r>
    </w:p>
    <w:p>
      <w:pPr>
        <w:spacing w:after="0" w:line="189"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Hypoparathyroidism is a rare condition in which the body does not produce sufficient amounts of PTH, or the PTH produced lacks biologic activity. Individuals with a deficiency of PTH typically exhibit abnormally low levels of calcium in the blood, or hypocalcemia, and high levels of phosphorus, or hyperphosphatemia. Hypoparathyroidism is estimated to affect approximately 58,700 insured individuals in the United States. Historically, the treatments for hypoparathyroidism have been calcium supplements, vitamin D supplements and phosphate binders, the chronic use of which results in serious side effects with significant costs to the healthcare system. Natpara</w:t>
      </w:r>
      <w:r>
        <w:rPr>
          <w:rFonts w:ascii="Arial" w:cs="Arial" w:eastAsia="Arial" w:hAnsi="Arial"/>
          <w:sz w:val="16"/>
          <w:szCs w:val="16"/>
          <w:b w:val="1"/>
          <w:bCs w:val="1"/>
          <w:color w:val="auto"/>
        </w:rPr>
        <w:t>®</w:t>
      </w:r>
      <w:r>
        <w:rPr>
          <w:rFonts w:ascii="Arial" w:cs="Arial" w:eastAsia="Arial" w:hAnsi="Arial"/>
          <w:sz w:val="16"/>
          <w:szCs w:val="16"/>
          <w:color w:val="auto"/>
        </w:rPr>
        <w:t>, a once-daily injectable form of PTH, has been approved for the treatment of hypoparathyroidism. Our lead product candidate, EB612, is delivered orally and can be administered in customized doses several times a day. Multiple dosing per day has been shown to more effectively treat the symptoms of hypoparathyroidism than a once-daily injection, thus reducing the serious side effects of supplement treatment and improving patient outcomes. Studies performed by researchers at the National Institutes of Health, or the NIH, have shown that dosing PTH multiple times per day significantly increases the efficacy of therapy and would be more effective for treating hypoparathyroidism. These studies found that the total daily PTH dose required to maintain serum calcium in the normal or near-normal range was reduced by 50% with twice-daily PTH (1-34) and also demonstrated that twice-daily dosing achieved better control over serum calcium and urinary calcium excretion as compared to once-daily dosing. In addition, we believe patients generally prefer oral drugs. For these reasons, we believe EB612 is clinically superior to existing therapies and has the potential to become the standard of care for hypoparathyroidism.</w:t>
      </w:r>
    </w:p>
    <w:p>
      <w:pPr>
        <w:spacing w:after="0" w:line="175"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In the third quarter of 2015, we successfully completed our Phase 2a trial for EB612. The end points in the trial were met, and 17 subjects completed the four-month trial and reported no confirmed related serious or significant adverse events as defined by the study protocol. Although our Phase 2a trial involved a smaller number of patients, was conducted for a shorter duration and did not include an initial optimization period in comparison to the design of the pivotal trial used for regulatory approval of Natpara, the REPLACE study, our Phase 2a trial showed the potential for similar efficacy, a result that we plan to confirm by conducting a Phase 2b/3 trial, which will further evaluate the dosage, effectiveness and safety profile of EB612 in an expanded patient population at multiple trial sites. We believe that EB612 will have inherent advantages compared to injectable forms of PTH, including convenience of application, that no special preparation is required and that it can be stored under convenient storage conditions (room temperature or refrigeration for long term storage). Additionally, based on the results of our preliminary study, we believe that EB612 will have an enhanced clinical profile as compared to Natpara, with an additional normalizing effect on elevated urinary calcium, as well as reduced side effects. If our preliminary results are borne out in additional trials, we believe this combination of advantages and long term clinical benefits will be very compelling to both patients and physicians.</w:t>
      </w:r>
    </w:p>
    <w:p>
      <w:pPr>
        <w:spacing w:after="0" w:line="193" w:lineRule="exact"/>
        <w:rPr>
          <w:sz w:val="20"/>
          <w:szCs w:val="20"/>
          <w:color w:val="auto"/>
        </w:rPr>
      </w:pPr>
    </w:p>
    <w:p>
      <w:pPr>
        <w:ind w:left="120" w:right="540"/>
        <w:spacing w:after="0" w:line="259" w:lineRule="auto"/>
        <w:rPr>
          <w:sz w:val="20"/>
          <w:szCs w:val="20"/>
          <w:color w:val="auto"/>
        </w:rPr>
      </w:pPr>
      <w:r>
        <w:rPr>
          <w:rFonts w:ascii="Arial" w:cs="Arial" w:eastAsia="Arial" w:hAnsi="Arial"/>
          <w:sz w:val="18"/>
          <w:szCs w:val="18"/>
          <w:color w:val="auto"/>
        </w:rPr>
        <w:t>Based on consultations with key opinion leaders in the hypoparathyroidism field who have reviewed our Phase 2a results and are familiar with the REPLACE study, we have begun planning for a future Phase 2b/3 trial, designed to possibly be a pivotal study for registration. We expect that this Phase 2b/3 study, when initiated, will be designed to replicate the REPLACE study in many aspects and to achieve a significant reduction in urinary calcium.</w:t>
      </w:r>
    </w:p>
    <w:p>
      <w:pPr>
        <w:spacing w:after="0" w:line="18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We are also developing an oral PTH product candidate, EB613, for the treatment of osteoporosis. Osteoporosis is a systemic skeletal disease characterized by low bone mass, deterioration of bone tissue and increased bone fragility and susceptibility to fracture. An estimated 10 million people in the United States have osteoporosis, and another approximately 43 million have low bone mass placing them at increased risk for osteoporosis. PTH plays a key role in the ongoing process of formation and degradation of bones. Forteo</w:t>
      </w:r>
      <w:r>
        <w:rPr>
          <w:rFonts w:ascii="Arial" w:cs="Arial" w:eastAsia="Arial" w:hAnsi="Arial"/>
          <w:sz w:val="18"/>
          <w:szCs w:val="18"/>
          <w:b w:val="1"/>
          <w:bCs w:val="1"/>
          <w:color w:val="auto"/>
        </w:rPr>
        <w:t>®</w:t>
      </w:r>
      <w:r>
        <w:rPr>
          <w:rFonts w:ascii="Arial" w:cs="Arial" w:eastAsia="Arial" w:hAnsi="Arial"/>
          <w:sz w:val="18"/>
          <w:szCs w:val="18"/>
          <w:color w:val="auto"/>
        </w:rPr>
        <w:t>, a once-daily injectable form of PTH, has been approved for the treatment of osteoporosis in the United States for over 10 years and is</w:t>
      </w:r>
    </w:p>
    <w:p>
      <w:pPr>
        <w:sectPr>
          <w:pgSz w:w="11900" w:h="16838" w:orient="portrait"/>
          <w:cols w:equalWidth="0" w:num="1">
            <w:col w:w="11320"/>
          </w:cols>
          <w:pgMar w:left="24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type w:val="continuous"/>
        </w:sectPr>
      </w:pPr>
    </w:p>
    <w:bookmarkStart w:id="7" w:name="page8"/>
    <w:bookmarkEnd w:id="7"/>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250430" cy="8494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8494395"/>
                    </a:xfrm>
                    <a:prstGeom prst="rect">
                      <a:avLst/>
                    </a:prstGeom>
                    <a:noFill/>
                  </pic:spPr>
                </pic:pic>
              </a:graphicData>
            </a:graphic>
          </wp:anchor>
        </w:drawing>
      </w:r>
    </w:p>
    <w:p>
      <w:pPr>
        <w:sectPr>
          <w:pgSz w:w="11900" w:h="16838" w:orient="portrait"/>
          <w:cols w:equalWidth="0" w:num="1">
            <w:col w:w="11300"/>
          </w:cols>
          <w:pgMar w:left="240" w:top="2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widely considered one of the most effective treatments due to its ability to build bone. Because our product candidate EB613 is delivered orally, we believe it will reduce the treatment burden on patients and lead to significantly higher patient and physician acceptance compared to an injectable form of PTH.</w:t>
      </w:r>
    </w:p>
    <w:p>
      <w:pPr>
        <w:spacing w:after="0" w:line="124" w:lineRule="exact"/>
        <w:rPr>
          <w:sz w:val="20"/>
          <w:szCs w:val="20"/>
          <w:color w:val="auto"/>
        </w:rPr>
      </w:pPr>
    </w:p>
    <w:p>
      <w:pPr>
        <w:ind w:left="120" w:right="140"/>
        <w:spacing w:after="0" w:line="270" w:lineRule="auto"/>
        <w:rPr>
          <w:sz w:val="20"/>
          <w:szCs w:val="20"/>
          <w:color w:val="auto"/>
        </w:rPr>
      </w:pPr>
      <w:r>
        <w:rPr>
          <w:rFonts w:ascii="Arial" w:cs="Arial" w:eastAsia="Arial" w:hAnsi="Arial"/>
          <w:sz w:val="17"/>
          <w:szCs w:val="17"/>
          <w:color w:val="auto"/>
        </w:rPr>
        <w:t>We intend to pursue approval of EB613 utilizing the alternative Section 505(b)(2) pathway permitted under the Federal Food, Drug and Cosmetic Act. Based on recent changes in guidance issued by the FDA and the similarity of our product’s pharmokinetic profile, or PK profile, to that of Forteo, we believe it is feasible to complete an NDA submission for EB613 with one or two pivotal Phase 3 studies, conducted with approximately 400-500 osteoporosis patients, that will examine bone mineral density and particular biochemical markers of bone activity. These studies would be conducted in anticipation of a 505(b)(2) application to the FDA and would include a comparison to the currently marketed drug, Forteo. In pursuit of this pathway, our intent is to seek FDA guidance as part of a Pre-IND meeting in the second half of 2018. Based on the responses of the FDA, we intend to conduct a dose ranging Phase 2a study in approximately 150 osteoporosis patients. Following analysis of this data, we intend to design and execute pivotal trial(s) in osteoporosis patients guided by the feedback of the FDA. We currently do not anticipate that the FDA will request that we examine the effects on bone mineral density in these trials past 12 months. We therefore believe that this alternative pathway will be significantly shorter than a pathway that utilizes bone fracture studies in significantly larger numbers of patients over greater periods of time.</w:t>
      </w:r>
    </w:p>
    <w:p>
      <w:pPr>
        <w:spacing w:after="0" w:line="178"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Our product candidates utilize our proprietary technology for the oral delivery of large molecules. Drug development has shifted towards the use of peptides, proteins and other large molecules for the treatment of various diseases. Between 1993 and 2004, large-molecule clinical approval success rates have outpaced small molecules by about two-to-one. Large molecules have been particularly widely used in orphan indications. Oral drug delivery reduces the treatment burden on patients relative to injectable drugs and provides significantly more flexibility, both in size of dose and number of doses per day, than injectable drugs, which are frequently administered once per day by preset injection pen. However, peptides, proteins and other large molecule therapeutics can currently only be delivered via injections and other non-oral pathways because oral administration leads to poor absorption into the blood stream as well as enzymatic degradation within the gastrointestinal tract. Our proprietary oral drug delivery technology is designed to address both of these issues by utilizing a combination of a synthetic absorption enhancer to facilitate the enhanced absorption of large molecules and protease inhibitors to prevent enzymatic degradation.</w:t>
      </w:r>
    </w:p>
    <w:p>
      <w:pPr>
        <w:spacing w:after="0" w:line="182" w:lineRule="exact"/>
        <w:rPr>
          <w:sz w:val="20"/>
          <w:szCs w:val="20"/>
          <w:color w:val="auto"/>
        </w:rPr>
      </w:pPr>
    </w:p>
    <w:p>
      <w:pPr>
        <w:ind w:left="120" w:right="20"/>
        <w:spacing w:after="0" w:line="302" w:lineRule="auto"/>
        <w:rPr>
          <w:sz w:val="20"/>
          <w:szCs w:val="20"/>
          <w:color w:val="auto"/>
        </w:rPr>
      </w:pPr>
      <w:r>
        <w:rPr>
          <w:rFonts w:ascii="Arial" w:cs="Arial" w:eastAsia="Arial" w:hAnsi="Arial"/>
          <w:sz w:val="16"/>
          <w:szCs w:val="16"/>
          <w:color w:val="auto"/>
        </w:rPr>
        <w:t>We also intend to use our technology as a platform for the oral delivery of other protein and large molecule therapeutics. We initially intend to focus on the development of products based on previously approved therapeutic agents. We believe this will allow us to more efficiently and predictably advance product candidates through the development cycle based on well-defined clinical and regulatory approval pathways. We have conducted initial feasibility studies with a number of candidates and intend to commence clinical development for our next, non-PTH, product candidate in the future.</w:t>
      </w:r>
    </w:p>
    <w:p>
      <w:pPr>
        <w:spacing w:after="0" w:line="15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The following chart summarizes important information about each of our current product candidates, including their indications, and their current stage of development. We have not out-licensed any intellectual property rights to our PTH product candidates listed below, and, therefore, have retained the ability to pursue their worldwide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commenced operations in August 2010 after receiving startup financing in the form of $0.6 million in cash from D.N.A Biomedical Solutions Ltd. and a license from Oramed Ltd., a subsidiary of Oramed Pharmaceuticals, Inc., to certain patent rights relating to the oral administration of proteins. These previously licensed patent rights were assigned to us in 2011, subject to an exclusive, royalty-free license in specified fields under such patent rights that we granted to Oramed Ltd.</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subsequently advanced our oral PTH product candidates from preclinical studies in animals to a Phase 2a clinical trial of EB612 in hypoparathyroidism in less than five years.</w:t>
      </w:r>
    </w:p>
    <w:p>
      <w:pPr>
        <w:spacing w:after="0" w:line="170" w:lineRule="exact"/>
        <w:rPr>
          <w:sz w:val="20"/>
          <w:szCs w:val="20"/>
          <w:color w:val="auto"/>
        </w:rPr>
      </w:pPr>
    </w:p>
    <w:p>
      <w:pPr>
        <w:ind w:left="120" w:right="260"/>
        <w:spacing w:after="0" w:line="264" w:lineRule="auto"/>
        <w:rPr>
          <w:sz w:val="20"/>
          <w:szCs w:val="20"/>
          <w:color w:val="auto"/>
        </w:rPr>
      </w:pPr>
      <w:r>
        <w:rPr>
          <w:rFonts w:ascii="Arial" w:cs="Arial" w:eastAsia="Arial" w:hAnsi="Arial"/>
          <w:sz w:val="18"/>
          <w:szCs w:val="18"/>
          <w:color w:val="auto"/>
        </w:rPr>
        <w:t>While our operations are currently focused in our offices in Israel, we intend in coming years to build a substantial U.S. presence to execute on the later stage development of our products, including by expanding our executive management team, clinical operations, regulatory operations, and commercialization.</w:t>
      </w:r>
    </w:p>
    <w:p>
      <w:pPr>
        <w:sectPr>
          <w:pgSz w:w="11900" w:h="16838" w:orient="portrait"/>
          <w:cols w:equalWidth="0" w:num="1">
            <w:col w:w="11300"/>
          </w:cols>
          <w:pgMar w:left="240" w:top="2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5" w:right="359" w:bottom="1440" w:gutter="0" w:footer="0" w:header="0"/>
          <w:type w:val="continuous"/>
        </w:sectPr>
      </w:pPr>
    </w:p>
    <w:bookmarkStart w:id="8" w:name="page9"/>
    <w:bookmarkEnd w:id="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50430" cy="7705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77050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120" w:right="580"/>
        <w:spacing w:after="0" w:line="308" w:lineRule="auto"/>
        <w:rPr>
          <w:sz w:val="20"/>
          <w:szCs w:val="20"/>
          <w:color w:val="auto"/>
        </w:rPr>
      </w:pPr>
      <w:r>
        <w:rPr>
          <w:rFonts w:ascii="Arial" w:cs="Arial" w:eastAsia="Arial" w:hAnsi="Arial"/>
          <w:sz w:val="17"/>
          <w:szCs w:val="17"/>
          <w:color w:val="auto"/>
        </w:rPr>
        <w:t>Our goal is to become a leading biopharmaceutical company focused on the development and commercialization of orally delivered large molecule therapeutics in indications with significant unmet medical need. The key elements of our strategy to achieve this goal are to:</w:t>
      </w:r>
    </w:p>
    <w:p>
      <w:pPr>
        <w:spacing w:after="0" w:line="147" w:lineRule="exact"/>
        <w:rPr>
          <w:sz w:val="20"/>
          <w:szCs w:val="20"/>
          <w:color w:val="auto"/>
        </w:rPr>
      </w:pPr>
    </w:p>
    <w:p>
      <w:pPr>
        <w:ind w:left="460" w:hanging="169"/>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Advance our lead product candidate, EB612, through clinical development and into commercialization for the treatment of hypoparathyroidism;</w:t>
      </w:r>
    </w:p>
    <w:p>
      <w:pPr>
        <w:spacing w:after="0" w:line="236" w:lineRule="exact"/>
        <w:rPr>
          <w:rFonts w:ascii="Arial" w:cs="Arial" w:eastAsia="Arial" w:hAnsi="Arial"/>
          <w:sz w:val="17"/>
          <w:szCs w:val="17"/>
          <w:color w:val="auto"/>
        </w:rPr>
      </w:pPr>
    </w:p>
    <w:p>
      <w:pPr>
        <w:ind w:left="460" w:right="140" w:hanging="169"/>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Produce supportive clinical data for our second product candidate, EB613, submit a pre-IND for the treatment of osteoporosis and commence a dose finding Phase 2a study;</w:t>
      </w:r>
    </w:p>
    <w:p>
      <w:pPr>
        <w:spacing w:after="0" w:line="170" w:lineRule="exact"/>
        <w:rPr>
          <w:rFonts w:ascii="Arial" w:cs="Arial" w:eastAsia="Arial" w:hAnsi="Arial"/>
          <w:sz w:val="18"/>
          <w:szCs w:val="18"/>
          <w:color w:val="auto"/>
        </w:rPr>
      </w:pPr>
    </w:p>
    <w:p>
      <w:pPr>
        <w:ind w:left="460" w:hanging="169"/>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our expertise in the oral delivery of PTH to develop product candidates in additional indications;</w:t>
      </w:r>
    </w:p>
    <w:p>
      <w:pPr>
        <w:spacing w:after="0" w:line="225" w:lineRule="exact"/>
        <w:rPr>
          <w:rFonts w:ascii="Arial" w:cs="Arial" w:eastAsia="Arial" w:hAnsi="Arial"/>
          <w:sz w:val="18"/>
          <w:szCs w:val="18"/>
          <w:color w:val="auto"/>
        </w:rPr>
      </w:pPr>
    </w:p>
    <w:p>
      <w:pPr>
        <w:ind w:left="460" w:hanging="169"/>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Improve the efficacy profile of large molecule therapeutics through the application of our proprietary oral delivery technology;</w:t>
      </w:r>
    </w:p>
    <w:p>
      <w:pPr>
        <w:spacing w:after="0" w:line="225" w:lineRule="exact"/>
        <w:rPr>
          <w:rFonts w:ascii="Arial" w:cs="Arial" w:eastAsia="Arial" w:hAnsi="Arial"/>
          <w:sz w:val="18"/>
          <w:szCs w:val="18"/>
          <w:color w:val="auto"/>
        </w:rPr>
      </w:pPr>
    </w:p>
    <w:p>
      <w:pPr>
        <w:ind w:left="460" w:hanging="169"/>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Focus our development and commercialization efforts on indications with significant unmet medical need; and</w:t>
      </w:r>
    </w:p>
    <w:p>
      <w:pPr>
        <w:spacing w:after="0" w:line="225" w:lineRule="exact"/>
        <w:rPr>
          <w:rFonts w:ascii="Arial" w:cs="Arial" w:eastAsia="Arial" w:hAnsi="Arial"/>
          <w:sz w:val="18"/>
          <w:szCs w:val="18"/>
          <w:color w:val="auto"/>
        </w:rPr>
      </w:pPr>
    </w:p>
    <w:p>
      <w:pPr>
        <w:ind w:left="460" w:hanging="169"/>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Initially develop products based on FDA-approved large molecule therapeutics.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Technology</w:t>
      </w:r>
    </w:p>
    <w:p>
      <w:pPr>
        <w:spacing w:after="0" w:line="229" w:lineRule="exact"/>
        <w:rPr>
          <w:sz w:val="20"/>
          <w:szCs w:val="20"/>
          <w:color w:val="auto"/>
        </w:rPr>
      </w:pPr>
    </w:p>
    <w:p>
      <w:pPr>
        <w:ind w:left="120" w:right="200"/>
        <w:spacing w:after="0" w:line="273" w:lineRule="auto"/>
        <w:rPr>
          <w:sz w:val="20"/>
          <w:szCs w:val="20"/>
          <w:color w:val="auto"/>
        </w:rPr>
      </w:pPr>
      <w:r>
        <w:rPr>
          <w:rFonts w:ascii="Arial" w:cs="Arial" w:eastAsia="Arial" w:hAnsi="Arial"/>
          <w:sz w:val="17"/>
          <w:szCs w:val="17"/>
          <w:color w:val="auto"/>
        </w:rPr>
        <w:t>Currently, peptides, proteins and other large molecule therapeutics can only be delivered via injections and other non-oral-pathways because oral administration leads to poor absorption into the blood stream (bioavailability) due to enzymatic degradation within the gastrointestinal tract and poor permeability though the intestinal wall. Most oral drug delivery technologies attempting to overcome this hurdle nevertheless manage to attain only very low bioavailability (less than 1%). Orally-delivered large molecules with low systemic levels present high variability of dose exposure, both between patients and within the same patient at different times of administration since small changes in the level of absorption lead to significant changes in the bioavailability. Absorption variability is generally decreased as the drug bioavailability is increased.</w:t>
      </w:r>
    </w:p>
    <w:p>
      <w:pPr>
        <w:spacing w:after="0" w:line="178"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Oral formulations of large molecules must therefore ensure that the large molecule is able to pass through the intestinal wall so that it can be absorbed into the bloodstream and that the large molecule therapeutic is not exposed to enzymatic degradation in order to protect its biological activity and availability for absorption. Our proprietary technology is designed to address both of these issues by utilizing a combination of a synthetic absorption enhancer, or carrier molecule, to facilitate the enhanced absorption of large molecules, and protease inhibitors to prevent enzymatic degradation. By designing our product candidates to address both the issues of absorption and degradation, we have been able to significantly increase bioavailability and decrease the variability of the PTH dose delivered in our clinical trials to date.</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 Candidates</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Oral PTH Therapeutics</w:t>
      </w:r>
    </w:p>
    <w:p>
      <w:pPr>
        <w:spacing w:after="0" w:line="225"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PTH is a hormone that regulates the levels of calcium and phosphorus in the blood. The naturally occurring form of PTH that is found in the human body is composed of 84 amino acids, although only the first 34 amino acids are believed to be responsible for its biological effects. A recombinant form of PTH that is comprised of only the first 34 amino acids, or PTH (1-34), can be used as a treatment for a number of indications, including hypoparathyroidism, osteoporosis and non-union fractures. An injectable form of PTH (1-34), marketed under the name Forteo, has been approved in the United States for more than 10 years and has been used by millions of patients for the treatment of osteoporosis. An injectable form of full length PTH (1-84), marketed under the name Natpara, has also been approved for the treatment of hypoparathyroidism. We are developing a number of distinct oral PTH (1-34) programs that can be used for a number of proposed indications. We believe that our oral PTH product candidates, if approved, have the potential to become the standard of care for patients with hypoparathyroidism, osteoporosis and non-union bone fractures.</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EB612 for Hypoparathyroidism</w:t>
      </w:r>
    </w:p>
    <w:p>
      <w:pPr>
        <w:spacing w:after="0" w:line="225" w:lineRule="exact"/>
        <w:rPr>
          <w:sz w:val="20"/>
          <w:szCs w:val="20"/>
          <w:color w:val="auto"/>
        </w:rPr>
      </w:pPr>
    </w:p>
    <w:p>
      <w:pPr>
        <w:ind w:left="120"/>
        <w:spacing w:after="0" w:line="264" w:lineRule="auto"/>
        <w:rPr>
          <w:sz w:val="20"/>
          <w:szCs w:val="20"/>
          <w:color w:val="auto"/>
        </w:rPr>
      </w:pPr>
      <w:r>
        <w:rPr>
          <w:rFonts w:ascii="Arial" w:cs="Arial" w:eastAsia="Arial" w:hAnsi="Arial"/>
          <w:sz w:val="18"/>
          <w:szCs w:val="18"/>
          <w:color w:val="auto"/>
        </w:rPr>
        <w:t>Our lead product candidate, EB612, is an oral formulation of PTH (1-34). EB612 is a synthetic form of the first 34 amino acids of human PTH to which we have applied our proprietary technology for the oral delivery of large molecule therapeutics. In the third quarter of 2015, we successfully completed our Phase 2a trial. The end points in the trial were met, and 17 subjects completed the</w:t>
      </w:r>
    </w:p>
    <w:p>
      <w:pPr>
        <w:sectPr>
          <w:pgSz w:w="11900" w:h="16838" w:orient="portrait"/>
          <w:cols w:equalWidth="0" w:num="1">
            <w:col w:w="11300"/>
          </w:cols>
          <w:pgMar w:left="240" w:top="2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5" w:right="35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50430" cy="75679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75679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20" w:right="40"/>
        <w:spacing w:after="0" w:line="297" w:lineRule="auto"/>
        <w:rPr>
          <w:sz w:val="20"/>
          <w:szCs w:val="20"/>
          <w:color w:val="auto"/>
        </w:rPr>
      </w:pPr>
      <w:r>
        <w:rPr>
          <w:rFonts w:ascii="Arial" w:cs="Arial" w:eastAsia="Arial" w:hAnsi="Arial"/>
          <w:sz w:val="16"/>
          <w:szCs w:val="16"/>
          <w:color w:val="auto"/>
        </w:rPr>
        <w:t>four-month trial and reported no serious or significant related adverse events as defined by the study protocol. Although our Phase 2a trial involved a smaller number of patients, was conducted for a shorter duration and did not include an initial optimization period in comparison to the design of the pivotal trial used for regulatory approval of Natpara, the REPLACE study, our Phase 2a trial showed the potential for similar efficacy, a result that we plan to confirm by conducting a Phase 2b/3 trial. The FDA and EMA have granted EB612 orphan drug designation for the treatment of hypoparathyroidism. We intend to utilize future funds, as available, to prepare EB612 for advanced clinical studies and ultimately for regulatory approval.</w:t>
      </w:r>
    </w:p>
    <w:p>
      <w:pPr>
        <w:spacing w:after="0" w:line="18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Individuals with a deficiency of parathyroid hormone may exhibit hypocalcemia and hyperphosphatemia. Hypocalcemia can cause one or more of a variety of symptoms, including weakness, muscle cramps, excessive nervousness, headaches and uncontrollable twitching and cramping spasms of muscles such as those of the hands, feet, arms, legs and face, which is known as tetany. Acute hypocalcemia can result in cardiac failure, failure of nervous system functions and death. Hyperphosphatemia can result in soft tissue calcium deposition, which may lead to severe issues, including damage to the circulatory system and central nervous system.</w:t>
      </w:r>
    </w:p>
    <w:p>
      <w:pPr>
        <w:spacing w:after="0" w:line="188"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The prevalence of hypoparathyroidism is estimated to be 37 per 100,000 in the United States, with 78% of cases caused by surgery, 7% due to genetic disorder and 6% due to idiopathic origin. Although incidence rates have been difficult to quantify, it is estimated that chronic hypoparathyroidism, which affects patients for more than six months, affects approximately 58,700 insured individuals in the United States, with an estimated 43% of these chronic cases characterized as mild, 39% characterized as moderate, and 18% characterized as severe.</w:t>
      </w:r>
    </w:p>
    <w:p>
      <w:pPr>
        <w:spacing w:after="0" w:line="17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If a product receives the first FDA approval for the indication for which it has orphan designation, the product is entitled to orphan drug exclusivity, which means that the FDA may not approve any other application to market the same drug for the same indication for a period of seven years, except in limited circumstances, such as a showing of clinical superiority over the product with orphan exclusivity. In January 2015, the FDA approved Natpara, an injectable form of PTH, for hypoparathyroidism, and awarded Natpara orphan drug exclusivity until January 23, 2022. In order for our biologics license application, or BLA, for EB612 to be approved by the FDA prior to this date, we will need to demonstrate that EB612 is clinically superior to Natpara in that it demonstrates greater effectiveness or safety than Natpara or that it otherwise makes a major contribution to patient care, which we believe we will be able to do.</w:t>
      </w:r>
    </w:p>
    <w:p>
      <w:pPr>
        <w:spacing w:after="0" w:line="18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EB613 for Osteoporosis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Osteoporosis</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are also developing an additional but similar oral PTH product candidate, EB613, for the treatment of osteoporosis. Our intent is to seek FDA guidance on our proposed clinical trial design as part of a Pre-IND meeting in the second half of 2018. Based on the responses from the FDA, we intend to conduct a dose finding Phase 2a study of EB613 in osteoporosis in approximately 150 patients. Following this Phase 2a trial, we intend to design and execute pivotal trial(s) in osteoporosis patients guided by the feedback of the FDA.</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Osteoporosis is a systemic skeletal disease characterized by low bone mass, deterioration of bone tissue and increased bone fragility and susceptibility to fracture. Osteoporosis often leads to loss of mobility, admission to nursing homes and dependence on caregivers. These debilitating effects of osteoporosis have substantial costs. The prevalence of osteoporosis is growing and, according to the National Osteoporosis Foundation, or NOF, is significantly under-recognized and under-treated in the population. While the aging of the population is a primary driver of an increase in cases, osteoporosis is also increasing due to the use of drugs that induce bone loss, such as chronic use of glucocorticoids and aromatase inhibitors that are increasingly used for breast cancer and the hormone therapies used for prostate cancer.</w:t>
      </w:r>
    </w:p>
    <w:p>
      <w:pPr>
        <w:spacing w:after="0" w:line="193"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The NOF has estimated that 10 million people in the United States have osteoporosis, and another approximately 43 million have low bone mass placing them at increased risk for osteoporosis. In addition, the NOF has estimated that osteoporosis is responsible for more than two million fractures in the United States each year resulting in an estimated $19 billion in costs annually. The NOF expects that the number of fractures in the United States due to osteoporosis will rise to three million by 2025, resulting in an estimated $25.3 billion in costs each year. Worldwide, osteoporosis affects an estimated 200 million women according to the International Osteoporosis Foundation, or IOF, and causes more than 8.9 million fractures annually, which is equivalent to an osteoporotic fracture occurring approximately every three seconds. The IOF has estimated that 1.6 million hip fractures occur worldwide each year, and by 2050 this number could reach between 4.5 million and 6.3 million. The IOF estimates that in Europe alone, the annual cost of osteoporotic fractures could surpass €76 billion by 2050.</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Future Development of Orally Delivered Large Molecule Therapeutics</w:t>
      </w:r>
    </w:p>
    <w:p>
      <w:pPr>
        <w:spacing w:after="0" w:line="22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intend to use our technology as a platform for the oral delivery of protein and other large molecule therapeutics. We have conducted initial feasibility studies with a number of candidates, including human growth hormone, and intend to commence clinical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5" w:right="3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50430" cy="7139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7139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development for our next, non-PTH, product candidate in the future. For example, in initial rodent studies utilizing Entera’s drug delivery technology, an oral formulation of human growth hormone obtained significant concentrations of intact human growth hormone throughout the blood stream. We expect that the key criteria in selecting our next clinical candidate will include: the size of the molecule and other chemical characteristics that would benefit from our technology, whether the molecule is best delivered through the intestinal tract rather than through injection, and the drug’s dosing schedule (more specifically, whether it is prescribed for at least three months and would likely be best administered at least once a day). Additionally, we may target large proteins that are prone to inducing damaging immune responses when injected subcutaneously. In some cases, the immune response to the injection is so severe as to reduce or eliminate all physiological effect of the drug upon the illness. We are also considering whether to partner the development of any such additional product candidates and are in early stage discussions with a number of external parties.</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Bone Healing/Non-union Fractures</w:t>
      </w:r>
    </w:p>
    <w:p>
      <w:pPr>
        <w:spacing w:after="0" w:line="225" w:lineRule="exact"/>
        <w:rPr>
          <w:sz w:val="20"/>
          <w:szCs w:val="20"/>
          <w:color w:val="auto"/>
        </w:rPr>
      </w:pPr>
    </w:p>
    <w:p>
      <w:pPr>
        <w:ind w:left="120" w:right="120"/>
        <w:spacing w:after="0" w:line="297" w:lineRule="auto"/>
        <w:rPr>
          <w:sz w:val="20"/>
          <w:szCs w:val="20"/>
          <w:color w:val="auto"/>
        </w:rPr>
      </w:pPr>
      <w:r>
        <w:rPr>
          <w:rFonts w:ascii="Arial" w:cs="Arial" w:eastAsia="Arial" w:hAnsi="Arial"/>
          <w:sz w:val="16"/>
          <w:szCs w:val="16"/>
          <w:color w:val="auto"/>
        </w:rPr>
        <w:t>We intend to investigate the efficacy of our oral PTH product candidates for non-union bone fractures. We may either pursue fracture treatment as an additional use of EB613 or further modify the formulation if studies suggest we could achieve a PK profile that is more efficacious for bone fractures. As non-union fractures and bone healing are non-chronic conditions, generally entailing three to six months of treatment, we believe the acceptance of oral PTH will be higher than other potential pharmacological alternatives. We believe we will be able to use the data generated with EB613 in Phase 1 clinical trials relating to osteoporosis to progress directly to a Phase 2a clinical trial of our oral PTH product candidates for non-union bone fractures.</w:t>
      </w:r>
    </w:p>
    <w:p>
      <w:pPr>
        <w:spacing w:after="0" w:line="15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Non-union fractures occur when the normal process of bone healing is interrupted and a fracture does not heal properly or does not heal at all. By definition, a non-union fracture will not heal on its own. Most non-union fractures require surgery, which can involve bone grafts or stabilizing the affected bone by affixing rods, plates or screws. Risks of surgery include neurovascular injury, infection and hemorrhage. In the United States, there are approximately seven million new fractures each year, with approximately 300,000 delayed union or non-union fractures. Estimates for the average non-union treatment costs vary from approximately $25,000 to $45,000.</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Chief Medical Officer Appointment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January 10, 2018, the Company appointed Eric Lang, MD, as the Company’s Chief Medical Officer, effective January 15, 2018. Dr. Lang replaced</w:t>
      </w:r>
    </w:p>
    <w:p>
      <w:pPr>
        <w:spacing w:after="0" w:line="4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Dr. Miriam Blum, who had served as the Company’s Chief Medical Officer since January 2015. As the Company’s Chief Medical Officer, Dr. Lang will be responsible for building and leading our clinical development group, as well as all aspects (including strategy and implementation) of the Company’s clinical development and regulatory strategy.</w:t>
      </w:r>
    </w:p>
    <w:p>
      <w:pPr>
        <w:spacing w:after="0" w:line="190" w:lineRule="exact"/>
        <w:rPr>
          <w:sz w:val="20"/>
          <w:szCs w:val="20"/>
          <w:color w:val="auto"/>
        </w:rPr>
      </w:pPr>
    </w:p>
    <w:p>
      <w:pPr>
        <w:ind w:left="120" w:right="40"/>
        <w:spacing w:after="0" w:line="297" w:lineRule="auto"/>
        <w:rPr>
          <w:sz w:val="20"/>
          <w:szCs w:val="20"/>
          <w:color w:val="auto"/>
        </w:rPr>
      </w:pPr>
      <w:r>
        <w:rPr>
          <w:rFonts w:ascii="Arial" w:cs="Arial" w:eastAsia="Arial" w:hAnsi="Arial"/>
          <w:sz w:val="16"/>
          <w:szCs w:val="16"/>
          <w:color w:val="auto"/>
        </w:rPr>
        <w:t>Dr. Lang has extensive experience in designing drug development programs from early stages through phase III, including the successful filing of several recent INDs and NDAs. From 2012 to 2017, Dr. Lang worked at Covance, Inc., most recently as the Vice President and Global Head of Clinical Drug Development Strategists. From 2010 to 2011, Dr. Lang worked at Grunenthal USA Inc. where he acted as Vice President, US Clinical Development. Prior to these positions, Dr. Lang worked at both Javelin Pharmaceuticals, Novartis Consumer Health and Johnson and Johnson. He received his M.D. from Ben Gurion University of the Negev in Israel, is licensed in both the United States and Israel and is board certified as an Anesthesiologist.</w:t>
      </w:r>
    </w:p>
    <w:p>
      <w:pPr>
        <w:spacing w:after="0" w:line="158" w:lineRule="exact"/>
        <w:rPr>
          <w:sz w:val="20"/>
          <w:szCs w:val="20"/>
          <w:color w:val="auto"/>
        </w:rPr>
      </w:pPr>
    </w:p>
    <w:p>
      <w:pPr>
        <w:ind w:left="120" w:right="80"/>
        <w:spacing w:after="0" w:line="264" w:lineRule="auto"/>
        <w:rPr>
          <w:sz w:val="20"/>
          <w:szCs w:val="20"/>
          <w:color w:val="auto"/>
        </w:rPr>
      </w:pPr>
      <w:r>
        <w:rPr>
          <w:rFonts w:ascii="Arial" w:cs="Arial" w:eastAsia="Arial" w:hAnsi="Arial"/>
          <w:sz w:val="18"/>
          <w:szCs w:val="18"/>
          <w:color w:val="auto"/>
        </w:rPr>
        <w:t>In connection with Dr. Lang’s appointment as the Company’s new Chief Medical Officer, the Company’s Board of Directors approved an increase to the available pool of ordinary shares reserved under the Company’s current share incentive plan and granted Dr. Lang options to purchase 850 of our ordinary shares at an exercise price of $820 per share.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Investing in our ordinary shares and warrants involves risks. You should carefully consider the risks described in “Risk Factors” before making a decision to invest in our ordinary shares and warrants. If any of these risks actually occurs, our business, financial condition or results of operations would likely be materially adversely affected. In such case, the trading price of our ordinary shares would likely decline, and you may lose all or part of your investment. The following is a summary of some of the principal risks we face: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5" w:right="35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234950</wp:posOffset>
            </wp:positionV>
            <wp:extent cx="7250430" cy="8271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8271510"/>
                    </a:xfrm>
                    <a:prstGeom prst="rect">
                      <a:avLst/>
                    </a:prstGeom>
                    <a:noFill/>
                  </pic:spPr>
                </pic:pic>
              </a:graphicData>
            </a:graphic>
          </wp:anchor>
        </w:drawing>
      </w:r>
    </w:p>
    <w:p>
      <w:pPr>
        <w:sectPr>
          <w:pgSz w:w="11900" w:h="16838" w:orient="portrait"/>
          <w:cols w:equalWidth="0" w:num="1">
            <w:col w:w="11300"/>
          </w:cols>
          <w:pgMar w:left="240" w:top="2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40" w:hanging="16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operation as a development stage company with limited operating history and a history of operating losses;</w:t>
      </w:r>
    </w:p>
    <w:p>
      <w:pPr>
        <w:spacing w:after="0" w:line="225" w:lineRule="exact"/>
        <w:rPr>
          <w:rFonts w:ascii="Arial" w:cs="Arial" w:eastAsia="Arial" w:hAnsi="Arial"/>
          <w:sz w:val="18"/>
          <w:szCs w:val="18"/>
          <w:color w:val="auto"/>
        </w:rPr>
      </w:pPr>
    </w:p>
    <w:p>
      <w:pPr>
        <w:ind w:left="440" w:hanging="16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225" w:lineRule="exact"/>
        <w:rPr>
          <w:rFonts w:ascii="Arial" w:cs="Arial" w:eastAsia="Arial" w:hAnsi="Arial"/>
          <w:sz w:val="18"/>
          <w:szCs w:val="18"/>
          <w:color w:val="auto"/>
        </w:rPr>
      </w:pPr>
    </w:p>
    <w:p>
      <w:pPr>
        <w:ind w:left="440" w:right="200" w:hanging="162"/>
        <w:spacing w:after="0" w:line="264"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uncertainty surrounding whether any of our product candidates will receive regulatory approval, which is necessary before they can be commercialized, including whether we will be able to demonstrate to regulators the clinical superiority of EB612 over Natpara, which is required to overcome Natpara’s drug exclusivity;</w:t>
      </w:r>
    </w:p>
    <w:p>
      <w:pPr>
        <w:spacing w:after="0" w:line="181" w:lineRule="exact"/>
        <w:rPr>
          <w:rFonts w:ascii="Arial" w:cs="Arial" w:eastAsia="Arial" w:hAnsi="Arial"/>
          <w:sz w:val="18"/>
          <w:szCs w:val="18"/>
          <w:color w:val="auto"/>
        </w:rPr>
      </w:pPr>
    </w:p>
    <w:p>
      <w:pPr>
        <w:ind w:left="440" w:hanging="16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competitive position, if EB612 is approved, especially with respect to Natpara, our key competitor for hypoparathyroidism treatment;</w:t>
      </w:r>
    </w:p>
    <w:p>
      <w:pPr>
        <w:spacing w:after="0" w:line="225" w:lineRule="exact"/>
        <w:rPr>
          <w:rFonts w:ascii="Arial" w:cs="Arial" w:eastAsia="Arial" w:hAnsi="Arial"/>
          <w:sz w:val="18"/>
          <w:szCs w:val="18"/>
          <w:color w:val="auto"/>
        </w:rPr>
      </w:pPr>
    </w:p>
    <w:p>
      <w:pPr>
        <w:ind w:left="440" w:right="40" w:hanging="162"/>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recurring losses from operations, which have raised substantial doubt regarding our ability to continue as a going concern absent access to sources of liquidity;</w:t>
      </w:r>
    </w:p>
    <w:p>
      <w:pPr>
        <w:spacing w:after="0" w:line="170" w:lineRule="exact"/>
        <w:rPr>
          <w:rFonts w:ascii="Arial" w:cs="Arial" w:eastAsia="Arial" w:hAnsi="Arial"/>
          <w:sz w:val="18"/>
          <w:szCs w:val="18"/>
          <w:color w:val="auto"/>
        </w:rPr>
      </w:pPr>
    </w:p>
    <w:p>
      <w:pPr>
        <w:ind w:left="440" w:hanging="16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use and expand our drug delivery technology to other product candidates;</w:t>
      </w:r>
    </w:p>
    <w:p>
      <w:pPr>
        <w:spacing w:after="0" w:line="225" w:lineRule="exact"/>
        <w:rPr>
          <w:rFonts w:ascii="Arial" w:cs="Arial" w:eastAsia="Arial" w:hAnsi="Arial"/>
          <w:sz w:val="18"/>
          <w:szCs w:val="18"/>
          <w:color w:val="auto"/>
        </w:rPr>
      </w:pPr>
    </w:p>
    <w:p>
      <w:pPr>
        <w:ind w:left="440" w:hanging="16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pricing of and reimbursement for our product candidates, if approved;</w:t>
      </w:r>
    </w:p>
    <w:p>
      <w:pPr>
        <w:spacing w:after="0" w:line="225" w:lineRule="exact"/>
        <w:rPr>
          <w:rFonts w:ascii="Arial" w:cs="Arial" w:eastAsia="Arial" w:hAnsi="Arial"/>
          <w:sz w:val="18"/>
          <w:szCs w:val="18"/>
          <w:color w:val="auto"/>
        </w:rPr>
      </w:pPr>
    </w:p>
    <w:p>
      <w:pPr>
        <w:ind w:left="440" w:hanging="16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being subject to ongoing regulatory obligations if our products secure regulatory approval and compliance therewith;</w:t>
      </w:r>
    </w:p>
    <w:p>
      <w:pPr>
        <w:spacing w:after="0" w:line="225" w:lineRule="exact"/>
        <w:rPr>
          <w:rFonts w:ascii="Arial" w:cs="Arial" w:eastAsia="Arial" w:hAnsi="Arial"/>
          <w:sz w:val="18"/>
          <w:szCs w:val="18"/>
          <w:color w:val="auto"/>
        </w:rPr>
      </w:pPr>
    </w:p>
    <w:p>
      <w:pPr>
        <w:ind w:left="440" w:hanging="16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sales, marketing and distribution infrastructure;</w:t>
      </w:r>
    </w:p>
    <w:p>
      <w:pPr>
        <w:spacing w:after="0" w:line="225" w:lineRule="exact"/>
        <w:rPr>
          <w:rFonts w:ascii="Arial" w:cs="Arial" w:eastAsia="Arial" w:hAnsi="Arial"/>
          <w:sz w:val="18"/>
          <w:szCs w:val="18"/>
          <w:color w:val="auto"/>
        </w:rPr>
      </w:pPr>
    </w:p>
    <w:p>
      <w:pPr>
        <w:ind w:left="440" w:hanging="16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third parties to conduct our clinical trials and on third-party suppliers to supply or produce our product candidates;</w:t>
      </w:r>
    </w:p>
    <w:p>
      <w:pPr>
        <w:spacing w:after="0" w:line="225" w:lineRule="exact"/>
        <w:rPr>
          <w:rFonts w:ascii="Arial" w:cs="Arial" w:eastAsia="Arial" w:hAnsi="Arial"/>
          <w:sz w:val="18"/>
          <w:szCs w:val="18"/>
          <w:color w:val="auto"/>
        </w:rPr>
      </w:pPr>
    </w:p>
    <w:p>
      <w:pPr>
        <w:ind w:left="440" w:hanging="16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achieve market acceptance for our product candidates;</w:t>
      </w:r>
    </w:p>
    <w:p>
      <w:pPr>
        <w:spacing w:after="0" w:line="225" w:lineRule="exact"/>
        <w:rPr>
          <w:rFonts w:ascii="Arial" w:cs="Arial" w:eastAsia="Arial" w:hAnsi="Arial"/>
          <w:sz w:val="18"/>
          <w:szCs w:val="18"/>
          <w:color w:val="auto"/>
        </w:rPr>
      </w:pPr>
    </w:p>
    <w:p>
      <w:pPr>
        <w:ind w:left="440" w:hanging="16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225" w:lineRule="exact"/>
        <w:rPr>
          <w:rFonts w:ascii="Arial" w:cs="Arial" w:eastAsia="Arial" w:hAnsi="Arial"/>
          <w:sz w:val="18"/>
          <w:szCs w:val="18"/>
          <w:color w:val="auto"/>
        </w:rPr>
      </w:pPr>
    </w:p>
    <w:p>
      <w:pPr>
        <w:ind w:left="440" w:hanging="16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retain key personnel and recruit additional qualified personnel;</w:t>
      </w:r>
    </w:p>
    <w:p>
      <w:pPr>
        <w:spacing w:after="0" w:line="225" w:lineRule="exact"/>
        <w:rPr>
          <w:rFonts w:ascii="Arial" w:cs="Arial" w:eastAsia="Arial" w:hAnsi="Arial"/>
          <w:sz w:val="18"/>
          <w:szCs w:val="18"/>
          <w:color w:val="auto"/>
        </w:rPr>
      </w:pPr>
    </w:p>
    <w:p>
      <w:pPr>
        <w:ind w:left="440" w:hanging="16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this offering;</w:t>
      </w:r>
    </w:p>
    <w:p>
      <w:pPr>
        <w:spacing w:after="0" w:line="225" w:lineRule="exact"/>
        <w:rPr>
          <w:rFonts w:ascii="Arial" w:cs="Arial" w:eastAsia="Arial" w:hAnsi="Arial"/>
          <w:sz w:val="18"/>
          <w:szCs w:val="18"/>
          <w:color w:val="auto"/>
        </w:rPr>
      </w:pPr>
    </w:p>
    <w:p>
      <w:pPr>
        <w:ind w:left="440" w:hanging="16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growth; and</w:t>
      </w:r>
    </w:p>
    <w:p>
      <w:pPr>
        <w:spacing w:after="0" w:line="225" w:lineRule="exact"/>
        <w:rPr>
          <w:rFonts w:ascii="Arial" w:cs="Arial" w:eastAsia="Arial" w:hAnsi="Arial"/>
          <w:sz w:val="18"/>
          <w:szCs w:val="18"/>
          <w:color w:val="auto"/>
        </w:rPr>
      </w:pPr>
    </w:p>
    <w:p>
      <w:pPr>
        <w:ind w:left="440" w:hanging="16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 factors discussed under “Risk Factors.”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Our legal and commercial name is Entera Bio Ltd. We were incorporated in Israel in September 2009. Our principal executive offices are located at Kiryat Hadassah, Minrav Building — Fifth Floor, Jerusalem 9112002, Israel and our telephone number is +972 (2) 532-7151. Our website address is www.enterabio.com. Information contained on, or that can be accessed through, our website does not constitute a part of this prospectus and is not incorporated by reference herein. We have included our website address in this prospectus solely for informational purposes.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trademarks or service marks appearing in this prospectus are trademarks or service marks of others.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229" w:lineRule="exact"/>
        <w:rPr>
          <w:sz w:val="20"/>
          <w:szCs w:val="20"/>
          <w:color w:val="auto"/>
        </w:rPr>
      </w:pPr>
    </w:p>
    <w:p>
      <w:pPr>
        <w:ind w:left="120" w:right="460"/>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181" w:lineRule="exact"/>
        <w:rPr>
          <w:sz w:val="20"/>
          <w:szCs w:val="20"/>
          <w:color w:val="auto"/>
        </w:rPr>
      </w:pPr>
    </w:p>
    <w:p>
      <w:pPr>
        <w:ind w:left="440" w:right="680" w:hanging="162"/>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requirement to have only two years of audited financial statements and only two years of related Management’s Discussion and Analysis of Financial Condition and Results of Operations disclosure in its initial registration statement;</w:t>
      </w:r>
    </w:p>
    <w:p>
      <w:pPr>
        <w:spacing w:after="0" w:line="170" w:lineRule="exact"/>
        <w:rPr>
          <w:rFonts w:ascii="Arial" w:cs="Arial" w:eastAsia="Arial" w:hAnsi="Arial"/>
          <w:sz w:val="18"/>
          <w:szCs w:val="18"/>
          <w:color w:val="auto"/>
        </w:rPr>
      </w:pPr>
    </w:p>
    <w:p>
      <w:pPr>
        <w:ind w:left="440" w:hanging="162"/>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w:t>
      </w:r>
    </w:p>
    <w:p>
      <w:pPr>
        <w:sectPr>
          <w:pgSz w:w="11900" w:h="16838" w:orient="portrait"/>
          <w:cols w:equalWidth="0" w:num="1">
            <w:col w:w="11300"/>
          </w:cols>
          <w:pgMar w:left="240" w:top="2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5" w:right="359" w:bottom="1440" w:gutter="0" w:footer="0" w:header="0"/>
          <w:type w:val="continuous"/>
        </w:sectPr>
      </w:pPr>
    </w:p>
    <w:bookmarkStart w:id="12" w:name="page13"/>
    <w:bookmarkEnd w:id="12"/>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234950</wp:posOffset>
            </wp:positionV>
            <wp:extent cx="7250430" cy="78765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7876540"/>
                    </a:xfrm>
                    <a:prstGeom prst="rect">
                      <a:avLst/>
                    </a:prstGeom>
                    <a:noFill/>
                  </pic:spPr>
                </pic:pic>
              </a:graphicData>
            </a:graphic>
          </wp:anchor>
        </w:drawing>
      </w:r>
    </w:p>
    <w:p>
      <w:pPr>
        <w:sectPr>
          <w:pgSz w:w="11900" w:h="16838" w:orient="portrait"/>
          <w:cols w:equalWidth="0" w:num="1">
            <w:col w:w="11300"/>
          </w:cols>
          <w:pgMar w:left="240" w:top="2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40" w:hanging="162"/>
        <w:spacing w:after="0" w:line="342" w:lineRule="auto"/>
        <w:tabs>
          <w:tab w:leader="none" w:pos="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 exemption from compliance with any requirement that the Public Company Accounting Oversight Board, or PCAOB, may adopt regarding mandatory audit firm rotation or a supplement to the auditor’s report providing additional information about the audit and the financial statements; and</w:t>
      </w:r>
    </w:p>
    <w:p>
      <w:pPr>
        <w:spacing w:after="0" w:line="123" w:lineRule="exact"/>
        <w:rPr>
          <w:rFonts w:ascii="Arial" w:cs="Arial" w:eastAsia="Arial" w:hAnsi="Arial"/>
          <w:sz w:val="16"/>
          <w:szCs w:val="16"/>
          <w:color w:val="auto"/>
        </w:rPr>
      </w:pPr>
    </w:p>
    <w:p>
      <w:pPr>
        <w:jc w:val="both"/>
        <w:ind w:left="440" w:right="160" w:hanging="162"/>
        <w:spacing w:after="0" w:line="264"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(1) reduced disclosure about the company’s executive compensation arrangements, and (2) exemptions from the requirements to obtain a non-binding advisory vote on executive compensation or a shareholder approval of any golden parachute arrangements.</w:t>
      </w:r>
    </w:p>
    <w:p>
      <w:pPr>
        <w:spacing w:after="0" w:line="18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may take advantage of these provisions for up to five years or such earlier time that we are no longer an emerging growth company. We would cease to be an emerging growth company if we have more than $1.07 billion in annual revenue, have more than $700 million in market value of our ordinary shares held by non-affiliates or issue more than $1.0 billion of non-convertible debt over a three-year period. We may choose to take advantage of some but not all of these reduced burdens.</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Given that we currently report and expect to continue to report under IFRS as issued by the IASB, we will not be able to avail ourselves of this extended transition period and, as a result, we will adopt new or revised accounting standards on the relevant dates on which adoption of such standards is required by the IASB.</w:t>
      </w:r>
    </w:p>
    <w:p>
      <w:pPr>
        <w:spacing w:after="0" w:line="188" w:lineRule="exact"/>
        <w:rPr>
          <w:sz w:val="20"/>
          <w:szCs w:val="20"/>
          <w:color w:val="auto"/>
        </w:rPr>
      </w:pPr>
    </w:p>
    <w:p>
      <w:pPr>
        <w:ind w:left="120" w:right="60"/>
        <w:spacing w:after="0" w:line="312" w:lineRule="auto"/>
        <w:rPr>
          <w:sz w:val="20"/>
          <w:szCs w:val="20"/>
          <w:color w:val="auto"/>
        </w:rPr>
      </w:pPr>
      <w:r>
        <w:rPr>
          <w:rFonts w:ascii="Arial" w:cs="Arial" w:eastAsia="Arial" w:hAnsi="Arial"/>
          <w:sz w:val="16"/>
          <w:szCs w:val="16"/>
          <w:color w:val="auto"/>
        </w:rPr>
        <w:t>Upon consummation of this offering, we will report under the Securities Exchange Act of 1934, as amended, or the Exchange Act, as a non-U.S. company with foreign private issuer, or FPI, status. Even after we no longer qualify as an emerging growth company, as long as we qualify as an FPI under the Exchange Act, we will be exempt from certain provisions of the Exchange Act that are applicable to U.S. domestic public companies, including:</w:t>
      </w:r>
    </w:p>
    <w:p>
      <w:pPr>
        <w:spacing w:after="0" w:line="147" w:lineRule="exact"/>
        <w:rPr>
          <w:sz w:val="20"/>
          <w:szCs w:val="20"/>
          <w:color w:val="auto"/>
        </w:rPr>
      </w:pPr>
    </w:p>
    <w:p>
      <w:pPr>
        <w:ind w:left="440" w:right="720" w:hanging="162"/>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70" w:lineRule="exact"/>
        <w:rPr>
          <w:rFonts w:ascii="Arial" w:cs="Arial" w:eastAsia="Arial" w:hAnsi="Arial"/>
          <w:sz w:val="18"/>
          <w:szCs w:val="18"/>
          <w:color w:val="auto"/>
        </w:rPr>
      </w:pPr>
    </w:p>
    <w:p>
      <w:pPr>
        <w:ind w:left="440" w:right="200" w:hanging="162"/>
        <w:spacing w:after="0" w:line="277"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share ownership and trading activities and liability for insiders who profit from trades made in a short period of time;</w:t>
      </w:r>
    </w:p>
    <w:p>
      <w:pPr>
        <w:spacing w:after="0" w:line="170" w:lineRule="exact"/>
        <w:rPr>
          <w:rFonts w:ascii="Arial" w:cs="Arial" w:eastAsia="Arial" w:hAnsi="Arial"/>
          <w:sz w:val="18"/>
          <w:szCs w:val="18"/>
          <w:color w:val="auto"/>
        </w:rPr>
      </w:pPr>
    </w:p>
    <w:p>
      <w:pPr>
        <w:ind w:left="440" w:right="240" w:hanging="162"/>
        <w:spacing w:after="0" w:line="264" w:lineRule="auto"/>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 and</w:t>
      </w:r>
    </w:p>
    <w:p>
      <w:pPr>
        <w:spacing w:after="0" w:line="181" w:lineRule="exact"/>
        <w:rPr>
          <w:rFonts w:ascii="Arial" w:cs="Arial" w:eastAsia="Arial" w:hAnsi="Arial"/>
          <w:sz w:val="18"/>
          <w:szCs w:val="18"/>
          <w:color w:val="auto"/>
        </w:rPr>
      </w:pPr>
    </w:p>
    <w:p>
      <w:pPr>
        <w:ind w:left="440" w:hanging="16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Regulation Fair Disclosure, or Regulation FD, which regulates selective disclosures of material information by issuers.</w:t>
      </w:r>
    </w:p>
    <w:p>
      <w:pPr>
        <w:spacing w:after="0" w:line="225"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We do, however, intend to make available to our shareholders quarterly reports containing unaudited financial information for each of the first three quarters of each fiscal year.</w:t>
      </w:r>
    </w:p>
    <w:p>
      <w:pPr>
        <w:sectPr>
          <w:pgSz w:w="11900" w:h="16838" w:orient="portrait"/>
          <w:cols w:equalWidth="0" w:num="1">
            <w:col w:w="11300"/>
          </w:cols>
          <w:pgMar w:left="240" w:top="22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5" w:right="359" w:bottom="1440" w:gutter="0" w:footer="0" w:header="0"/>
          <w:type w:val="continuous"/>
        </w:sectPr>
      </w:pPr>
    </w:p>
    <w:bookmarkStart w:id="13" w:name="page14"/>
    <w:bookmarkEnd w:id="13"/>
    <w:p>
      <w:pPr>
        <w:spacing w:after="0" w:line="36" w:lineRule="exact"/>
        <w:rPr>
          <w:sz w:val="20"/>
          <w:szCs w:val="20"/>
          <w:color w:val="auto"/>
        </w:rPr>
      </w:pPr>
    </w:p>
    <w:p>
      <w:pPr>
        <w:spacing w:after="0"/>
        <w:rPr>
          <w:rFonts w:ascii="Arial" w:cs="Arial" w:eastAsia="Arial" w:hAnsi="Arial"/>
          <w:sz w:val="13"/>
          <w:szCs w:val="13"/>
          <w:b w:val="1"/>
          <w:bCs w:val="1"/>
          <w:u w:val="single" w:color="auto"/>
          <w:color w:val="0000EE"/>
        </w:rPr>
      </w:pPr>
      <w:hyperlink w:anchor="page5">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234950</wp:posOffset>
            </wp:positionV>
            <wp:extent cx="7250430" cy="101320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10132060"/>
                    </a:xfrm>
                    <a:prstGeom prst="rect">
                      <a:avLst/>
                    </a:prstGeom>
                    <a:noFill/>
                  </pic:spPr>
                </pic:pic>
              </a:graphicData>
            </a:graphic>
          </wp:anchor>
        </w:drawing>
      </w:r>
    </w:p>
    <w:p>
      <w:pPr>
        <w:sectPr>
          <w:pgSz w:w="11900" w:h="16874" w:orient="portrait"/>
          <w:cols w:equalWidth="0" w:num="1">
            <w:col w:w="11320"/>
          </w:cols>
          <w:pgMar w:left="240" w:top="225"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THE OFFERING</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Units</w:t>
            </w:r>
          </w:p>
        </w:tc>
        <w:tc>
          <w:tcPr>
            <w:tcW w:w="6180" w:type="dxa"/>
            <w:vAlign w:val="bottom"/>
            <w:gridSpan w:val="4"/>
          </w:tcPr>
          <w:p>
            <w:pPr>
              <w:ind w:left="160"/>
              <w:spacing w:after="0"/>
              <w:rPr>
                <w:sz w:val="20"/>
                <w:szCs w:val="20"/>
                <w:color w:val="auto"/>
              </w:rPr>
            </w:pPr>
            <w:r>
              <w:rPr>
                <w:rFonts w:ascii="Arial" w:cs="Arial" w:eastAsia="Arial" w:hAnsi="Arial"/>
                <w:sz w:val="18"/>
                <w:szCs w:val="18"/>
                <w:color w:val="auto"/>
                <w:w w:val="92"/>
              </w:rPr>
              <w:t>The ordinary shares and warrants will be sold in units, with each unit consisting of</w:t>
            </w:r>
          </w:p>
        </w:tc>
        <w:tc>
          <w:tcPr>
            <w:tcW w:w="1140" w:type="dxa"/>
            <w:vAlign w:val="bottom"/>
          </w:tcPr>
          <w:p>
            <w:pPr>
              <w:ind w:left="180"/>
              <w:spacing w:after="0"/>
              <w:rPr>
                <w:sz w:val="20"/>
                <w:szCs w:val="20"/>
                <w:color w:val="auto"/>
              </w:rPr>
            </w:pPr>
            <w:r>
              <w:rPr>
                <w:rFonts w:ascii="Arial" w:cs="Arial" w:eastAsia="Arial" w:hAnsi="Arial"/>
                <w:sz w:val="18"/>
                <w:szCs w:val="18"/>
                <w:color w:val="auto"/>
                <w:w w:val="93"/>
              </w:rPr>
              <w:t>one ordinary</w:t>
            </w:r>
          </w:p>
        </w:tc>
      </w:tr>
      <w:tr>
        <w:trPr>
          <w:trHeight w:val="216"/>
        </w:trPr>
        <w:tc>
          <w:tcPr>
            <w:tcW w:w="3880" w:type="dxa"/>
            <w:vAlign w:val="bottom"/>
          </w:tcPr>
          <w:p>
            <w:pPr>
              <w:spacing w:after="0"/>
              <w:rPr>
                <w:sz w:val="18"/>
                <w:szCs w:val="18"/>
                <w:color w:val="auto"/>
              </w:rPr>
            </w:pPr>
          </w:p>
        </w:tc>
        <w:tc>
          <w:tcPr>
            <w:tcW w:w="2620" w:type="dxa"/>
            <w:vAlign w:val="bottom"/>
            <w:gridSpan w:val="2"/>
          </w:tcPr>
          <w:p>
            <w:pPr>
              <w:ind w:left="160"/>
              <w:spacing w:after="0"/>
              <w:rPr>
                <w:sz w:val="20"/>
                <w:szCs w:val="20"/>
                <w:color w:val="auto"/>
              </w:rPr>
            </w:pPr>
            <w:r>
              <w:rPr>
                <w:rFonts w:ascii="Arial" w:cs="Arial" w:eastAsia="Arial" w:hAnsi="Arial"/>
                <w:sz w:val="18"/>
                <w:szCs w:val="18"/>
                <w:color w:val="auto"/>
                <w:w w:val="87"/>
              </w:rPr>
              <w:t>share and one warrant to purchase</w:t>
            </w:r>
          </w:p>
        </w:tc>
        <w:tc>
          <w:tcPr>
            <w:tcW w:w="4700" w:type="dxa"/>
            <w:vAlign w:val="bottom"/>
            <w:gridSpan w:val="3"/>
          </w:tcPr>
          <w:p>
            <w:pPr>
              <w:jc w:val="center"/>
              <w:ind w:left="150"/>
              <w:spacing w:after="0"/>
              <w:rPr>
                <w:sz w:val="20"/>
                <w:szCs w:val="20"/>
                <w:color w:val="auto"/>
              </w:rPr>
            </w:pPr>
            <w:r>
              <w:rPr>
                <w:rFonts w:ascii="Arial" w:cs="Arial" w:eastAsia="Arial" w:hAnsi="Arial"/>
                <w:sz w:val="18"/>
                <w:szCs w:val="18"/>
                <w:color w:val="auto"/>
                <w:w w:val="90"/>
              </w:rPr>
              <w:t>of an ordinary share. The ordinary shares and warrants will</w:t>
            </w:r>
          </w:p>
        </w:tc>
      </w:tr>
      <w:tr>
        <w:trPr>
          <w:trHeight w:val="230"/>
        </w:trPr>
        <w:tc>
          <w:tcPr>
            <w:tcW w:w="3880" w:type="dxa"/>
            <w:vAlign w:val="bottom"/>
          </w:tcPr>
          <w:p>
            <w:pPr>
              <w:spacing w:after="0"/>
              <w:rPr>
                <w:sz w:val="20"/>
                <w:szCs w:val="20"/>
                <w:color w:val="auto"/>
              </w:rPr>
            </w:pPr>
          </w:p>
        </w:tc>
        <w:tc>
          <w:tcPr>
            <w:tcW w:w="4140" w:type="dxa"/>
            <w:vAlign w:val="bottom"/>
            <w:gridSpan w:val="3"/>
          </w:tcPr>
          <w:p>
            <w:pPr>
              <w:ind w:left="160"/>
              <w:spacing w:after="0"/>
              <w:rPr>
                <w:sz w:val="20"/>
                <w:szCs w:val="20"/>
                <w:color w:val="auto"/>
              </w:rPr>
            </w:pPr>
            <w:r>
              <w:rPr>
                <w:rFonts w:ascii="Arial" w:cs="Arial" w:eastAsia="Arial" w:hAnsi="Arial"/>
                <w:sz w:val="18"/>
                <w:szCs w:val="18"/>
                <w:color w:val="auto"/>
                <w:w w:val="92"/>
              </w:rPr>
              <w:t>be mandatorily separable immediately upon issuance.</w:t>
            </w:r>
          </w:p>
        </w:tc>
        <w:tc>
          <w:tcPr>
            <w:tcW w:w="20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1"/>
        </w:trPr>
        <w:tc>
          <w:tcPr>
            <w:tcW w:w="3880" w:type="dxa"/>
            <w:vAlign w:val="bottom"/>
          </w:tcPr>
          <w:p>
            <w:pPr>
              <w:spacing w:after="0"/>
              <w:rPr>
                <w:sz w:val="20"/>
                <w:szCs w:val="20"/>
                <w:color w:val="auto"/>
              </w:rPr>
            </w:pPr>
            <w:r>
              <w:rPr>
                <w:rFonts w:ascii="Arial" w:cs="Arial" w:eastAsia="Arial" w:hAnsi="Arial"/>
                <w:sz w:val="18"/>
                <w:szCs w:val="18"/>
                <w:color w:val="auto"/>
                <w:w w:val="98"/>
              </w:rPr>
              <w:t>Ordinary shares offered by us and included in the</w:t>
            </w:r>
          </w:p>
        </w:tc>
        <w:tc>
          <w:tcPr>
            <w:tcW w:w="580" w:type="dxa"/>
            <w:vAlign w:val="bottom"/>
          </w:tcPr>
          <w:p>
            <w:pPr>
              <w:spacing w:after="0"/>
              <w:rPr>
                <w:sz w:val="24"/>
                <w:szCs w:val="24"/>
                <w:color w:val="auto"/>
              </w:rPr>
            </w:pPr>
          </w:p>
        </w:tc>
        <w:tc>
          <w:tcPr>
            <w:tcW w:w="2040" w:type="dxa"/>
            <w:vAlign w:val="bottom"/>
          </w:tcPr>
          <w:p>
            <w:pPr>
              <w:ind w:left="160"/>
              <w:spacing w:after="0"/>
              <w:rPr>
                <w:sz w:val="20"/>
                <w:szCs w:val="20"/>
                <w:color w:val="auto"/>
              </w:rPr>
            </w:pPr>
            <w:r>
              <w:rPr>
                <w:rFonts w:ascii="Arial" w:cs="Arial" w:eastAsia="Arial" w:hAnsi="Arial"/>
                <w:sz w:val="18"/>
                <w:szCs w:val="18"/>
                <w:color w:val="auto"/>
              </w:rPr>
              <w:t>ordinary shares (or</w:t>
            </w:r>
          </w:p>
        </w:tc>
        <w:tc>
          <w:tcPr>
            <w:tcW w:w="4700" w:type="dxa"/>
            <w:vAlign w:val="bottom"/>
            <w:gridSpan w:val="3"/>
          </w:tcPr>
          <w:p>
            <w:pPr>
              <w:ind w:left="60"/>
              <w:spacing w:after="0"/>
              <w:rPr>
                <w:sz w:val="20"/>
                <w:szCs w:val="20"/>
                <w:color w:val="auto"/>
              </w:rPr>
            </w:pPr>
            <w:r>
              <w:rPr>
                <w:rFonts w:ascii="Arial" w:cs="Arial" w:eastAsia="Arial" w:hAnsi="Arial"/>
                <w:sz w:val="18"/>
                <w:szCs w:val="18"/>
                <w:color w:val="auto"/>
                <w:w w:val="95"/>
              </w:rPr>
              <w:t>ordinary shares if the underwriters exercise in full their option</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Units</w:t>
            </w:r>
          </w:p>
        </w:tc>
        <w:tc>
          <w:tcPr>
            <w:tcW w:w="4140" w:type="dxa"/>
            <w:vAlign w:val="bottom"/>
            <w:gridSpan w:val="3"/>
          </w:tcPr>
          <w:p>
            <w:pPr>
              <w:ind w:left="160"/>
              <w:spacing w:after="0"/>
              <w:rPr>
                <w:sz w:val="20"/>
                <w:szCs w:val="20"/>
                <w:color w:val="auto"/>
              </w:rPr>
            </w:pPr>
            <w:r>
              <w:rPr>
                <w:rFonts w:ascii="Arial" w:cs="Arial" w:eastAsia="Arial" w:hAnsi="Arial"/>
                <w:sz w:val="18"/>
                <w:szCs w:val="18"/>
                <w:color w:val="auto"/>
              </w:rPr>
              <w:t>to purchase additional ordinary shares)</w:t>
            </w:r>
          </w:p>
        </w:tc>
        <w:tc>
          <w:tcPr>
            <w:tcW w:w="20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34"/>
        </w:trPr>
        <w:tc>
          <w:tcPr>
            <w:tcW w:w="3880" w:type="dxa"/>
            <w:vAlign w:val="bottom"/>
          </w:tcPr>
          <w:p>
            <w:pPr>
              <w:spacing w:after="0"/>
              <w:rPr>
                <w:sz w:val="20"/>
                <w:szCs w:val="20"/>
                <w:color w:val="auto"/>
              </w:rPr>
            </w:pPr>
            <w:r>
              <w:rPr>
                <w:rFonts w:ascii="Arial" w:cs="Arial" w:eastAsia="Arial" w:hAnsi="Arial"/>
                <w:sz w:val="18"/>
                <w:szCs w:val="18"/>
                <w:color w:val="auto"/>
                <w:w w:val="94"/>
              </w:rPr>
              <w:t>Ordinary shares to be outstanding after this offering</w:t>
            </w:r>
          </w:p>
        </w:tc>
        <w:tc>
          <w:tcPr>
            <w:tcW w:w="580" w:type="dxa"/>
            <w:vAlign w:val="bottom"/>
          </w:tcPr>
          <w:p>
            <w:pPr>
              <w:spacing w:after="0"/>
              <w:rPr>
                <w:sz w:val="24"/>
                <w:szCs w:val="24"/>
                <w:color w:val="auto"/>
              </w:rPr>
            </w:pPr>
          </w:p>
        </w:tc>
        <w:tc>
          <w:tcPr>
            <w:tcW w:w="2040" w:type="dxa"/>
            <w:vAlign w:val="bottom"/>
          </w:tcPr>
          <w:p>
            <w:pPr>
              <w:ind w:left="160"/>
              <w:spacing w:after="0"/>
              <w:rPr>
                <w:sz w:val="20"/>
                <w:szCs w:val="20"/>
                <w:color w:val="auto"/>
              </w:rPr>
            </w:pPr>
            <w:r>
              <w:rPr>
                <w:rFonts w:ascii="Arial" w:cs="Arial" w:eastAsia="Arial" w:hAnsi="Arial"/>
                <w:sz w:val="18"/>
                <w:szCs w:val="18"/>
                <w:color w:val="auto"/>
              </w:rPr>
              <w:t>ordinary shares (or</w:t>
            </w:r>
          </w:p>
        </w:tc>
        <w:tc>
          <w:tcPr>
            <w:tcW w:w="4700" w:type="dxa"/>
            <w:vAlign w:val="bottom"/>
            <w:gridSpan w:val="3"/>
          </w:tcPr>
          <w:p>
            <w:pPr>
              <w:ind w:left="20"/>
              <w:spacing w:after="0"/>
              <w:rPr>
                <w:sz w:val="20"/>
                <w:szCs w:val="20"/>
                <w:color w:val="auto"/>
              </w:rPr>
            </w:pPr>
            <w:r>
              <w:rPr>
                <w:rFonts w:ascii="Arial" w:cs="Arial" w:eastAsia="Arial" w:hAnsi="Arial"/>
                <w:sz w:val="18"/>
                <w:szCs w:val="18"/>
                <w:color w:val="auto"/>
                <w:w w:val="92"/>
              </w:rPr>
              <w:t>ordinary shares if the underwriters exercise in full their option to</w:t>
            </w:r>
          </w:p>
        </w:tc>
      </w:tr>
      <w:tr>
        <w:trPr>
          <w:trHeight w:val="230"/>
        </w:trPr>
        <w:tc>
          <w:tcPr>
            <w:tcW w:w="3880" w:type="dxa"/>
            <w:vAlign w:val="bottom"/>
          </w:tcPr>
          <w:p>
            <w:pPr>
              <w:spacing w:after="0"/>
              <w:rPr>
                <w:sz w:val="20"/>
                <w:szCs w:val="20"/>
                <w:color w:val="auto"/>
              </w:rPr>
            </w:pPr>
          </w:p>
        </w:tc>
        <w:tc>
          <w:tcPr>
            <w:tcW w:w="4140" w:type="dxa"/>
            <w:vAlign w:val="bottom"/>
            <w:gridSpan w:val="3"/>
          </w:tcPr>
          <w:p>
            <w:pPr>
              <w:ind w:left="160"/>
              <w:spacing w:after="0"/>
              <w:rPr>
                <w:sz w:val="20"/>
                <w:szCs w:val="20"/>
                <w:color w:val="auto"/>
              </w:rPr>
            </w:pPr>
            <w:r>
              <w:rPr>
                <w:rFonts w:ascii="Arial" w:cs="Arial" w:eastAsia="Arial" w:hAnsi="Arial"/>
                <w:sz w:val="18"/>
                <w:szCs w:val="18"/>
                <w:color w:val="auto"/>
              </w:rPr>
              <w:t>purchase additional ordinary shares)</w:t>
            </w:r>
          </w:p>
        </w:tc>
        <w:tc>
          <w:tcPr>
            <w:tcW w:w="20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3880" w:type="dxa"/>
            <w:vAlign w:val="bottom"/>
          </w:tcPr>
          <w:p>
            <w:pPr>
              <w:spacing w:after="0"/>
              <w:rPr>
                <w:sz w:val="20"/>
                <w:szCs w:val="20"/>
                <w:color w:val="auto"/>
              </w:rPr>
            </w:pPr>
            <w:r>
              <w:rPr>
                <w:rFonts w:ascii="Arial" w:cs="Arial" w:eastAsia="Arial" w:hAnsi="Arial"/>
                <w:sz w:val="18"/>
                <w:szCs w:val="18"/>
                <w:color w:val="auto"/>
              </w:rPr>
              <w:t>Warrants offered by us and included in the Units</w:t>
            </w:r>
          </w:p>
        </w:tc>
        <w:tc>
          <w:tcPr>
            <w:tcW w:w="580" w:type="dxa"/>
            <w:vAlign w:val="bottom"/>
          </w:tcPr>
          <w:p>
            <w:pPr>
              <w:spacing w:after="0"/>
              <w:rPr>
                <w:sz w:val="24"/>
                <w:szCs w:val="24"/>
                <w:color w:val="auto"/>
              </w:rPr>
            </w:pPr>
          </w:p>
        </w:tc>
        <w:tc>
          <w:tcPr>
            <w:tcW w:w="3560" w:type="dxa"/>
            <w:vAlign w:val="bottom"/>
            <w:gridSpan w:val="2"/>
          </w:tcPr>
          <w:p>
            <w:pPr>
              <w:ind w:left="160"/>
              <w:spacing w:after="0"/>
              <w:rPr>
                <w:sz w:val="20"/>
                <w:szCs w:val="20"/>
                <w:color w:val="auto"/>
              </w:rPr>
            </w:pPr>
            <w:r>
              <w:rPr>
                <w:rFonts w:ascii="Arial" w:cs="Arial" w:eastAsia="Arial" w:hAnsi="Arial"/>
                <w:sz w:val="18"/>
                <w:szCs w:val="18"/>
                <w:color w:val="auto"/>
                <w:w w:val="98"/>
              </w:rPr>
              <w:t>warrants, with each warrant exercisable for</w:t>
            </w:r>
          </w:p>
        </w:tc>
        <w:tc>
          <w:tcPr>
            <w:tcW w:w="2040" w:type="dxa"/>
            <w:vAlign w:val="bottom"/>
          </w:tcPr>
          <w:p>
            <w:pPr>
              <w:jc w:val="center"/>
              <w:ind w:right="10"/>
              <w:spacing w:after="0"/>
              <w:rPr>
                <w:sz w:val="20"/>
                <w:szCs w:val="20"/>
                <w:color w:val="auto"/>
              </w:rPr>
            </w:pPr>
            <w:r>
              <w:rPr>
                <w:rFonts w:ascii="Arial" w:cs="Arial" w:eastAsia="Arial" w:hAnsi="Arial"/>
                <w:sz w:val="18"/>
                <w:szCs w:val="18"/>
                <w:color w:val="auto"/>
                <w:w w:val="90"/>
              </w:rPr>
              <w:t>of an ordinary share (or</w:t>
            </w:r>
          </w:p>
        </w:tc>
        <w:tc>
          <w:tcPr>
            <w:tcW w:w="1140" w:type="dxa"/>
            <w:vAlign w:val="bottom"/>
          </w:tcPr>
          <w:p>
            <w:pPr>
              <w:ind w:left="80"/>
              <w:spacing w:after="0"/>
              <w:rPr>
                <w:sz w:val="20"/>
                <w:szCs w:val="20"/>
                <w:color w:val="auto"/>
              </w:rPr>
            </w:pPr>
            <w:r>
              <w:rPr>
                <w:rFonts w:ascii="Arial" w:cs="Arial" w:eastAsia="Arial" w:hAnsi="Arial"/>
                <w:sz w:val="18"/>
                <w:szCs w:val="18"/>
                <w:color w:val="auto"/>
                <w:w w:val="91"/>
              </w:rPr>
              <w:t>warrants if the</w:t>
            </w:r>
          </w:p>
        </w:tc>
      </w:tr>
      <w:tr>
        <w:trPr>
          <w:trHeight w:val="216"/>
        </w:trPr>
        <w:tc>
          <w:tcPr>
            <w:tcW w:w="3880" w:type="dxa"/>
            <w:vAlign w:val="bottom"/>
          </w:tcPr>
          <w:p>
            <w:pPr>
              <w:spacing w:after="0"/>
              <w:rPr>
                <w:sz w:val="18"/>
                <w:szCs w:val="18"/>
                <w:color w:val="auto"/>
              </w:rPr>
            </w:pPr>
          </w:p>
        </w:tc>
        <w:tc>
          <w:tcPr>
            <w:tcW w:w="7320" w:type="dxa"/>
            <w:vAlign w:val="bottom"/>
            <w:gridSpan w:val="5"/>
          </w:tcPr>
          <w:p>
            <w:pPr>
              <w:ind w:left="160"/>
              <w:spacing w:after="0"/>
              <w:rPr>
                <w:sz w:val="20"/>
                <w:szCs w:val="20"/>
                <w:color w:val="auto"/>
              </w:rPr>
            </w:pPr>
            <w:r>
              <w:rPr>
                <w:rFonts w:ascii="Arial" w:cs="Arial" w:eastAsia="Arial" w:hAnsi="Arial"/>
                <w:sz w:val="18"/>
                <w:szCs w:val="18"/>
                <w:color w:val="auto"/>
                <w:w w:val="91"/>
              </w:rPr>
              <w:t>underwriters exercise in full their option to purchase additional warrants) at an initial exercise price</w:t>
            </w:r>
          </w:p>
        </w:tc>
      </w:tr>
      <w:tr>
        <w:trPr>
          <w:trHeight w:val="216"/>
        </w:trPr>
        <w:tc>
          <w:tcPr>
            <w:tcW w:w="3880" w:type="dxa"/>
            <w:vAlign w:val="bottom"/>
          </w:tcPr>
          <w:p>
            <w:pPr>
              <w:spacing w:after="0"/>
              <w:rPr>
                <w:sz w:val="18"/>
                <w:szCs w:val="18"/>
                <w:color w:val="auto"/>
              </w:rPr>
            </w:pPr>
          </w:p>
        </w:tc>
        <w:tc>
          <w:tcPr>
            <w:tcW w:w="580" w:type="dxa"/>
            <w:vAlign w:val="bottom"/>
          </w:tcPr>
          <w:p>
            <w:pPr>
              <w:ind w:left="160"/>
              <w:spacing w:after="0"/>
              <w:rPr>
                <w:sz w:val="20"/>
                <w:szCs w:val="20"/>
                <w:color w:val="auto"/>
              </w:rPr>
            </w:pPr>
            <w:r>
              <w:rPr>
                <w:rFonts w:ascii="Arial" w:cs="Arial" w:eastAsia="Arial" w:hAnsi="Arial"/>
                <w:sz w:val="18"/>
                <w:szCs w:val="18"/>
                <w:color w:val="auto"/>
              </w:rPr>
              <w:t>of $</w:t>
            </w:r>
          </w:p>
        </w:tc>
        <w:tc>
          <w:tcPr>
            <w:tcW w:w="6740" w:type="dxa"/>
            <w:vAlign w:val="bottom"/>
            <w:gridSpan w:val="4"/>
          </w:tcPr>
          <w:p>
            <w:pPr>
              <w:ind w:left="260"/>
              <w:spacing w:after="0"/>
              <w:rPr>
                <w:sz w:val="20"/>
                <w:szCs w:val="20"/>
                <w:color w:val="auto"/>
              </w:rPr>
            </w:pPr>
            <w:r>
              <w:rPr>
                <w:rFonts w:ascii="Arial" w:cs="Arial" w:eastAsia="Arial" w:hAnsi="Arial"/>
                <w:sz w:val="18"/>
                <w:szCs w:val="18"/>
                <w:color w:val="auto"/>
                <w:w w:val="96"/>
              </w:rPr>
              <w:t>per ordinary share, subject to adjustments as described herein. The warrants will be</w:t>
            </w:r>
          </w:p>
        </w:tc>
      </w:tr>
      <w:tr>
        <w:trPr>
          <w:trHeight w:val="216"/>
        </w:trPr>
        <w:tc>
          <w:tcPr>
            <w:tcW w:w="3880" w:type="dxa"/>
            <w:vAlign w:val="bottom"/>
          </w:tcPr>
          <w:p>
            <w:pPr>
              <w:spacing w:after="0"/>
              <w:rPr>
                <w:sz w:val="18"/>
                <w:szCs w:val="18"/>
                <w:color w:val="auto"/>
              </w:rPr>
            </w:pPr>
          </w:p>
        </w:tc>
        <w:tc>
          <w:tcPr>
            <w:tcW w:w="7320" w:type="dxa"/>
            <w:vAlign w:val="bottom"/>
            <w:gridSpan w:val="5"/>
          </w:tcPr>
          <w:p>
            <w:pPr>
              <w:ind w:left="160"/>
              <w:spacing w:after="0"/>
              <w:rPr>
                <w:sz w:val="20"/>
                <w:szCs w:val="20"/>
                <w:color w:val="auto"/>
              </w:rPr>
            </w:pPr>
            <w:r>
              <w:rPr>
                <w:rFonts w:ascii="Arial" w:cs="Arial" w:eastAsia="Arial" w:hAnsi="Arial"/>
                <w:sz w:val="18"/>
                <w:szCs w:val="18"/>
                <w:color w:val="auto"/>
                <w:w w:val="91"/>
              </w:rPr>
              <w:t>exercisable upon issuance and will expire five years after issuance, unless earlier repurchased by</w:t>
            </w:r>
          </w:p>
        </w:tc>
      </w:tr>
      <w:tr>
        <w:trPr>
          <w:trHeight w:val="216"/>
        </w:trPr>
        <w:tc>
          <w:tcPr>
            <w:tcW w:w="3880" w:type="dxa"/>
            <w:vAlign w:val="bottom"/>
          </w:tcPr>
          <w:p>
            <w:pPr>
              <w:spacing w:after="0"/>
              <w:rPr>
                <w:sz w:val="18"/>
                <w:szCs w:val="18"/>
                <w:color w:val="auto"/>
              </w:rPr>
            </w:pPr>
          </w:p>
        </w:tc>
        <w:tc>
          <w:tcPr>
            <w:tcW w:w="7320" w:type="dxa"/>
            <w:vAlign w:val="bottom"/>
            <w:gridSpan w:val="5"/>
          </w:tcPr>
          <w:p>
            <w:pPr>
              <w:ind w:left="160"/>
              <w:spacing w:after="0"/>
              <w:rPr>
                <w:sz w:val="20"/>
                <w:szCs w:val="20"/>
                <w:color w:val="auto"/>
              </w:rPr>
            </w:pPr>
            <w:r>
              <w:rPr>
                <w:rFonts w:ascii="Arial" w:cs="Arial" w:eastAsia="Arial" w:hAnsi="Arial"/>
                <w:sz w:val="18"/>
                <w:szCs w:val="18"/>
                <w:color w:val="auto"/>
                <w:w w:val="93"/>
              </w:rPr>
              <w:t>us or subject to early expiration as described herein. See “Description of Warrants.” We are also</w:t>
            </w:r>
          </w:p>
        </w:tc>
      </w:tr>
      <w:tr>
        <w:trPr>
          <w:trHeight w:val="216"/>
        </w:trPr>
        <w:tc>
          <w:tcPr>
            <w:tcW w:w="3880" w:type="dxa"/>
            <w:vAlign w:val="bottom"/>
          </w:tcPr>
          <w:p>
            <w:pPr>
              <w:spacing w:after="0"/>
              <w:rPr>
                <w:sz w:val="18"/>
                <w:szCs w:val="18"/>
                <w:color w:val="auto"/>
              </w:rPr>
            </w:pPr>
          </w:p>
        </w:tc>
        <w:tc>
          <w:tcPr>
            <w:tcW w:w="7320" w:type="dxa"/>
            <w:vAlign w:val="bottom"/>
            <w:gridSpan w:val="5"/>
          </w:tcPr>
          <w:p>
            <w:pPr>
              <w:ind w:left="160"/>
              <w:spacing w:after="0"/>
              <w:rPr>
                <w:sz w:val="20"/>
                <w:szCs w:val="20"/>
                <w:color w:val="auto"/>
              </w:rPr>
            </w:pPr>
            <w:r>
              <w:rPr>
                <w:rFonts w:ascii="Arial" w:cs="Arial" w:eastAsia="Arial" w:hAnsi="Arial"/>
                <w:sz w:val="18"/>
                <w:szCs w:val="18"/>
                <w:color w:val="auto"/>
                <w:w w:val="91"/>
              </w:rPr>
              <w:t>offering the ordinary shares that are issuable upon the exercise of the warrants offered pursuant to</w:t>
            </w:r>
          </w:p>
        </w:tc>
      </w:tr>
      <w:tr>
        <w:trPr>
          <w:trHeight w:val="230"/>
        </w:trPr>
        <w:tc>
          <w:tcPr>
            <w:tcW w:w="3880" w:type="dxa"/>
            <w:vAlign w:val="bottom"/>
          </w:tcPr>
          <w:p>
            <w:pPr>
              <w:spacing w:after="0"/>
              <w:rPr>
                <w:sz w:val="20"/>
                <w:szCs w:val="20"/>
                <w:color w:val="auto"/>
              </w:rPr>
            </w:pPr>
          </w:p>
        </w:tc>
        <w:tc>
          <w:tcPr>
            <w:tcW w:w="2620" w:type="dxa"/>
            <w:vAlign w:val="bottom"/>
            <w:gridSpan w:val="2"/>
          </w:tcPr>
          <w:p>
            <w:pPr>
              <w:ind w:left="160"/>
              <w:spacing w:after="0"/>
              <w:rPr>
                <w:sz w:val="20"/>
                <w:szCs w:val="20"/>
                <w:color w:val="auto"/>
              </w:rPr>
            </w:pPr>
            <w:r>
              <w:rPr>
                <w:rFonts w:ascii="Arial" w:cs="Arial" w:eastAsia="Arial" w:hAnsi="Arial"/>
                <w:sz w:val="18"/>
                <w:szCs w:val="18"/>
                <w:color w:val="auto"/>
              </w:rPr>
              <w:t>this prospectus.</w:t>
            </w:r>
          </w:p>
        </w:tc>
        <w:tc>
          <w:tcPr>
            <w:tcW w:w="15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0" w:lineRule="exact"/>
        <w:rPr>
          <w:sz w:val="20"/>
          <w:szCs w:val="20"/>
          <w:color w:val="auto"/>
        </w:rPr>
      </w:pPr>
    </w:p>
    <w:p>
      <w:pPr>
        <w:sectPr>
          <w:pgSz w:w="11900" w:h="16874" w:orient="portrait"/>
          <w:cols w:equalWidth="0" w:num="1">
            <w:col w:w="11320"/>
          </w:cols>
          <w:pgMar w:left="240" w:top="225" w:right="339" w:bottom="0" w:gutter="0" w:footer="0" w:header="0"/>
          <w:type w:val="continuous"/>
        </w:sectPr>
      </w:pPr>
    </w:p>
    <w:p>
      <w:pPr>
        <w:spacing w:after="0" w:line="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Over-allotment option to purchase additional ordinary shares and/or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ind w:left="6" w:right="240"/>
        <w:spacing w:after="0" w:line="257" w:lineRule="auto"/>
        <w:rPr>
          <w:sz w:val="20"/>
          <w:szCs w:val="20"/>
          <w:color w:val="auto"/>
        </w:rPr>
      </w:pPr>
      <w:r>
        <w:rPr>
          <w:rFonts w:ascii="Arial" w:cs="Arial" w:eastAsia="Arial" w:hAnsi="Arial"/>
          <w:sz w:val="18"/>
          <w:szCs w:val="18"/>
          <w:color w:val="auto"/>
        </w:rPr>
        <w:t>The underwriters have an option to purchase up to additional ordinary shares and/or additional warrants from us to cover over allotments, if any. The underwriters can exercise this option at any time and from time to time within 30 days from the date of this prospectus. The public offering price per unit corresponds to a public offering price per ordinary share of $ and a public offering price per warrant of $ .</w:t>
      </w:r>
    </w:p>
    <w:p>
      <w:pPr>
        <w:spacing w:after="0" w:line="188" w:lineRule="exact"/>
        <w:rPr>
          <w:sz w:val="20"/>
          <w:szCs w:val="20"/>
          <w:color w:val="auto"/>
        </w:rPr>
      </w:pPr>
    </w:p>
    <w:p>
      <w:pPr>
        <w:ind w:left="6" w:right="120"/>
        <w:spacing w:after="0" w:line="255" w:lineRule="auto"/>
        <w:rPr>
          <w:sz w:val="20"/>
          <w:szCs w:val="20"/>
          <w:color w:val="auto"/>
        </w:rPr>
      </w:pPr>
      <w:r>
        <w:rPr>
          <w:rFonts w:ascii="Arial" w:cs="Arial" w:eastAsia="Arial" w:hAnsi="Arial"/>
          <w:sz w:val="18"/>
          <w:szCs w:val="18"/>
          <w:color w:val="auto"/>
        </w:rPr>
        <w:t>We estimate that we will receive net proceeds of approximately $ million from our sale of units in this offering, after deducting the estimated underwriting discount and the estimated offering expenses payable by us. This assumes an offering price of $ per unit, which is the midpoint of the estimated offering price range on the cover page of this prospectus. We intend to use the net proceeds from this offering, together with $9.2 million of cash and cash equivalents on hand as of March 31, 2018, as follows:</w:t>
      </w:r>
    </w:p>
    <w:p>
      <w:pPr>
        <w:spacing w:after="0" w:line="193" w:lineRule="exact"/>
        <w:rPr>
          <w:sz w:val="20"/>
          <w:szCs w:val="20"/>
          <w:color w:val="auto"/>
        </w:rPr>
      </w:pPr>
    </w:p>
    <w:p>
      <w:pPr>
        <w:ind w:left="166" w:right="400" w:hanging="166"/>
        <w:spacing w:after="0" w:line="277" w:lineRule="auto"/>
        <w:tabs>
          <w:tab w:leader="none" w:pos="196"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 million to fund research and development expenses of our oral PTH candidate, EB612;</w:t>
      </w:r>
    </w:p>
    <w:p>
      <w:pPr>
        <w:spacing w:after="0" w:line="386" w:lineRule="exact"/>
        <w:rPr>
          <w:rFonts w:ascii="Arial" w:cs="Arial" w:eastAsia="Arial" w:hAnsi="Arial"/>
          <w:sz w:val="18"/>
          <w:szCs w:val="18"/>
          <w:color w:val="auto"/>
        </w:rPr>
      </w:pPr>
    </w:p>
    <w:p>
      <w:pPr>
        <w:ind w:left="166" w:right="320" w:hanging="166"/>
        <w:spacing w:after="0" w:line="277" w:lineRule="auto"/>
        <w:tabs>
          <w:tab w:leader="none" w:pos="196"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 million to fund research and development expenses of our oral PTH candidate, EB613; and</w:t>
      </w:r>
    </w:p>
    <w:p>
      <w:pPr>
        <w:spacing w:after="0" w:line="200" w:lineRule="exact"/>
        <w:rPr>
          <w:sz w:val="20"/>
          <w:szCs w:val="20"/>
          <w:color w:val="auto"/>
        </w:rPr>
      </w:pPr>
    </w:p>
    <w:p>
      <w:pPr>
        <w:sectPr>
          <w:pgSz w:w="11900" w:h="16874" w:orient="portrait"/>
          <w:cols w:equalWidth="0" w:num="2">
            <w:col w:w="4000" w:space="154"/>
            <w:col w:w="7166"/>
          </w:cols>
          <w:pgMar w:left="240" w:top="225" w:right="339" w:bottom="0" w:gutter="0" w:footer="0" w:header="0"/>
          <w:type w:val="continuous"/>
        </w:sectPr>
      </w:pPr>
    </w:p>
    <w:p>
      <w:pPr>
        <w:spacing w:after="0" w:line="18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  the remainder for working capital and general corporate purposes.</w:t>
      </w:r>
    </w:p>
    <w:p>
      <w:pPr>
        <w:spacing w:after="0" w:line="200" w:lineRule="exact"/>
        <w:rPr>
          <w:sz w:val="20"/>
          <w:szCs w:val="20"/>
          <w:color w:val="auto"/>
        </w:rPr>
      </w:pPr>
    </w:p>
    <w:p>
      <w:pPr>
        <w:spacing w:after="0" w:line="24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See “Use of Proceeds.”</w:t>
      </w:r>
    </w:p>
    <w:p>
      <w:pPr>
        <w:spacing w:after="0" w:line="225" w:lineRule="exact"/>
        <w:rPr>
          <w:sz w:val="20"/>
          <w:szCs w:val="20"/>
          <w:color w:val="auto"/>
        </w:rPr>
      </w:pPr>
    </w:p>
    <w:p>
      <w:pPr>
        <w:ind w:left="120"/>
        <w:spacing w:after="0"/>
        <w:tabs>
          <w:tab w:leader="none" w:pos="4140" w:val="left"/>
        </w:tabs>
        <w:rPr>
          <w:sz w:val="20"/>
          <w:szCs w:val="20"/>
          <w:color w:val="auto"/>
        </w:rPr>
      </w:pPr>
      <w:r>
        <w:rPr>
          <w:rFonts w:ascii="Arial" w:cs="Arial" w:eastAsia="Arial" w:hAnsi="Arial"/>
          <w:sz w:val="18"/>
          <w:szCs w:val="18"/>
          <w:color w:val="auto"/>
        </w:rPr>
        <w:t>Dividend Policy</w:t>
      </w:r>
      <w:r>
        <w:rPr>
          <w:sz w:val="20"/>
          <w:szCs w:val="20"/>
          <w:color w:val="auto"/>
        </w:rPr>
        <w:tab/>
      </w:r>
      <w:r>
        <w:rPr>
          <w:rFonts w:ascii="Arial" w:cs="Arial" w:eastAsia="Arial" w:hAnsi="Arial"/>
          <w:sz w:val="16"/>
          <w:szCs w:val="16"/>
          <w:color w:val="auto"/>
        </w:rPr>
        <w:t>We have never paid or declared any cash dividends on our ordinary shares, and we do not</w:t>
      </w:r>
    </w:p>
    <w:p>
      <w:pPr>
        <w:spacing w:after="0" w:line="23" w:lineRule="exact"/>
        <w:rPr>
          <w:sz w:val="20"/>
          <w:szCs w:val="20"/>
          <w:color w:val="auto"/>
        </w:rPr>
      </w:pPr>
    </w:p>
    <w:p>
      <w:pPr>
        <w:ind w:left="4160" w:right="720"/>
        <w:spacing w:after="0" w:line="261" w:lineRule="auto"/>
        <w:rPr>
          <w:sz w:val="20"/>
          <w:szCs w:val="20"/>
          <w:color w:val="auto"/>
        </w:rPr>
      </w:pPr>
      <w:r>
        <w:rPr>
          <w:rFonts w:ascii="Arial" w:cs="Arial" w:eastAsia="Arial" w:hAnsi="Arial"/>
          <w:sz w:val="18"/>
          <w:szCs w:val="18"/>
          <w:color w:val="auto"/>
        </w:rPr>
        <w:t>anticipate paying any cash dividends on our ordinary shares in the foreseeable future. See “Dividend Policy.”</w:t>
      </w:r>
    </w:p>
    <w:p>
      <w:pPr>
        <w:spacing w:after="0" w:line="184" w:lineRule="exact"/>
        <w:rPr>
          <w:sz w:val="20"/>
          <w:szCs w:val="20"/>
          <w:color w:val="auto"/>
        </w:rPr>
      </w:pPr>
    </w:p>
    <w:p>
      <w:pPr>
        <w:ind w:left="120"/>
        <w:spacing w:after="0"/>
        <w:tabs>
          <w:tab w:leader="none" w:pos="414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See “Risk Factors” and other information included in this prospectus for a discussion of factors</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you should carefully consider before deciding to invest in our ordinary shares and warrants.</w:t>
      </w:r>
    </w:p>
    <w:p>
      <w:pPr>
        <w:spacing w:after="0" w:line="222" w:lineRule="exact"/>
        <w:rPr>
          <w:sz w:val="20"/>
          <w:szCs w:val="20"/>
          <w:color w:val="auto"/>
        </w:rPr>
      </w:pPr>
    </w:p>
    <w:p>
      <w:pPr>
        <w:ind w:left="120"/>
        <w:spacing w:after="0"/>
        <w:tabs>
          <w:tab w:leader="none" w:pos="4140" w:val="left"/>
        </w:tabs>
        <w:rPr>
          <w:sz w:val="20"/>
          <w:szCs w:val="20"/>
          <w:color w:val="auto"/>
        </w:rPr>
      </w:pPr>
      <w:r>
        <w:rPr>
          <w:rFonts w:ascii="Arial" w:cs="Arial" w:eastAsia="Arial" w:hAnsi="Arial"/>
          <w:sz w:val="18"/>
          <w:szCs w:val="18"/>
          <w:color w:val="auto"/>
        </w:rPr>
        <w:t>Proposed Listing</w:t>
      </w:r>
      <w:r>
        <w:rPr>
          <w:sz w:val="20"/>
          <w:szCs w:val="20"/>
          <w:color w:val="auto"/>
        </w:rPr>
        <w:tab/>
      </w:r>
      <w:r>
        <w:rPr>
          <w:rFonts w:ascii="Arial" w:cs="Arial" w:eastAsia="Arial" w:hAnsi="Arial"/>
          <w:sz w:val="16"/>
          <w:szCs w:val="16"/>
          <w:color w:val="auto"/>
        </w:rPr>
        <w:t>We have applied to list our ordinary shares on the NASDAQ Capital Market under the symbol</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“ENTX”.</w:t>
      </w:r>
    </w:p>
    <w:p>
      <w:pPr>
        <w:spacing w:after="0" w:line="211" w:lineRule="exact"/>
        <w:rPr>
          <w:sz w:val="20"/>
          <w:szCs w:val="20"/>
          <w:color w:val="auto"/>
        </w:rPr>
      </w:pPr>
    </w:p>
    <w:p>
      <w:pPr>
        <w:ind w:left="4160" w:right="120"/>
        <w:spacing w:after="0" w:line="277" w:lineRule="auto"/>
        <w:rPr>
          <w:sz w:val="20"/>
          <w:szCs w:val="20"/>
          <w:color w:val="auto"/>
        </w:rPr>
      </w:pPr>
      <w:r>
        <w:rPr>
          <w:rFonts w:ascii="Arial" w:cs="Arial" w:eastAsia="Arial" w:hAnsi="Arial"/>
          <w:sz w:val="18"/>
          <w:szCs w:val="18"/>
          <w:color w:val="auto"/>
        </w:rPr>
        <w:t>We do not intend to apply to list the warrants on the NASDAQ Capital Market, any other national securities exchange or any other nationally recognized trading system.</w:t>
      </w:r>
    </w:p>
    <w:p>
      <w:pPr>
        <w:spacing w:after="0" w:line="346" w:lineRule="exact"/>
        <w:rPr>
          <w:sz w:val="20"/>
          <w:szCs w:val="20"/>
          <w:color w:val="auto"/>
        </w:rPr>
      </w:pPr>
    </w:p>
    <w:p>
      <w:pPr>
        <w:ind w:left="120" w:right="300"/>
        <w:spacing w:after="0" w:line="264" w:lineRule="auto"/>
        <w:rPr>
          <w:sz w:val="20"/>
          <w:szCs w:val="20"/>
          <w:color w:val="auto"/>
        </w:rPr>
      </w:pPr>
      <w:r>
        <w:rPr>
          <w:rFonts w:ascii="Arial" w:cs="Arial" w:eastAsia="Arial" w:hAnsi="Arial"/>
          <w:sz w:val="18"/>
          <w:szCs w:val="18"/>
          <w:color w:val="auto"/>
        </w:rPr>
        <w:t>We have based the number of our ordinary shares to be outstanding immediately following this offering on ordinary shares outstanding as of March 31, 2018, assuming there is no exercise of the warrants offered hereby and after giving effect to the 1-for- split of our ordinary shares that will be effected immediately following the pricing of this offering (as described below), excluding:</w:t>
      </w:r>
    </w:p>
    <w:p>
      <w:pPr>
        <w:spacing w:after="0" w:line="181" w:lineRule="exact"/>
        <w:rPr>
          <w:sz w:val="20"/>
          <w:szCs w:val="20"/>
          <w:color w:val="auto"/>
        </w:rPr>
      </w:pPr>
    </w:p>
    <w:p>
      <w:pPr>
        <w:ind w:left="280"/>
        <w:spacing w:after="0"/>
        <w:tabs>
          <w:tab w:leader="none" w:pos="880" w:val="left"/>
          <w:tab w:leader="none" w:pos="7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ordinary shares issuable upon the exercise of options consisting of (i) options to purchase</w:t>
      </w:r>
      <w:r>
        <w:rPr>
          <w:sz w:val="20"/>
          <w:szCs w:val="20"/>
          <w:color w:val="auto"/>
        </w:rPr>
        <w:tab/>
      </w:r>
      <w:r>
        <w:rPr>
          <w:rFonts w:ascii="Arial" w:cs="Arial" w:eastAsia="Arial" w:hAnsi="Arial"/>
          <w:sz w:val="16"/>
          <w:szCs w:val="16"/>
          <w:color w:val="auto"/>
        </w:rPr>
        <w:t>ordinary shares under our 2013 Share Incentive</w:t>
      </w:r>
    </w:p>
    <w:p>
      <w:pPr>
        <w:spacing w:after="0" w:line="23" w:lineRule="exact"/>
        <w:rPr>
          <w:sz w:val="20"/>
          <w:szCs w:val="20"/>
          <w:color w:val="auto"/>
        </w:rPr>
      </w:pPr>
    </w:p>
    <w:p>
      <w:pPr>
        <w:ind w:left="440"/>
        <w:spacing w:after="0"/>
        <w:tabs>
          <w:tab w:leader="none" w:pos="4260" w:val="left"/>
        </w:tabs>
        <w:rPr>
          <w:sz w:val="20"/>
          <w:szCs w:val="20"/>
          <w:color w:val="auto"/>
        </w:rPr>
      </w:pPr>
      <w:r>
        <w:rPr>
          <w:rFonts w:ascii="Arial" w:cs="Arial" w:eastAsia="Arial" w:hAnsi="Arial"/>
          <w:sz w:val="18"/>
          <w:szCs w:val="18"/>
          <w:color w:val="auto"/>
        </w:rPr>
        <w:t>Plan at a weighted average exercise price of $</w:t>
      </w:r>
      <w:r>
        <w:rPr>
          <w:sz w:val="20"/>
          <w:szCs w:val="20"/>
          <w:color w:val="auto"/>
        </w:rPr>
        <w:tab/>
      </w:r>
      <w:r>
        <w:rPr>
          <w:rFonts w:ascii="Arial" w:cs="Arial" w:eastAsia="Arial" w:hAnsi="Arial"/>
          <w:sz w:val="16"/>
          <w:szCs w:val="16"/>
          <w:color w:val="auto"/>
        </w:rPr>
        <w:t>per share outstanding as of March 31, 2018 and (ii) options to purchase ordinary shares to be</w:t>
      </w:r>
    </w:p>
    <w:p>
      <w:pPr>
        <w:spacing w:after="0" w:line="9" w:lineRule="exact"/>
        <w:rPr>
          <w:sz w:val="20"/>
          <w:szCs w:val="20"/>
          <w:color w:val="auto"/>
        </w:rPr>
      </w:pPr>
    </w:p>
    <w:p>
      <w:pPr>
        <w:ind w:left="440"/>
        <w:spacing w:after="0"/>
        <w:tabs>
          <w:tab w:leader="none" w:pos="10500" w:val="left"/>
        </w:tabs>
        <w:rPr>
          <w:sz w:val="20"/>
          <w:szCs w:val="20"/>
          <w:color w:val="auto"/>
        </w:rPr>
      </w:pPr>
      <w:r>
        <w:rPr>
          <w:rFonts w:ascii="Arial" w:cs="Arial" w:eastAsia="Arial" w:hAnsi="Arial"/>
          <w:sz w:val="17"/>
          <w:szCs w:val="17"/>
          <w:color w:val="auto"/>
        </w:rPr>
        <w:t>granted to certain holders of our Series A preferred shares upon the closing of this offering, at a weighted average exercise price of $</w:t>
      </w:r>
      <w:r>
        <w:rPr>
          <w:sz w:val="20"/>
          <w:szCs w:val="20"/>
          <w:color w:val="auto"/>
        </w:rPr>
        <w:tab/>
      </w:r>
      <w:r>
        <w:rPr>
          <w:rFonts w:ascii="Arial" w:cs="Arial" w:eastAsia="Arial" w:hAnsi="Arial"/>
          <w:sz w:val="14"/>
          <w:szCs w:val="14"/>
          <w:color w:val="auto"/>
        </w:rPr>
        <w:t>, as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described below;</w:t>
      </w:r>
    </w:p>
    <w:p>
      <w:pPr>
        <w:spacing w:after="0" w:line="211" w:lineRule="exact"/>
        <w:rPr>
          <w:sz w:val="20"/>
          <w:szCs w:val="20"/>
          <w:color w:val="auto"/>
        </w:rPr>
      </w:pPr>
    </w:p>
    <w:p>
      <w:pPr>
        <w:ind w:left="900" w:hanging="622"/>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ordinary shares issuable upon exercise of other warrants, as described below; and</w:t>
      </w:r>
    </w:p>
    <w:p>
      <w:pPr>
        <w:sectPr>
          <w:pgSz w:w="11900" w:h="16874" w:orient="portrait"/>
          <w:cols w:equalWidth="0" w:num="1">
            <w:col w:w="11320"/>
          </w:cols>
          <w:pgMar w:left="240" w:top="225" w:right="339" w:bottom="0" w:gutter="0" w:footer="0" w:header="0"/>
          <w:type w:val="continuous"/>
        </w:sectPr>
      </w:pPr>
    </w:p>
    <w:bookmarkStart w:id="14" w:name="page15"/>
    <w:bookmarkEnd w:id="14"/>
    <w:p>
      <w:pPr>
        <w:jc w:val="center"/>
        <w:ind w:right="3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482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482600"/>
                    </a:xfrm>
                    <a:prstGeom prst="rect">
                      <a:avLst/>
                    </a:prstGeom>
                    <a:noFill/>
                  </pic:spPr>
                </pic:pic>
              </a:graphicData>
            </a:graphic>
          </wp:anchor>
        </w:drawing>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22" w:right="1440"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347345</wp:posOffset>
            </wp:positionV>
            <wp:extent cx="7250430" cy="74650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7465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40" w:right="100" w:hanging="162"/>
        <w:spacing w:after="0" w:line="277" w:lineRule="auto"/>
        <w:tabs>
          <w:tab w:leader="none" w:pos="8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ordinary shares reserved for future grants under the 2018 Equity Incentive Plan (the “2018 Plan”), which we intend to adopt in connection with this offering.</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Unless we specifically state otherwise, this prospectus reflects and assumes:</w:t>
      </w:r>
    </w:p>
    <w:p>
      <w:pPr>
        <w:spacing w:after="0" w:line="225" w:lineRule="exact"/>
        <w:rPr>
          <w:sz w:val="20"/>
          <w:szCs w:val="20"/>
          <w:color w:val="auto"/>
        </w:rPr>
      </w:pPr>
    </w:p>
    <w:p>
      <w:pPr>
        <w:ind w:left="440" w:hanging="162"/>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of the outstanding options or warrants described above;</w:t>
      </w:r>
    </w:p>
    <w:p>
      <w:pPr>
        <w:spacing w:after="0" w:line="225" w:lineRule="exact"/>
        <w:rPr>
          <w:rFonts w:ascii="Arial" w:cs="Arial" w:eastAsia="Arial" w:hAnsi="Arial"/>
          <w:sz w:val="18"/>
          <w:szCs w:val="18"/>
          <w:color w:val="auto"/>
        </w:rPr>
      </w:pPr>
    </w:p>
    <w:p>
      <w:pPr>
        <w:ind w:left="440" w:hanging="162"/>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of the warrants offered hereby;</w:t>
      </w:r>
    </w:p>
    <w:p>
      <w:pPr>
        <w:spacing w:after="0" w:line="225" w:lineRule="exact"/>
        <w:rPr>
          <w:rFonts w:ascii="Arial" w:cs="Arial" w:eastAsia="Arial" w:hAnsi="Arial"/>
          <w:sz w:val="18"/>
          <w:szCs w:val="18"/>
          <w:color w:val="auto"/>
        </w:rPr>
      </w:pPr>
    </w:p>
    <w:p>
      <w:pPr>
        <w:ind w:left="440" w:right="280" w:hanging="162"/>
        <w:spacing w:after="0" w:line="277"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initial public offering price of $ per unit, which is the midpoint of the estimated offering price range on the cover page of this prospectus; and</w:t>
      </w:r>
    </w:p>
    <w:p>
      <w:pPr>
        <w:spacing w:after="0" w:line="170" w:lineRule="exact"/>
        <w:rPr>
          <w:rFonts w:ascii="Arial" w:cs="Arial" w:eastAsia="Arial" w:hAnsi="Arial"/>
          <w:sz w:val="18"/>
          <w:szCs w:val="18"/>
          <w:color w:val="auto"/>
        </w:rPr>
      </w:pPr>
    </w:p>
    <w:p>
      <w:pPr>
        <w:ind w:left="440" w:hanging="162"/>
        <w:spacing w:after="0"/>
        <w:tabs>
          <w:tab w:leader="none" w:pos="4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that the underwriters do not exercise their over-allotment option or the warrants issued to the representative in connection with this offering.</w:t>
      </w:r>
    </w:p>
    <w:p>
      <w:pPr>
        <w:spacing w:after="0" w:line="23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In addition, unless otherwise indicated, this prospectus reflects and assumes that a number of actions will be completed in connection with the closing of this offering, which we refer to as the “IPO Transactions.” These actions include the following:</w:t>
      </w:r>
    </w:p>
    <w:p>
      <w:pPr>
        <w:spacing w:after="0" w:line="170" w:lineRule="exact"/>
        <w:rPr>
          <w:sz w:val="20"/>
          <w:szCs w:val="20"/>
          <w:color w:val="auto"/>
        </w:rPr>
      </w:pPr>
    </w:p>
    <w:p>
      <w:pPr>
        <w:ind w:left="440" w:right="220" w:hanging="162"/>
        <w:spacing w:after="0" w:line="277"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adoption of our Sixth Amended and Restated Articles of Association (the “amended Articles”), immediately upon the closing of this offering, to replace the current Articles;</w:t>
      </w:r>
    </w:p>
    <w:p>
      <w:pPr>
        <w:spacing w:after="0" w:line="170" w:lineRule="exact"/>
        <w:rPr>
          <w:rFonts w:ascii="Arial" w:cs="Arial" w:eastAsia="Arial" w:hAnsi="Arial"/>
          <w:sz w:val="18"/>
          <w:szCs w:val="18"/>
          <w:color w:val="auto"/>
        </w:rPr>
      </w:pPr>
    </w:p>
    <w:p>
      <w:pPr>
        <w:ind w:left="440" w:right="360" w:hanging="162"/>
        <w:spacing w:after="0" w:line="277"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1-for- split of our ordinary shares that will be effected immediately following the pricing of this offering (which ordinary share split is not reflected in our historical financial statements included in this prospectus);</w:t>
      </w:r>
    </w:p>
    <w:p>
      <w:pPr>
        <w:spacing w:after="0" w:line="170" w:lineRule="exact"/>
        <w:rPr>
          <w:rFonts w:ascii="Arial" w:cs="Arial" w:eastAsia="Arial" w:hAnsi="Arial"/>
          <w:sz w:val="18"/>
          <w:szCs w:val="18"/>
          <w:color w:val="auto"/>
        </w:rPr>
      </w:pPr>
    </w:p>
    <w:p>
      <w:pPr>
        <w:ind w:left="440" w:hanging="162"/>
        <w:spacing w:after="0"/>
        <w:tabs>
          <w:tab w:leader="none" w:pos="4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automatic conversion of all of our issued and outstanding Series A preferred shares, par value NIS 0.01 per share, into of our ordinary shares, par</w:t>
      </w:r>
    </w:p>
    <w:p>
      <w:pPr>
        <w:spacing w:after="0" w:line="41"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120" w:type="dxa"/>
            <w:vAlign w:val="bottom"/>
          </w:tcPr>
          <w:p>
            <w:pPr>
              <w:spacing w:after="0"/>
              <w:rPr>
                <w:sz w:val="18"/>
                <w:szCs w:val="18"/>
                <w:color w:val="auto"/>
              </w:rPr>
            </w:pPr>
          </w:p>
        </w:tc>
        <w:tc>
          <w:tcPr>
            <w:tcW w:w="980" w:type="dxa"/>
            <w:vAlign w:val="bottom"/>
          </w:tcPr>
          <w:p>
            <w:pPr>
              <w:ind w:left="40"/>
              <w:spacing w:after="0"/>
              <w:rPr>
                <w:sz w:val="20"/>
                <w:szCs w:val="20"/>
                <w:color w:val="auto"/>
              </w:rPr>
            </w:pPr>
            <w:r>
              <w:rPr>
                <w:rFonts w:ascii="Arial" w:cs="Arial" w:eastAsia="Arial" w:hAnsi="Arial"/>
                <w:sz w:val="18"/>
                <w:szCs w:val="18"/>
                <w:color w:val="auto"/>
              </w:rPr>
              <w:t>value NIS</w:t>
            </w:r>
          </w:p>
        </w:tc>
        <w:tc>
          <w:tcPr>
            <w:tcW w:w="9820" w:type="dxa"/>
            <w:vAlign w:val="bottom"/>
            <w:gridSpan w:val="8"/>
          </w:tcPr>
          <w:p>
            <w:pPr>
              <w:jc w:val="right"/>
              <w:spacing w:after="0"/>
              <w:rPr>
                <w:sz w:val="20"/>
                <w:szCs w:val="20"/>
                <w:color w:val="auto"/>
              </w:rPr>
            </w:pPr>
            <w:r>
              <w:rPr>
                <w:rFonts w:ascii="Arial" w:cs="Arial" w:eastAsia="Arial" w:hAnsi="Arial"/>
                <w:sz w:val="18"/>
                <w:szCs w:val="18"/>
                <w:color w:val="auto"/>
                <w:w w:val="94"/>
              </w:rPr>
              <w:t>, upon the closing of this offering, as provided in our current Articles; the automatic conversion of all of our issued and outstanding</w:t>
            </w:r>
          </w:p>
        </w:tc>
      </w:tr>
      <w:tr>
        <w:trPr>
          <w:trHeight w:val="216"/>
        </w:trPr>
        <w:tc>
          <w:tcPr>
            <w:tcW w:w="120" w:type="dxa"/>
            <w:vAlign w:val="bottom"/>
          </w:tcPr>
          <w:p>
            <w:pPr>
              <w:spacing w:after="0"/>
              <w:rPr>
                <w:sz w:val="18"/>
                <w:szCs w:val="18"/>
                <w:color w:val="auto"/>
              </w:rPr>
            </w:pPr>
          </w:p>
        </w:tc>
        <w:tc>
          <w:tcPr>
            <w:tcW w:w="4440" w:type="dxa"/>
            <w:vAlign w:val="bottom"/>
            <w:gridSpan w:val="4"/>
          </w:tcPr>
          <w:p>
            <w:pPr>
              <w:ind w:left="40"/>
              <w:spacing w:after="0"/>
              <w:rPr>
                <w:sz w:val="20"/>
                <w:szCs w:val="20"/>
                <w:color w:val="auto"/>
              </w:rPr>
            </w:pPr>
            <w:r>
              <w:rPr>
                <w:rFonts w:ascii="Arial" w:cs="Arial" w:eastAsia="Arial" w:hAnsi="Arial"/>
                <w:sz w:val="18"/>
                <w:szCs w:val="18"/>
                <w:color w:val="auto"/>
                <w:w w:val="90"/>
              </w:rPr>
              <w:t>Series B preferred shares, par value NIS 0.01 per share, into</w:t>
            </w:r>
          </w:p>
        </w:tc>
        <w:tc>
          <w:tcPr>
            <w:tcW w:w="320" w:type="dxa"/>
            <w:vAlign w:val="bottom"/>
          </w:tcPr>
          <w:p>
            <w:pPr>
              <w:spacing w:after="0"/>
              <w:rPr>
                <w:sz w:val="18"/>
                <w:szCs w:val="18"/>
                <w:color w:val="auto"/>
              </w:rPr>
            </w:pPr>
          </w:p>
        </w:tc>
        <w:tc>
          <w:tcPr>
            <w:tcW w:w="2860" w:type="dxa"/>
            <w:vAlign w:val="bottom"/>
            <w:gridSpan w:val="2"/>
          </w:tcPr>
          <w:p>
            <w:pPr>
              <w:ind w:left="140"/>
              <w:spacing w:after="0"/>
              <w:rPr>
                <w:sz w:val="20"/>
                <w:szCs w:val="20"/>
                <w:color w:val="auto"/>
              </w:rPr>
            </w:pPr>
            <w:r>
              <w:rPr>
                <w:rFonts w:ascii="Arial" w:cs="Arial" w:eastAsia="Arial" w:hAnsi="Arial"/>
                <w:sz w:val="18"/>
                <w:szCs w:val="18"/>
                <w:color w:val="auto"/>
                <w:w w:val="91"/>
              </w:rPr>
              <w:t>of our ordinary shares, par value NIS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 upon the closing of this offering, as</w:t>
            </w:r>
          </w:p>
        </w:tc>
      </w:tr>
      <w:tr>
        <w:trPr>
          <w:trHeight w:val="216"/>
        </w:trPr>
        <w:tc>
          <w:tcPr>
            <w:tcW w:w="120" w:type="dxa"/>
            <w:vAlign w:val="bottom"/>
          </w:tcPr>
          <w:p>
            <w:pPr>
              <w:spacing w:after="0"/>
              <w:rPr>
                <w:sz w:val="18"/>
                <w:szCs w:val="18"/>
                <w:color w:val="auto"/>
              </w:rPr>
            </w:pPr>
          </w:p>
        </w:tc>
        <w:tc>
          <w:tcPr>
            <w:tcW w:w="10800" w:type="dxa"/>
            <w:vAlign w:val="bottom"/>
            <w:gridSpan w:val="9"/>
          </w:tcPr>
          <w:p>
            <w:pPr>
              <w:ind w:left="40"/>
              <w:spacing w:after="0"/>
              <w:rPr>
                <w:sz w:val="20"/>
                <w:szCs w:val="20"/>
                <w:color w:val="auto"/>
              </w:rPr>
            </w:pPr>
            <w:r>
              <w:rPr>
                <w:rFonts w:ascii="Arial" w:cs="Arial" w:eastAsia="Arial" w:hAnsi="Arial"/>
                <w:sz w:val="18"/>
                <w:szCs w:val="18"/>
                <w:color w:val="auto"/>
                <w:w w:val="92"/>
              </w:rPr>
              <w:t>provided in our current Articles; the automatic conversion of all of our issued and outstanding Series B-1 Preferred Shares, par value NIS 0.01 per</w:t>
            </w:r>
          </w:p>
        </w:tc>
      </w:tr>
      <w:tr>
        <w:trPr>
          <w:trHeight w:val="230"/>
        </w:trPr>
        <w:tc>
          <w:tcPr>
            <w:tcW w:w="120" w:type="dxa"/>
            <w:vAlign w:val="bottom"/>
          </w:tcPr>
          <w:p>
            <w:pPr>
              <w:spacing w:after="0"/>
              <w:rPr>
                <w:sz w:val="20"/>
                <w:szCs w:val="20"/>
                <w:color w:val="auto"/>
              </w:rPr>
            </w:pPr>
          </w:p>
        </w:tc>
        <w:tc>
          <w:tcPr>
            <w:tcW w:w="980" w:type="dxa"/>
            <w:vAlign w:val="bottom"/>
          </w:tcPr>
          <w:p>
            <w:pPr>
              <w:ind w:left="40"/>
              <w:spacing w:after="0"/>
              <w:rPr>
                <w:sz w:val="20"/>
                <w:szCs w:val="20"/>
                <w:color w:val="auto"/>
              </w:rPr>
            </w:pPr>
            <w:r>
              <w:rPr>
                <w:rFonts w:ascii="Arial" w:cs="Arial" w:eastAsia="Arial" w:hAnsi="Arial"/>
                <w:sz w:val="18"/>
                <w:szCs w:val="18"/>
                <w:color w:val="auto"/>
              </w:rPr>
              <w:t>share, into</w:t>
            </w:r>
          </w:p>
        </w:tc>
        <w:tc>
          <w:tcPr>
            <w:tcW w:w="3020" w:type="dxa"/>
            <w:vAlign w:val="bottom"/>
            <w:gridSpan w:val="2"/>
          </w:tcPr>
          <w:p>
            <w:pPr>
              <w:ind w:left="300"/>
              <w:spacing w:after="0"/>
              <w:rPr>
                <w:sz w:val="20"/>
                <w:szCs w:val="20"/>
                <w:color w:val="auto"/>
              </w:rPr>
            </w:pPr>
            <w:r>
              <w:rPr>
                <w:rFonts w:ascii="Arial" w:cs="Arial" w:eastAsia="Arial" w:hAnsi="Arial"/>
                <w:sz w:val="18"/>
                <w:szCs w:val="18"/>
                <w:color w:val="auto"/>
                <w:w w:val="91"/>
              </w:rPr>
              <w:t>of our ordinary shares, par value NIS</w:t>
            </w:r>
          </w:p>
        </w:tc>
        <w:tc>
          <w:tcPr>
            <w:tcW w:w="440" w:type="dxa"/>
            <w:vAlign w:val="bottom"/>
          </w:tcPr>
          <w:p>
            <w:pPr>
              <w:spacing w:after="0"/>
              <w:rPr>
                <w:sz w:val="20"/>
                <w:szCs w:val="20"/>
                <w:color w:val="auto"/>
              </w:rPr>
            </w:pPr>
          </w:p>
        </w:tc>
        <w:tc>
          <w:tcPr>
            <w:tcW w:w="5460" w:type="dxa"/>
            <w:vAlign w:val="bottom"/>
            <w:gridSpan w:val="4"/>
          </w:tcPr>
          <w:p>
            <w:pPr>
              <w:ind w:left="60"/>
              <w:spacing w:after="0"/>
              <w:rPr>
                <w:sz w:val="20"/>
                <w:szCs w:val="20"/>
                <w:color w:val="auto"/>
              </w:rPr>
            </w:pPr>
            <w:r>
              <w:rPr>
                <w:rFonts w:ascii="Arial" w:cs="Arial" w:eastAsia="Arial" w:hAnsi="Arial"/>
                <w:sz w:val="18"/>
                <w:szCs w:val="18"/>
                <w:color w:val="auto"/>
                <w:w w:val="93"/>
              </w:rPr>
              <w:t>, upon the closing of this offering, as provided in our current Articles; and</w:t>
            </w:r>
          </w:p>
        </w:tc>
        <w:tc>
          <w:tcPr>
            <w:tcW w:w="900" w:type="dxa"/>
            <w:vAlign w:val="bottom"/>
          </w:tcPr>
          <w:p>
            <w:pPr>
              <w:spacing w:after="0"/>
              <w:rPr>
                <w:sz w:val="20"/>
                <w:szCs w:val="20"/>
                <w:color w:val="auto"/>
              </w:rPr>
            </w:pPr>
          </w:p>
        </w:tc>
      </w:tr>
      <w:tr>
        <w:trPr>
          <w:trHeight w:val="418"/>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9900" w:type="dxa"/>
            <w:vAlign w:val="bottom"/>
            <w:gridSpan w:val="8"/>
          </w:tcPr>
          <w:p>
            <w:pPr>
              <w:ind w:left="40"/>
              <w:spacing w:after="0"/>
              <w:rPr>
                <w:sz w:val="20"/>
                <w:szCs w:val="20"/>
                <w:color w:val="auto"/>
              </w:rPr>
            </w:pPr>
            <w:r>
              <w:rPr>
                <w:rFonts w:ascii="Arial" w:cs="Arial" w:eastAsia="Arial" w:hAnsi="Arial"/>
                <w:sz w:val="18"/>
                <w:szCs w:val="18"/>
                <w:color w:val="auto"/>
                <w:w w:val="92"/>
              </w:rPr>
              <w:t>the automatic conversion of all outstanding convertible loans under the Convertible Financing Agreements to which we are a party into</w:t>
            </w:r>
          </w:p>
        </w:tc>
        <w:tc>
          <w:tcPr>
            <w:tcW w:w="900" w:type="dxa"/>
            <w:vAlign w:val="bottom"/>
          </w:tcPr>
          <w:p>
            <w:pPr>
              <w:jc w:val="right"/>
              <w:spacing w:after="0"/>
              <w:rPr>
                <w:sz w:val="20"/>
                <w:szCs w:val="20"/>
                <w:color w:val="auto"/>
              </w:rPr>
            </w:pPr>
            <w:r>
              <w:rPr>
                <w:rFonts w:ascii="Arial" w:cs="Arial" w:eastAsia="Arial" w:hAnsi="Arial"/>
                <w:sz w:val="18"/>
                <w:szCs w:val="18"/>
                <w:color w:val="auto"/>
              </w:rPr>
              <w:t>of our</w:t>
            </w:r>
          </w:p>
        </w:tc>
      </w:tr>
      <w:tr>
        <w:trPr>
          <w:trHeight w:val="230"/>
        </w:trPr>
        <w:tc>
          <w:tcPr>
            <w:tcW w:w="120" w:type="dxa"/>
            <w:vAlign w:val="bottom"/>
          </w:tcPr>
          <w:p>
            <w:pPr>
              <w:spacing w:after="0"/>
              <w:rPr>
                <w:sz w:val="20"/>
                <w:szCs w:val="20"/>
                <w:color w:val="auto"/>
              </w:rPr>
            </w:pPr>
          </w:p>
        </w:tc>
        <w:tc>
          <w:tcPr>
            <w:tcW w:w="10800" w:type="dxa"/>
            <w:vAlign w:val="bottom"/>
            <w:gridSpan w:val="9"/>
          </w:tcPr>
          <w:p>
            <w:pPr>
              <w:ind w:left="40"/>
              <w:spacing w:after="0"/>
              <w:rPr>
                <w:sz w:val="20"/>
                <w:szCs w:val="20"/>
                <w:color w:val="auto"/>
              </w:rPr>
            </w:pPr>
            <w:r>
              <w:rPr>
                <w:rFonts w:ascii="Arial" w:cs="Arial" w:eastAsia="Arial" w:hAnsi="Arial"/>
                <w:sz w:val="18"/>
                <w:szCs w:val="18"/>
                <w:color w:val="auto"/>
                <w:w w:val="95"/>
              </w:rPr>
              <w:t>ordinary shares immediately prior to the closing of this offering, as described below in “Certain Relationships and Related Party Transactions”;</w:t>
            </w:r>
          </w:p>
        </w:tc>
      </w:tr>
      <w:tr>
        <w:trPr>
          <w:trHeight w:val="418"/>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820" w:type="dxa"/>
            <w:vAlign w:val="bottom"/>
            <w:gridSpan w:val="2"/>
          </w:tcPr>
          <w:p>
            <w:pPr>
              <w:ind w:left="40"/>
              <w:spacing w:after="0"/>
              <w:rPr>
                <w:sz w:val="20"/>
                <w:szCs w:val="20"/>
                <w:color w:val="auto"/>
              </w:rPr>
            </w:pPr>
            <w:r>
              <w:rPr>
                <w:rFonts w:ascii="Arial" w:cs="Arial" w:eastAsia="Arial" w:hAnsi="Arial"/>
                <w:sz w:val="18"/>
                <w:szCs w:val="18"/>
                <w:color w:val="auto"/>
                <w:w w:val="97"/>
              </w:rPr>
              <w:t>the issuance of options to purchase</w:t>
            </w:r>
          </w:p>
        </w:tc>
        <w:tc>
          <w:tcPr>
            <w:tcW w:w="4520" w:type="dxa"/>
            <w:vAlign w:val="bottom"/>
            <w:gridSpan w:val="4"/>
          </w:tcPr>
          <w:p>
            <w:pPr>
              <w:ind w:left="280"/>
              <w:spacing w:after="0"/>
              <w:rPr>
                <w:sz w:val="20"/>
                <w:szCs w:val="20"/>
                <w:color w:val="auto"/>
              </w:rPr>
            </w:pPr>
            <w:r>
              <w:rPr>
                <w:rFonts w:ascii="Arial" w:cs="Arial" w:eastAsia="Arial" w:hAnsi="Arial"/>
                <w:sz w:val="18"/>
                <w:szCs w:val="18"/>
                <w:color w:val="auto"/>
                <w:w w:val="92"/>
              </w:rPr>
              <w:t>ordinary shares at a weighted average exercise price of $</w:t>
            </w:r>
          </w:p>
        </w:tc>
        <w:tc>
          <w:tcPr>
            <w:tcW w:w="280" w:type="dxa"/>
            <w:vAlign w:val="bottom"/>
          </w:tcPr>
          <w:p>
            <w:pPr>
              <w:spacing w:after="0"/>
              <w:rPr>
                <w:sz w:val="24"/>
                <w:szCs w:val="24"/>
                <w:color w:val="auto"/>
              </w:rPr>
            </w:pPr>
          </w:p>
        </w:tc>
        <w:tc>
          <w:tcPr>
            <w:tcW w:w="2280" w:type="dxa"/>
            <w:vAlign w:val="bottom"/>
          </w:tcPr>
          <w:p>
            <w:pPr>
              <w:ind w:left="60"/>
              <w:spacing w:after="0"/>
              <w:rPr>
                <w:sz w:val="20"/>
                <w:szCs w:val="20"/>
                <w:color w:val="auto"/>
              </w:rPr>
            </w:pPr>
            <w:r>
              <w:rPr>
                <w:rFonts w:ascii="Arial" w:cs="Arial" w:eastAsia="Arial" w:hAnsi="Arial"/>
                <w:sz w:val="18"/>
                <w:szCs w:val="18"/>
                <w:color w:val="auto"/>
              </w:rPr>
              <w:t>and warrants to purchase</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ordinary</w:t>
            </w:r>
          </w:p>
        </w:tc>
      </w:tr>
      <w:tr>
        <w:trPr>
          <w:trHeight w:val="216"/>
        </w:trPr>
        <w:tc>
          <w:tcPr>
            <w:tcW w:w="120" w:type="dxa"/>
            <w:vAlign w:val="bottom"/>
          </w:tcPr>
          <w:p>
            <w:pPr>
              <w:spacing w:after="0"/>
              <w:rPr>
                <w:sz w:val="18"/>
                <w:szCs w:val="18"/>
                <w:color w:val="auto"/>
              </w:rPr>
            </w:pPr>
          </w:p>
        </w:tc>
        <w:tc>
          <w:tcPr>
            <w:tcW w:w="4000" w:type="dxa"/>
            <w:vAlign w:val="bottom"/>
            <w:gridSpan w:val="3"/>
          </w:tcPr>
          <w:p>
            <w:pPr>
              <w:ind w:left="40"/>
              <w:spacing w:after="0"/>
              <w:rPr>
                <w:sz w:val="20"/>
                <w:szCs w:val="20"/>
                <w:color w:val="auto"/>
              </w:rPr>
            </w:pPr>
            <w:r>
              <w:rPr>
                <w:rFonts w:ascii="Arial" w:cs="Arial" w:eastAsia="Arial" w:hAnsi="Arial"/>
                <w:sz w:val="18"/>
                <w:szCs w:val="18"/>
                <w:color w:val="auto"/>
              </w:rPr>
              <w:t>shares at a weighted average exercise price of $</w:t>
            </w:r>
          </w:p>
        </w:tc>
        <w:tc>
          <w:tcPr>
            <w:tcW w:w="6800" w:type="dxa"/>
            <w:vAlign w:val="bottom"/>
            <w:gridSpan w:val="6"/>
          </w:tcPr>
          <w:p>
            <w:pPr>
              <w:jc w:val="right"/>
              <w:spacing w:after="0"/>
              <w:rPr>
                <w:sz w:val="20"/>
                <w:szCs w:val="20"/>
                <w:color w:val="auto"/>
              </w:rPr>
            </w:pPr>
            <w:r>
              <w:rPr>
                <w:rFonts w:ascii="Arial" w:cs="Arial" w:eastAsia="Arial" w:hAnsi="Arial"/>
                <w:sz w:val="18"/>
                <w:szCs w:val="18"/>
                <w:color w:val="auto"/>
                <w:w w:val="90"/>
              </w:rPr>
              <w:t>granted to certain holders of our Series A preferred shares upon the closing of this offering, as</w:t>
            </w:r>
          </w:p>
        </w:tc>
      </w:tr>
      <w:tr>
        <w:trPr>
          <w:trHeight w:val="230"/>
        </w:trPr>
        <w:tc>
          <w:tcPr>
            <w:tcW w:w="120" w:type="dxa"/>
            <w:vAlign w:val="bottom"/>
          </w:tcPr>
          <w:p>
            <w:pPr>
              <w:spacing w:after="0"/>
              <w:rPr>
                <w:sz w:val="20"/>
                <w:szCs w:val="20"/>
                <w:color w:val="auto"/>
              </w:rPr>
            </w:pPr>
          </w:p>
        </w:tc>
        <w:tc>
          <w:tcPr>
            <w:tcW w:w="7340" w:type="dxa"/>
            <w:vAlign w:val="bottom"/>
            <w:gridSpan w:val="6"/>
          </w:tcPr>
          <w:p>
            <w:pPr>
              <w:ind w:left="40"/>
              <w:spacing w:after="0"/>
              <w:rPr>
                <w:sz w:val="20"/>
                <w:szCs w:val="20"/>
                <w:color w:val="auto"/>
              </w:rPr>
            </w:pPr>
            <w:r>
              <w:rPr>
                <w:rFonts w:ascii="Arial" w:cs="Arial" w:eastAsia="Arial" w:hAnsi="Arial"/>
                <w:sz w:val="18"/>
                <w:szCs w:val="18"/>
                <w:color w:val="auto"/>
              </w:rPr>
              <w:t>described below in “Certain Relationships and Related Party Transactions;</w:t>
            </w: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10800" w:type="dxa"/>
            <w:vAlign w:val="bottom"/>
            <w:gridSpan w:val="9"/>
          </w:tcPr>
          <w:p>
            <w:pPr>
              <w:ind w:left="40"/>
              <w:spacing w:after="0"/>
              <w:rPr>
                <w:sz w:val="20"/>
                <w:szCs w:val="20"/>
                <w:color w:val="auto"/>
              </w:rPr>
            </w:pPr>
            <w:r>
              <w:rPr>
                <w:rFonts w:ascii="Arial" w:cs="Arial" w:eastAsia="Arial" w:hAnsi="Arial"/>
                <w:sz w:val="18"/>
                <w:szCs w:val="18"/>
                <w:color w:val="auto"/>
                <w:w w:val="91"/>
              </w:rPr>
              <w:t>the automatic conversion of warrants to purchase 2,554 of our Series A preferred shares, at an exercise price of $479.38 per share, into warrants to</w:t>
            </w:r>
          </w:p>
        </w:tc>
      </w:tr>
      <w:tr>
        <w:trPr>
          <w:trHeight w:val="216"/>
        </w:trPr>
        <w:tc>
          <w:tcPr>
            <w:tcW w:w="120" w:type="dxa"/>
            <w:vAlign w:val="bottom"/>
          </w:tcPr>
          <w:p>
            <w:pPr>
              <w:spacing w:after="0"/>
              <w:rPr>
                <w:sz w:val="18"/>
                <w:szCs w:val="18"/>
                <w:color w:val="auto"/>
              </w:rPr>
            </w:pPr>
          </w:p>
        </w:tc>
        <w:tc>
          <w:tcPr>
            <w:tcW w:w="980" w:type="dxa"/>
            <w:vAlign w:val="bottom"/>
          </w:tcPr>
          <w:p>
            <w:pPr>
              <w:ind w:left="40"/>
              <w:spacing w:after="0"/>
              <w:rPr>
                <w:sz w:val="20"/>
                <w:szCs w:val="20"/>
                <w:color w:val="auto"/>
              </w:rPr>
            </w:pPr>
            <w:r>
              <w:rPr>
                <w:rFonts w:ascii="Arial" w:cs="Arial" w:eastAsia="Arial" w:hAnsi="Arial"/>
                <w:sz w:val="18"/>
                <w:szCs w:val="18"/>
                <w:color w:val="auto"/>
              </w:rPr>
              <w:t>purchase</w:t>
            </w:r>
          </w:p>
        </w:tc>
        <w:tc>
          <w:tcPr>
            <w:tcW w:w="3780" w:type="dxa"/>
            <w:vAlign w:val="bottom"/>
            <w:gridSpan w:val="4"/>
          </w:tcPr>
          <w:p>
            <w:pPr>
              <w:ind w:left="200"/>
              <w:spacing w:after="0"/>
              <w:rPr>
                <w:sz w:val="20"/>
                <w:szCs w:val="20"/>
                <w:color w:val="auto"/>
              </w:rPr>
            </w:pPr>
            <w:r>
              <w:rPr>
                <w:rFonts w:ascii="Arial" w:cs="Arial" w:eastAsia="Arial" w:hAnsi="Arial"/>
                <w:sz w:val="18"/>
                <w:szCs w:val="18"/>
                <w:color w:val="auto"/>
                <w:w w:val="94"/>
              </w:rPr>
              <w:t>of our ordinary shares, at an exercise price of $</w:t>
            </w:r>
          </w:p>
        </w:tc>
        <w:tc>
          <w:tcPr>
            <w:tcW w:w="6040" w:type="dxa"/>
            <w:vAlign w:val="bottom"/>
            <w:gridSpan w:val="4"/>
          </w:tcPr>
          <w:p>
            <w:pPr>
              <w:jc w:val="right"/>
              <w:ind w:right="390"/>
              <w:spacing w:after="0"/>
              <w:rPr>
                <w:sz w:val="20"/>
                <w:szCs w:val="20"/>
                <w:color w:val="auto"/>
              </w:rPr>
            </w:pPr>
            <w:r>
              <w:rPr>
                <w:rFonts w:ascii="Arial" w:cs="Arial" w:eastAsia="Arial" w:hAnsi="Arial"/>
                <w:sz w:val="18"/>
                <w:szCs w:val="18"/>
                <w:color w:val="auto"/>
                <w:w w:val="95"/>
              </w:rPr>
              <w:t>per share; the automatic conversion of warrants to purchase 5,818 of our</w:t>
            </w:r>
          </w:p>
        </w:tc>
      </w:tr>
      <w:tr>
        <w:trPr>
          <w:trHeight w:val="230"/>
        </w:trPr>
        <w:tc>
          <w:tcPr>
            <w:tcW w:w="120" w:type="dxa"/>
            <w:vAlign w:val="bottom"/>
          </w:tcPr>
          <w:p>
            <w:pPr>
              <w:spacing w:after="0"/>
              <w:rPr>
                <w:sz w:val="20"/>
                <w:szCs w:val="20"/>
                <w:color w:val="auto"/>
              </w:rPr>
            </w:pPr>
          </w:p>
        </w:tc>
        <w:tc>
          <w:tcPr>
            <w:tcW w:w="7340" w:type="dxa"/>
            <w:vAlign w:val="bottom"/>
            <w:gridSpan w:val="6"/>
          </w:tcPr>
          <w:p>
            <w:pPr>
              <w:ind w:left="40"/>
              <w:spacing w:after="0"/>
              <w:rPr>
                <w:sz w:val="20"/>
                <w:szCs w:val="20"/>
                <w:color w:val="auto"/>
              </w:rPr>
            </w:pPr>
            <w:r>
              <w:rPr>
                <w:rFonts w:ascii="Arial" w:cs="Arial" w:eastAsia="Arial" w:hAnsi="Arial"/>
                <w:sz w:val="18"/>
                <w:szCs w:val="18"/>
                <w:color w:val="auto"/>
                <w:w w:val="96"/>
              </w:rPr>
              <w:t>Series B preferred shares, at an exercise price of $908.78 per share, into warrants to purchase</w:t>
            </w:r>
          </w:p>
        </w:tc>
        <w:tc>
          <w:tcPr>
            <w:tcW w:w="3460" w:type="dxa"/>
            <w:vAlign w:val="bottom"/>
            <w:gridSpan w:val="3"/>
          </w:tcPr>
          <w:p>
            <w:pPr>
              <w:jc w:val="right"/>
              <w:spacing w:after="0"/>
              <w:rPr>
                <w:sz w:val="20"/>
                <w:szCs w:val="20"/>
                <w:color w:val="auto"/>
              </w:rPr>
            </w:pPr>
            <w:r>
              <w:rPr>
                <w:rFonts w:ascii="Arial" w:cs="Arial" w:eastAsia="Arial" w:hAnsi="Arial"/>
                <w:sz w:val="18"/>
                <w:szCs w:val="18"/>
                <w:color w:val="auto"/>
                <w:w w:val="94"/>
              </w:rPr>
              <w:t>of our ordinary shares, at an exercise price of</w:t>
            </w:r>
          </w:p>
        </w:tc>
      </w:tr>
    </w:tbl>
    <w:p>
      <w:pPr>
        <w:ind w:left="1060" w:hanging="620"/>
        <w:spacing w:after="0"/>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per share; and the automatic conversion of warrants to purchase 3,594 of our Series B-1 preferred shares, at an exercise price of $681.585 per</w:t>
      </w:r>
    </w:p>
    <w:p>
      <w:pPr>
        <w:spacing w:after="0" w:line="386" w:lineRule="exact"/>
        <w:rPr>
          <w:sz w:val="20"/>
          <w:szCs w:val="20"/>
          <w:color w:val="auto"/>
        </w:rPr>
      </w:pPr>
    </w:p>
    <w:p>
      <w:pPr>
        <w:ind w:left="440" w:right="640"/>
        <w:spacing w:after="0" w:line="277" w:lineRule="auto"/>
        <w:rPr>
          <w:sz w:val="20"/>
          <w:szCs w:val="20"/>
          <w:color w:val="auto"/>
        </w:rPr>
      </w:pPr>
      <w:r>
        <w:rPr>
          <w:rFonts w:ascii="Arial" w:cs="Arial" w:eastAsia="Arial" w:hAnsi="Arial"/>
          <w:sz w:val="18"/>
          <w:szCs w:val="18"/>
          <w:color w:val="auto"/>
        </w:rPr>
        <w:t>share, into warrants to purchase of our ordinary shares, at an exercise price of $ per share, all upon the closing of this offering, as described below in “Description of Share Capital — Warrants.”</w:t>
      </w:r>
    </w:p>
    <w:p>
      <w:pPr>
        <w:spacing w:after="0" w:line="170"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Certain of our existing shareholders have indicated an interest in purchasing an aggregate of up to approximately $ million of the units in this offering at the initial public offering price per unit. However, indications of interest are not binding agreements or commitments to purchase, and these entities may determine to purchase a greater or lesser number of units than they have indicated an interest in purchasing or to not purchase any units in this offering. In addition, we and the underwriters could determine to sell a greater or lesser number of units to any of these entities than the entities have indicated an interest in purchasing or to not sell any units to these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5" w:right="35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66935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6693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SUMMARY FINANCIAL DATA</w:t>
      </w:r>
    </w:p>
    <w:p>
      <w:pPr>
        <w:spacing w:after="0" w:line="246"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The following tables set forth summary financial and other data. You should read the following summary financial and other data in conjunction with “Presentation of Financial Information,” “Management’s Discussion and Analysis of Financial Condition and Results of Operations” and our financial statements and related notes included elsewhere in this prospectus. Historical results are not necessarily indicative of the results that may be expected in the future. Our financial statements have been prepared in accordance with IFRS as issued by the IASB.</w:t>
      </w:r>
    </w:p>
    <w:p>
      <w:pPr>
        <w:spacing w:after="0" w:line="171"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The summary statements of comprehensive loss data for each of the years in the two-year period ended December 31, 2017 and the summary statements of financial position data as of December 31, 2017 are derived from our audited financial statements included elsewhere in this prospectus.</w:t>
      </w:r>
    </w:p>
    <w:p>
      <w:pPr>
        <w:spacing w:after="0" w:line="13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8"/>
                <w:szCs w:val="18"/>
                <w:b w:val="1"/>
                <w:bCs w:val="1"/>
                <w:color w:val="auto"/>
                <w:w w:val="90"/>
              </w:rPr>
              <w:t>Year Ended December 31,</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6"/>
          </w:tcPr>
          <w:p>
            <w:pPr>
              <w:jc w:val="center"/>
              <w:ind w:right="40"/>
              <w:spacing w:after="0" w:line="191" w:lineRule="exact"/>
              <w:rPr>
                <w:sz w:val="20"/>
                <w:szCs w:val="20"/>
                <w:color w:val="auto"/>
              </w:rPr>
            </w:pPr>
            <w:r>
              <w:rPr>
                <w:rFonts w:ascii="Arial" w:cs="Arial" w:eastAsia="Arial" w:hAnsi="Arial"/>
                <w:sz w:val="18"/>
                <w:szCs w:val="18"/>
                <w:b w:val="1"/>
                <w:bCs w:val="1"/>
                <w:color w:val="auto"/>
                <w:w w:val="88"/>
              </w:rPr>
              <w:t>(In thousands, except shares and</w:t>
            </w:r>
          </w:p>
        </w:tc>
        <w:tc>
          <w:tcPr>
            <w:tcW w:w="0" w:type="dxa"/>
            <w:vAlign w:val="bottom"/>
          </w:tcPr>
          <w:p>
            <w:pPr>
              <w:spacing w:after="0"/>
              <w:rPr>
                <w:sz w:val="1"/>
                <w:szCs w:val="1"/>
                <w:color w:val="auto"/>
              </w:rPr>
            </w:pPr>
          </w:p>
        </w:tc>
      </w:tr>
      <w:tr>
        <w:trPr>
          <w:trHeight w:val="234"/>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Statements of comprehensive loss:</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89"/>
              </w:rPr>
              <w:t>per share data)</w:t>
            </w:r>
          </w:p>
        </w:tc>
        <w:tc>
          <w:tcPr>
            <w:tcW w:w="0" w:type="dxa"/>
            <w:vAlign w:val="bottom"/>
          </w:tcPr>
          <w:p>
            <w:pPr>
              <w:spacing w:after="0"/>
              <w:rPr>
                <w:sz w:val="1"/>
                <w:szCs w:val="1"/>
                <w:color w:val="auto"/>
              </w:rPr>
            </w:pPr>
          </w:p>
        </w:tc>
      </w:tr>
      <w:tr>
        <w:trPr>
          <w:trHeight w:val="216"/>
        </w:trPr>
        <w:tc>
          <w:tcPr>
            <w:tcW w:w="744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D5EAEA"/>
          </w:tcPr>
          <w:p>
            <w:pPr>
              <w:spacing w:after="0"/>
              <w:rPr>
                <w:sz w:val="20"/>
                <w:szCs w:val="20"/>
                <w:color w:val="auto"/>
              </w:rPr>
            </w:pPr>
            <w:r>
              <w:rPr>
                <w:rFonts w:ascii="Arial" w:cs="Arial" w:eastAsia="Arial" w:hAnsi="Arial"/>
                <w:sz w:val="18"/>
                <w:szCs w:val="18"/>
                <w:color w:val="auto"/>
              </w:rPr>
              <w:t>Research and development expenses</w:t>
            </w:r>
          </w:p>
        </w:tc>
        <w:tc>
          <w:tcPr>
            <w:tcW w:w="10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2,768</w:t>
            </w:r>
          </w:p>
        </w:tc>
        <w:tc>
          <w:tcPr>
            <w:tcW w:w="140" w:type="dxa"/>
            <w:vAlign w:val="bottom"/>
            <w:shd w:val="clear" w:color="auto" w:fill="D5EAEA"/>
          </w:tcPr>
          <w:p>
            <w:pPr>
              <w:spacing w:after="0"/>
              <w:rPr>
                <w:sz w:val="18"/>
                <w:szCs w:val="18"/>
                <w:color w:val="auto"/>
              </w:rPr>
            </w:pPr>
          </w:p>
        </w:tc>
        <w:tc>
          <w:tcPr>
            <w:tcW w:w="360" w:type="dxa"/>
            <w:vAlign w:val="bottom"/>
            <w:gridSpan w:val="2"/>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2,648</w:t>
            </w:r>
          </w:p>
        </w:tc>
        <w:tc>
          <w:tcPr>
            <w:tcW w:w="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General and administrative expenses</w:t>
            </w:r>
          </w:p>
        </w:tc>
        <w:tc>
          <w:tcPr>
            <w:tcW w:w="960" w:type="dxa"/>
            <w:vAlign w:val="bottom"/>
            <w:tcBorders>
              <w:bottom w:val="single" w:sz="8" w:color="D5EAE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8,575</w:t>
            </w:r>
          </w:p>
        </w:tc>
        <w:tc>
          <w:tcPr>
            <w:tcW w:w="140" w:type="dxa"/>
            <w:vAlign w:val="bottom"/>
            <w:tcBorders>
              <w:bottom w:val="single" w:sz="8" w:color="D5EAEA"/>
            </w:tcBorders>
          </w:tcPr>
          <w:p>
            <w:pPr>
              <w:spacing w:after="0"/>
              <w:rPr>
                <w:sz w:val="19"/>
                <w:szCs w:val="19"/>
                <w:color w:val="auto"/>
              </w:rPr>
            </w:pPr>
          </w:p>
        </w:tc>
        <w:tc>
          <w:tcPr>
            <w:tcW w:w="60" w:type="dxa"/>
            <w:vAlign w:val="bottom"/>
            <w:tcBorders>
              <w:bottom w:val="single" w:sz="8" w:color="D5EAE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w:t>
            </w:r>
          </w:p>
        </w:tc>
        <w:tc>
          <w:tcPr>
            <w:tcW w:w="120" w:type="dxa"/>
            <w:vAlign w:val="bottom"/>
            <w:tcBorders>
              <w:bottom w:val="single" w:sz="8" w:color="D5EAEA"/>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D5EAEA"/>
          </w:tcPr>
          <w:p>
            <w:pPr>
              <w:ind w:left="340"/>
              <w:spacing w:after="0"/>
              <w:rPr>
                <w:sz w:val="20"/>
                <w:szCs w:val="20"/>
                <w:color w:val="auto"/>
              </w:rPr>
            </w:pPr>
            <w:r>
              <w:rPr>
                <w:rFonts w:ascii="Arial" w:cs="Arial" w:eastAsia="Arial" w:hAnsi="Arial"/>
                <w:sz w:val="18"/>
                <w:szCs w:val="18"/>
                <w:color w:val="auto"/>
              </w:rPr>
              <w:t>Total operating loss</w:t>
            </w:r>
          </w:p>
        </w:tc>
        <w:tc>
          <w:tcPr>
            <w:tcW w:w="960" w:type="dxa"/>
            <w:vAlign w:val="bottom"/>
            <w:shd w:val="clear" w:color="auto" w:fill="D5EAEA"/>
          </w:tcPr>
          <w:p>
            <w:pPr>
              <w:spacing w:after="0"/>
              <w:rPr>
                <w:sz w:val="18"/>
                <w:szCs w:val="18"/>
                <w:color w:val="auto"/>
              </w:rPr>
            </w:pPr>
          </w:p>
        </w:tc>
        <w:tc>
          <w:tcPr>
            <w:tcW w:w="120" w:type="dxa"/>
            <w:vAlign w:val="bottom"/>
            <w:tcBorders>
              <w:bottom w:val="single" w:sz="8" w:color="auto"/>
            </w:tcBorders>
            <w:shd w:val="clear" w:color="auto" w:fill="D5EAEA"/>
          </w:tcPr>
          <w:p>
            <w:pPr>
              <w:spacing w:after="0"/>
              <w:rPr>
                <w:sz w:val="18"/>
                <w:szCs w:val="18"/>
                <w:color w:val="auto"/>
              </w:rPr>
            </w:pPr>
          </w:p>
        </w:tc>
        <w:tc>
          <w:tcPr>
            <w:tcW w:w="11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11,343</w:t>
            </w:r>
          </w:p>
        </w:tc>
        <w:tc>
          <w:tcPr>
            <w:tcW w:w="14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300" w:type="dxa"/>
            <w:vAlign w:val="bottom"/>
            <w:tcBorders>
              <w:bottom w:val="single" w:sz="8" w:color="auto"/>
            </w:tcBorders>
            <w:shd w:val="clear" w:color="auto" w:fill="D5EAEA"/>
          </w:tcPr>
          <w:p>
            <w:pPr>
              <w:spacing w:after="0"/>
              <w:rPr>
                <w:sz w:val="18"/>
                <w:szCs w:val="18"/>
                <w:color w:val="auto"/>
              </w:rPr>
            </w:pPr>
          </w:p>
        </w:tc>
        <w:tc>
          <w:tcPr>
            <w:tcW w:w="9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5,367</w:t>
            </w:r>
          </w:p>
        </w:tc>
        <w:tc>
          <w:tcPr>
            <w:tcW w:w="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20"/>
                <w:szCs w:val="20"/>
                <w:color w:val="auto"/>
              </w:rPr>
            </w:pPr>
            <w:r>
              <w:rPr>
                <w:rFonts w:ascii="Arial" w:cs="Arial" w:eastAsia="Arial" w:hAnsi="Arial"/>
                <w:sz w:val="18"/>
                <w:szCs w:val="18"/>
                <w:color w:val="auto"/>
              </w:rPr>
              <w:t>Financial income:</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D5EAEA"/>
          </w:tcPr>
          <w:p>
            <w:pPr>
              <w:spacing w:after="0"/>
              <w:rPr>
                <w:sz w:val="20"/>
                <w:szCs w:val="20"/>
                <w:color w:val="auto"/>
              </w:rPr>
            </w:pPr>
            <w:r>
              <w:rPr>
                <w:rFonts w:ascii="Arial" w:cs="Arial" w:eastAsia="Arial" w:hAnsi="Arial"/>
                <w:sz w:val="18"/>
                <w:szCs w:val="18"/>
                <w:color w:val="auto"/>
              </w:rPr>
              <w:t>Income from change in fair value of financial liabilities at fair value</w:t>
            </w:r>
          </w:p>
        </w:tc>
        <w:tc>
          <w:tcPr>
            <w:tcW w:w="9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(251)</w:t>
            </w:r>
          </w:p>
        </w:tc>
        <w:tc>
          <w:tcPr>
            <w:tcW w:w="60" w:type="dxa"/>
            <w:vAlign w:val="bottom"/>
            <w:shd w:val="clear" w:color="auto" w:fill="D5EAEA"/>
          </w:tcPr>
          <w:p>
            <w:pPr>
              <w:spacing w:after="0"/>
              <w:rPr>
                <w:sz w:val="18"/>
                <w:szCs w:val="18"/>
                <w:color w:val="auto"/>
              </w:rPr>
            </w:pPr>
          </w:p>
        </w:tc>
        <w:tc>
          <w:tcPr>
            <w:tcW w:w="300" w:type="dxa"/>
            <w:vAlign w:val="bottom"/>
            <w:shd w:val="clear" w:color="auto" w:fill="D5EAEA"/>
          </w:tcPr>
          <w:p>
            <w:pPr>
              <w:spacing w:after="0"/>
              <w:rPr>
                <w:sz w:val="18"/>
                <w:szCs w:val="18"/>
                <w:color w:val="auto"/>
              </w:rPr>
            </w:pPr>
          </w:p>
        </w:tc>
        <w:tc>
          <w:tcPr>
            <w:tcW w:w="10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Other financial expenses, net</w:t>
            </w:r>
          </w:p>
        </w:tc>
        <w:tc>
          <w:tcPr>
            <w:tcW w:w="960" w:type="dxa"/>
            <w:vAlign w:val="bottom"/>
            <w:tcBorders>
              <w:bottom w:val="single" w:sz="8" w:color="D5EAEA"/>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bottom w:val="single" w:sz="8" w:color="D5EAEA"/>
            </w:tcBorders>
          </w:tcPr>
          <w:p>
            <w:pPr>
              <w:spacing w:after="0"/>
              <w:rPr>
                <w:sz w:val="19"/>
                <w:szCs w:val="19"/>
                <w:color w:val="auto"/>
              </w:rPr>
            </w:pPr>
          </w:p>
        </w:tc>
        <w:tc>
          <w:tcPr>
            <w:tcW w:w="60" w:type="dxa"/>
            <w:vAlign w:val="bottom"/>
            <w:tcBorders>
              <w:bottom w:val="single" w:sz="8" w:color="D5EAEA"/>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D5EAEA"/>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D5EAEA"/>
          </w:tcPr>
          <w:p>
            <w:pPr>
              <w:spacing w:after="0"/>
              <w:rPr>
                <w:sz w:val="20"/>
                <w:szCs w:val="20"/>
                <w:color w:val="auto"/>
              </w:rPr>
            </w:pPr>
            <w:r>
              <w:rPr>
                <w:rFonts w:ascii="Arial" w:cs="Arial" w:eastAsia="Arial" w:hAnsi="Arial"/>
                <w:sz w:val="18"/>
                <w:szCs w:val="18"/>
                <w:color w:val="auto"/>
              </w:rPr>
              <w:t>Financial income, net</w:t>
            </w:r>
          </w:p>
        </w:tc>
        <w:tc>
          <w:tcPr>
            <w:tcW w:w="960" w:type="dxa"/>
            <w:vAlign w:val="bottom"/>
            <w:shd w:val="clear" w:color="auto" w:fill="D5EAEA"/>
          </w:tcPr>
          <w:p>
            <w:pPr>
              <w:spacing w:after="0"/>
              <w:rPr>
                <w:sz w:val="18"/>
                <w:szCs w:val="18"/>
                <w:color w:val="auto"/>
              </w:rPr>
            </w:pPr>
          </w:p>
        </w:tc>
        <w:tc>
          <w:tcPr>
            <w:tcW w:w="120" w:type="dxa"/>
            <w:vAlign w:val="bottom"/>
            <w:tcBorders>
              <w:bottom w:val="single" w:sz="8" w:color="auto"/>
            </w:tcBorders>
            <w:shd w:val="clear" w:color="auto" w:fill="D5EAEA"/>
          </w:tcPr>
          <w:p>
            <w:pPr>
              <w:spacing w:after="0"/>
              <w:rPr>
                <w:sz w:val="18"/>
                <w:szCs w:val="18"/>
                <w:color w:val="auto"/>
              </w:rPr>
            </w:pPr>
          </w:p>
        </w:tc>
        <w:tc>
          <w:tcPr>
            <w:tcW w:w="11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D5EAEA"/>
          </w:tcPr>
          <w:p>
            <w:pPr>
              <w:spacing w:after="0"/>
              <w:rPr>
                <w:sz w:val="18"/>
                <w:szCs w:val="18"/>
                <w:color w:val="auto"/>
              </w:rPr>
            </w:pPr>
          </w:p>
        </w:tc>
        <w:tc>
          <w:tcPr>
            <w:tcW w:w="300" w:type="dxa"/>
            <w:vAlign w:val="bottom"/>
            <w:tcBorders>
              <w:bottom w:val="single" w:sz="8" w:color="auto"/>
            </w:tcBorders>
            <w:shd w:val="clear" w:color="auto" w:fill="D5EAEA"/>
          </w:tcPr>
          <w:p>
            <w:pPr>
              <w:spacing w:after="0"/>
              <w:rPr>
                <w:sz w:val="18"/>
                <w:szCs w:val="18"/>
                <w:color w:val="auto"/>
              </w:rPr>
            </w:pPr>
          </w:p>
        </w:tc>
        <w:tc>
          <w:tcPr>
            <w:tcW w:w="9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(4,168</w:t>
            </w:r>
          </w:p>
        </w:tc>
        <w:tc>
          <w:tcPr>
            <w:tcW w:w="120" w:type="dxa"/>
            <w:vAlign w:val="bottom"/>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74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Net comprehensive loss</w:t>
            </w:r>
          </w:p>
        </w:tc>
        <w:tc>
          <w:tcPr>
            <w:tcW w:w="960" w:type="dxa"/>
            <w:vAlign w:val="bottom"/>
            <w:tcBorders>
              <w:bottom w:val="single" w:sz="8" w:color="D5EAEA"/>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11,197</w:t>
            </w:r>
          </w:p>
        </w:tc>
        <w:tc>
          <w:tcPr>
            <w:tcW w:w="140" w:type="dxa"/>
            <w:vAlign w:val="bottom"/>
            <w:tcBorders>
              <w:bottom w:val="single" w:sz="8" w:color="D5EAEA"/>
            </w:tcBorders>
          </w:tcPr>
          <w:p>
            <w:pPr>
              <w:spacing w:after="0"/>
              <w:rPr>
                <w:sz w:val="22"/>
                <w:szCs w:val="22"/>
                <w:color w:val="auto"/>
              </w:rPr>
            </w:pPr>
          </w:p>
        </w:tc>
        <w:tc>
          <w:tcPr>
            <w:tcW w:w="60" w:type="dxa"/>
            <w:vAlign w:val="bottom"/>
            <w:tcBorders>
              <w:bottom w:val="single" w:sz="8" w:color="D5EAEA"/>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20" w:type="dxa"/>
            <w:vAlign w:val="bottom"/>
            <w:tcBorders>
              <w:bottom w:val="single" w:sz="8" w:color="D5EAEA"/>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440" w:type="dxa"/>
            <w:vAlign w:val="bottom"/>
            <w:shd w:val="clear" w:color="auto" w:fill="D5EAEA"/>
          </w:tcPr>
          <w:p>
            <w:pPr>
              <w:spacing w:after="0" w:line="196" w:lineRule="exact"/>
              <w:rPr>
                <w:sz w:val="20"/>
                <w:szCs w:val="20"/>
                <w:color w:val="auto"/>
              </w:rPr>
            </w:pPr>
            <w:r>
              <w:rPr>
                <w:rFonts w:ascii="Arial" w:cs="Arial" w:eastAsia="Arial" w:hAnsi="Arial"/>
                <w:sz w:val="18"/>
                <w:szCs w:val="18"/>
                <w:color w:val="auto"/>
              </w:rPr>
              <w:t>Loss per ordinary share (1)</w:t>
            </w:r>
          </w:p>
        </w:tc>
        <w:tc>
          <w:tcPr>
            <w:tcW w:w="9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40" w:type="dxa"/>
            <w:vAlign w:val="bottom"/>
            <w:shd w:val="clear" w:color="auto" w:fill="D5EAEA"/>
          </w:tcPr>
          <w:p>
            <w:pPr>
              <w:spacing w:after="0"/>
              <w:rPr>
                <w:sz w:val="17"/>
                <w:szCs w:val="17"/>
                <w:color w:val="auto"/>
              </w:rPr>
            </w:pPr>
          </w:p>
        </w:tc>
        <w:tc>
          <w:tcPr>
            <w:tcW w:w="140" w:type="dxa"/>
            <w:vAlign w:val="bottom"/>
            <w:shd w:val="clear" w:color="auto" w:fill="D5EAEA"/>
          </w:tcPr>
          <w:p>
            <w:pPr>
              <w:spacing w:after="0"/>
              <w:rPr>
                <w:sz w:val="17"/>
                <w:szCs w:val="17"/>
                <w:color w:val="auto"/>
              </w:rPr>
            </w:pPr>
          </w:p>
        </w:tc>
        <w:tc>
          <w:tcPr>
            <w:tcW w:w="60" w:type="dxa"/>
            <w:vAlign w:val="bottom"/>
            <w:shd w:val="clear" w:color="auto" w:fill="D5EAEA"/>
          </w:tcPr>
          <w:p>
            <w:pPr>
              <w:spacing w:after="0"/>
              <w:rPr>
                <w:sz w:val="17"/>
                <w:szCs w:val="17"/>
                <w:color w:val="auto"/>
              </w:rPr>
            </w:pPr>
          </w:p>
        </w:tc>
        <w:tc>
          <w:tcPr>
            <w:tcW w:w="300" w:type="dxa"/>
            <w:vAlign w:val="bottom"/>
            <w:shd w:val="clear" w:color="auto" w:fill="D5EAEA"/>
          </w:tcPr>
          <w:p>
            <w:pPr>
              <w:spacing w:after="0"/>
              <w:rPr>
                <w:sz w:val="17"/>
                <w:szCs w:val="17"/>
                <w:color w:val="auto"/>
              </w:rPr>
            </w:pPr>
          </w:p>
        </w:tc>
        <w:tc>
          <w:tcPr>
            <w:tcW w:w="9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7440" w:type="dxa"/>
            <w:vAlign w:val="bottom"/>
          </w:tcPr>
          <w:p>
            <w:pPr>
              <w:spacing w:after="0"/>
              <w:rPr>
                <w:sz w:val="20"/>
                <w:szCs w:val="20"/>
                <w:color w:val="auto"/>
              </w:rPr>
            </w:pPr>
            <w:r>
              <w:rPr>
                <w:rFonts w:ascii="Arial" w:cs="Arial" w:eastAsia="Arial" w:hAnsi="Arial"/>
                <w:sz w:val="18"/>
                <w:szCs w:val="18"/>
                <w:color w:val="auto"/>
              </w:rPr>
              <w:t>Basic</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24"/>
                <w:szCs w:val="24"/>
                <w:color w:val="auto"/>
              </w:rPr>
            </w:pP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440" w:type="dxa"/>
            <w:vAlign w:val="bottom"/>
            <w:tcBorders>
              <w:top w:val="single" w:sz="8" w:color="D5EAEA"/>
              <w:bottom w:val="single" w:sz="8" w:color="D5EAEA"/>
            </w:tcBorders>
            <w:shd w:val="clear" w:color="auto" w:fill="D5EAEA"/>
          </w:tcPr>
          <w:p>
            <w:pPr>
              <w:spacing w:after="0" w:line="190" w:lineRule="exact"/>
              <w:rPr>
                <w:sz w:val="20"/>
                <w:szCs w:val="20"/>
                <w:color w:val="auto"/>
              </w:rPr>
            </w:pPr>
            <w:r>
              <w:rPr>
                <w:rFonts w:ascii="Arial" w:cs="Arial" w:eastAsia="Arial" w:hAnsi="Arial"/>
                <w:sz w:val="18"/>
                <w:szCs w:val="18"/>
                <w:color w:val="auto"/>
              </w:rPr>
              <w:t>Diluted</w:t>
            </w:r>
          </w:p>
        </w:tc>
        <w:tc>
          <w:tcPr>
            <w:tcW w:w="960" w:type="dxa"/>
            <w:vAlign w:val="bottom"/>
            <w:tcBorders>
              <w:top w:val="single" w:sz="8" w:color="D5EAEA"/>
              <w:bottom w:val="single" w:sz="8" w:color="D5EAEA"/>
            </w:tcBorders>
            <w:shd w:val="clear" w:color="auto" w:fill="D5EAEA"/>
          </w:tcPr>
          <w:p>
            <w:pPr>
              <w:spacing w:after="0"/>
              <w:rPr>
                <w:sz w:val="17"/>
                <w:szCs w:val="17"/>
                <w:color w:val="auto"/>
              </w:rPr>
            </w:pPr>
          </w:p>
        </w:tc>
        <w:tc>
          <w:tcPr>
            <w:tcW w:w="12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324</w:t>
            </w:r>
          </w:p>
        </w:tc>
        <w:tc>
          <w:tcPr>
            <w:tcW w:w="140" w:type="dxa"/>
            <w:vAlign w:val="bottom"/>
            <w:tcBorders>
              <w:top w:val="single" w:sz="8" w:color="D5EAEA"/>
              <w:bottom w:val="single" w:sz="8" w:color="D5EAEA"/>
            </w:tcBorders>
            <w:shd w:val="clear" w:color="auto" w:fill="D5EAEA"/>
          </w:tcPr>
          <w:p>
            <w:pPr>
              <w:spacing w:after="0"/>
              <w:rPr>
                <w:sz w:val="17"/>
                <w:szCs w:val="17"/>
                <w:color w:val="auto"/>
              </w:rPr>
            </w:pPr>
          </w:p>
        </w:tc>
        <w:tc>
          <w:tcPr>
            <w:tcW w:w="60" w:type="dxa"/>
            <w:vAlign w:val="bottom"/>
            <w:tcBorders>
              <w:top w:val="single" w:sz="8" w:color="D5EAEA"/>
              <w:bottom w:val="single" w:sz="8" w:color="D5EAEA"/>
            </w:tcBorders>
            <w:shd w:val="clear" w:color="auto" w:fill="D5EAEA"/>
          </w:tcPr>
          <w:p>
            <w:pPr>
              <w:spacing w:after="0"/>
              <w:rPr>
                <w:sz w:val="17"/>
                <w:szCs w:val="17"/>
                <w:color w:val="auto"/>
              </w:rPr>
            </w:pPr>
          </w:p>
        </w:tc>
        <w:tc>
          <w:tcPr>
            <w:tcW w:w="300" w:type="dxa"/>
            <w:vAlign w:val="bottom"/>
            <w:tcBorders>
              <w:top w:val="single" w:sz="8" w:color="auto"/>
              <w:bottom w:val="single" w:sz="8" w:color="auto"/>
            </w:tcBorders>
            <w:shd w:val="clear" w:color="auto" w:fill="D5EAEA"/>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102</w:t>
            </w:r>
          </w:p>
        </w:tc>
        <w:tc>
          <w:tcPr>
            <w:tcW w:w="120" w:type="dxa"/>
            <w:vAlign w:val="bottom"/>
            <w:tcBorders>
              <w:top w:val="single" w:sz="8" w:color="D5EAEA"/>
              <w:bottom w:val="single" w:sz="8" w:color="D5EAEA"/>
            </w:tcBorders>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Weighted average number of ordinary shares used in computing loss per ordinary share(1)</w:t>
            </w: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4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Basic</w:t>
            </w:r>
          </w:p>
        </w:tc>
        <w:tc>
          <w:tcPr>
            <w:tcW w:w="960" w:type="dxa"/>
            <w:vAlign w:val="bottom"/>
            <w:tcBorders>
              <w:bottom w:val="single" w:sz="8" w:color="D5EAEA"/>
            </w:tcBorders>
            <w:shd w:val="clear" w:color="auto" w:fill="D5EAEA"/>
          </w:tcPr>
          <w:p>
            <w:pPr>
              <w:spacing w:after="0"/>
              <w:rPr>
                <w:sz w:val="21"/>
                <w:szCs w:val="21"/>
                <w:color w:val="auto"/>
              </w:rPr>
            </w:pPr>
          </w:p>
        </w:tc>
        <w:tc>
          <w:tcPr>
            <w:tcW w:w="120" w:type="dxa"/>
            <w:vAlign w:val="bottom"/>
            <w:tcBorders>
              <w:bottom w:val="single" w:sz="8" w:color="auto"/>
            </w:tcBorders>
            <w:shd w:val="clear" w:color="auto" w:fill="D5EAEA"/>
          </w:tcPr>
          <w:p>
            <w:pPr>
              <w:spacing w:after="0"/>
              <w:rPr>
                <w:sz w:val="21"/>
                <w:szCs w:val="21"/>
                <w:color w:val="auto"/>
              </w:rPr>
            </w:pPr>
          </w:p>
        </w:tc>
        <w:tc>
          <w:tcPr>
            <w:tcW w:w="11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34,544</w:t>
            </w:r>
          </w:p>
        </w:tc>
        <w:tc>
          <w:tcPr>
            <w:tcW w:w="140" w:type="dxa"/>
            <w:vAlign w:val="bottom"/>
            <w:tcBorders>
              <w:bottom w:val="single" w:sz="8" w:color="D5EAEA"/>
            </w:tcBorders>
            <w:shd w:val="clear" w:color="auto" w:fill="D5EAEA"/>
          </w:tcPr>
          <w:p>
            <w:pPr>
              <w:spacing w:after="0"/>
              <w:rPr>
                <w:sz w:val="21"/>
                <w:szCs w:val="21"/>
                <w:color w:val="auto"/>
              </w:rPr>
            </w:pPr>
          </w:p>
        </w:tc>
        <w:tc>
          <w:tcPr>
            <w:tcW w:w="60" w:type="dxa"/>
            <w:vAlign w:val="bottom"/>
            <w:tcBorders>
              <w:bottom w:val="single" w:sz="8" w:color="D5EAEA"/>
            </w:tcBorders>
            <w:shd w:val="clear" w:color="auto" w:fill="D5EAEA"/>
          </w:tcPr>
          <w:p>
            <w:pPr>
              <w:spacing w:after="0"/>
              <w:rPr>
                <w:sz w:val="21"/>
                <w:szCs w:val="21"/>
                <w:color w:val="auto"/>
              </w:rPr>
            </w:pPr>
          </w:p>
        </w:tc>
        <w:tc>
          <w:tcPr>
            <w:tcW w:w="300" w:type="dxa"/>
            <w:vAlign w:val="bottom"/>
            <w:tcBorders>
              <w:bottom w:val="single" w:sz="8" w:color="auto"/>
            </w:tcBorders>
            <w:shd w:val="clear" w:color="auto" w:fill="D5EAEA"/>
          </w:tcPr>
          <w:p>
            <w:pPr>
              <w:spacing w:after="0"/>
              <w:rPr>
                <w:sz w:val="21"/>
                <w:szCs w:val="21"/>
                <w:color w:val="auto"/>
              </w:rPr>
            </w:pPr>
          </w:p>
        </w:tc>
        <w:tc>
          <w:tcPr>
            <w:tcW w:w="9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34,409</w:t>
            </w:r>
          </w:p>
        </w:tc>
        <w:tc>
          <w:tcPr>
            <w:tcW w:w="120" w:type="dxa"/>
            <w:vAlign w:val="bottom"/>
            <w:tcBorders>
              <w:bottom w:val="single" w:sz="8" w:color="D5EAEA"/>
            </w:tcBorders>
            <w:shd w:val="clear" w:color="auto" w:fill="D5EAE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Diluted</w:t>
            </w: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tcBorders>
              <w:bottom w:val="single" w:sz="8" w:color="D5EAEA"/>
            </w:tcBorders>
            <w:vMerge w:val="continue"/>
          </w:tcPr>
          <w:p>
            <w:pPr>
              <w:spacing w:after="0"/>
              <w:rPr>
                <w:sz w:val="20"/>
                <w:szCs w:val="20"/>
                <w:color w:val="auto"/>
              </w:rPr>
            </w:pPr>
          </w:p>
        </w:tc>
        <w:tc>
          <w:tcPr>
            <w:tcW w:w="960" w:type="dxa"/>
            <w:vAlign w:val="bottom"/>
            <w:tcBorders>
              <w:bottom w:val="single" w:sz="8" w:color="D5EAEA"/>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34,544</w:t>
            </w:r>
          </w:p>
        </w:tc>
        <w:tc>
          <w:tcPr>
            <w:tcW w:w="140" w:type="dxa"/>
            <w:vAlign w:val="bottom"/>
            <w:tcBorders>
              <w:bottom w:val="single" w:sz="8" w:color="D5EAEA"/>
            </w:tcBorders>
          </w:tcPr>
          <w:p>
            <w:pPr>
              <w:spacing w:after="0"/>
              <w:rPr>
                <w:sz w:val="20"/>
                <w:szCs w:val="20"/>
                <w:color w:val="auto"/>
              </w:rPr>
            </w:pPr>
          </w:p>
        </w:tc>
        <w:tc>
          <w:tcPr>
            <w:tcW w:w="60" w:type="dxa"/>
            <w:vAlign w:val="bottom"/>
            <w:tcBorders>
              <w:bottom w:val="single" w:sz="8" w:color="D5EAEA"/>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51,972</w:t>
            </w:r>
          </w:p>
        </w:tc>
        <w:tc>
          <w:tcPr>
            <w:tcW w:w="120" w:type="dxa"/>
            <w:vAlign w:val="bottom"/>
            <w:tcBorders>
              <w:bottom w:val="single" w:sz="8" w:color="D5EAEA"/>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D5EAEA"/>
          </w:tcPr>
          <w:p>
            <w:pPr>
              <w:spacing w:after="0" w:line="196" w:lineRule="exact"/>
              <w:rPr>
                <w:sz w:val="20"/>
                <w:szCs w:val="20"/>
                <w:color w:val="auto"/>
              </w:rPr>
            </w:pPr>
            <w:r>
              <w:rPr>
                <w:rFonts w:ascii="Arial" w:cs="Arial" w:eastAsia="Arial" w:hAnsi="Arial"/>
                <w:sz w:val="18"/>
                <w:szCs w:val="18"/>
                <w:color w:val="auto"/>
              </w:rPr>
              <w:t>Pro forma loss per ordinary share(2) (unaudited)</w:t>
            </w:r>
          </w:p>
        </w:tc>
        <w:tc>
          <w:tcPr>
            <w:tcW w:w="9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300" w:type="dxa"/>
            <w:vAlign w:val="bottom"/>
            <w:shd w:val="clear" w:color="auto" w:fill="D5EAEA"/>
          </w:tcPr>
          <w:p>
            <w:pPr>
              <w:spacing w:after="0"/>
              <w:rPr>
                <w:sz w:val="18"/>
                <w:szCs w:val="18"/>
                <w:color w:val="auto"/>
              </w:rPr>
            </w:pPr>
          </w:p>
        </w:tc>
        <w:tc>
          <w:tcPr>
            <w:tcW w:w="9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744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Basic</w:t>
            </w:r>
          </w:p>
        </w:tc>
        <w:tc>
          <w:tcPr>
            <w:tcW w:w="960" w:type="dxa"/>
            <w:vAlign w:val="bottom"/>
            <w:tcBorders>
              <w:bottom w:val="single" w:sz="8" w:color="D5EAEA"/>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D5EAEA"/>
            </w:tcBorders>
          </w:tcPr>
          <w:p>
            <w:pPr>
              <w:spacing w:after="0"/>
              <w:rPr>
                <w:sz w:val="24"/>
                <w:szCs w:val="24"/>
                <w:color w:val="auto"/>
              </w:rPr>
            </w:pPr>
          </w:p>
        </w:tc>
        <w:tc>
          <w:tcPr>
            <w:tcW w:w="60" w:type="dxa"/>
            <w:vAlign w:val="bottom"/>
            <w:tcBorders>
              <w:bottom w:val="single" w:sz="8" w:color="D5EAEA"/>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D5EAEA"/>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440" w:type="dxa"/>
            <w:vAlign w:val="bottom"/>
            <w:tcBorders>
              <w:bottom w:val="single" w:sz="8" w:color="D5EAEA"/>
            </w:tcBorders>
            <w:shd w:val="clear" w:color="auto" w:fill="D5EAEA"/>
          </w:tcPr>
          <w:p>
            <w:pPr>
              <w:spacing w:after="0" w:line="190" w:lineRule="exact"/>
              <w:rPr>
                <w:sz w:val="20"/>
                <w:szCs w:val="20"/>
                <w:color w:val="auto"/>
              </w:rPr>
            </w:pPr>
            <w:r>
              <w:rPr>
                <w:rFonts w:ascii="Arial" w:cs="Arial" w:eastAsia="Arial" w:hAnsi="Arial"/>
                <w:sz w:val="18"/>
                <w:szCs w:val="18"/>
                <w:color w:val="auto"/>
              </w:rPr>
              <w:t>Diluted</w:t>
            </w:r>
          </w:p>
        </w:tc>
        <w:tc>
          <w:tcPr>
            <w:tcW w:w="960" w:type="dxa"/>
            <w:vAlign w:val="bottom"/>
            <w:tcBorders>
              <w:bottom w:val="single" w:sz="8" w:color="D5EAEA"/>
            </w:tcBorders>
            <w:shd w:val="clear" w:color="auto" w:fill="D5EAEA"/>
          </w:tcPr>
          <w:p>
            <w:pPr>
              <w:spacing w:after="0"/>
              <w:rPr>
                <w:sz w:val="17"/>
                <w:szCs w:val="17"/>
                <w:color w:val="auto"/>
              </w:rPr>
            </w:pPr>
          </w:p>
        </w:tc>
        <w:tc>
          <w:tcPr>
            <w:tcW w:w="120" w:type="dxa"/>
            <w:vAlign w:val="bottom"/>
            <w:tcBorders>
              <w:bottom w:val="single" w:sz="8" w:color="auto"/>
            </w:tcBorders>
            <w:shd w:val="clear" w:color="auto" w:fill="D5EAEA"/>
          </w:tcPr>
          <w:p>
            <w:pPr>
              <w:spacing w:after="0"/>
              <w:rPr>
                <w:sz w:val="17"/>
                <w:szCs w:val="17"/>
                <w:color w:val="auto"/>
              </w:rPr>
            </w:pPr>
          </w:p>
        </w:tc>
        <w:tc>
          <w:tcPr>
            <w:tcW w:w="1140" w:type="dxa"/>
            <w:vAlign w:val="bottom"/>
            <w:tcBorders>
              <w:bottom w:val="single" w:sz="8" w:color="auto"/>
            </w:tcBorders>
            <w:shd w:val="clear" w:color="auto" w:fill="D5EAEA"/>
          </w:tcPr>
          <w:p>
            <w:pPr>
              <w:spacing w:after="0"/>
              <w:rPr>
                <w:sz w:val="17"/>
                <w:szCs w:val="17"/>
                <w:color w:val="auto"/>
              </w:rPr>
            </w:pPr>
          </w:p>
        </w:tc>
        <w:tc>
          <w:tcPr>
            <w:tcW w:w="140" w:type="dxa"/>
            <w:vAlign w:val="bottom"/>
            <w:tcBorders>
              <w:bottom w:val="single" w:sz="8" w:color="D5EAEA"/>
            </w:tcBorders>
            <w:shd w:val="clear" w:color="auto" w:fill="D5EAEA"/>
          </w:tcPr>
          <w:p>
            <w:pPr>
              <w:spacing w:after="0"/>
              <w:rPr>
                <w:sz w:val="17"/>
                <w:szCs w:val="17"/>
                <w:color w:val="auto"/>
              </w:rPr>
            </w:pPr>
          </w:p>
        </w:tc>
        <w:tc>
          <w:tcPr>
            <w:tcW w:w="60" w:type="dxa"/>
            <w:vAlign w:val="bottom"/>
            <w:tcBorders>
              <w:bottom w:val="single" w:sz="8" w:color="D5EAEA"/>
            </w:tcBorders>
            <w:shd w:val="clear" w:color="auto" w:fill="D5EAEA"/>
          </w:tcPr>
          <w:p>
            <w:pPr>
              <w:spacing w:after="0"/>
              <w:rPr>
                <w:sz w:val="17"/>
                <w:szCs w:val="17"/>
                <w:color w:val="auto"/>
              </w:rPr>
            </w:pPr>
          </w:p>
        </w:tc>
        <w:tc>
          <w:tcPr>
            <w:tcW w:w="300" w:type="dxa"/>
            <w:vAlign w:val="bottom"/>
            <w:tcBorders>
              <w:bottom w:val="single" w:sz="8" w:color="auto"/>
            </w:tcBorders>
            <w:shd w:val="clear" w:color="auto" w:fill="D5EAEA"/>
          </w:tcPr>
          <w:p>
            <w:pPr>
              <w:spacing w:after="0"/>
              <w:rPr>
                <w:sz w:val="17"/>
                <w:szCs w:val="17"/>
                <w:color w:val="auto"/>
              </w:rPr>
            </w:pPr>
          </w:p>
        </w:tc>
        <w:tc>
          <w:tcPr>
            <w:tcW w:w="920" w:type="dxa"/>
            <w:vAlign w:val="bottom"/>
            <w:tcBorders>
              <w:bottom w:val="single" w:sz="8" w:color="auto"/>
            </w:tcBorders>
            <w:shd w:val="clear" w:color="auto" w:fill="D5EAEA"/>
          </w:tcPr>
          <w:p>
            <w:pPr>
              <w:spacing w:after="0"/>
              <w:rPr>
                <w:sz w:val="17"/>
                <w:szCs w:val="17"/>
                <w:color w:val="auto"/>
              </w:rPr>
            </w:pPr>
          </w:p>
        </w:tc>
        <w:tc>
          <w:tcPr>
            <w:tcW w:w="120" w:type="dxa"/>
            <w:vAlign w:val="bottom"/>
            <w:tcBorders>
              <w:bottom w:val="single" w:sz="8" w:color="D5EAEA"/>
            </w:tcBorders>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0"/>
        <w:spacing w:after="0"/>
        <w:rPr>
          <w:sz w:val="20"/>
          <w:szCs w:val="20"/>
          <w:color w:val="auto"/>
        </w:rPr>
      </w:pPr>
      <w:r>
        <w:rPr>
          <w:rFonts w:ascii="Arial" w:cs="Arial" w:eastAsia="Arial" w:hAnsi="Arial"/>
          <w:sz w:val="18"/>
          <w:szCs w:val="18"/>
          <w:color w:val="auto"/>
        </w:rPr>
        <w:t>Weighted average number of ordinary shares used in computing pro forma loss per share(2) (unaudited)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Basic</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Diluted</w:t>
      </w:r>
    </w:p>
    <w:p>
      <w:pPr>
        <w:spacing w:after="0" w:line="200" w:lineRule="exact"/>
        <w:rPr>
          <w:sz w:val="20"/>
          <w:szCs w:val="20"/>
          <w:color w:val="auto"/>
        </w:rPr>
      </w:pPr>
    </w:p>
    <w:p>
      <w:pPr>
        <w:spacing w:after="0" w:line="390" w:lineRule="exact"/>
        <w:rPr>
          <w:sz w:val="20"/>
          <w:szCs w:val="20"/>
          <w:color w:val="auto"/>
        </w:rPr>
      </w:pPr>
    </w:p>
    <w:p>
      <w:pPr>
        <w:ind w:left="440" w:right="160" w:hanging="324"/>
        <w:spacing w:after="0" w:line="264"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Basic and diluted loss per ordinary share in 2017 are the same because the financial instruments as described in the financial statements are excluded from the calculation, since their effect was anti-dilutive. See Note 13 to our financial statements included elsewhere in this prospectus for further details on the calculation of basic and diluted loss per ordinary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7250430" cy="647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647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40" w:right="120" w:hanging="324"/>
        <w:spacing w:after="0" w:line="259"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 forma basic and diluted loss per ordinary share give effect to the 1-for- ordinary share split described in this prospectus and the assumed conversion of our outstanding convertible loans and preferred shares into ordinary shares upon the closing of this offering, but not the exercise of any outstanding options or warrants, as though the conversion had occurred as of the beginning of the period or the original date of issuance, if later, and do not reflect the issuance of shares and warrants in connection with this offering.</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7"/>
          </w:tcPr>
          <w:p>
            <w:pPr>
              <w:ind w:left="540"/>
              <w:spacing w:after="0"/>
              <w:rPr>
                <w:sz w:val="20"/>
                <w:szCs w:val="20"/>
                <w:color w:val="auto"/>
              </w:rPr>
            </w:pPr>
            <w:r>
              <w:rPr>
                <w:rFonts w:ascii="Arial" w:cs="Arial" w:eastAsia="Arial" w:hAnsi="Arial"/>
                <w:sz w:val="18"/>
                <w:szCs w:val="18"/>
                <w:b w:val="1"/>
                <w:bCs w:val="1"/>
                <w:color w:val="auto"/>
              </w:rPr>
              <w:t>As of December 31, 2017</w:t>
            </w:r>
          </w:p>
        </w:tc>
        <w:tc>
          <w:tcPr>
            <w:tcW w:w="0" w:type="dxa"/>
            <w:vAlign w:val="bottom"/>
          </w:tcPr>
          <w:p>
            <w:pPr>
              <w:spacing w:after="0"/>
              <w:rPr>
                <w:sz w:val="1"/>
                <w:szCs w:val="1"/>
                <w:color w:val="auto"/>
              </w:rPr>
            </w:pPr>
          </w:p>
        </w:tc>
      </w:tr>
      <w:tr>
        <w:trPr>
          <w:trHeight w:val="191"/>
        </w:trPr>
        <w:tc>
          <w:tcPr>
            <w:tcW w:w="168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40"/>
              <w:spacing w:after="0" w:line="191" w:lineRule="exact"/>
              <w:rPr>
                <w:sz w:val="20"/>
                <w:szCs w:val="20"/>
                <w:color w:val="auto"/>
              </w:rPr>
            </w:pPr>
            <w:r>
              <w:rPr>
                <w:rFonts w:ascii="Arial" w:cs="Arial" w:eastAsia="Arial" w:hAnsi="Arial"/>
                <w:sz w:val="18"/>
                <w:szCs w:val="18"/>
                <w:b w:val="1"/>
                <w:bCs w:val="1"/>
                <w:color w:val="auto"/>
              </w:rPr>
              <w:t>Pro forma as</w:t>
            </w: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b w:val="1"/>
                <w:bCs w:val="1"/>
                <w:color w:val="auto"/>
              </w:rPr>
              <w:t>Actual</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Pro forma (1)</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Adjusted(2)</w:t>
            </w:r>
          </w:p>
        </w:tc>
        <w:tc>
          <w:tcPr>
            <w:tcW w:w="0" w:type="dxa"/>
            <w:vAlign w:val="bottom"/>
          </w:tcPr>
          <w:p>
            <w:pPr>
              <w:spacing w:after="0"/>
              <w:rPr>
                <w:sz w:val="1"/>
                <w:szCs w:val="1"/>
                <w:color w:val="auto"/>
              </w:rPr>
            </w:pPr>
          </w:p>
        </w:tc>
      </w:tr>
      <w:tr>
        <w:trPr>
          <w:trHeight w:val="224"/>
        </w:trPr>
        <w:tc>
          <w:tcPr>
            <w:tcW w:w="6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Statements of financial position data:</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w w:val="97"/>
              </w:rPr>
              <w:t>(In thousands)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8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shd w:val="clear" w:color="auto" w:fill="D5EAEA"/>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11,746</w:t>
            </w:r>
          </w:p>
        </w:tc>
        <w:tc>
          <w:tcPr>
            <w:tcW w:w="140" w:type="dxa"/>
            <w:vAlign w:val="bottom"/>
            <w:shd w:val="clear" w:color="auto" w:fill="D5EAEA"/>
          </w:tcPr>
          <w:p>
            <w:pPr>
              <w:spacing w:after="0"/>
              <w:rPr>
                <w:sz w:val="18"/>
                <w:szCs w:val="18"/>
                <w:color w:val="auto"/>
              </w:rPr>
            </w:pPr>
          </w:p>
        </w:tc>
        <w:tc>
          <w:tcPr>
            <w:tcW w:w="1320" w:type="dxa"/>
            <w:vAlign w:val="bottom"/>
            <w:gridSpan w:val="2"/>
            <w:shd w:val="clear" w:color="auto" w:fill="D5EAEA"/>
          </w:tcPr>
          <w:p>
            <w:pPr>
              <w:jc w:val="right"/>
              <w:ind w:right="10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D5EAEA"/>
          </w:tcPr>
          <w:p>
            <w:pPr>
              <w:jc w:val="right"/>
              <w:ind w:right="10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D5EAEA"/>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140" w:type="dxa"/>
            <w:vAlign w:val="bottom"/>
            <w:tcBorders>
              <w:bottom w:val="single" w:sz="8" w:color="D5EAEA"/>
            </w:tcBorders>
          </w:tcPr>
          <w:p>
            <w:pPr>
              <w:spacing w:after="0"/>
              <w:rPr>
                <w:sz w:val="19"/>
                <w:szCs w:val="19"/>
                <w:color w:val="auto"/>
              </w:rPr>
            </w:pPr>
          </w:p>
        </w:tc>
        <w:tc>
          <w:tcPr>
            <w:tcW w:w="100" w:type="dxa"/>
            <w:vAlign w:val="bottom"/>
            <w:tcBorders>
              <w:bottom w:val="single" w:sz="8" w:color="D5EAEA"/>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0" w:type="dxa"/>
            <w:vAlign w:val="bottom"/>
            <w:tcBorders>
              <w:bottom w:val="single" w:sz="8" w:color="D5EAEA"/>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D5EAEA"/>
          </w:tcPr>
          <w:p>
            <w:pPr>
              <w:spacing w:after="0"/>
              <w:rPr>
                <w:sz w:val="18"/>
                <w:szCs w:val="18"/>
                <w:color w:val="auto"/>
              </w:rPr>
            </w:pPr>
          </w:p>
        </w:tc>
        <w:tc>
          <w:tcPr>
            <w:tcW w:w="620" w:type="dxa"/>
            <w:vAlign w:val="bottom"/>
            <w:tcBorders>
              <w:bottom w:val="single" w:sz="8" w:color="auto"/>
            </w:tcBorders>
            <w:shd w:val="clear" w:color="auto" w:fill="D5EAEA"/>
          </w:tcPr>
          <w:p>
            <w:pPr>
              <w:spacing w:after="0"/>
              <w:rPr>
                <w:sz w:val="18"/>
                <w:szCs w:val="18"/>
                <w:color w:val="auto"/>
              </w:rPr>
            </w:pPr>
          </w:p>
        </w:tc>
        <w:tc>
          <w:tcPr>
            <w:tcW w:w="6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12,417</w:t>
            </w:r>
          </w:p>
        </w:tc>
        <w:tc>
          <w:tcPr>
            <w:tcW w:w="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20" w:type="dxa"/>
            <w:vAlign w:val="bottom"/>
            <w:tcBorders>
              <w:bottom w:val="single" w:sz="8" w:color="auto"/>
            </w:tcBorders>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1220" w:type="dxa"/>
            <w:vAlign w:val="bottom"/>
            <w:tcBorders>
              <w:bottom w:val="single" w:sz="8" w:color="auto"/>
            </w:tcBorders>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2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D5EAEA"/>
          </w:tcPr>
          <w:p>
            <w:pPr>
              <w:spacing w:after="0"/>
              <w:rPr>
                <w:sz w:val="19"/>
                <w:szCs w:val="19"/>
                <w:color w:val="auto"/>
              </w:rPr>
            </w:pPr>
          </w:p>
        </w:tc>
        <w:tc>
          <w:tcPr>
            <w:tcW w:w="620" w:type="dxa"/>
            <w:vAlign w:val="bottom"/>
            <w:tcBorders>
              <w:bottom w:val="single" w:sz="8" w:color="auto"/>
            </w:tcBorders>
            <w:shd w:val="clear" w:color="auto" w:fill="D5EAEA"/>
          </w:tcPr>
          <w:p>
            <w:pPr>
              <w:spacing w:after="0"/>
              <w:rPr>
                <w:sz w:val="19"/>
                <w:szCs w:val="19"/>
                <w:color w:val="auto"/>
              </w:rPr>
            </w:pPr>
          </w:p>
        </w:tc>
        <w:tc>
          <w:tcPr>
            <w:tcW w:w="6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654</w:t>
            </w:r>
          </w:p>
        </w:tc>
        <w:tc>
          <w:tcPr>
            <w:tcW w:w="140" w:type="dxa"/>
            <w:vAlign w:val="bottom"/>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1220" w:type="dxa"/>
            <w:vAlign w:val="bottom"/>
            <w:tcBorders>
              <w:bottom w:val="single" w:sz="8" w:color="auto"/>
            </w:tcBorders>
            <w:shd w:val="clear" w:color="auto" w:fill="D5EAEA"/>
          </w:tcPr>
          <w:p>
            <w:pPr>
              <w:spacing w:after="0"/>
              <w:rPr>
                <w:sz w:val="19"/>
                <w:szCs w:val="19"/>
                <w:color w:val="auto"/>
              </w:rPr>
            </w:pPr>
          </w:p>
        </w:tc>
        <w:tc>
          <w:tcPr>
            <w:tcW w:w="200" w:type="dxa"/>
            <w:vAlign w:val="bottom"/>
            <w:shd w:val="clear" w:color="auto" w:fill="D5EAEA"/>
          </w:tcPr>
          <w:p>
            <w:pPr>
              <w:spacing w:after="0"/>
              <w:rPr>
                <w:sz w:val="19"/>
                <w:szCs w:val="19"/>
                <w:color w:val="auto"/>
              </w:rPr>
            </w:pPr>
          </w:p>
        </w:tc>
        <w:tc>
          <w:tcPr>
            <w:tcW w:w="1220" w:type="dxa"/>
            <w:vAlign w:val="bottom"/>
            <w:tcBorders>
              <w:bottom w:val="single" w:sz="8" w:color="auto"/>
            </w:tcBorders>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8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D5EAEA"/>
            </w:tcBorders>
          </w:tcPr>
          <w:p>
            <w:pPr>
              <w:spacing w:after="0"/>
              <w:rPr>
                <w:sz w:val="22"/>
                <w:szCs w:val="22"/>
                <w:color w:val="auto"/>
              </w:rPr>
            </w:pPr>
          </w:p>
        </w:tc>
        <w:tc>
          <w:tcPr>
            <w:tcW w:w="620" w:type="dxa"/>
            <w:vAlign w:val="bottom"/>
            <w:tcBorders>
              <w:bottom w:val="single" w:sz="8" w:color="auto"/>
            </w:tcBorders>
          </w:tcPr>
          <w:p>
            <w:pPr>
              <w:jc w:val="right"/>
              <w:ind w:right="460"/>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13,278</w:t>
            </w:r>
          </w:p>
        </w:tc>
        <w:tc>
          <w:tcPr>
            <w:tcW w:w="140" w:type="dxa"/>
            <w:vAlign w:val="bottom"/>
            <w:tcBorders>
              <w:bottom w:val="single" w:sz="8" w:color="D5EAEA"/>
            </w:tcBorders>
          </w:tcPr>
          <w:p>
            <w:pPr>
              <w:spacing w:after="0"/>
              <w:rPr>
                <w:sz w:val="22"/>
                <w:szCs w:val="22"/>
                <w:color w:val="auto"/>
              </w:rPr>
            </w:pPr>
          </w:p>
        </w:tc>
        <w:tc>
          <w:tcPr>
            <w:tcW w:w="100" w:type="dxa"/>
            <w:vAlign w:val="bottom"/>
            <w:tcBorders>
              <w:bottom w:val="single" w:sz="8" w:color="D5EAEA"/>
            </w:tcBorders>
          </w:tcPr>
          <w:p>
            <w:pPr>
              <w:spacing w:after="0"/>
              <w:rPr>
                <w:sz w:val="22"/>
                <w:szCs w:val="22"/>
                <w:color w:val="auto"/>
              </w:rPr>
            </w:pPr>
          </w:p>
        </w:tc>
        <w:tc>
          <w:tcPr>
            <w:tcW w:w="1220" w:type="dxa"/>
            <w:vAlign w:val="bottom"/>
            <w:tcBorders>
              <w:bottom w:val="single" w:sz="8" w:color="auto"/>
            </w:tcBorders>
          </w:tcPr>
          <w:p>
            <w:pPr>
              <w:jc w:val="right"/>
              <w:ind w:right="1060"/>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D5EAEA"/>
            </w:tcBorders>
          </w:tcPr>
          <w:p>
            <w:pPr>
              <w:spacing w:after="0"/>
              <w:rPr>
                <w:sz w:val="22"/>
                <w:szCs w:val="22"/>
                <w:color w:val="auto"/>
              </w:rPr>
            </w:pPr>
          </w:p>
        </w:tc>
        <w:tc>
          <w:tcPr>
            <w:tcW w:w="12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D5EAEA"/>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820" w:type="dxa"/>
            <w:vAlign w:val="bottom"/>
            <w:gridSpan w:val="2"/>
            <w:shd w:val="clear" w:color="auto" w:fill="D5EAEA"/>
          </w:tcPr>
          <w:p>
            <w:pPr>
              <w:spacing w:after="0" w:line="196" w:lineRule="exact"/>
              <w:rPr>
                <w:sz w:val="20"/>
                <w:szCs w:val="20"/>
                <w:color w:val="auto"/>
              </w:rPr>
            </w:pPr>
            <w:r>
              <w:rPr>
                <w:rFonts w:ascii="Arial" w:cs="Arial" w:eastAsia="Arial" w:hAnsi="Arial"/>
                <w:sz w:val="18"/>
                <w:szCs w:val="18"/>
                <w:color w:val="auto"/>
              </w:rPr>
              <w:t>Accounts payable – Trade and other</w:t>
            </w:r>
          </w:p>
        </w:tc>
        <w:tc>
          <w:tcPr>
            <w:tcW w:w="140" w:type="dxa"/>
            <w:vAlign w:val="bottom"/>
            <w:shd w:val="clear" w:color="auto" w:fill="D5EAEA"/>
          </w:tcPr>
          <w:p>
            <w:pPr>
              <w:spacing w:after="0"/>
              <w:rPr>
                <w:sz w:val="17"/>
                <w:szCs w:val="17"/>
                <w:color w:val="auto"/>
              </w:rPr>
            </w:pPr>
          </w:p>
        </w:tc>
        <w:tc>
          <w:tcPr>
            <w:tcW w:w="620" w:type="dxa"/>
            <w:vAlign w:val="bottom"/>
            <w:shd w:val="clear" w:color="auto" w:fill="D5EAEA"/>
          </w:tcPr>
          <w:p>
            <w:pPr>
              <w:spacing w:after="0"/>
              <w:rPr>
                <w:sz w:val="17"/>
                <w:szCs w:val="17"/>
                <w:color w:val="auto"/>
              </w:rPr>
            </w:pPr>
          </w:p>
        </w:tc>
        <w:tc>
          <w:tcPr>
            <w:tcW w:w="620" w:type="dxa"/>
            <w:vAlign w:val="bottom"/>
            <w:shd w:val="clear" w:color="auto" w:fill="D5EAEA"/>
          </w:tcPr>
          <w:p>
            <w:pPr>
              <w:jc w:val="right"/>
              <w:spacing w:after="0" w:line="196" w:lineRule="exact"/>
              <w:rPr>
                <w:sz w:val="20"/>
                <w:szCs w:val="20"/>
                <w:color w:val="auto"/>
              </w:rPr>
            </w:pPr>
            <w:r>
              <w:rPr>
                <w:rFonts w:ascii="Arial" w:cs="Arial" w:eastAsia="Arial" w:hAnsi="Arial"/>
                <w:sz w:val="18"/>
                <w:szCs w:val="18"/>
                <w:color w:val="auto"/>
              </w:rPr>
              <w:t>2,020</w:t>
            </w:r>
          </w:p>
        </w:tc>
        <w:tc>
          <w:tcPr>
            <w:tcW w:w="1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200" w:type="dxa"/>
            <w:vAlign w:val="bottom"/>
            <w:shd w:val="clear" w:color="auto" w:fill="D5EAEA"/>
          </w:tcPr>
          <w:p>
            <w:pPr>
              <w:spacing w:after="0"/>
              <w:rPr>
                <w:sz w:val="17"/>
                <w:szCs w:val="17"/>
                <w:color w:val="auto"/>
              </w:rPr>
            </w:pPr>
          </w:p>
        </w:tc>
        <w:tc>
          <w:tcPr>
            <w:tcW w:w="12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D5EAEA"/>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D5EAEA"/>
            </w:tcBorders>
          </w:tcPr>
          <w:p>
            <w:pPr>
              <w:spacing w:after="0"/>
              <w:rPr>
                <w:sz w:val="19"/>
                <w:szCs w:val="19"/>
                <w:color w:val="auto"/>
              </w:rPr>
            </w:pPr>
          </w:p>
        </w:tc>
        <w:tc>
          <w:tcPr>
            <w:tcW w:w="100" w:type="dxa"/>
            <w:vAlign w:val="bottom"/>
            <w:tcBorders>
              <w:bottom w:val="single" w:sz="8" w:color="D5EAEA"/>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0" w:type="dxa"/>
            <w:vAlign w:val="bottom"/>
            <w:tcBorders>
              <w:bottom w:val="single" w:sz="8" w:color="D5EAEA"/>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Long-term convertible loans</w:t>
            </w:r>
          </w:p>
        </w:tc>
        <w:tc>
          <w:tcPr>
            <w:tcW w:w="140" w:type="dxa"/>
            <w:vAlign w:val="bottom"/>
            <w:shd w:val="clear" w:color="auto" w:fill="D5EAEA"/>
          </w:tcPr>
          <w:p>
            <w:pPr>
              <w:spacing w:after="0"/>
              <w:rPr>
                <w:sz w:val="18"/>
                <w:szCs w:val="18"/>
                <w:color w:val="auto"/>
              </w:rPr>
            </w:pPr>
          </w:p>
        </w:tc>
        <w:tc>
          <w:tcPr>
            <w:tcW w:w="620" w:type="dxa"/>
            <w:vAlign w:val="bottom"/>
            <w:shd w:val="clear" w:color="auto" w:fill="D5EAEA"/>
          </w:tcPr>
          <w:p>
            <w:pPr>
              <w:spacing w:after="0"/>
              <w:rPr>
                <w:sz w:val="18"/>
                <w:szCs w:val="18"/>
                <w:color w:val="auto"/>
              </w:rPr>
            </w:pPr>
          </w:p>
        </w:tc>
        <w:tc>
          <w:tcPr>
            <w:tcW w:w="6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3,893</w:t>
            </w:r>
          </w:p>
        </w:tc>
        <w:tc>
          <w:tcPr>
            <w:tcW w:w="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Preferred shares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33,455</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Warrants to purchase preferred shares and shares</w:t>
            </w:r>
          </w:p>
        </w:tc>
        <w:tc>
          <w:tcPr>
            <w:tcW w:w="140" w:type="dxa"/>
            <w:vAlign w:val="bottom"/>
            <w:shd w:val="clear" w:color="auto" w:fill="D5EAEA"/>
          </w:tcPr>
          <w:p>
            <w:pPr>
              <w:spacing w:after="0"/>
              <w:rPr>
                <w:sz w:val="18"/>
                <w:szCs w:val="18"/>
                <w:color w:val="auto"/>
              </w:rPr>
            </w:pPr>
          </w:p>
        </w:tc>
        <w:tc>
          <w:tcPr>
            <w:tcW w:w="620" w:type="dxa"/>
            <w:vAlign w:val="bottom"/>
            <w:shd w:val="clear" w:color="auto" w:fill="D5EAEA"/>
          </w:tcPr>
          <w:p>
            <w:pPr>
              <w:spacing w:after="0"/>
              <w:rPr>
                <w:sz w:val="18"/>
                <w:szCs w:val="18"/>
                <w:color w:val="auto"/>
              </w:rPr>
            </w:pPr>
          </w:p>
        </w:tc>
        <w:tc>
          <w:tcPr>
            <w:tcW w:w="6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5,398</w:t>
            </w:r>
          </w:p>
        </w:tc>
        <w:tc>
          <w:tcPr>
            <w:tcW w:w="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color w:val="auto"/>
              </w:rPr>
              <w:t>Severance pay obligations, net</w:t>
            </w:r>
          </w:p>
        </w:tc>
        <w:tc>
          <w:tcPr>
            <w:tcW w:w="140" w:type="dxa"/>
            <w:vAlign w:val="bottom"/>
            <w:tcBorders>
              <w:bottom w:val="single" w:sz="8" w:color="D5EAEA"/>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bottom w:val="single" w:sz="8" w:color="D5EAEA"/>
            </w:tcBorders>
          </w:tcPr>
          <w:p>
            <w:pPr>
              <w:spacing w:after="0"/>
              <w:rPr>
                <w:sz w:val="19"/>
                <w:szCs w:val="19"/>
                <w:color w:val="auto"/>
              </w:rPr>
            </w:pPr>
          </w:p>
        </w:tc>
        <w:tc>
          <w:tcPr>
            <w:tcW w:w="100" w:type="dxa"/>
            <w:vAlign w:val="bottom"/>
            <w:tcBorders>
              <w:bottom w:val="single" w:sz="8" w:color="D5EAEA"/>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00" w:type="dxa"/>
            <w:vAlign w:val="bottom"/>
            <w:tcBorders>
              <w:bottom w:val="single" w:sz="8" w:color="D5EAEA"/>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D5EAEA"/>
            </w:tcBorders>
            <w:shd w:val="clear" w:color="auto" w:fill="D5EAEA"/>
          </w:tcPr>
          <w:p>
            <w:pPr>
              <w:spacing w:after="0"/>
              <w:rPr>
                <w:sz w:val="19"/>
                <w:szCs w:val="19"/>
                <w:color w:val="auto"/>
              </w:rPr>
            </w:pPr>
          </w:p>
        </w:tc>
        <w:tc>
          <w:tcPr>
            <w:tcW w:w="620" w:type="dxa"/>
            <w:vAlign w:val="bottom"/>
            <w:tcBorders>
              <w:bottom w:val="single" w:sz="8" w:color="auto"/>
            </w:tcBorders>
            <w:shd w:val="clear" w:color="auto" w:fill="D5EAEA"/>
          </w:tcPr>
          <w:p>
            <w:pPr>
              <w:jc w:val="right"/>
              <w:ind w:right="460"/>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44,836</w:t>
            </w:r>
          </w:p>
        </w:tc>
        <w:tc>
          <w:tcPr>
            <w:tcW w:w="140" w:type="dxa"/>
            <w:vAlign w:val="bottom"/>
            <w:tcBorders>
              <w:bottom w:val="single" w:sz="8" w:color="D5EAEA"/>
            </w:tcBorders>
            <w:shd w:val="clear" w:color="auto" w:fill="D5EAEA"/>
          </w:tcPr>
          <w:p>
            <w:pPr>
              <w:spacing w:after="0"/>
              <w:rPr>
                <w:sz w:val="19"/>
                <w:szCs w:val="19"/>
                <w:color w:val="auto"/>
              </w:rPr>
            </w:pPr>
          </w:p>
        </w:tc>
        <w:tc>
          <w:tcPr>
            <w:tcW w:w="100" w:type="dxa"/>
            <w:vAlign w:val="bottom"/>
            <w:tcBorders>
              <w:bottom w:val="single" w:sz="8" w:color="D5EAEA"/>
            </w:tcBorders>
            <w:shd w:val="clear" w:color="auto" w:fill="D5EAEA"/>
          </w:tcPr>
          <w:p>
            <w:pPr>
              <w:spacing w:after="0"/>
              <w:rPr>
                <w:sz w:val="19"/>
                <w:szCs w:val="19"/>
                <w:color w:val="auto"/>
              </w:rPr>
            </w:pPr>
          </w:p>
        </w:tc>
        <w:tc>
          <w:tcPr>
            <w:tcW w:w="1220" w:type="dxa"/>
            <w:vAlign w:val="bottom"/>
            <w:tcBorders>
              <w:bottom w:val="single" w:sz="8" w:color="auto"/>
            </w:tcBorders>
            <w:shd w:val="clear" w:color="auto" w:fill="D5EAEA"/>
          </w:tcPr>
          <w:p>
            <w:pPr>
              <w:jc w:val="right"/>
              <w:ind w:right="1060"/>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D5EAEA"/>
            </w:tcBorders>
            <w:shd w:val="clear" w:color="auto" w:fill="D5EAEA"/>
          </w:tcPr>
          <w:p>
            <w:pPr>
              <w:spacing w:after="0"/>
              <w:rPr>
                <w:sz w:val="19"/>
                <w:szCs w:val="19"/>
                <w:color w:val="auto"/>
              </w:rPr>
            </w:pPr>
          </w:p>
        </w:tc>
        <w:tc>
          <w:tcPr>
            <w:tcW w:w="1220" w:type="dxa"/>
            <w:vAlign w:val="bottom"/>
            <w:tcBorders>
              <w:bottom w:val="single" w:sz="8" w:color="auto"/>
            </w:tcBorders>
            <w:shd w:val="clear" w:color="auto" w:fill="D5EAEA"/>
          </w:tcPr>
          <w:p>
            <w:pPr>
              <w:jc w:val="right"/>
              <w:ind w:right="103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D5EAEA"/>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Equity (capital deficiency)</w:t>
            </w:r>
          </w:p>
        </w:tc>
        <w:tc>
          <w:tcPr>
            <w:tcW w:w="14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20" w:type="dxa"/>
            <w:vAlign w:val="bottom"/>
            <w:tcBorders>
              <w:bottom w:val="single" w:sz="8" w:color="D5EAEA"/>
            </w:tcBorders>
            <w:gridSpan w:val="2"/>
            <w:vMerge w:val="continue"/>
          </w:tcPr>
          <w:p>
            <w:pPr>
              <w:spacing w:after="0"/>
              <w:rPr>
                <w:sz w:val="20"/>
                <w:szCs w:val="20"/>
                <w:color w:val="auto"/>
              </w:rPr>
            </w:pPr>
          </w:p>
        </w:tc>
        <w:tc>
          <w:tcPr>
            <w:tcW w:w="140" w:type="dxa"/>
            <w:vAlign w:val="bottom"/>
            <w:tcBorders>
              <w:bottom w:val="single" w:sz="8" w:color="D5EAEA"/>
            </w:tcBorders>
            <w:vMerge w:val="continue"/>
          </w:tcPr>
          <w:p>
            <w:pPr>
              <w:spacing w:after="0"/>
              <w:rPr>
                <w:sz w:val="20"/>
                <w:szCs w:val="20"/>
                <w:color w:val="auto"/>
              </w:rPr>
            </w:pPr>
          </w:p>
        </w:tc>
        <w:tc>
          <w:tcPr>
            <w:tcW w:w="620" w:type="dxa"/>
            <w:vAlign w:val="bottom"/>
            <w:tcBorders>
              <w:bottom w:val="single" w:sz="8" w:color="auto"/>
            </w:tcBorders>
          </w:tcPr>
          <w:p>
            <w:pPr>
              <w:jc w:val="right"/>
              <w:ind w:right="460"/>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(31,558</w:t>
            </w:r>
          </w:p>
        </w:tc>
        <w:tc>
          <w:tcPr>
            <w:tcW w:w="140" w:type="dxa"/>
            <w:vAlign w:val="bottom"/>
            <w:tcBorders>
              <w:bottom w:val="single" w:sz="8" w:color="D5EAEA"/>
            </w:tcBorders>
            <w:vMerge w:val="continue"/>
          </w:tcPr>
          <w:p>
            <w:pPr>
              <w:spacing w:after="0"/>
              <w:rPr>
                <w:sz w:val="20"/>
                <w:szCs w:val="20"/>
                <w:color w:val="auto"/>
              </w:rPr>
            </w:pPr>
          </w:p>
        </w:tc>
        <w:tc>
          <w:tcPr>
            <w:tcW w:w="100" w:type="dxa"/>
            <w:vAlign w:val="bottom"/>
            <w:tcBorders>
              <w:bottom w:val="single" w:sz="8" w:color="D5EAEA"/>
            </w:tcBorders>
            <w:vMerge w:val="continue"/>
          </w:tcPr>
          <w:p>
            <w:pPr>
              <w:spacing w:after="0"/>
              <w:rPr>
                <w:sz w:val="20"/>
                <w:szCs w:val="20"/>
                <w:color w:val="auto"/>
              </w:rPr>
            </w:pPr>
          </w:p>
        </w:tc>
        <w:tc>
          <w:tcPr>
            <w:tcW w:w="1220" w:type="dxa"/>
            <w:vAlign w:val="bottom"/>
            <w:tcBorders>
              <w:bottom w:val="single" w:sz="8" w:color="auto"/>
            </w:tcBorders>
          </w:tcPr>
          <w:p>
            <w:pPr>
              <w:jc w:val="right"/>
              <w:ind w:right="1060"/>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D5EAEA"/>
            </w:tcBorders>
            <w:vMerge w:val="continue"/>
          </w:tcPr>
          <w:p>
            <w:pPr>
              <w:spacing w:after="0"/>
              <w:rPr>
                <w:sz w:val="20"/>
                <w:szCs w:val="20"/>
                <w:color w:val="auto"/>
              </w:rPr>
            </w:pPr>
          </w:p>
        </w:tc>
        <w:tc>
          <w:tcPr>
            <w:tcW w:w="1220" w:type="dxa"/>
            <w:vAlign w:val="bottom"/>
            <w:tcBorders>
              <w:bottom w:val="single" w:sz="8" w:color="auto"/>
            </w:tcBorders>
          </w:tcPr>
          <w:p>
            <w:pPr>
              <w:jc w:val="right"/>
              <w:ind w:right="1030"/>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D5EAEA"/>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820" w:type="dxa"/>
            <w:vAlign w:val="bottom"/>
            <w:tcBorders>
              <w:bottom w:val="single" w:sz="8" w:color="D5EAEA"/>
            </w:tcBorders>
            <w:gridSpan w:val="2"/>
            <w:shd w:val="clear" w:color="auto" w:fill="D5EAEA"/>
          </w:tcPr>
          <w:p>
            <w:pPr>
              <w:spacing w:after="0" w:line="190" w:lineRule="exact"/>
              <w:rPr>
                <w:sz w:val="20"/>
                <w:szCs w:val="20"/>
                <w:color w:val="auto"/>
              </w:rPr>
            </w:pPr>
            <w:r>
              <w:rPr>
                <w:rFonts w:ascii="Arial" w:cs="Arial" w:eastAsia="Arial" w:hAnsi="Arial"/>
                <w:sz w:val="18"/>
                <w:szCs w:val="18"/>
                <w:color w:val="auto"/>
              </w:rPr>
              <w:t>Working capital(3)</w:t>
            </w:r>
          </w:p>
        </w:tc>
        <w:tc>
          <w:tcPr>
            <w:tcW w:w="140" w:type="dxa"/>
            <w:vAlign w:val="bottom"/>
            <w:tcBorders>
              <w:bottom w:val="single" w:sz="8" w:color="D5EAEA"/>
            </w:tcBorders>
            <w:shd w:val="clear" w:color="auto" w:fill="D5EAEA"/>
          </w:tcPr>
          <w:p>
            <w:pPr>
              <w:spacing w:after="0"/>
              <w:rPr>
                <w:sz w:val="17"/>
                <w:szCs w:val="17"/>
                <w:color w:val="auto"/>
              </w:rPr>
            </w:pPr>
          </w:p>
        </w:tc>
        <w:tc>
          <w:tcPr>
            <w:tcW w:w="620" w:type="dxa"/>
            <w:vAlign w:val="bottom"/>
            <w:tcBorders>
              <w:bottom w:val="single" w:sz="8" w:color="auto"/>
            </w:tcBorders>
            <w:shd w:val="clear" w:color="auto" w:fill="D5EAEA"/>
          </w:tcPr>
          <w:p>
            <w:pPr>
              <w:jc w:val="right"/>
              <w:ind w:right="460"/>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10,397</w:t>
            </w:r>
          </w:p>
        </w:tc>
        <w:tc>
          <w:tcPr>
            <w:tcW w:w="140" w:type="dxa"/>
            <w:vAlign w:val="bottom"/>
            <w:tcBorders>
              <w:bottom w:val="single" w:sz="8" w:color="D5EAEA"/>
            </w:tcBorders>
            <w:shd w:val="clear" w:color="auto" w:fill="D5EAEA"/>
          </w:tcPr>
          <w:p>
            <w:pPr>
              <w:spacing w:after="0"/>
              <w:rPr>
                <w:sz w:val="17"/>
                <w:szCs w:val="17"/>
                <w:color w:val="auto"/>
              </w:rPr>
            </w:pPr>
          </w:p>
        </w:tc>
        <w:tc>
          <w:tcPr>
            <w:tcW w:w="100" w:type="dxa"/>
            <w:vAlign w:val="bottom"/>
            <w:tcBorders>
              <w:bottom w:val="single" w:sz="8" w:color="D5EAEA"/>
            </w:tcBorders>
            <w:shd w:val="clear" w:color="auto" w:fill="D5EAEA"/>
          </w:tcPr>
          <w:p>
            <w:pPr>
              <w:spacing w:after="0"/>
              <w:rPr>
                <w:sz w:val="17"/>
                <w:szCs w:val="17"/>
                <w:color w:val="auto"/>
              </w:rPr>
            </w:pPr>
          </w:p>
        </w:tc>
        <w:tc>
          <w:tcPr>
            <w:tcW w:w="1220" w:type="dxa"/>
            <w:vAlign w:val="bottom"/>
            <w:tcBorders>
              <w:bottom w:val="single" w:sz="8" w:color="auto"/>
            </w:tcBorders>
            <w:shd w:val="clear" w:color="auto" w:fill="D5EAEA"/>
          </w:tcPr>
          <w:p>
            <w:pPr>
              <w:jc w:val="right"/>
              <w:ind w:right="1060"/>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D5EAEA"/>
            </w:tcBorders>
            <w:shd w:val="clear" w:color="auto" w:fill="D5EAEA"/>
          </w:tcPr>
          <w:p>
            <w:pPr>
              <w:spacing w:after="0"/>
              <w:rPr>
                <w:sz w:val="17"/>
                <w:szCs w:val="17"/>
                <w:color w:val="auto"/>
              </w:rPr>
            </w:pPr>
          </w:p>
        </w:tc>
        <w:tc>
          <w:tcPr>
            <w:tcW w:w="1220" w:type="dxa"/>
            <w:vAlign w:val="bottom"/>
            <w:tcBorders>
              <w:bottom w:val="single" w:sz="8" w:color="auto"/>
            </w:tcBorders>
            <w:shd w:val="clear" w:color="auto" w:fill="D5EAEA"/>
          </w:tcPr>
          <w:p>
            <w:pPr>
              <w:jc w:val="right"/>
              <w:ind w:right="1030"/>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D5EAEA"/>
            </w:tcBorders>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680" w:type="dxa"/>
            <w:vAlign w:val="bottom"/>
            <w:tcBorders>
              <w:bottom w:val="single" w:sz="8" w:color="auto"/>
            </w:tcBorders>
          </w:tcPr>
          <w:p>
            <w:pPr>
              <w:spacing w:after="0"/>
              <w:rPr>
                <w:sz w:val="19"/>
                <w:szCs w:val="19"/>
                <w:color w:val="auto"/>
              </w:rPr>
            </w:pPr>
          </w:p>
        </w:tc>
        <w:tc>
          <w:tcPr>
            <w:tcW w:w="5900" w:type="dxa"/>
            <w:vAlign w:val="bottom"/>
            <w:gridSpan w:val="3"/>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7580" w:type="dxa"/>
            <w:vAlign w:val="bottom"/>
            <w:gridSpan w:val="4"/>
          </w:tcPr>
          <w:p>
            <w:pPr>
              <w:spacing w:after="0"/>
              <w:rPr>
                <w:sz w:val="20"/>
                <w:szCs w:val="20"/>
                <w:color w:val="auto"/>
              </w:rPr>
            </w:pPr>
            <w:r>
              <w:rPr>
                <w:rFonts w:ascii="Arial" w:cs="Arial" w:eastAsia="Arial" w:hAnsi="Arial"/>
                <w:sz w:val="18"/>
                <w:szCs w:val="18"/>
                <w:color w:val="auto"/>
                <w:w w:val="92"/>
              </w:rPr>
              <w:t>(1) Pro forma amounts give effect to the IPO Transactions as described in “Summary — The Offering.”</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820" w:type="dxa"/>
            <w:vAlign w:val="bottom"/>
            <w:gridSpan w:val="2"/>
          </w:tcPr>
          <w:p>
            <w:pPr>
              <w:spacing w:after="0"/>
              <w:rPr>
                <w:sz w:val="20"/>
                <w:szCs w:val="20"/>
                <w:color w:val="auto"/>
              </w:rPr>
            </w:pPr>
            <w:r>
              <w:rPr>
                <w:rFonts w:ascii="Arial" w:cs="Arial" w:eastAsia="Arial" w:hAnsi="Arial"/>
                <w:sz w:val="18"/>
                <w:szCs w:val="18"/>
                <w:color w:val="auto"/>
                <w:w w:val="92"/>
              </w:rPr>
              <w:t>(2) Pro forma as adjusted amounts give effect to (a) the IPO Transactions and (b) our sale of</w:t>
            </w:r>
          </w:p>
        </w:tc>
        <w:tc>
          <w:tcPr>
            <w:tcW w:w="140" w:type="dxa"/>
            <w:vAlign w:val="bottom"/>
          </w:tcPr>
          <w:p>
            <w:pPr>
              <w:spacing w:after="0"/>
              <w:rPr>
                <w:sz w:val="24"/>
                <w:szCs w:val="24"/>
                <w:color w:val="auto"/>
              </w:rPr>
            </w:pPr>
          </w:p>
        </w:tc>
        <w:tc>
          <w:tcPr>
            <w:tcW w:w="4240" w:type="dxa"/>
            <w:vAlign w:val="bottom"/>
            <w:gridSpan w:val="8"/>
          </w:tcPr>
          <w:p>
            <w:pPr>
              <w:ind w:left="460"/>
              <w:spacing w:after="0"/>
              <w:rPr>
                <w:sz w:val="20"/>
                <w:szCs w:val="20"/>
                <w:color w:val="auto"/>
              </w:rPr>
            </w:pPr>
            <w:r>
              <w:rPr>
                <w:rFonts w:ascii="Arial" w:cs="Arial" w:eastAsia="Arial" w:hAnsi="Arial"/>
                <w:sz w:val="18"/>
                <w:szCs w:val="18"/>
                <w:color w:val="auto"/>
                <w:w w:val="93"/>
              </w:rPr>
              <w:t>units at an assumed initial public offering price of $</w:t>
            </w:r>
          </w:p>
        </w:tc>
        <w:tc>
          <w:tcPr>
            <w:tcW w:w="0" w:type="dxa"/>
            <w:vAlign w:val="bottom"/>
          </w:tcPr>
          <w:p>
            <w:pPr>
              <w:spacing w:after="0"/>
              <w:rPr>
                <w:sz w:val="1"/>
                <w:szCs w:val="1"/>
                <w:color w:val="auto"/>
              </w:rPr>
            </w:pPr>
          </w:p>
        </w:tc>
      </w:tr>
      <w:tr>
        <w:trPr>
          <w:trHeight w:val="216"/>
        </w:trPr>
        <w:tc>
          <w:tcPr>
            <w:tcW w:w="11200" w:type="dxa"/>
            <w:vAlign w:val="bottom"/>
            <w:gridSpan w:val="11"/>
          </w:tcPr>
          <w:p>
            <w:pPr>
              <w:ind w:left="500"/>
              <w:spacing w:after="0"/>
              <w:rPr>
                <w:sz w:val="20"/>
                <w:szCs w:val="20"/>
                <w:color w:val="auto"/>
              </w:rPr>
            </w:pPr>
            <w:r>
              <w:rPr>
                <w:rFonts w:ascii="Arial" w:cs="Arial" w:eastAsia="Arial" w:hAnsi="Arial"/>
                <w:sz w:val="18"/>
                <w:szCs w:val="18"/>
                <w:color w:val="auto"/>
                <w:w w:val="96"/>
              </w:rPr>
              <w:t>per unit, which is the midpoint of the estimated offering price range on the cover page of this prospectus, and after deducting the estimated</w:t>
            </w:r>
          </w:p>
        </w:tc>
        <w:tc>
          <w:tcPr>
            <w:tcW w:w="0" w:type="dxa"/>
            <w:vAlign w:val="bottom"/>
          </w:tcPr>
          <w:p>
            <w:pPr>
              <w:spacing w:after="0"/>
              <w:rPr>
                <w:sz w:val="1"/>
                <w:szCs w:val="1"/>
                <w:color w:val="auto"/>
              </w:rPr>
            </w:pPr>
          </w:p>
        </w:tc>
      </w:tr>
      <w:tr>
        <w:trPr>
          <w:trHeight w:val="230"/>
        </w:trPr>
        <w:tc>
          <w:tcPr>
            <w:tcW w:w="7580" w:type="dxa"/>
            <w:vAlign w:val="bottom"/>
            <w:gridSpan w:val="4"/>
          </w:tcPr>
          <w:p>
            <w:pPr>
              <w:ind w:left="320"/>
              <w:spacing w:after="0"/>
              <w:rPr>
                <w:sz w:val="20"/>
                <w:szCs w:val="20"/>
                <w:color w:val="auto"/>
              </w:rPr>
            </w:pPr>
            <w:r>
              <w:rPr>
                <w:rFonts w:ascii="Arial" w:cs="Arial" w:eastAsia="Arial" w:hAnsi="Arial"/>
                <w:sz w:val="18"/>
                <w:szCs w:val="18"/>
                <w:color w:val="auto"/>
                <w:w w:val="90"/>
              </w:rPr>
              <w:t>underwriting discounts and commissions and estimated offering expenses payable by us (of which $</w:t>
            </w:r>
          </w:p>
        </w:tc>
        <w:tc>
          <w:tcPr>
            <w:tcW w:w="3620" w:type="dxa"/>
            <w:vAlign w:val="bottom"/>
            <w:gridSpan w:val="7"/>
          </w:tcPr>
          <w:p>
            <w:pPr>
              <w:ind w:left="220"/>
              <w:spacing w:after="0"/>
              <w:rPr>
                <w:sz w:val="20"/>
                <w:szCs w:val="20"/>
                <w:color w:val="auto"/>
              </w:rPr>
            </w:pPr>
            <w:r>
              <w:rPr>
                <w:rFonts w:ascii="Arial" w:cs="Arial" w:eastAsia="Arial" w:hAnsi="Arial"/>
                <w:sz w:val="18"/>
                <w:szCs w:val="18"/>
                <w:color w:val="auto"/>
              </w:rPr>
              <w:t>was paid as of December 31, 2017).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 Working capital is defined as total current assets minus total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RISK FACTORS</w:t>
      </w:r>
    </w:p>
    <w:p>
      <w:pPr>
        <w:spacing w:after="0" w:line="2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Any investment in our securities involves a high degree of risk. You should consider carefully the risks described below and all other information contained in this prospectus before you make a decision to invest in our ordinary shares and warrants. If any of the following risks actually occurs, our business, prospects, financial condition and results of operations could be materially and adversely affected. In that event, the trading price of our ordinary shares could decline, and you might lose all or part of your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Financial Position and Need for Additional Capital</w:t>
      </w:r>
    </w:p>
    <w:p>
      <w:pPr>
        <w:spacing w:after="0" w:line="22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are a research and development stage company with a history of operating losses and negative cash flow, and we may never achieve or maintain profitability.</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a research and development stage company with no revenues from our research and development activities. Consequently, we have incurred net losses and negative cash flows since our inception in 2009, including operating losses of $5.4 million and $11.3 million for the years ended December 31, 2016 and 2017. As of December 31, 2017, we had an accumulated deficit of $41.8 million.</w:t>
      </w:r>
    </w:p>
    <w:p>
      <w:pPr>
        <w:spacing w:after="0" w:line="18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audited financial statements for the year ended December 31, 2017 included elsewhere in this prospectus, note that there is substantial doubt about our ability to continue as a going concern, absent sources of additional liquidity. From October to December 2017, we raised $13.0 million from sales of our Series B preferred shares. In order to fund further operations, we will need to raise capital in addition to the net proceeds of this offering. We may seek these funds through a combination of private and public equity offerings, debt financings, government grants, strategic collaborations and licensing arrangements. Additional financing may not be available when we need it or may not be available on terms that are favorable to us. These conditions raise substantial doubt about our ability to continue as a going concern, and we will be required to raise additional funds, seek alternative means of financial support, or both, in order to continue operations. The accompanying financial statements have been prepared assuming that we will continue as a going concern and do not include adjustments that might result from the outcome of this uncertainty. If we are unable to raise the requisite funds, we will need to curtail or cease operations.</w:t>
      </w:r>
    </w:p>
    <w:p>
      <w:pPr>
        <w:spacing w:after="0" w:line="19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currently have no product revenues and may not succeed in developing or commercializing any products that could generate revenues. We expect to continue to incur losses for the foreseeable future, and we expect these losses to increase as we continue our research and development of, and seek regulatory approvals for, our product candidates, prepare for and begin to commercialize any approved products, and add infrastructure and personnel to support our product development efforts and operations as a public company. In addition, development of our product candidates requires a process of preclinical and clinical testing during which period our products could fail. We may not be able to enter into agreements with one or more companies experienced in the manufacturing and marketing of therapeutic drugs and, to the extent that we are unable to do so, we will not be able to market our product candidates. Our eventual profitability will depend on our success in developing, manufacturing, and marketing our product candidates, and we cannot assure you that we will be able to achieve profitability in the future.</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For example, our expenses could increase if we are required by the FDA, the EMA or other regulators to perform trials in addition to those that we currently expect to perform, or if there are any delays in completing our currently planned clinical trials or in the development of any of our product candidates.</w:t>
      </w:r>
    </w:p>
    <w:p>
      <w:pPr>
        <w:spacing w:after="0" w:line="18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To become and remain profitable, we must succeed in developing and commercializing products that generate significant market revenues. This will require us to be successful in a range of challenging activities for which we are only in the preliminary stages, including developing product candidates, completing pre-clinical and clinical trials for such product candidates, obtaining regulatory approval for them, and manufacturing, marketing and selling those products for which we may obtain regulatory approval. We may</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never succeed in these activities and, even if we do, we may never generate revenue from product sales that is significant enough to achieve profitability. Our ability to generate future revenue from product sales depends heavily on our success in many areas, including but not limited to:</w:t>
      </w:r>
    </w:p>
    <w:p>
      <w:pPr>
        <w:spacing w:after="0" w:line="147" w:lineRule="exact"/>
        <w:rPr>
          <w:sz w:val="20"/>
          <w:szCs w:val="20"/>
          <w:color w:val="auto"/>
        </w:rPr>
      </w:pPr>
    </w:p>
    <w:p>
      <w:pPr>
        <w:ind w:left="340" w:hanging="170"/>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completing research and clinical development of our product candidates;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marketing approvals for our product candidates for which we complete clinical trials;</w:t>
      </w:r>
    </w:p>
    <w:p>
      <w:pPr>
        <w:spacing w:after="0" w:line="225" w:lineRule="exact"/>
        <w:rPr>
          <w:rFonts w:ascii="Arial" w:cs="Arial" w:eastAsia="Arial" w:hAnsi="Arial"/>
          <w:sz w:val="18"/>
          <w:szCs w:val="18"/>
          <w:color w:val="auto"/>
        </w:rPr>
      </w:pPr>
    </w:p>
    <w:p>
      <w:pPr>
        <w:ind w:left="340" w:right="200" w:hanging="170"/>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any approved product candidates and maintaining supply and manufacturing relationships with third parties that can conduct the process and provide adequate (in amount and quality) products to support clinical development and the market demand for our product candidates, if approved;</w:t>
      </w:r>
    </w:p>
    <w:p>
      <w:pPr>
        <w:spacing w:after="0" w:line="181" w:lineRule="exact"/>
        <w:rPr>
          <w:rFonts w:ascii="Arial" w:cs="Arial" w:eastAsia="Arial" w:hAnsi="Arial"/>
          <w:sz w:val="18"/>
          <w:szCs w:val="18"/>
          <w:color w:val="auto"/>
        </w:rPr>
      </w:pPr>
    </w:p>
    <w:p>
      <w:pPr>
        <w:ind w:left="340" w:hanging="170"/>
        <w:spacing w:after="0"/>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launching and commercializing product candidates for which we obtain marketing approval, either directly or with a collaborator or distributor;</w:t>
      </w:r>
    </w:p>
    <w:p>
      <w:pPr>
        <w:spacing w:after="0" w:line="236" w:lineRule="exact"/>
        <w:rPr>
          <w:rFonts w:ascii="Arial" w:cs="Arial" w:eastAsia="Arial" w:hAnsi="Arial"/>
          <w:sz w:val="17"/>
          <w:szCs w:val="17"/>
          <w:color w:val="auto"/>
        </w:rPr>
      </w:pPr>
    </w:p>
    <w:p>
      <w:pPr>
        <w:ind w:left="340" w:hanging="170"/>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in the United States;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market acceptance for any of our product candidates that receive marketing approval, if any, as viable treatment options;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225" w:lineRule="exact"/>
        <w:rPr>
          <w:rFonts w:ascii="Arial" w:cs="Arial" w:eastAsia="Arial" w:hAnsi="Arial"/>
          <w:sz w:val="18"/>
          <w:szCs w:val="18"/>
          <w:color w:val="auto"/>
        </w:rPr>
      </w:pPr>
    </w:p>
    <w:p>
      <w:pPr>
        <w:ind w:left="340" w:right="120" w:hanging="170"/>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maintaining, protecting, enforcing and expanding our portfolio of intellectual property rights, including patents, trade secrets, and know-how; and</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Even if one or more of the product candidates that we develop is approved for commercial sale, we anticipate incurring significant costs associated with commercializing any approved product candidate. Because of the numerous risks and uncertainties with pharmaceutical product development, we are unable to accurately predict the timing or amount of increased expenses or when, or if, we will be able to achieve profitability. Even if we achieve profitability in the future, we may not be able to sustain profitability in subsequent periods. Our failure to become or remain profitable would depress our market value and could impair our ability to raise capital, expand our business, develop other product candidates, or continue our operations. A decline in the value of our company could also cause you to lose all or part of your investment.</w:t>
      </w:r>
    </w:p>
    <w:p>
      <w:pPr>
        <w:spacing w:after="0" w:line="189"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Even if this offering is successful, we will need substantial additional capital in order to satisfy our long-term growth strategy, which may not be available to us on acceptable terms, or at all, and, if not available, may require us to delay, scale back, or cease our product development programs or operations.</w:t>
      </w:r>
    </w:p>
    <w:p>
      <w:pPr>
        <w:spacing w:after="0" w:line="18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Although we anticipate that our available resources, excluding the proceeds from this offering, will be sufficient to meet our anticipated working capital needs for at least the next six months, we believe that we would need to raise approximately $13 million in additional funds in order to fund our operations for the next 12 months, mainly to support our research and development programs for EB612 and EB613. We anticipate that our current resources, together with the proceeds from this offering, will be sufficient to meet our anticipated working capital needs for at least the next months , although we expect that we would still need to raise additional funds to support the execution of our long-term growth strategy, including for our Phase 2b/3 trial of EB612 and Phase 2a trial of EB613, further development and trials and commercialization of our product candidates. We may require substantial additional financing at various intervals in order to continue our research and development programs, including significant requirements for operating expenses including intellectual property protection and enforcement, pursuit of regulatory approvals, and commercialization of our products. We can provide no assurance that additional funding will be available on a timely basis, on terms acceptable to us, or at all. Because successful development of our product candidates is uncertain, we are unable to estimate the actual financing we will require to complete research and development and to commercialize our product candidates.</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future financing requirements will depend on many factors, including but not limited to:</w:t>
      </w:r>
    </w:p>
    <w:p>
      <w:pPr>
        <w:spacing w:after="0" w:line="225" w:lineRule="exact"/>
        <w:rPr>
          <w:sz w:val="20"/>
          <w:szCs w:val="20"/>
          <w:color w:val="auto"/>
        </w:rPr>
      </w:pPr>
    </w:p>
    <w:p>
      <w:pPr>
        <w:ind w:left="340" w:hanging="170"/>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characteristics of other product candidates that we pursue;</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timing, cost and results of research, preclinical development, and clinical trials;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timing and outcome of seeking and obtaining FDA and non-U.S. regulatory approvals;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 and establishing sales, marketing, and distribution capabilities;</w:t>
      </w:r>
    </w:p>
    <w:p>
      <w:pPr>
        <w:spacing w:after="0" w:line="225" w:lineRule="exact"/>
        <w:rPr>
          <w:rFonts w:ascii="Arial" w:cs="Arial" w:eastAsia="Arial" w:hAnsi="Arial"/>
          <w:sz w:val="18"/>
          <w:szCs w:val="18"/>
          <w:color w:val="auto"/>
        </w:rPr>
      </w:pPr>
    </w:p>
    <w:p>
      <w:pPr>
        <w:ind w:left="340" w:right="20" w:hanging="170"/>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obtaining, maintaining, expanding, defending and enforcing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181" w:lineRule="exact"/>
        <w:rPr>
          <w:rFonts w:ascii="Arial" w:cs="Arial" w:eastAsia="Arial" w:hAnsi="Arial"/>
          <w:sz w:val="18"/>
          <w:szCs w:val="18"/>
          <w:color w:val="auto"/>
        </w:rPr>
      </w:pPr>
    </w:p>
    <w:p>
      <w:pPr>
        <w:ind w:left="340" w:hanging="170"/>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or technologies;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scientific, and medical personnel;</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products that may limit market penetration of our product candidates;</w:t>
      </w:r>
    </w:p>
    <w:p>
      <w:pPr>
        <w:spacing w:after="0" w:line="225" w:lineRule="exact"/>
        <w:rPr>
          <w:rFonts w:ascii="Arial" w:cs="Arial" w:eastAsia="Arial" w:hAnsi="Arial"/>
          <w:sz w:val="18"/>
          <w:szCs w:val="18"/>
          <w:color w:val="auto"/>
        </w:rPr>
      </w:pPr>
    </w:p>
    <w:p>
      <w:pPr>
        <w:ind w:left="340" w:right="180" w:hanging="170"/>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and timing of revenues, if any, we receive from commercial sales of any product candidates for which we receive marketing approval in the future;</w:t>
      </w:r>
    </w:p>
    <w:p>
      <w:pPr>
        <w:spacing w:after="0" w:line="170" w:lineRule="exact"/>
        <w:rPr>
          <w:rFonts w:ascii="Arial" w:cs="Arial" w:eastAsia="Arial" w:hAnsi="Arial"/>
          <w:sz w:val="18"/>
          <w:szCs w:val="18"/>
          <w:color w:val="auto"/>
        </w:rPr>
      </w:pPr>
    </w:p>
    <w:p>
      <w:pPr>
        <w:ind w:left="340" w:right="440" w:hanging="170"/>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 to support our operations as a public company; and</w:t>
      </w:r>
    </w:p>
    <w:p>
      <w:pPr>
        <w:spacing w:after="0" w:line="170" w:lineRule="exact"/>
        <w:rPr>
          <w:rFonts w:ascii="Arial" w:cs="Arial" w:eastAsia="Arial" w:hAnsi="Arial"/>
          <w:sz w:val="18"/>
          <w:szCs w:val="18"/>
          <w:color w:val="auto"/>
        </w:rPr>
      </w:pPr>
    </w:p>
    <w:p>
      <w:pPr>
        <w:ind w:left="340" w:right="620" w:hanging="170"/>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economic and other terms, timing of and success of any collaboration, licensing, or other arrangements into which we may enter in the future, including the timing of achievement of milestones and receipt of any milestone or royalty payments under these agreements.</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Until we can generate a sufficient amount of product revenue to finance our cash requirements, which we may never do, we expect to finance future cash needs primarily through a combination of public or private equity offerings, debt financings, strategic collaborations, and grant funding. If sufficient financing on acceptable terms are not available when needed, or at all, we could be forced to significantly reduce operating expenses and delay, scale back or eliminate one or more of our development programs or our business operations or even go bankrupt.</w:t>
      </w:r>
    </w:p>
    <w:p>
      <w:pPr>
        <w:spacing w:after="0" w:line="183" w:lineRule="exact"/>
        <w:rPr>
          <w:sz w:val="20"/>
          <w:szCs w:val="20"/>
          <w:color w:val="auto"/>
        </w:rPr>
      </w:pPr>
    </w:p>
    <w:p>
      <w:pPr>
        <w:ind w:right="60"/>
        <w:spacing w:after="0" w:line="386" w:lineRule="auto"/>
        <w:rPr>
          <w:sz w:val="20"/>
          <w:szCs w:val="20"/>
          <w:color w:val="auto"/>
        </w:rPr>
      </w:pPr>
      <w:r>
        <w:rPr>
          <w:rFonts w:ascii="Arial" w:cs="Arial" w:eastAsia="Arial" w:hAnsi="Arial"/>
          <w:sz w:val="15"/>
          <w:szCs w:val="15"/>
          <w:b w:val="1"/>
          <w:bCs w:val="1"/>
          <w:color w:val="auto"/>
        </w:rPr>
        <w:t>Raising additional capital may cause dilution to our shareholders, including purchasers of the units in this offering, and these financings, or disputes with pre-IPO shareholders in connection therewith, may restrict our operations or require us to relinquish substantial rights or otherwise be costly.</w:t>
      </w:r>
    </w:p>
    <w:p>
      <w:pPr>
        <w:spacing w:after="0" w:line="9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a combination of public or private equity offerings, debt financings, strategic collaborations and grant funding. We do not have any committed external sources of funds. To the extent that we raise additional capital through the sale of equity or convertible debt securities, your ownership interest will be diluted, and the terms of these new securities may include liquidation or other preferences that adversely affect your rights as a holder of our ordinary shares. Debt financing, if available at all, may involve agreements that include covenants limiting or restricting our ability to take specific actions such as incurring additional debt, making capital expenditures, or declaring dividends, and may be secured by all or a portion of our assets. Further, we may incur substantial costs in pursuing future capital and/or financing, including investment banking fees, legal fees, accounting fees, printing and distribution expenses and other costs and such efforts may divert our management from their day-to-day activities, which may compromise our ability to develop and market our product candidates. We may also be required to recognize non-cash expenses in connection with certain securities we may issue, such as convertible notes and warrants, which will adversely impact our financial condition.</w:t>
      </w:r>
    </w:p>
    <w:p>
      <w:pPr>
        <w:spacing w:after="0" w:line="16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the past we have incurred indebtedness that may convert into equity securities, including our ordinary shares, upon the election of the lender or upon certain automatic triggering events. Any such conversion may cause our holders of our ordinary shares to experience substantial dilution of their ownership interest. In addition, if such convertible indebtedness is not converted before maturity upon the triggering events, we will be</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required to repay such indebtedness, which may adversely affect our liquidity. See “Dilution” and “Management’s Discussion and Analysis of Financial Condition and Results of Operations — Contractual Obligations and Commitments — Convertible Loans.” In addition, shareholders who invested prior to the Company’s initial public offering may raise claims concerning their pre-existing contractual rights as lenders or shareholders or oppose actions taken by the Company with respect to the terms of existing or future financing transactions. Any such dispute could be time-consuming or costly to the Company or require us to seek alternative financing arrangements.</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development programs or grant rights to develop and market product candidates that we would otherwise prefer to develop and market ourselves.</w:t>
      </w:r>
    </w:p>
    <w:p>
      <w:pPr>
        <w:spacing w:after="0" w:line="184"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We have a limited operating history and no history of commercializing pharmaceutical products, which may make it difficult to evaluate the prospects for our future viability.</w:t>
      </w:r>
    </w:p>
    <w:p>
      <w:pPr>
        <w:spacing w:after="0" w:line="16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began operations in 2010. Our operations to date have been limited to financing and staffing our company, developing our drug delivery technology and developing our product candidates. We have not yet demonstrated an ability successfully to complete a large-scale, pivotal clinical trial, obtain marketing approval, manufacture a commercial scale product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spacing w:after="0" w:line="18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The requirements of being a public company may strain our resources and distract our management, which could make it difficult to manage our business, particularly after we are no longer an “emerging growth company.”</w:t>
      </w:r>
    </w:p>
    <w:p>
      <w:pPr>
        <w:spacing w:after="0" w:line="16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Following the completion of this offering, we will be required to comply with various regulatory and reporting requirements, including those required by the Securities and Exchange Commission, or the SEC. Complying with these reporting and regulatory requirements will be time consuming, result in increased costs to us and could have a negative effect on our business, results of operations and financial condition.</w:t>
      </w:r>
    </w:p>
    <w:p>
      <w:pPr>
        <w:spacing w:after="0" w:line="18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As a public company, we will be subject to the reporting requirements of the Securities Exchange Act of 1934, as amended, or the Exchange Act, and the requirements of the Sarbanes-Oxley Act of 2002, as amended, or the Sarbanes-Oxley Act. These requirements may place a strain on our systems and resources. The Exchange Act requires that we file annual and current reports with respect to our business and financial condition. The Sarbanes-Oxley Act requires that we maintain effective disclosure controls and procedures and internal control over financial reporting. We will be implementing additional procedures and processes for the purpose of addressing the standards and requirements applicable to public companies. These activities may divert management’s attention from other business concerns, which could have a material adverse effect on our business, financial condition, results of operations and cash flows.</w:t>
      </w:r>
    </w:p>
    <w:p>
      <w:pPr>
        <w:spacing w:after="0" w:line="18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As an “emerging growth company,” as defined in the Jumpstart Our Business Startups Act, or the JOBS Act, we may take advantage of certain temporary exemptions from various reporting requirements including, but not limited to, not being required to comply with the auditor attestation requirements of Section 404 of the Sarbanes-Oxley Act and the rules and regulations of the SEC thereunder. We plan to take advantage of these exemptions but we cannot guarantee that we will not be required to implement these requirements sooner than budgeted or planned and thereby incur unexpected expenses. We will remain an “emerging growth company” until the earliest of: (a) the last day of our fiscal year during which we have total annual gross revenues of at least $1.07 billion; (b) the last day of our fiscal year following the fifth anniversary of the completion of this offering; (c) the date on which we have, during the previous three-year period, issued more than $1.0 billion in non-convertible debt; or (d) the date on which we are deemed to be a “large accelerated filer” under the Exchange Act. We cannot predict or estimate the amount of additional costs we may incur as a result of becoming a public company or the timing of such costs.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applied to list our ordinary shares on the NASDAQ Capital Market and, although no assurance can be given that our application will be approved, we expect that our ordinary shares will be listed on the NASDAQ Capital Market prior to the completion of this offering. As a public company listed on the NASDAQ Capital Market, we will incur significant legal, accounting and other expenses that we did not incur prior to the listing of our ordinary shares on the NASDAQ Capital Market.</w:t>
      </w:r>
    </w:p>
    <w:p>
      <w:pPr>
        <w:spacing w:after="0" w:line="18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addition, changing laws, regulations and standards, in the United States or Israel, relating to corporate governance and public disclosure and other matters, may be implemented in the future, which may increase our legal and financial compliance costs, make some activities more time consuming and divert management’s time and attention from revenue-generating activities to compliance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We also expect that being a publicly traded company in the United States and being subject to U.S.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qualified executive officers.</w:t>
      </w:r>
    </w:p>
    <w:p>
      <w:pPr>
        <w:spacing w:after="0" w:line="175"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We manage our business and develop our technology with a small number of employees and key consultants, and in the event of their loss or unavailability we may not be able to grow our business or develop and commercialize our products.</w:t>
      </w:r>
    </w:p>
    <w:p>
      <w:pPr>
        <w:spacing w:after="0" w:line="16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currently depend upon the efforts and abilities of our senior executives, including Dr. Phillip Schwartz, our Chief Executive Officer, and a small number of employees and key consultants. Our success depends upon the continued contributions of these senior executives, employees and consultants, many of whom have substantial scientific and technical experience with, and have been instrumental for, us and our technologies. The loss of our senior executives or senior scientists could delay our research and development activities. We do not maintain “key man” life insurance policies for any of our employees.</w:t>
      </w:r>
    </w:p>
    <w:p>
      <w:pPr>
        <w:spacing w:after="0" w:line="15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Recruiting and retaining qualified scientific personnel to perform future research and development work will be critical to our success. Competition for skilled personnel is intense and turnover rates are high, and our ability to attract and retain qualified personnel may be limited. The loss or unavailability of the services of any of these individuals for any significant period of time or our inability to attract and retain qualified skilled personnel could have a material adverse effect on our business, technology, prospects, financial condition and results of operations.</w:t>
      </w:r>
    </w:p>
    <w:p>
      <w:pPr>
        <w:spacing w:after="0" w:line="167" w:lineRule="exact"/>
        <w:rPr>
          <w:sz w:val="20"/>
          <w:szCs w:val="20"/>
          <w:color w:val="auto"/>
        </w:rPr>
      </w:pPr>
    </w:p>
    <w:p>
      <w:pPr>
        <w:jc w:val="both"/>
        <w:ind w:right="540"/>
        <w:spacing w:after="0" w:line="266" w:lineRule="auto"/>
        <w:rPr>
          <w:sz w:val="20"/>
          <w:szCs w:val="20"/>
          <w:color w:val="auto"/>
        </w:rPr>
      </w:pPr>
      <w:r>
        <w:rPr>
          <w:rFonts w:ascii="Arial" w:cs="Arial" w:eastAsia="Arial" w:hAnsi="Arial"/>
          <w:sz w:val="18"/>
          <w:szCs w:val="18"/>
          <w:b w:val="1"/>
          <w:bCs w:val="1"/>
          <w:color w:val="auto"/>
        </w:rPr>
        <w:t>We expect to grow our organization, particularly in the United States, specifically to supplement and expand our senior management, clinical development and regulatory capabilities and marketing infrastructure, and we may experience difficulties in managing these changes and this growth, which could disrupt our operations.</w:t>
      </w:r>
    </w:p>
    <w:p>
      <w:pPr>
        <w:spacing w:after="0" w:line="18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 our clinical development and commercialization plans and strategies develop, we expect to supplement and expand our employee base, particularly in the United States, for clinical development, regulatory, operational, sales, marketing, financial and other capabilities and with senior managers who are either based in the U.S. or who have significant U.S. public company experience. In particular, following this offering, we intend to make significant additions and changes to our executive management team. These changes may result in significant shifting of responsibilities or replacement of key personnel. The need to identify, recruit, maintain, motivate and integrate additional employees and senior members of management, including senior executives, is expected to impose significant responsibilities on our senior executives and may divert a disproportionate amount of their attention away from our day-to-day activities. The addition of such employees and managers may have an impact on the decisions that we make over time.</w:t>
      </w:r>
    </w:p>
    <w:p>
      <w:pPr>
        <w:spacing w:after="0" w:line="16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conjunction with the addition of these employees and senior members of management, we intend to grow our company. Due to our limited financial resources and the limited experience of our management team, it is possible that our management, finance, development personnel, systems and facilities currently in place may not be adequate to support this future growth. We may not be able to effectively manage the expansion of our operations, which may result in weaknesses in our infrastructure, give rise to operational errors, loss of business opportunities, loss of employees and reduced productivity among remaining employees. Our expected growth could require significant expenditures and may divert financial resources from other projects, such as the development of existing and additional product candidates. If we are unable to effectively manage our expected growth, our expenses may increase more than expected, our ability to generate or grow revenue could be reduced and we may not be able to implement our strategy. Our future financial performance and our ability to develop our product candidates and compete effectively with others in our industry will depend, in part, on our ability to effectively manage any future growth. In addition, pursuant to both Israeli law and the NASDAQ Capital Market listing requirements, and in accordance with the applicable transition rules, we will be required to appoint additional independent directors, which may result in a change in the company’s direction over time, as discussed in further detail in “Management — Board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retain or hire additional qualified executive talent, our ability to grow our business may be harmed.</w:t>
      </w: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Following this offering, and as part of our efforts to grow our organization, we intend to add to our senior executive ranks. There can be no assurances concerning the timing or outcome of our search for new senior executive talent. Any transition in executive leadership can be inherently difficult to manage and may cause disruption to our business or loss of institutional knowledge, and our results of operations and financial condition could suffer as a result.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Clinical Development of Our Product Candidates</w:t>
      </w:r>
    </w:p>
    <w:p>
      <w:pPr>
        <w:spacing w:after="0" w:line="221"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b w:val="1"/>
          <w:bCs w:val="1"/>
          <w:color w:val="auto"/>
        </w:rPr>
        <w:t>All of our product candidates are in preclinical or clinical development. Clinical drug development is expensive, time consuming and uncertain, and we may ultimately not be able to obtain regulatory approvals for the commercialization of some or all of our product candidates.</w:t>
      </w:r>
    </w:p>
    <w:p>
      <w:pPr>
        <w:spacing w:after="0" w:line="12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research, testing, manufacturing, labeling, approval, selling, marketing and distribution of drug products are subject to extensive regulation by the U.S. Food and Drug Administration, or FDA, European Union, and EU Member State legislators and agencies, such as the European Medicines Agency, or EMA, and other non-U.S. regulatory authorities, which enforce regulations that differ from country to country. We are not permitted to market our product candidates in the United States until we receive approval of a BLA from the FDA or in any other country until we receive marketing approval from applicable regulatory authorities outside the United States. Our product candidates are in various stages of development and are subject to the risks of failure inherent in drug development. We have not submitted an application, or received marketing approval, for any of our product candidates. We have limited experience in conducting and managing the clinical trials necessary to obtain regulatory approvals, including approval by the FDA or the EMA. Obtaining approval of a BLA or other marketing application can be a lengthy, expensive and uncertain process.</w:t>
      </w:r>
    </w:p>
    <w:p>
      <w:pPr>
        <w:spacing w:after="0" w:line="17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At present, our lead product candidate is EB612, our oral PTH (1-34) tablet, which is under development for the treatment of hypoparathyroidism. We are also developing EB613, an additional oral PTH (1-34) product candidate, with significant modifications to dose and potentially to formulation, for the treatment of osteoporosis. Each of our oral PTH product candidates, including EB612 and EB613, are in an early stage of clinical development and face a variety of risks and uncertainties, including the following:</w:t>
      </w:r>
    </w:p>
    <w:p>
      <w:pPr>
        <w:spacing w:after="0" w:line="187" w:lineRule="exact"/>
        <w:rPr>
          <w:sz w:val="20"/>
          <w:szCs w:val="20"/>
          <w:color w:val="auto"/>
        </w:rPr>
      </w:pPr>
    </w:p>
    <w:p>
      <w:pPr>
        <w:ind w:left="340" w:right="40" w:hanging="170"/>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future clinical trial results may show that our oral PTH (1-34) is not effective for many reasons, including if our drug delivery technology is not effective, our product candidates are not effective, our clinical trial designs are flawed or clinical trial subjects do not comply with trial protocols;</w:t>
      </w:r>
    </w:p>
    <w:p>
      <w:pPr>
        <w:spacing w:after="0" w:line="146" w:lineRule="exact"/>
        <w:rPr>
          <w:rFonts w:ascii="Arial" w:cs="Arial" w:eastAsia="Arial" w:hAnsi="Arial"/>
          <w:sz w:val="17"/>
          <w:szCs w:val="17"/>
          <w:color w:val="auto"/>
        </w:rPr>
      </w:pPr>
    </w:p>
    <w:p>
      <w:pPr>
        <w:ind w:left="340" w:hanging="170"/>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 candidates may not be well tolerated or may cause negative side effects;</w:t>
      </w:r>
    </w:p>
    <w:p>
      <w:pPr>
        <w:spacing w:after="0" w:line="225" w:lineRule="exact"/>
        <w:rPr>
          <w:rFonts w:ascii="Arial" w:cs="Arial" w:eastAsia="Arial" w:hAnsi="Arial"/>
          <w:sz w:val="18"/>
          <w:szCs w:val="18"/>
          <w:color w:val="auto"/>
        </w:rPr>
      </w:pPr>
    </w:p>
    <w:p>
      <w:pPr>
        <w:ind w:left="340" w:right="100" w:hanging="170"/>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complete the development and commercialization of our oral PTH for our intended uses may be significantly dependent upon our ability to obtain and maintain experienced and committed collaborators to assist us with obtaining clinical and regulatory approvals for, and the manufacturing, marketing and distribution of, our oral PTH;</w:t>
      </w:r>
    </w:p>
    <w:p>
      <w:pPr>
        <w:spacing w:after="0" w:line="181" w:lineRule="exact"/>
        <w:rPr>
          <w:rFonts w:ascii="Arial" w:cs="Arial" w:eastAsia="Arial" w:hAnsi="Arial"/>
          <w:sz w:val="18"/>
          <w:szCs w:val="18"/>
          <w:color w:val="auto"/>
        </w:rPr>
      </w:pPr>
    </w:p>
    <w:p>
      <w:pPr>
        <w:ind w:left="340" w:right="620" w:hanging="170"/>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even if our oral PTH is shown to be safe and effective for its intended purposes, we may face significant or unforeseen difficulties in obtaining or manufacturing sufficient quantities at reasonable prices, or at all;</w:t>
      </w:r>
    </w:p>
    <w:p>
      <w:pPr>
        <w:spacing w:after="0" w:line="170" w:lineRule="exact"/>
        <w:rPr>
          <w:rFonts w:ascii="Arial" w:cs="Arial" w:eastAsia="Arial" w:hAnsi="Arial"/>
          <w:sz w:val="18"/>
          <w:szCs w:val="18"/>
          <w:color w:val="auto"/>
        </w:rPr>
      </w:pPr>
    </w:p>
    <w:p>
      <w:pPr>
        <w:ind w:left="340" w:right="180" w:hanging="170"/>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even if our oral PTH is successfully developed, commercially produced and receives all necessary regulatory approvals, there is no guarantee that there will be market acceptance;</w:t>
      </w:r>
    </w:p>
    <w:p>
      <w:pPr>
        <w:spacing w:after="0" w:line="170" w:lineRule="exact"/>
        <w:rPr>
          <w:rFonts w:ascii="Arial" w:cs="Arial" w:eastAsia="Arial" w:hAnsi="Arial"/>
          <w:sz w:val="18"/>
          <w:szCs w:val="18"/>
          <w:color w:val="auto"/>
        </w:rPr>
      </w:pPr>
    </w:p>
    <w:p>
      <w:pPr>
        <w:ind w:left="340" w:right="540" w:hanging="170"/>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even if our oral PTH is successfully developed, commercially produced and receives all necessary regulatory approvals for the treatment of hypoparathyroidism, there is no guarantee that we will successfully develop and commercialize it for other indications, including osteoporosis and nonunion fractures; and</w:t>
      </w:r>
    </w:p>
    <w:p>
      <w:pPr>
        <w:spacing w:after="0" w:line="181" w:lineRule="exact"/>
        <w:rPr>
          <w:rFonts w:ascii="Arial" w:cs="Arial" w:eastAsia="Arial" w:hAnsi="Arial"/>
          <w:sz w:val="18"/>
          <w:szCs w:val="18"/>
          <w:color w:val="auto"/>
        </w:rPr>
      </w:pPr>
    </w:p>
    <w:p>
      <w:pPr>
        <w:ind w:left="340" w:hanging="170"/>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competitors may develop therapeutics or other treatments that are superior to or less costly than our own with the result that our products, even if they are successfully developed, manufactured and approved, may not generate significant revenues.</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If we are unsuccessful in dealing with any of these risks, or if we are unable to successfully commercialize our oral PTH for some other reason, it would likely have a material adverse effect on our business, prospects, financial condition and results of operations. In addition, in the event we are able to successfully commercialize our oral PTH, we may sell the tablets at a discounted sales price for the initial period in order to gain market acceptance of the product, which could adversely affect our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commencement and completion of clinical trials can be delayed or prevented for a number of reasons.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Upon the completion and evaluation of our planned pharmacokinetic/pharmacodynamic, or PK/PD, clinical trial in EB612 and, subject to receipt of additional funding, we plan to initiate a Phase 2b/3 clinical trial of EB612 in hypoparathyroidism that would potentially support a submission for regulatory approval of EB612. For our EB613 product candidate in osteoporosis, our intent is to seek FDA guidance regarding our clinical trial design, endpoints and other parameters as part of a Pre-IND meeting with the FDA in the second half of 2018. We also plan in the future to conduct clinical trials of a formulation of oral PTH for the treatment of non-union fractures. Drug development is a long, expensive and uncertain process, and delay or failure can occur at any stage of any of our clinical trials. Clinical trials can be delayed or prevented for a number of reasons, including:</w:t>
      </w:r>
    </w:p>
    <w:p>
      <w:pPr>
        <w:spacing w:after="0" w:line="178" w:lineRule="exact"/>
        <w:rPr>
          <w:sz w:val="20"/>
          <w:szCs w:val="20"/>
          <w:color w:val="auto"/>
        </w:rPr>
      </w:pPr>
    </w:p>
    <w:p>
      <w:pPr>
        <w:ind w:left="340" w:right="400" w:hanging="170"/>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spacing w:after="0" w:line="170" w:lineRule="exact"/>
        <w:rPr>
          <w:rFonts w:ascii="Arial" w:cs="Arial" w:eastAsia="Arial" w:hAnsi="Arial"/>
          <w:sz w:val="18"/>
          <w:szCs w:val="18"/>
          <w:color w:val="auto"/>
        </w:rPr>
      </w:pPr>
    </w:p>
    <w:p>
      <w:pPr>
        <w:ind w:left="340" w:right="880" w:hanging="170"/>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delays in reaching or failing to reach agreement on acceptable terms with prospective contract research organizations, contract manufacturing organizations, and trial sites, the terms of which can be subject to extensive negotiation and may vary significantly;</w:t>
      </w:r>
    </w:p>
    <w:p>
      <w:pPr>
        <w:spacing w:after="0" w:line="146" w:lineRule="exact"/>
        <w:rPr>
          <w:rFonts w:ascii="Arial" w:cs="Arial" w:eastAsia="Arial" w:hAnsi="Arial"/>
          <w:sz w:val="17"/>
          <w:szCs w:val="17"/>
          <w:color w:val="auto"/>
        </w:rPr>
      </w:pPr>
    </w:p>
    <w:p>
      <w:pPr>
        <w:ind w:left="340" w:right="260" w:hanging="170"/>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our third-party contractors, such as contract research organizations and contract manufacturing organizations, or our investigators to comply with regulatory requirements or otherwise meet their contractual obligations in a timely manner;</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insufficient or inadequate supply or quality of a product candidate or other materials necessary to conduct our clinical trials;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or ethics committee approval to conduct a clinical trial at a prospective site;</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FDA, EMA or other regulatory authority requiring alterations to any of our study designs, our pre-clinical strategy or our manufacturing plans;</w:t>
      </w:r>
    </w:p>
    <w:p>
      <w:pPr>
        <w:spacing w:after="0" w:line="236" w:lineRule="exact"/>
        <w:rPr>
          <w:rFonts w:ascii="Arial" w:cs="Arial" w:eastAsia="Arial" w:hAnsi="Arial"/>
          <w:sz w:val="17"/>
          <w:szCs w:val="17"/>
          <w:color w:val="auto"/>
        </w:rPr>
      </w:pPr>
    </w:p>
    <w:p>
      <w:pPr>
        <w:ind w:left="340" w:right="120" w:hanging="170"/>
        <w:spacing w:after="0" w:line="25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various challenges recruiting and enrolling subjects to participate in clinical trials, including size and nature of subject population, proximity of subjects to clinical sites, eligibility criteria for the trial, budgetary limitations, nature of trial protocol, the patient referral practices of physicians, changes in the readiness of subjects to volunteer for a trial, the availability of approved effective treatments for the relevant disease and competition from other clinical trial programs for similar indications;</w:t>
      </w:r>
    </w:p>
    <w:p>
      <w:pPr>
        <w:spacing w:after="0" w:line="186" w:lineRule="exact"/>
        <w:rPr>
          <w:rFonts w:ascii="Arial" w:cs="Arial" w:eastAsia="Arial" w:hAnsi="Arial"/>
          <w:sz w:val="18"/>
          <w:szCs w:val="18"/>
          <w:color w:val="auto"/>
        </w:rPr>
      </w:pPr>
    </w:p>
    <w:p>
      <w:pPr>
        <w:ind w:left="340" w:hanging="170"/>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maintaining contact with subjects after treatment, which results in incomplete data;</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and</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agencies.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Changes in regulatory requirements and guidance may also occur and we may need to significantly amend clinical trial protocols or submit new clinical trial protocols with appropriate regulatory authorities to reflect these changes. Amendments may require us to renegotiate terms with contract research organizations, or CROs, or resubmit clinical trial protocols to IRBs or ethics committees for re-examination, which may impact the costs, timing or successful completion of a clinical trial. Our clinical trials may be suspended or terminated at any time by the FDA, other regulatory authorities, the IRB or ethics committee overseeing the clinical trial at issue, any of our clinical trial sites with respect to that site, or us, due to a number of factors, including:</w:t>
      </w:r>
    </w:p>
    <w:p>
      <w:pPr>
        <w:spacing w:after="0" w:line="158" w:lineRule="exact"/>
        <w:rPr>
          <w:sz w:val="20"/>
          <w:szCs w:val="20"/>
          <w:color w:val="auto"/>
        </w:rPr>
      </w:pPr>
    </w:p>
    <w:p>
      <w:pPr>
        <w:ind w:left="340" w:hanging="170"/>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findings of an inspection of the clinical trial operations or trial sites by the FDA or other regulatory authorities;</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right="120" w:hanging="170"/>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issues, including serious adverse events associated with a product candidate, or lack of effectiveness or any determination that a clinical trial presents unacceptable health risks;</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 due to unforeseen costs or other business decisions; and</w:t>
      </w:r>
    </w:p>
    <w:p>
      <w:pPr>
        <w:spacing w:after="0" w:line="225" w:lineRule="exact"/>
        <w:rPr>
          <w:rFonts w:ascii="Arial" w:cs="Arial" w:eastAsia="Arial" w:hAnsi="Arial"/>
          <w:sz w:val="18"/>
          <w:szCs w:val="18"/>
          <w:color w:val="auto"/>
        </w:rPr>
      </w:pPr>
    </w:p>
    <w:p>
      <w:pPr>
        <w:ind w:left="340" w:right="200" w:hanging="170"/>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a breach or pursuant to the terms of any agreement with, or for any other reason by, current or future collaborators that have responsibility for the clinical development of any of our product candidates.</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one or more of our product candidates.</w:t>
      </w:r>
    </w:p>
    <w:p>
      <w:pPr>
        <w:spacing w:after="0" w:line="19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If we do not succeed in conducting and managing our preclinical development activities or clinical trials, or in obtaining regulatory approvals, we might not be able to commercialize our product candidates, or might be significantly delayed in doing so, which could have a material adverse effect on our business, prospects, financial condition and results of operations.</w:t>
      </w:r>
    </w:p>
    <w:p>
      <w:pPr>
        <w:spacing w:after="0" w:line="177"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The results of previous clinical trials may not be predictive of future results, our progress in trials for one product candidate may not be indicative of progress in trials for other product candidates, and our trials may not be designed so as to support regulatory approval.</w:t>
      </w:r>
    </w:p>
    <w:p>
      <w:pPr>
        <w:spacing w:after="0" w:line="14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currently have no products approved for sale and we cannot guarantee that we will ever have marketable products. Clinical failure can occur at any stage of clinical development. Clinical trials may produce negative or inconclusive results, and we or any of our current and future collaborators may decide, or regulators may require us, to conduct additional clinical or preclinical testing. We will be required to demonstrate with substantial evidence through well-controlled clinical trials that our product candidates are safe and effective for use in a diverse population before we can seek regulatory approvals for their commercial sale. Success in early clinical trials does not mean that future clinical trials will be successful because product candidates in later-stage clinical trials may fail to demonstrate sufficient safety and efficacy to the satisfaction of the FDA and non-U.S. regulatory authorities despite having progressed through initial clinical trials. Product candidates that have shown promising results in early clinical trials may still suffer significant setbacks in subsequent clinical trials. Similarly, the outcome of preclinical testing and early clinical trials may not be predictive of the success of later clinical trials, and interim results of a clinical trial do not necessarily predict final results. Progress in trials of one product candidate does not indicate that we will make similar progress in additional trials for that product candidate or in trials for our other product candidates.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18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design of a clinical trial can determine whether its results will support approval of a product. We may be unable to design and/or execute a clinical trial to support regulatory approval. Flaws in the design of a clinical trial may not become apparent until the clinical trial is well advanced. In addition, we may have little control over whether subjects comply with important aspects of clinical trial protocols. In particular, in trials of our oral PTH, if subjects do not comply with restrictions on eating and drinking before and after administration of our product candidates, interaction between the drug and food in the gastrointestinal tract, or a “food effect,” may decrease the bioavailability and increase the variability of drug delivered to the subject, which may negatively affect efficacy.</w:t>
      </w:r>
    </w:p>
    <w:p>
      <w:pPr>
        <w:spacing w:after="0" w:line="15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some instances, there can be significant variability in safety and/or efficacy results between different trials of the same product candidate due to numerous factors, including changes in trial protocols, differences in size and type of the patient populations, adherence to the dosing regimen and other trial protocols, modifications in the formulation throughout the course of development and the rate of dropout among</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clinical trial participants. While our oral PTH product candidates have exhibited no serious related adverse events in our clinical trials to date, we may need to change future trial design in response to adverse events that occur during future clinical development. We do not know whether any Phase 2, Phase 3 or other clinical trials we or any of our collaborators may conduct will demonstrate consistent or adequate efficacy and safety to obtain regulatory approval to market our product candidates.</w:t>
      </w:r>
    </w:p>
    <w:p>
      <w:pPr>
        <w:spacing w:after="0" w:line="183"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We depend on enrollment of patients in our clinical trials for our product candidates. If we are unable to enroll patients in our clinical trials, our research and development efforts could be materially adversely affected.</w:t>
      </w:r>
    </w:p>
    <w:p>
      <w:pPr>
        <w:spacing w:after="0" w:line="16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Successful and timely completion of clinical trials will require that we enroll a sufficient number of subjects. Trials may be subject to delays as a result of enrollment taking longer than anticipated or subject withdrawal. Enrollment depends on many factors, including the size and nature of the patient population, eligibility criteria for the trial, the proximity of patients to clinical sites, the design of the clinical protocol, the availability of competing clinical trials, the availability of drugs approved for the indication the clinical trial is investigating, and clinicians’ and patients’ perceptions as to the potential advantages of the product being studied in relation to other available therapies. Our product candidate EB612 has orphan drug designation for the treatment of hypoparathyroidism, which means that the potential patient population is limited. In addition, there may be other marketed drugs or drugs in development for hypoparathyroidism, and we may compete for patients with such marketed drugs, such as Natpara, or the sponsors of trials for drugs in development. These factors may make it difficult for us to enroll enough subjects to complete our clinical trials in a timely and cost-effective manner. Delays in the completion of any clinical trial of our product candidates will increase our costs, slow down our product candidate development and approval process and delay or potentially jeopardize our ability to commence product sales and generate revenue. In addition, some of the factors that cause, or lead to, a delay in the commencement or completion of clinical trials may also ultimately lead to the denial of regulatory approval of our product candidates.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successful in our efforts to use and expand our drug delivery technology to other product candidates.</w:t>
      </w:r>
    </w:p>
    <w:p>
      <w:pPr>
        <w:spacing w:after="0" w:line="22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A key element of our strategy is to use and expand our oral drug delivery technology platform to build a pipeline of product candidates and progress these product candidates through clinical development for the treatment of a variety of different types of diseases. Our strategy is to focus on the development of our oral drug delivery technology in combination with a known active pharmaceutical ingredient, or API, to validate our platform and potentially minimize risk and development timelines. We intend, by utilizing this approach, to both validate and enhance the credibility of our platform. We intend to use our technology as a platform for the oral delivery of other protein and large molecule APIs.</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initial product candidates combine our oral drug delivery technology with PTH, a hormone that has been used in injectable form for many years for osteoporosis. Our business is substantially dependent on our ability to complete the development of, obtain regulatory approval for, and successfully commercialize our oral PTH product candidates in a timely manner. If we are unable to validate our oral drug delivery technology with our PTH product candidates, in particular our lead candidate EB612, we may be unsuccessful in leveraging our oral drug delivery technology for use with other APIs. In addition, we must significantly modify the formulation of EB612 to develop new formulations for applications in osteoporosis and other indications. If we are not successful in optimizing the formation of our PTH product candidates for additional indications, or if we are not otherwise able to obtain regulatory approval for them or successfully commercialize them, our business and prospects may be severely limited due to the small size of the population with hypoparathyroidism.</w:t>
      </w:r>
    </w:p>
    <w:p>
      <w:pPr>
        <w:spacing w:after="0" w:line="1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our technology makes use of synthetically bioengineered ingredients. Our oral PTH is a synthetic form of the first 34 amino acids of human PTH to which we have applied our proprietary drug delivery technology. Although our product candidates utilize a synthesized PTH molecule with a known mechanism of action, they may cause patients to exhibit safety or immune responses that do not match the biological effect of a human protein. Such responses could result in increased regulatory scrutiny, delays or other impediments to our planned development or the public acceptance and commercialization of our products.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Even if we are successful in expanding our drug delivery technology to other APIs for other indications, the potential product candidates that we identify may not be suitable for clinical development, including as a</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result of being shown to have harmful side effects or other characteristics that indicate that they are unlikely to be products that will receive marketing approval and achieve market acceptance. We may never successfully develop or commercialize our technology with other APIs, which could limit our business and prospects.</w:t>
      </w:r>
    </w:p>
    <w:p>
      <w:pPr>
        <w:spacing w:after="0" w:line="17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Our product candidates may have serious adverse, undesirable or unacceptable side effects that may delay or prevent marketing approval. If any such side effects are identified during the development of our product candidates or following any regulatory approval, we may need to abandon our development of such product candidates, any approved label may be limited or we may be subject to other significant negative consequences following regulatory approval.</w:t>
      </w:r>
    </w:p>
    <w:p>
      <w:pPr>
        <w:spacing w:after="0" w:line="1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Although all of our product candidates have undergone or will undergo safety testing to the extent possible and agreed with health authorities, not all adverse effects of drugs can be predicted or anticipated. Unforeseen side effects from any of our product candidates could arise either during clinical development or, if such side effects are more rare, after our product candidates have been approved by regulatory authorities and the approved product has been marketed, resulting in the exposure of additional patients. All of our product candidates are still in clinical or preclinical development. While our oral PTH has exhibited no serious related adverse events in our clinical trials to date, the results of future clinical trials may show that our product candidates cause undesirable or unacceptable side effects, which could interrupt, delay or halt clinical trials, and result in delay of, or failure to obtain, marketing approval from the FDA, the EMA and other regulatory authorities, or result in marketing approval from the FDA, the EMA and other regulatory authorities with restrictive label warnings or potential product liability claims. For instance, other PTH products have been issued with labels that disclose a potential risk of osteosarcoma.</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If any of our product candidates receives marketing approval and we or others later identify undesirable or unacceptable side effects caused by such products:</w:t>
      </w:r>
    </w:p>
    <w:p>
      <w:pPr>
        <w:spacing w:after="0" w:line="248" w:lineRule="exact"/>
        <w:rPr>
          <w:sz w:val="20"/>
          <w:szCs w:val="20"/>
          <w:color w:val="auto"/>
        </w:rPr>
      </w:pPr>
    </w:p>
    <w:p>
      <w:pPr>
        <w:ind w:left="340" w:hanging="170"/>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specific warnings, a contraindication or field alerts to physicians and pharmacies;</w:t>
      </w:r>
    </w:p>
    <w:p>
      <w:pPr>
        <w:spacing w:after="0" w:line="248" w:lineRule="exact"/>
        <w:rPr>
          <w:rFonts w:ascii="Arial" w:cs="Arial" w:eastAsia="Arial" w:hAnsi="Arial"/>
          <w:sz w:val="16"/>
          <w:szCs w:val="16"/>
          <w:color w:val="auto"/>
        </w:rPr>
      </w:pPr>
    </w:p>
    <w:p>
      <w:pPr>
        <w:ind w:left="340" w:hanging="170"/>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conduct additional clinical trials or change the labeling of the product;</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Any of these events could prevent us or our potential future collaborators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177"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Due to our limited resources and access to capital, we must and have in the past decided to prioritize development of certain product candidates; these decisions may prove to have been wrong and may adversely affect our revenues.</w:t>
      </w:r>
    </w:p>
    <w:p>
      <w:pPr>
        <w:spacing w:after="0" w:line="16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Because we have limited resources and access to capital to fund our operations, we must decide which product candidates to pursue and the amount of resources to allocate to each. As such, we are currently primarily focused on the development of EB612 and EB613 for the treatment of hypoparathyroidism and osteoporosis, respectively.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potential decisions to delay, terminate or collaborate with third parties in respect of certain product development programs may also prove not to be optimal and could cause us to miss valuable</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opportunities. If we make incorrect determinations regarding the market potential of our product candidates or misread trends in the biopharmaceutical industry, our business, financial condition and results of operations could be materially adversely affected.</w:t>
      </w:r>
    </w:p>
    <w:p>
      <w:pPr>
        <w:spacing w:after="0" w:line="16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Our internal computer systems, or those of our CROs or other contractors or consultants, may fail or suffer security breaches, which could result in a disruption of our drug development programs.</w:t>
      </w:r>
    </w:p>
    <w:p>
      <w:pPr>
        <w:spacing w:after="0" w:line="16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CROs and other contractors and consultants are vulnerable to damage from cyber-security threats, including computer viruses, harmful code and unauthorized access, natural disasters, fire, terrorism, war and telecommunication and electrical failures. If a disruption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Regulatory Approval of Our Product Candidates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Obtaining regulatory approval even after clinical trials that are believed to be successful is an uncertain process.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Even if we complete our planned clinical trials and believe the results to be successful, all of which are uncertain, obtaining regulatory approval is an extensive, lengthy, expensive and uncertain process, and the FDA, EMA and other regulatory agencies may delay, limit or deny approval of our oral PTH for many reasons, including:</w:t>
      </w:r>
    </w:p>
    <w:p>
      <w:pPr>
        <w:spacing w:after="0" w:line="181" w:lineRule="exact"/>
        <w:rPr>
          <w:sz w:val="20"/>
          <w:szCs w:val="20"/>
          <w:color w:val="auto"/>
        </w:rPr>
      </w:pPr>
    </w:p>
    <w:p>
      <w:pPr>
        <w:ind w:left="340" w:right="480" w:hanging="170"/>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demonstrate to the satisfaction of the FDA, EMA or other regulatory agencies that our oral PTH is safe and effective for any indication;</w:t>
      </w:r>
    </w:p>
    <w:p>
      <w:pPr>
        <w:spacing w:after="0" w:line="170" w:lineRule="exact"/>
        <w:rPr>
          <w:rFonts w:ascii="Arial" w:cs="Arial" w:eastAsia="Arial" w:hAnsi="Arial"/>
          <w:sz w:val="18"/>
          <w:szCs w:val="18"/>
          <w:color w:val="auto"/>
        </w:rPr>
      </w:pPr>
    </w:p>
    <w:p>
      <w:pPr>
        <w:ind w:left="340" w:right="540" w:hanging="170"/>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or clinical significance required by the FDA, EMA or other regulatory agencies for approval;</w:t>
      </w:r>
    </w:p>
    <w:p>
      <w:pPr>
        <w:spacing w:after="0" w:line="170" w:lineRule="exact"/>
        <w:rPr>
          <w:rFonts w:ascii="Arial" w:cs="Arial" w:eastAsia="Arial" w:hAnsi="Arial"/>
          <w:sz w:val="18"/>
          <w:szCs w:val="18"/>
          <w:color w:val="auto"/>
        </w:rPr>
      </w:pPr>
    </w:p>
    <w:p>
      <w:pPr>
        <w:ind w:left="340" w:right="400" w:hanging="170"/>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EMA or other regulatory agencies may require that EB613 meet additional requirements to obtain regulatory approval for the treatment of osteoporosis, a much larger indication than hypoparathyroidism;</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EMA or other regulatory agencies may disagree with the number, design, size, conduct or implementation of our clinical trials;</w:t>
      </w:r>
    </w:p>
    <w:p>
      <w:pPr>
        <w:spacing w:after="0" w:line="225" w:lineRule="exact"/>
        <w:rPr>
          <w:rFonts w:ascii="Arial" w:cs="Arial" w:eastAsia="Arial" w:hAnsi="Arial"/>
          <w:sz w:val="18"/>
          <w:szCs w:val="18"/>
          <w:color w:val="auto"/>
        </w:rPr>
      </w:pPr>
    </w:p>
    <w:p>
      <w:pPr>
        <w:ind w:left="340" w:right="480" w:hanging="170"/>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EMA or other regulatory agencies may not find the data from pre-clinical studies and clinical trials sufficient to demonstrate that our oral PTH’s clinical and other benefits outweigh its safety risks;</w:t>
      </w:r>
    </w:p>
    <w:p>
      <w:pPr>
        <w:spacing w:after="0" w:line="170" w:lineRule="exact"/>
        <w:rPr>
          <w:rFonts w:ascii="Arial" w:cs="Arial" w:eastAsia="Arial" w:hAnsi="Arial"/>
          <w:sz w:val="18"/>
          <w:szCs w:val="18"/>
          <w:color w:val="auto"/>
        </w:rPr>
      </w:pPr>
    </w:p>
    <w:p>
      <w:pPr>
        <w:ind w:left="340" w:hanging="170"/>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EMA or other regulatory agencies may disagree with our interpretation of data from pre-clinical studies or clinical trials, or may not accept data generated at our clinical trial sites;</w:t>
      </w:r>
    </w:p>
    <w:p>
      <w:pPr>
        <w:spacing w:after="0" w:line="170" w:lineRule="exact"/>
        <w:rPr>
          <w:rFonts w:ascii="Arial" w:cs="Arial" w:eastAsia="Arial" w:hAnsi="Arial"/>
          <w:sz w:val="18"/>
          <w:szCs w:val="18"/>
          <w:color w:val="auto"/>
        </w:rPr>
      </w:pPr>
    </w:p>
    <w:p>
      <w:pPr>
        <w:ind w:left="340" w:right="220" w:hanging="170"/>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EMA or other regulatory agencies may not recognize a synthesized molecule like the synthesized PTH molecule that is used in our oral PTH formulation;</w:t>
      </w:r>
    </w:p>
    <w:p>
      <w:pPr>
        <w:spacing w:after="0" w:line="170" w:lineRule="exact"/>
        <w:rPr>
          <w:rFonts w:ascii="Arial" w:cs="Arial" w:eastAsia="Arial" w:hAnsi="Arial"/>
          <w:sz w:val="18"/>
          <w:szCs w:val="18"/>
          <w:color w:val="auto"/>
        </w:rPr>
      </w:pPr>
    </w:p>
    <w:p>
      <w:pPr>
        <w:ind w:left="340" w:right="560" w:hanging="170"/>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data collected from pre-clinical studies and clinical trials of our oral PTH may not be sufficient to support the submission of an application for regulatory approval;</w:t>
      </w:r>
    </w:p>
    <w:p>
      <w:pPr>
        <w:spacing w:after="0" w:line="170" w:lineRule="exact"/>
        <w:rPr>
          <w:rFonts w:ascii="Arial" w:cs="Arial" w:eastAsia="Arial" w:hAnsi="Arial"/>
          <w:sz w:val="18"/>
          <w:szCs w:val="18"/>
          <w:color w:val="auto"/>
        </w:rPr>
      </w:pPr>
    </w:p>
    <w:p>
      <w:pPr>
        <w:ind w:left="340" w:right="580" w:hanging="170"/>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81" w:lineRule="exact"/>
        <w:rPr>
          <w:rFonts w:ascii="Arial" w:cs="Arial" w:eastAsia="Arial" w:hAnsi="Arial"/>
          <w:sz w:val="18"/>
          <w:szCs w:val="18"/>
          <w:color w:val="auto"/>
        </w:rPr>
      </w:pPr>
    </w:p>
    <w:p>
      <w:pPr>
        <w:ind w:left="340" w:hanging="170"/>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may require development of a risk evaluation and mitigation strategy as a condition of approval;</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right="460" w:hanging="170"/>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EMA or other regulatory agencies may identify deficiencies in the manufacturing processes or facilities of third party manufacturers with which we enter into agreements for clinical and commercial supplies;</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EMA or other regulatory agencies may change their approval policies or adopt new regulations; and</w:t>
      </w:r>
    </w:p>
    <w:p>
      <w:pPr>
        <w:spacing w:after="0" w:line="225" w:lineRule="exact"/>
        <w:rPr>
          <w:rFonts w:ascii="Arial" w:cs="Arial" w:eastAsia="Arial" w:hAnsi="Arial"/>
          <w:sz w:val="18"/>
          <w:szCs w:val="18"/>
          <w:color w:val="auto"/>
        </w:rPr>
      </w:pPr>
    </w:p>
    <w:p>
      <w:pPr>
        <w:ind w:left="340" w:right="620" w:hanging="170"/>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FDA, EMA or other regulatory agencies may require simultaneous approval for both adults and for children and adolescents delaying needed approvals, or we may have successful clinical trial results for adults but not children and adolescents, or vice versa.</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Before we can submit an application for regulatory approval in the United States, we must conduct a pivotal trial that will be substantially broader than our completed Phase 2a trial. We will also need to agree on a protocol with the FDA for a clinical trial before commencing the trial. Phase 3 clinical trials frequently produce unsatisfactory results even though prior clinical trials were successful. Therefore, even if the results of our Phase 2 trials are successful, the results of the additional trials that we conduct may or may not be successful. Further, our product candidates may not be approved even if they achieve their primary endpoints in Phase 3 clinical trials. The FDA, the EMA or other non-U.S. regulatory authorities may disagree with our trial design and our interpretation of data from preclinical studies and clinical trials. Moreover, there is no FDA guidance on the acceptable level of variability in orally delivered products with large molecule APIs, and, therefore we are unable to be certain that we are designing our product candidates or clinical trials to satisfy the FDA in this regard. In addition, any of these regulatory authorities may change requirements for the approval of a product candidate even after reviewing and providing comments or advice on a protocol for a clinical trial. The FDA, EMA or other regulatory agencies may require that we conduct additional clinical, nonclinical, manufacturing validation or drug product quality studies and submit those data before considering or reconsidering the application.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EMA or other regulatory agencies. If any of these outcomes occur, we would not receive approval for our oral PTH (1-34) tablet.</w:t>
      </w:r>
    </w:p>
    <w:p>
      <w:pPr>
        <w:spacing w:after="0" w:line="17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addition, the FDA, EMA or other regulatory agencies may also approve a product candidate for fewer or more limited indications than we request, may impose significant limitations related to use restrictions for certain age groups, warnings, precautions or contraindications or may grant approval contingent on the performance of costly post-marketing clinical trials or risk mitigation requirements. The FDA, EMA or other regulatory agencies may not accept the labeling claims that we believe would be necessary or desirable for the successful commercialization of our product candidates.</w:t>
      </w:r>
    </w:p>
    <w:p>
      <w:pPr>
        <w:spacing w:after="0" w:line="16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In order to obtain FDA approval for EB612 prior to the expiration of Natpara’s orphan drug exclusivity in 2022, we need to show that EB612 is clinically superior or otherwise makes a major contribution to patient care. Moreover, although we have obtained orphan drug designation for EB612 for the treatment of hypoparathyroidism, we may be unable to maintain the benefits associated with orphan drug designation, including the potential for market exclusivity.</w:t>
      </w:r>
    </w:p>
    <w:p>
      <w:pPr>
        <w:spacing w:after="0" w:line="18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Regulatory authorities in some jurisdictions, including the United States and Europe, may designate drugs for relatively small patient populations as orphan drugs. Under the Orphan Drug Act, the FDA may designate a product candidate as an orphan drug if it is a drug intended to treat a rare disease or condition, which is generally defined as a condition that affects fewer than 200,000 individuals in the United States or that affects more than 200,000 individuals in the United States and for which there is no reasonable expectation that the cost of developing and making available the drug for the disease or condition will be recovered from sales of the drug in the United States. In the European Union, the European Commission may designate a product candidate as an orphan medicinal product if it is a medicine for the diagnosis, prevention or treatment of life-threatening or very serious conditions that affects not more than five in 10,000 persons in the European Union, or it is unlikely that marketing of the medicine would generate sufficient returns to justify the investment needed for its development and no satisfactory method of diagnosis, prevention or treatment of the condition concerned is authorized, or, if such method exists, that the medicinal product will be of significant benefit to those affected by the condition. We have received orphan drug designation for oral PTH for the treatment of hypoparathyroidism from the FDA, but orphan drug designation may not ensure that we have market exclusivity in a particular market and there is no</w:t>
      </w: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assurance we will be able to receive orphan drug designation for any additional product candidates. Further, the granting of a request for orphan drug designation does not alter the standard regulatory requirements and process for obtaining marketing approval, including the development time or regulatory review time of a drug.</w:t>
      </w:r>
    </w:p>
    <w:p>
      <w:pPr>
        <w:spacing w:after="0" w:line="181"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Generally, if a product candidate with an orphan drug designation receives the first marketing approval for the indication for which it has such designation, the product is entitled to a period of marketing exclusivity, which, subject to certain exceptions, precludes the FDA from approving another drug with the same active moiety for the same indication for that time period or precludes the EMA, and other national drug regulators in the European Union, from accepting the marketing application for a similar medicinal product for the same indication. The applicable period is seven years in the United States and</w:t>
      </w:r>
    </w:p>
    <w:p>
      <w:pPr>
        <w:spacing w:after="0" w:line="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10 years in the European Union. The EU period can be reduced to six years if, at the end of the fifth year of marketing exclusivity, a product no longer meets the criteria for orphan drug designation, for instance if the product is sufficiently profitable so that market exclusivity is no longer justified. In the European Union, orphan exclusivity may also be extended for an additional two years (i.e., a maximum of 12 years’ orphan exclusivity) if the product is approved on the basis of a dossier that includes pediatric clinical trial data generated in accordance with an approved pediatric investigation plan. Orphan drug exclusivity may be lost in the United States if the FDA determines that the request for designation was materially defective or if the manufacturer is unable to assure sufficient quantity of the product to meet the needs of patients with the rare disease or condition.</w:t>
      </w:r>
    </w:p>
    <w:p>
      <w:pPr>
        <w:spacing w:after="0" w:line="17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Orphan drug exclusivity may not effectively protect the product from competition because exclusivity can be suspended under certain circumstances. In the United States, even after an orphan drug is approved, the FDA can subsequently approve another drug with the same active moiety for the same condition if the FDA concludes that the later drug is clinically superior in that it is shown to be safer, more effective or otherwise makes a major contribution to patient care. In the European Union, orphan exclusivity will not prevent a marketing authorization being granted for a similar medicinal product in the same indication if the new product is safer, more effective or otherwise clinically superior to the first product or if the marketing authorization holder of the first product is unable to supply sufficient quantities of the product.</w:t>
      </w:r>
    </w:p>
    <w:p>
      <w:pPr>
        <w:spacing w:after="0" w:line="193" w:lineRule="exact"/>
        <w:rPr>
          <w:sz w:val="20"/>
          <w:szCs w:val="20"/>
          <w:color w:val="auto"/>
        </w:rPr>
      </w:pPr>
    </w:p>
    <w:p>
      <w:pPr>
        <w:jc w:val="both"/>
        <w:ind w:right="240"/>
        <w:spacing w:after="0" w:line="288" w:lineRule="auto"/>
        <w:rPr>
          <w:sz w:val="20"/>
          <w:szCs w:val="20"/>
          <w:color w:val="auto"/>
        </w:rPr>
      </w:pPr>
      <w:r>
        <w:rPr>
          <w:rFonts w:ascii="Arial" w:cs="Arial" w:eastAsia="Arial" w:hAnsi="Arial"/>
          <w:sz w:val="16"/>
          <w:szCs w:val="16"/>
          <w:color w:val="auto"/>
        </w:rPr>
        <w:t>We believe that our key competitor in hypoparathyroidism treatment is Shire plc, whose product Natpara, an injectable bioengineered recombinant form of PTH (1-84), was approved by the FDA in January 2015. Natpara has been granted orphan drug designation for hypoparathyroidism by the FDA and, as the first approved product for this indication, has orphan drug market exclusivity for seven years in the United States and, if Natpara is approved by the EMA,</w:t>
      </w:r>
    </w:p>
    <w:p>
      <w:pPr>
        <w:spacing w:after="0" w:line="288" w:lineRule="auto"/>
        <w:rPr>
          <w:sz w:val="20"/>
          <w:szCs w:val="20"/>
          <w:color w:val="auto"/>
        </w:rPr>
      </w:pPr>
      <w:r>
        <w:rPr>
          <w:rFonts w:ascii="Arial" w:cs="Arial" w:eastAsia="Arial" w:hAnsi="Arial"/>
          <w:sz w:val="16"/>
          <w:szCs w:val="16"/>
          <w:color w:val="auto"/>
        </w:rPr>
        <w:t>10 years after receipt of market approval in the European Union. Therefore, we will only be able to obtain regulatory approval for EB612 prior to expiration of Natpara’s orphan exclusivity period in the United States, which expires in January 2022, if we demonstrate EB612’s clinical superiority over Natpara in that it demonstrates greater effectiveness or safety than Natpara or that it otherwise makes a major contribution to patient care. We believe that we will be able to demonstrate to the satisfaction of the FDA and EMA that our formulation of PTH is clinically superior to Natpara, and therefore we do not believe that the FDA or EMA will be precluded from approving a marketing application prior to Natpara’s expiration of orphan exclusivity, but there can be no assurance that we will be able to demonstrate that EB612 is clinically superior to Natpara or otherwise makes a major contribution to patient care under the applicable FDA and EMA standards and obtain regulatory approval, even if EB612 would otherwise satisfy each regulator’s standards for approval.</w:t>
      </w:r>
    </w:p>
    <w:p>
      <w:pPr>
        <w:spacing w:after="0" w:line="16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Even if we obtain regulatory approval of EB612, we may not enjoy the benefits of our orphan designation for EB612 for hypoparathyroidism. For example, even if we were to overcome Natpara’s exclusivity, regulatory approval of EB612 would not create exclusivity vis-a-vis Natpara, and we would still have to compete with Natpara for market acceptance and on other factors that contribute to commercial success, such as reimbursement. Moreover, even if we obtain orphan drug exclusivity for EB612 vis-à-vis other products in development, that exclusivity may not effectively protect EB612 from competition because different drugs with different active moieties can be approved for the same condition. Even after an orphan drug is approved, the FDA or EMA can subsequently approve the same drug with the same active moiety for the same condition if the FDA or EMA concludes that the later drug is safer, more effective, or otherwise makes a major contribution to patient care.</w:t>
      </w:r>
    </w:p>
    <w:p>
      <w:pPr>
        <w:spacing w:after="0" w:line="185"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Even if regulatory approvals are obtained for our product candidates, we will be subject to ongoing government regulation. If we fail to comply with applicable current and future laws and government regulations, it could delay or prevent the promotion, marketing or sale of our products.</w:t>
      </w:r>
    </w:p>
    <w:p>
      <w:pPr>
        <w:spacing w:after="0" w:line="12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Even if marketing approval is obtained, a regulatory authority may still impose significant restrictions on a product’s indications, conditions for use, distribution or marketing or impose ongoing requirements for potentially costly post-market surveillance, post-approval studies or clinical trials, all of which may result in significant expense and limit our ability to commercialize our products. Our products will also be subject to ongoing requirements governing the labeling, packaging, storage, advertising, distribution, promotion, recordkeeping and submission of safety and other post-market information, including adverse events, and any changes to the approved product, product labeling or manufacturing process. In addition, manufacturers of drug products and their facilities are subject to continual review and periodic inspections by the FDA and other regulatory authorities for compliance with current good manufacturing practice, or cGMP, requirements and other regulations.</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we, our drug products or the manufacturing facilities for our drug products fail to comply with applicable regulatory requirements, a regulatory agency may:</w:t>
      </w:r>
    </w:p>
    <w:p>
      <w:pPr>
        <w:spacing w:after="0" w:line="170" w:lineRule="exact"/>
        <w:rPr>
          <w:sz w:val="20"/>
          <w:szCs w:val="20"/>
          <w:color w:val="auto"/>
        </w:rPr>
      </w:pPr>
    </w:p>
    <w:p>
      <w:pPr>
        <w:ind w:left="340" w:hanging="170"/>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warning letters or untitled letters or take similar enforcement actions;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w:t>
      </w:r>
    </w:p>
    <w:p>
      <w:pPr>
        <w:spacing w:after="0" w:line="225" w:lineRule="exact"/>
        <w:rPr>
          <w:rFonts w:ascii="Arial" w:cs="Arial" w:eastAsia="Arial" w:hAnsi="Arial"/>
          <w:sz w:val="18"/>
          <w:szCs w:val="18"/>
          <w:color w:val="auto"/>
        </w:rPr>
      </w:pPr>
    </w:p>
    <w:p>
      <w:pPr>
        <w:ind w:left="340" w:right="100" w:hanging="170"/>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exclude products from federal healthcare programs, or request that we initiate a product recall; or</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and compliance with such regulation may be expensive and consume substantial financial and management resources. If we or any future marketing collaborators or contract manufacturers are slow or unable to adapt to changes in existing requirements or the adoption of new requirements or policies or are not able to maintain regulatory compliance, it could delay or prevent the promotion, marketing or sale of our products, which would adversely affect our business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legislative changes may harm our business and future prospects.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Healthcare costs have risen significantly over the past decade. Globally, governments are becoming increasingly aggressive in imposing health care cost-containment measures. Certain proposals, if passed, would impose limitations on the prices we will be able to charge for the products that we are developing, or the amounts of reimbursement available for these products from governmental agencies or third-party payors. These limitations could in turn reduce the amount of revenues that we will be able to generate in the future from sales of our products and licenses of our technology.</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United States, the Medicare Prescription Drug, Improvement, and Modernization Act of 2003, or MMA changed the way Medicare covers and pays for pharmaceutical products. The MMA expanded Medicare coverage for outpatient drug purchases by those covered by Medicare under a new Part D and introduced a new reimbursement methodology based on average sales prices for Medicare Part B physician-administered drugs. In addition, the MMA authorized Medicare Part D prescription drug plans to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the MMA could decrease the coverage and price that we receive for any approved products and could seriously harm our future business prospects. While this law applies only to drug benefits for Medicare beneficiaries, private payors often follow Medicare coverage policy and payment limitations in setting their own reimbursement rates, and any reduction in reimbursement that results from this law may result in a similar reduction in payments from private payors.</w:t>
      </w:r>
    </w:p>
    <w:p>
      <w:pPr>
        <w:spacing w:after="0" w:line="18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In March 2010, President Obama signed into law the Patient Protection and Affordable Care Act, as amended by the Health Care and Education Reconciliation Act, or collectively, the ACA, a sweeping law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Affordable Care Act, among other things, increased rebates a manufacturer must pay to the Medicaid program, addressed a new methodology by which rebates owed by manufacturers under the Medicaid Drug Rebate Program are calculated for drugs that are inhaled, infused, instilled, implanted or injected, established a new Medicare Part D coverage gap discount program, in which manufacturers must provide 50% point-of-sale discounts on products covered under Part D and implemented payment system reforms including a national pilot program on payment bundling to encourage hospitals, physicians and other providers to improve the coordination, quality and efficiency of certain healthcare services through bundled payment models. Further, the new law imposed a significant annual fee on companies that manufacture or import branded prescription drug products. Substantial new provisions</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affecting compliance were enacted, which may affect our business practices with health care practitioners. The ACA appears likely to continue the pressure on pharmaceutical pricing and may also increase our regulatory burdens and operating costs.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Affordable Care Act was enacted. These changes included aggregate reductions to Medicare payments to providers of 2% per fiscal year effective April 1, 2013 and, due to subsequent legislative amendments to the statute, will stay in effect through 2025,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8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President Trump and the majorities of both houses of Congress have stated their intention to repeal and replace the ACA. In May 2017, the House of Representatives voted to pass the American Healthcare Act of 2017, which repeals certain portions of the ACA and adds material new provisions. On June 22, 2017, the Senate introduced its own healthcare reform bill. In addition, the Senate considered proposed healthcare reform legislation known as the Graham-Cassidy bill. Although none of these measures have been enacted by Congress to date, Congress may consider other legislation to repeal and replace all or elements of the ACA. In December 2017, the Tax Cuts and Jobs Act was enacted and signed into law, one part of which repeals the “individual mandate” introduced by the ACA starting in 2019. The repeal of the “individual mandate” may have an adverse effect on ACA insurance markets and lead to further legislative changes. Congress will likely consider other legislation to replace elements of the ACA, during the next Congressional session. Though the full future impact of the new administration and the U.S. Congress on our business remains unclear, legislative and regulatory changes may continue the downward pressure on pharmaceutical pricing, especially under the Medicare and Medicaid programs, and may also increase our regulatory burdens and operating costs.</w:t>
      </w:r>
    </w:p>
    <w:p>
      <w:pPr>
        <w:spacing w:after="0" w:line="17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Both in the United States and in the European Union,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w:t>
      </w:r>
    </w:p>
    <w:p>
      <w:pPr>
        <w:spacing w:after="0" w:line="18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Our relationships with customers and payors will be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18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Healthcare providers, physicians and others will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154" w:lineRule="exact"/>
        <w:rPr>
          <w:sz w:val="20"/>
          <w:szCs w:val="20"/>
          <w:color w:val="auto"/>
        </w:rPr>
      </w:pPr>
    </w:p>
    <w:p>
      <w:pPr>
        <w:ind w:left="340" w:right="40" w:hanging="170"/>
        <w:spacing w:after="0" w:line="255"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193" w:lineRule="exact"/>
        <w:rPr>
          <w:rFonts w:ascii="Arial" w:cs="Arial" w:eastAsia="Arial" w:hAnsi="Arial"/>
          <w:sz w:val="18"/>
          <w:szCs w:val="18"/>
          <w:color w:val="auto"/>
        </w:rPr>
      </w:pPr>
    </w:p>
    <w:p>
      <w:pPr>
        <w:ind w:left="340" w:right="20" w:hanging="170"/>
        <w:spacing w:after="0" w:line="26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left="340" w:hanging="170"/>
        <w:spacing w:after="0" w:line="286"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imposes criminal and civil liability for executing a scheme to defraud any health care benefit program or making false statements relating to health care matters. Similar to the federal Anti-Kickback Statute, a person or entity does not need to have actual knowledge of the statute or specific intent to violate it in order to have committed a violation;</w:t>
      </w:r>
    </w:p>
    <w:p>
      <w:pPr>
        <w:spacing w:after="0" w:line="165" w:lineRule="exact"/>
        <w:rPr>
          <w:rFonts w:ascii="Arial" w:cs="Arial" w:eastAsia="Arial" w:hAnsi="Arial"/>
          <w:sz w:val="17"/>
          <w:szCs w:val="17"/>
          <w:color w:val="auto"/>
        </w:rPr>
      </w:pPr>
    </w:p>
    <w:p>
      <w:pPr>
        <w:ind w:left="340" w:right="120" w:hanging="170"/>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 care benefits, items or services;</w:t>
      </w:r>
    </w:p>
    <w:p>
      <w:pPr>
        <w:spacing w:after="0" w:line="170" w:lineRule="exact"/>
        <w:rPr>
          <w:rFonts w:ascii="Arial" w:cs="Arial" w:eastAsia="Arial" w:hAnsi="Arial"/>
          <w:sz w:val="18"/>
          <w:szCs w:val="18"/>
          <w:color w:val="auto"/>
        </w:rPr>
      </w:pPr>
    </w:p>
    <w:p>
      <w:pPr>
        <w:ind w:left="340" w:right="40" w:hanging="170"/>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transparency requirements under the Affordable Care Act requires certain manufacturers of drugs, devices, biologics and medical supplies to report to the Department of Health and Human Services information related to payments and other transfers of value to physicians and teaching hospitals and the ownership and investment interests of such physicians or their family members;</w:t>
      </w:r>
    </w:p>
    <w:p>
      <w:pPr>
        <w:spacing w:after="0" w:line="181" w:lineRule="exact"/>
        <w:rPr>
          <w:rFonts w:ascii="Arial" w:cs="Arial" w:eastAsia="Arial" w:hAnsi="Arial"/>
          <w:sz w:val="18"/>
          <w:szCs w:val="18"/>
          <w:color w:val="auto"/>
        </w:rPr>
      </w:pPr>
    </w:p>
    <w:p>
      <w:pPr>
        <w:ind w:left="340" w:right="120" w:hanging="170"/>
        <w:spacing w:after="0" w:line="259"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Physician Payments Sunshine Act, created under the ACA, and its implementing regulations, which requires specified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All such reported information is publicly available;</w:t>
      </w:r>
    </w:p>
    <w:p>
      <w:pPr>
        <w:spacing w:after="0" w:line="186" w:lineRule="exact"/>
        <w:rPr>
          <w:rFonts w:ascii="Arial" w:cs="Arial" w:eastAsia="Arial" w:hAnsi="Arial"/>
          <w:sz w:val="18"/>
          <w:szCs w:val="18"/>
          <w:color w:val="auto"/>
        </w:rPr>
      </w:pPr>
    </w:p>
    <w:p>
      <w:pPr>
        <w:ind w:left="340" w:right="20" w:hanging="170"/>
        <w:spacing w:after="0" w:line="255"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analogous state and non-U.S. laws and regulations, such as certain state anti-kickback and false claims laws which may apply to items or services reimbursed by any third-party payor, including commercial insurers; state laws that require pharmaceutical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pacing w:after="0" w:line="189" w:lineRule="exact"/>
        <w:rPr>
          <w:rFonts w:ascii="Arial" w:cs="Arial" w:eastAsia="Arial" w:hAnsi="Arial"/>
          <w:sz w:val="18"/>
          <w:szCs w:val="18"/>
          <w:color w:val="auto"/>
        </w:rPr>
      </w:pPr>
    </w:p>
    <w:p>
      <w:pPr>
        <w:ind w:left="340" w:right="580" w:hanging="170"/>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regulation by the Centers for Medicare and Medicaid Services and enforcement by the U.S. Department of Health and Human Services (Office of Inspector General) or the U.S. Department of Justice.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future business activities could be subject to challenge under one or more of such laws.</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and the curtailment or restructuring of our operations. 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Commercialization of Our Product Candidates</w:t>
      </w:r>
    </w:p>
    <w:p>
      <w:pPr>
        <w:spacing w:after="0" w:line="221" w:lineRule="exact"/>
        <w:rPr>
          <w:sz w:val="20"/>
          <w:szCs w:val="20"/>
          <w:color w:val="auto"/>
        </w:rPr>
      </w:pPr>
    </w:p>
    <w:p>
      <w:pPr>
        <w:ind w:right="160"/>
        <w:spacing w:after="0" w:line="313" w:lineRule="auto"/>
        <w:rPr>
          <w:sz w:val="20"/>
          <w:szCs w:val="20"/>
          <w:color w:val="auto"/>
        </w:rPr>
      </w:pPr>
      <w:r>
        <w:rPr>
          <w:rFonts w:ascii="Arial" w:cs="Arial" w:eastAsia="Arial" w:hAnsi="Arial"/>
          <w:sz w:val="17"/>
          <w:szCs w:val="17"/>
          <w:b w:val="1"/>
          <w:bCs w:val="1"/>
          <w:color w:val="auto"/>
        </w:rPr>
        <w:t>We are likely to face significant competition, and if our competitors’ products are more effective, safer or less expensive than ours, our commercial opportunities will be negatively affected. Our lead product candidates, if approved, would compete with existing products.</w:t>
      </w:r>
    </w:p>
    <w:p>
      <w:pPr>
        <w:spacing w:after="0" w:line="14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Our industry is highly competitive and subject to rapid and significant technological change. While we believe that our technology, knowledge, experience and scientific resources provide us with competitive advantages, we face competition from many different sources, including large pharmaceutical, specialty pharmaceutical, biotechnology and generic drug companies and academic and government institutions. These organizations may have significantly greater resources than we do and conduct similar research, seek and obtain patent protection that may impact our freedom to operate and establish collaborative arrangements for research, development, manufacturing and marketing of products that compete with our product candidates. We believe that the key competitive factors that will affect the development and commercial success of our oral PTH product candidates, and any other product candidates that we develop, are efficacy, safety and tolerability profile, convenience in dosing, product labeling, price and availability of reimbursement from the government and other third-parties. Our commercial opportunity could be reduced or eliminated if our</w:t>
      </w: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competitors have products that are better in one or more of these categories. Furthermore, our competitors may, among other things: develop and commercialize products that are safer, more effective, less expensive, or more convenient or easier to administer; obtain quicker regulatory approval; establish superior proprietary positions; have access to more manufacturing capacity; implement more effective approaches to sales and marketing; or form more advantageous strategic alliances.</w:t>
      </w:r>
    </w:p>
    <w:p>
      <w:pPr>
        <w:spacing w:after="0" w:line="18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Our primary innovation is our development of an oral drug delivery technology for large peptides, protein and other large molecules. If another company develops an alternative technology for oral delivery of such molecules that is equal to or better than our technology, we may be unable to compete.</w:t>
      </w:r>
    </w:p>
    <w:p>
      <w:pPr>
        <w:spacing w:after="0" w:line="12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believe that our key competitor in hypoparathyroidism treatment is Natpara. If we obtain regulatory approval for EB612, it will compete with Natpara, which by that time will have been marketed for several years and may have wide-spread market acceptance that may be difficult to overcome. See “— In order to obtain FDA approval for EB612 prior to the expiration of Natpara’s orphan drug exclusivity in 2022, we need to show that EB612 is clinically superior to Natpara. Moreover, although we have obtained orphan drug designation for EB612 for the treatment of hypoparathyroidism, we may be unable to maintain the benefits associated with orphan drug designation, including the potential for market exclusivity.” In addition, Ascendis Pharma has reported that it is developing a long-acting, oral prodrug formulation of PTH for the treatment of hypoparathyroidism. In September 2017, Ascendis reported that it had initiated a Phase 1 trial with their drug in Australia. Ascendis expects to advance their drug directly into Phase 3 development in the first quarter of 2019.</w:t>
      </w:r>
    </w:p>
    <w:p>
      <w:pPr>
        <w:spacing w:after="0" w:line="16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osteoporosis market is already served by a variety of competing products based on a number of APIs. Many of these existing products have achieved widespread acceptance among physicians, patients and payors for the treatment of osteoporosis. The market has been dominated by bisphosphonates for many years, although bisphosphonates’ market share has declined due to the occurrence of serious side effects, as well as the introduction of newly developed pharmacological treatments. Many of the new drugs have serious side effects of their own. Eli Lilly’s Forteo, an injectable PTH (1-34), is one of the most effective osteoporosis medications. We anticipate that our product candidate EB613, if approved, will compete with Forteo and the rest of the pharmacological treatments for osteoporosis. Many of these products are available on a generic basis, and EB613 may not demonstrate sufficient additional clinical benefits to physicians, patients or payors to justify a higher price compared to generic products. In many cases, insurers or other third-party payors, particularly Medicare, seek to encourage the use of generic products. Furthermore, our competitors in this market are large pharmaceutical companies and the alternatives have been on the market for many years and have widespread market acceptance.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manufacturing risks that could substantially increase our costs and limit supply of 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process of manufacturing our products is complex, highly regulated and subject to several risks, including:</w:t>
      </w:r>
    </w:p>
    <w:p>
      <w:pPr>
        <w:spacing w:after="0" w:line="225" w:lineRule="exact"/>
        <w:rPr>
          <w:sz w:val="20"/>
          <w:szCs w:val="20"/>
          <w:color w:val="auto"/>
        </w:rPr>
      </w:pPr>
    </w:p>
    <w:p>
      <w:pPr>
        <w:ind w:left="340" w:right="140" w:hanging="170"/>
        <w:spacing w:after="0" w:line="272"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do not have experience in manufacturing our product candidates at commercial scale. We may not succeed in the scaling up of our process. We may need a larger-scale manufacturing process for our oral PTH than what we have planned, depending on the dose and regimen that will be determined in future studies. Any changes in our manufacturing processes as a result of scaling up may result in the need to obtain additional regulatory approvals. Difficulties in achieving commercial-scale production or the need for additional regulatory approvals as a result of scaling up could delay the development and regulatory approval of our product candidates and ultimately affect our success. Contract manufacturers may not have sufficient expertise to manufacture a dry oral formulation with a large molecule API, in which case we may have to establish our own commercial manufacturing capabilities, which could be expensive and delay launch of product candidates.</w:t>
      </w:r>
    </w:p>
    <w:p>
      <w:pPr>
        <w:spacing w:after="0" w:line="177" w:lineRule="exact"/>
        <w:rPr>
          <w:rFonts w:ascii="Arial" w:cs="Arial" w:eastAsia="Arial" w:hAnsi="Arial"/>
          <w:sz w:val="17"/>
          <w:szCs w:val="17"/>
          <w:color w:val="auto"/>
        </w:rPr>
      </w:pPr>
    </w:p>
    <w:p>
      <w:pPr>
        <w:ind w:left="340" w:right="200" w:hanging="170"/>
        <w:spacing w:after="0" w:line="293"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manufacturing process for biologics is more complex and subject to greater regulation than that of other drugs. The process of manufacturing biologics, such as our product candidates, is extremely susceptible to product loss due to contamination, equipment failure or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64" w:lineRule="exact"/>
        <w:rPr>
          <w:rFonts w:ascii="Arial" w:cs="Arial" w:eastAsia="Arial" w:hAnsi="Arial"/>
          <w:sz w:val="16"/>
          <w:szCs w:val="16"/>
          <w:color w:val="auto"/>
        </w:rPr>
      </w:pPr>
    </w:p>
    <w:p>
      <w:pPr>
        <w:ind w:left="340" w:right="580" w:hanging="170"/>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manufacturing facilities in which our product candidates are made could be adversely affected by equipment failures, labor shortages, natural disasters, power failures and numerous other factors.</w:t>
      </w:r>
    </w:p>
    <w:p>
      <w:pPr>
        <w:spacing w:after="0" w:line="170" w:lineRule="exact"/>
        <w:rPr>
          <w:rFonts w:ascii="Arial" w:cs="Arial" w:eastAsia="Arial" w:hAnsi="Arial"/>
          <w:sz w:val="18"/>
          <w:szCs w:val="18"/>
          <w:color w:val="auto"/>
        </w:rPr>
      </w:pPr>
    </w:p>
    <w:p>
      <w:pPr>
        <w:ind w:left="340" w:right="80" w:hanging="170"/>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must comply with applicable current cGMP, regulations and guidelines. We may encounter difficulties in achieving quality control and quality assurance and may experience shortages in qualified personnel. We are subject to inspections by the FDA and comparable agencies in other jurisdictions to confirm compliance with applicable regulatory requirements. Any failure to follow</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spacing w:after="0" w:line="270" w:lineRule="auto"/>
        <w:rPr>
          <w:sz w:val="20"/>
          <w:szCs w:val="20"/>
          <w:color w:val="auto"/>
        </w:rPr>
      </w:pPr>
      <w:r>
        <w:rPr>
          <w:rFonts w:ascii="Arial" w:cs="Arial" w:eastAsia="Arial" w:hAnsi="Arial"/>
          <w:sz w:val="17"/>
          <w:szCs w:val="17"/>
          <w:color w:val="auto"/>
        </w:rPr>
        <w:t>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drug product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p>
      <w:pPr>
        <w:spacing w:after="0" w:line="182" w:lineRule="exact"/>
        <w:rPr>
          <w:sz w:val="20"/>
          <w:szCs w:val="20"/>
          <w:color w:val="auto"/>
        </w:rPr>
      </w:pPr>
    </w:p>
    <w:p>
      <w:pPr>
        <w:ind w:left="340" w:right="20" w:hanging="170"/>
        <w:spacing w:after="0" w:line="259"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adverse developments affecting manufacturing operations for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w:t>
      </w:r>
    </w:p>
    <w:p>
      <w:pPr>
        <w:spacing w:after="0" w:line="186" w:lineRule="exact"/>
        <w:rPr>
          <w:rFonts w:ascii="Arial" w:cs="Arial" w:eastAsia="Arial" w:hAnsi="Arial"/>
          <w:sz w:val="18"/>
          <w:szCs w:val="18"/>
          <w:color w:val="auto"/>
        </w:rPr>
      </w:pPr>
    </w:p>
    <w:p>
      <w:pPr>
        <w:ind w:left="340" w:right="100" w:hanging="170"/>
        <w:spacing w:after="0" w:line="259"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product candidates that have been produced and are stored for later use may degrade, become contaminated or suffer other quality defects, which may cause the affected product candidates to no longer be suitable for their intended use in clinical trials or other development activities. If the defective product candidates cannot be replaced in a timely fashion, we may incur significant delays in our development programs that could adversely affect the value of such product candidates.</w:t>
      </w:r>
    </w:p>
    <w:p>
      <w:pPr>
        <w:spacing w:after="0" w:line="183"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b w:val="1"/>
          <w:bCs w:val="1"/>
          <w:color w:val="auto"/>
        </w:rPr>
        <w:t>We currently have no sales, marketing or distribution infrastructure. Any failure or delay in the development of our internal sales, marketing and distribution capabilities would adversely affect the commercialization of our products. If we enter into collaborations to market and sell any approved products, our revenue may be lower and we will be dependent on the efforts of a third party.</w:t>
      </w:r>
    </w:p>
    <w:p>
      <w:pPr>
        <w:spacing w:after="0" w:line="16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have not yet established sales, marketing or distribution operations because our product candidates are in early clinical development. Prior to receiving regulatory approval for EB612, we plan to build a focused sales and marketing organization in the United States and other jurisdictions where we anticipate obtaining approval to sell EB612. This would be expensive and time consuming. If we elect to fund and undertake commercialization activities on our own, we may need to obtain additional expertise and additional capital, which may not be available to us on acceptable terms or at all. In addition, the costs of establishing sales and marketing operations may be incurred in advance of any approval of our product candidates. Moreover, we may not be able to hire a sales force that is sufficient in size or has adequate expertise in the medical markets that we intend to target. Any failure or delay in the development of our internal sales, marketing and distribution capabilities would adversely affect the commercialization of our products.</w:t>
      </w:r>
    </w:p>
    <w:p>
      <w:pPr>
        <w:spacing w:after="0" w:line="16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Alternatively, we may consider entering into a collaboration to commercialize EB612, and we anticipate seeking a collaborator to develop EB613 and that any such collaborator would be responsible for, or substantially support, late stage clinical trials of EB613 as well as regulatory approvals and registrations. These arrangements are typically complex and time consuming to negotiate. To the extent that we enter into collaboration agreements with respect to marketing, sales or distribution, our product revenue may be lower than if we directly marketed and sold any approved products.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any approved products. If we are not successful in commercializing any approved products, either on our own or through collaborations with one or more third parties, our future product revenue will suffer and we may incur significant additional losses.</w:t>
      </w:r>
    </w:p>
    <w:p>
      <w:pPr>
        <w:spacing w:after="0" w:line="175"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Even if approved, if any of our product candidates do not achieve broad market acceptance among physicians, patients, the medical community and third-party payors, our revenue generated from their sales will be limited.</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commercial success of our product candidates will depend upon their acceptance among physicians, patients and the medical community. The degree of market acceptance of our product candidates will depend on a number of factors, including:</w:t>
      </w:r>
    </w:p>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left="340" w:hanging="170"/>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or warnings contained in the approved labeling for a product candidate;</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any of our product candidates;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in the approved clinical indications for our product candidates;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demonstrated clinical safety and efficacy compared to other products;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lack of significant adverse side effects;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marketing and distribution support;</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availability and extent of coverage and reimbursement from managed care plans and other third-party payors;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timing of market introduction and perceived effectiveness of competitive products;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degree of cost-effectiveness of our product candidates;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availability of alternative therapies at similar or lower cost, including generic and over-the-counter products;</w:t>
      </w:r>
    </w:p>
    <w:p>
      <w:pPr>
        <w:spacing w:after="0" w:line="225" w:lineRule="exact"/>
        <w:rPr>
          <w:rFonts w:ascii="Arial" w:cs="Arial" w:eastAsia="Arial" w:hAnsi="Arial"/>
          <w:sz w:val="18"/>
          <w:szCs w:val="18"/>
          <w:color w:val="auto"/>
        </w:rPr>
      </w:pPr>
    </w:p>
    <w:p>
      <w:pPr>
        <w:ind w:left="340" w:right="820" w:hanging="170"/>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extent to which the product candidate is approved for inclusion on formularies of hospitals and third-party payors, including managed care organizations;</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whether the product is designated under physician treatment guidelines as a first-line therapy or as a second- or third-line therapy for particular diseases;</w:t>
      </w:r>
    </w:p>
    <w:p>
      <w:pPr>
        <w:spacing w:after="0" w:line="248" w:lineRule="exact"/>
        <w:rPr>
          <w:rFonts w:ascii="Arial" w:cs="Arial" w:eastAsia="Arial" w:hAnsi="Arial"/>
          <w:sz w:val="16"/>
          <w:szCs w:val="16"/>
          <w:color w:val="auto"/>
        </w:rPr>
      </w:pPr>
    </w:p>
    <w:p>
      <w:pPr>
        <w:ind w:left="340" w:hanging="170"/>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publicity about our product candidates or favorable publicity about competitive products;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convenience and ease of administration of our products; and</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If any of our product candidates are approved, but do not achieve an adequate level of acceptance by physicians, patients and the medical community, we may not generate sufficient revenue from these products, and we may not become or remain profitable. In addition, efforts to educate the medical community and third-party payors on the benefits of our product candidates may require significant resources and may never be successful.</w:t>
      </w:r>
    </w:p>
    <w:p>
      <w:pPr>
        <w:spacing w:after="0" w:line="162"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Even if we obtain regulatory approval of any of our product candidates in a major pharmaceutical market such as the United States or the European Union, we may never obtain approval or commercialize our products in other major markets, which would limit our ability to realize their full market potential.</w:t>
      </w:r>
    </w:p>
    <w:p>
      <w:pPr>
        <w:spacing w:after="0" w:line="18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order to market any products in a country or territory, we must establish and comply with numerous and varying regulatory requirements of such countries or territories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our products will be harmed.</w:t>
      </w: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The successful commercialization of our product candidates, if approved, will depend in part on the extent to which governmental authorities and third-party payors establish adequate coverage and reimbursement levels and pricing policies.</w:t>
      </w:r>
    </w:p>
    <w:p>
      <w:pPr>
        <w:spacing w:after="0" w:line="16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successful commercialization of our product candidates, if approved,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 evidence of favorable clinical outcomes and cost-effectiveness before extending coverage. In light of such challenges to prices and increasing levels of evidence of the benefits and clinical outcomes required of new technologies, we cannot be sure that coverage will be available for our oral PTH product candidates or any other product candidate that we commercialize and, if available, that the reimbursement rates will be adequate. If we are unable to obtain adequate levels of coverage and reimbursement for our product candidates, their marketability will be negatively and materially impacted.</w:t>
      </w:r>
    </w:p>
    <w:p>
      <w:pPr>
        <w:spacing w:after="0" w:line="16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Third party payors may deny coverage and reimbursement status altogether of a given drug product, or cover the product but establish prices at levels that are too low to enable us to realize an appropriate return on our investment in product development. Because the coverage and reimbursement policies may change frequently, in some cases at short notice, even when there is favorable coverage and reimbursement, future changes may occur that adversely impact the favorable status. Further, the net reimbursement for drug products may be subject to additional reductions if there are changes to laws that presently restrict imports of drugs from countries where they may be sold at lower prices than in the United States.</w:t>
      </w:r>
    </w:p>
    <w:p>
      <w:pPr>
        <w:spacing w:after="0" w:line="17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unavailability or inadequacy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183"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16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19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Although we maintain limited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Should any of the events described above occur, this could have a material adverse effect on our business, financial condition and results of operations.</w:t>
      </w: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Dependence on Third Parties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highly dependent upon our ability to enter into agreements with collaborators to develop, commercialize and market our products.</w:t>
      </w:r>
    </w:p>
    <w:p>
      <w:pPr>
        <w:spacing w:after="0" w:line="24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may enter into collaborations with third parties that we believe could provide us with valuable funding and other benefits. For example, we anticipate seeking a collaborator to develop EB613 for osteoporosis and that any such collaborator would be responsible for, or substantially support, late stage clinical trials of EB613 as well as regulatory approvals and registrations.</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These factors may include the design or results of clinical trials, the likelihood of approval by the FDA, the EMA or similar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for collaboration and whether such a collaboration could be more attractive than the one with us for our product candidate.</w:t>
      </w:r>
    </w:p>
    <w:p>
      <w:pPr>
        <w:spacing w:after="0" w:line="17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Collaborations are complex and time-consuming to negotiate and document. If we are unable to reach agreements with suitable collaborators on a timely basis, on acceptable terms, or at all, we may have to curtail the development of a product candidate, reduce or delay one or more of our other development programs, delay potential commercialization of a product candidate or reduce the scope of any sales or marketing activities, or increase our expenditures and undertake development or commercialization activities at our own expense. If we fail to enter into collaborations and do not have sufficient funds or expertise to undertake the necessary development and commercialization activities ourselves, we may not be able to further develop our product candidates or bring them to market or continue to develop our technology platforms and our business may be materially and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Any collaboration we enter into may pose a number of risks, including the following:</w:t>
      </w:r>
    </w:p>
    <w:p>
      <w:pPr>
        <w:spacing w:after="0" w:line="225" w:lineRule="exact"/>
        <w:rPr>
          <w:sz w:val="20"/>
          <w:szCs w:val="20"/>
          <w:color w:val="auto"/>
        </w:rPr>
      </w:pPr>
    </w:p>
    <w:p>
      <w:pPr>
        <w:ind w:left="340" w:hanging="170"/>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these collaborations;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25" w:lineRule="exact"/>
        <w:rPr>
          <w:rFonts w:ascii="Arial" w:cs="Arial" w:eastAsia="Arial" w:hAnsi="Arial"/>
          <w:sz w:val="18"/>
          <w:szCs w:val="18"/>
          <w:color w:val="auto"/>
        </w:rPr>
      </w:pPr>
    </w:p>
    <w:p>
      <w:pPr>
        <w:ind w:left="340" w:hanging="170"/>
        <w:spacing w:after="0" w:line="26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81" w:lineRule="exact"/>
        <w:rPr>
          <w:rFonts w:ascii="Arial" w:cs="Arial" w:eastAsia="Arial" w:hAnsi="Arial"/>
          <w:sz w:val="18"/>
          <w:szCs w:val="18"/>
          <w:color w:val="auto"/>
        </w:rPr>
      </w:pPr>
    </w:p>
    <w:p>
      <w:pPr>
        <w:ind w:left="340" w:right="80" w:hanging="170"/>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0" w:lineRule="exact"/>
        <w:rPr>
          <w:rFonts w:ascii="Arial" w:cs="Arial" w:eastAsia="Arial" w:hAnsi="Arial"/>
          <w:sz w:val="18"/>
          <w:szCs w:val="18"/>
          <w:color w:val="auto"/>
        </w:rPr>
      </w:pPr>
    </w:p>
    <w:p>
      <w:pPr>
        <w:ind w:left="340" w:right="120" w:hanging="170"/>
        <w:spacing w:after="0" w:line="26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81" w:lineRule="exact"/>
        <w:rPr>
          <w:rFonts w:ascii="Arial" w:cs="Arial" w:eastAsia="Arial" w:hAnsi="Arial"/>
          <w:sz w:val="18"/>
          <w:szCs w:val="18"/>
          <w:color w:val="auto"/>
        </w:rPr>
      </w:pPr>
    </w:p>
    <w:p>
      <w:pPr>
        <w:ind w:left="340" w:right="40" w:hanging="170"/>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70" w:lineRule="exact"/>
        <w:rPr>
          <w:rFonts w:ascii="Arial" w:cs="Arial" w:eastAsia="Arial" w:hAnsi="Arial"/>
          <w:sz w:val="18"/>
          <w:szCs w:val="18"/>
          <w:color w:val="auto"/>
        </w:rPr>
      </w:pPr>
    </w:p>
    <w:p>
      <w:pPr>
        <w:ind w:left="340" w:right="20" w:hanging="170"/>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right="40" w:hanging="170"/>
        <w:spacing w:after="0" w:line="312"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46" w:lineRule="exact"/>
        <w:rPr>
          <w:rFonts w:ascii="Arial" w:cs="Arial" w:eastAsia="Arial" w:hAnsi="Arial"/>
          <w:sz w:val="16"/>
          <w:szCs w:val="16"/>
          <w:color w:val="auto"/>
        </w:rPr>
      </w:pPr>
    </w:p>
    <w:p>
      <w:pPr>
        <w:ind w:left="340" w:right="140" w:hanging="170"/>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collaborators may not properly obtain, maintain, defend or enforce our intellectual property rights or may use our proprietary information in such a way as to invite litigation that could jeopardize or invalidate our intellectual property or proprietary information or expose us to potential litigation;</w:t>
      </w:r>
    </w:p>
    <w:p>
      <w:pPr>
        <w:spacing w:after="0" w:line="146" w:lineRule="exact"/>
        <w:rPr>
          <w:rFonts w:ascii="Arial" w:cs="Arial" w:eastAsia="Arial" w:hAnsi="Arial"/>
          <w:sz w:val="17"/>
          <w:szCs w:val="17"/>
          <w:color w:val="auto"/>
        </w:rPr>
      </w:pPr>
    </w:p>
    <w:p>
      <w:pPr>
        <w:ind w:left="340" w:right="380" w:hanging="170"/>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170" w:lineRule="exact"/>
        <w:rPr>
          <w:rFonts w:ascii="Arial" w:cs="Arial" w:eastAsia="Arial" w:hAnsi="Arial"/>
          <w:sz w:val="18"/>
          <w:szCs w:val="18"/>
          <w:color w:val="auto"/>
        </w:rPr>
      </w:pPr>
    </w:p>
    <w:p>
      <w:pPr>
        <w:ind w:left="340" w:right="220" w:hanging="170"/>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fail to comply with applicable laws, rules or regulations when performing services for us, which may expose us to legal proceedings and potential liability; and</w:t>
      </w:r>
    </w:p>
    <w:p>
      <w:pPr>
        <w:spacing w:after="0" w:line="170" w:lineRule="exact"/>
        <w:rPr>
          <w:rFonts w:ascii="Arial" w:cs="Arial" w:eastAsia="Arial" w:hAnsi="Arial"/>
          <w:sz w:val="18"/>
          <w:szCs w:val="18"/>
          <w:color w:val="auto"/>
        </w:rPr>
      </w:pPr>
    </w:p>
    <w:p>
      <w:pPr>
        <w:ind w:left="340" w:right="40" w:hanging="170"/>
        <w:spacing w:after="0" w:line="264"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collaborations may be terminated for convenience by the collaborator and, if terminated, we could be required to raise additional capital to pursue further development or commercialization of the applicable product candidates, we may suffer from negative publicity and we may find it more difficult to attract new collaborators.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All of the risks relating to product development, regulatory approval and commercialization described in this prospectus also apply to the activities of any of our future program collaborators.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secure and maintain research institutions to conduct our clinical trials.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rely on research institutions to conduct our clinical trials. Specifically, the limited number of centers experienced with pharmaceutical product candidates heightens our dependence on such research institutions. Our reliance upon research institutions, including hospitals and clinics, provides us with less control over the timing and cost of clinical trials and the ability to recruit subjects. If we are unable to reach agreements with suitable research institutions on acceptable terms, or if any resulting agreement is terminated, we may be unable to quickly replace the research institution with another qualified institution on acceptable terms. Furthermore, we may not be able to secure and maintain suitable research institutions to conduct our clinical trials.</w:t>
      </w:r>
    </w:p>
    <w:p>
      <w:pPr>
        <w:spacing w:after="0" w:line="15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Independent clinical investigators and CROs that we engage to conduct our clinical trials may not devote sufficient time or attention to our clinical trials or be able to repeat their past success.</w:t>
      </w:r>
    </w:p>
    <w:p>
      <w:pPr>
        <w:spacing w:after="0" w:line="166"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We expect to continue to depend on independent clinical investigators and CROs to conduct our clinical trials. CROs may also assist us in the collection and analysis of data. There is a limited number of third-party service providers that specialize or have the expertise required to achieve our business objectives. Identifying, qualifying and managing performance of third-party service providers can be difficult, time consuming and cause delays in our development programs. These investigators and CROs will not be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 Further, the FDA and other regulatory authorities require that we comply with standards, commonly referred to as Good Clinical Practice, or GCP, requirements for conducting, recording and reporting clinical trials to assure that data and reported results are credible and accurate and that the rights, integrity and confidentiality of trial subjects are protected. Regulatory authorities enforce these GCPs through periodic inspections of trial sponsors, principal investigators and trial sites. If we or any of our CROs fail to comply with applicable GCPs, the clinical data generated in our clinical trials may be deemed unreliable and the FDA, EMA or comparable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w:t>
      </w: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cGMP regulations. Our failure to comply with these regulations may require us to repeat clinical trials, which would delay the regulatory approval process. Failure of clinical investigators or CROs to meet their obligations to us or comply with GCP procedures could adversely affect the clinical development of our product candidates and harm our business.</w:t>
      </w:r>
    </w:p>
    <w:p>
      <w:pPr>
        <w:spacing w:after="0" w:line="177" w:lineRule="exact"/>
        <w:rPr>
          <w:sz w:val="20"/>
          <w:szCs w:val="20"/>
          <w:color w:val="auto"/>
        </w:rPr>
      </w:pPr>
    </w:p>
    <w:p>
      <w:pPr>
        <w:jc w:val="both"/>
        <w:ind w:right="160"/>
        <w:spacing w:after="0" w:line="261" w:lineRule="auto"/>
        <w:rPr>
          <w:sz w:val="20"/>
          <w:szCs w:val="20"/>
          <w:color w:val="auto"/>
        </w:rPr>
      </w:pPr>
      <w:r>
        <w:rPr>
          <w:rFonts w:ascii="Arial" w:cs="Arial" w:eastAsia="Arial" w:hAnsi="Arial"/>
          <w:sz w:val="18"/>
          <w:szCs w:val="18"/>
          <w:b w:val="1"/>
          <w:bCs w:val="1"/>
          <w:color w:val="auto"/>
        </w:rPr>
        <w:t>We contract with third parties for the supply of materials used in drug formulation for clinical testing and expect to contract with third parties for the manufacturing of our product candidates for large-scale testing.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anticipate continuing our engagement of third parties to provide our clinical supply as we advance our product candidates into and through clinical development. We expect in the future to use third parties for the manufacture of our product candidates for clinical testing, as well as for commercial manufacture. We plan to enter into long-term supply agreements with several manufacturers for commercial supplies. We may be unable to reach agreement on satisfactory terms with contract manufacturers to manufacture our product candidates. Additionally, the facilities to manufacture our product candidates must be the subject of a satisfactory inspection before the FDA, the EMA or other regulatory authorities approve a BLA or grant a marketing authorization for the product candidate manufactured at that facility. We will depend on these third-party manufacturers for compliance with the FDA’s and the EMA’s requirements for the manufacture of our finished products. We do not control the manufacturing process of, and are completely dependent on, our contract manufacturers for compliance with cGMPs. If our manufacturers cannot successfully manufacture material that conforms to our specifications and the FDA, European Commission and other regulatory authorities’ cGMP requirements,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and may subject us to recalls or enforcement action for products already on the market.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Reliance on third-party manufacturers entails risks to which we would not be subject if we manufactured the product candidates ourselves, including:</w:t>
      </w:r>
    </w:p>
    <w:p>
      <w:pPr>
        <w:spacing w:after="0" w:line="237" w:lineRule="exact"/>
        <w:rPr>
          <w:sz w:val="20"/>
          <w:szCs w:val="20"/>
          <w:color w:val="auto"/>
        </w:rPr>
      </w:pPr>
    </w:p>
    <w:p>
      <w:pPr>
        <w:ind w:left="340" w:hanging="170"/>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possibility of a breach of the manufacturing agreements by the third parties because of factors beyond our control;</w:t>
      </w:r>
    </w:p>
    <w:p>
      <w:pPr>
        <w:spacing w:after="0" w:line="225" w:lineRule="exact"/>
        <w:rPr>
          <w:rFonts w:ascii="Arial" w:cs="Arial" w:eastAsia="Arial" w:hAnsi="Arial"/>
          <w:sz w:val="18"/>
          <w:szCs w:val="18"/>
          <w:color w:val="auto"/>
        </w:rPr>
      </w:pPr>
    </w:p>
    <w:p>
      <w:pPr>
        <w:ind w:left="340" w:right="260" w:hanging="170"/>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possibility of termination or nonrenewal of the agreements by the third parties before we are able to arrange for a qualified replacement third-party manufacturer; and</w:t>
      </w:r>
    </w:p>
    <w:p>
      <w:pPr>
        <w:spacing w:after="0" w:line="170" w:lineRule="exact"/>
        <w:rPr>
          <w:rFonts w:ascii="Arial" w:cs="Arial" w:eastAsia="Arial" w:hAnsi="Arial"/>
          <w:sz w:val="18"/>
          <w:szCs w:val="18"/>
          <w:color w:val="auto"/>
        </w:rPr>
      </w:pPr>
    </w:p>
    <w:p>
      <w:pPr>
        <w:ind w:left="340" w:right="120" w:hanging="170"/>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possibility that we may not be able to secure a manufacturer or manufacturing capacity in a timely manner and on satisfactory terms in order to meet our manufacturing needs.</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Any of these factors could cause the delay of approval or commercialization of our product candidates, cause us to incur higher costs or prevent us from commercializing our product candidates successfully. Furthermore, if any of our product candidates are approved and contract manufacturers fail to deliver the required commercial quantities of finished product on a timely basis and at commercially reasonable prices, and we are unable to find one or more replacement manufacturers capable of production at a substantially equivalent cost, in substantially equivalent volumes and quality and on a timely basis, we would likely be unable to meet demand for our products and could lose potential revenue. It may take several years to establish an alternative source of supply for our product candidates and to have any such new source approved by the FDA, the EMA or any other relevant regulatory authorities.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Intellectual Property</w:t>
      </w:r>
    </w:p>
    <w:p>
      <w:pPr>
        <w:spacing w:after="0" w:line="221"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If we fail to establish, maintain, defend and enforce intellectual property rights with respect to our technology, our business, prospects, financial condition and results of operations may be materially adversely affected.</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success depends in large part on our ability to obtain and maintain protection with respect to our intellectual property and proprietary technology. Our product candidates utilize our proprietary technology</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relating to the oral delivery of large molecules for the treatment of certain conditions with oral PTH. We seek to protect our proprietary position by filing patent applications in the United States and certain foreign jurisdictions relating to our product candidates and technologies that are important to our business. This process is expensive, complex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If we do not adequately obtain, maintain, protect and enforce our proprietary rights in our technologies, competitors may be able to use our technologies and erode or negate any competitive advantage we may have, which could have a material adverse effect on our business and our ability to achieve profitability.</w:t>
      </w:r>
    </w:p>
    <w:p>
      <w:pPr>
        <w:spacing w:after="0" w:line="18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have limited patent protection with respect to our product candidates and technologies. We have been issued a patent that contains claims directed to compositions comprising a protein, an absorption enhancer and a protease inhibitor, as well as methods for oral administration of a protein with an enzymatic activity in each of the United States, Australia, Japan, China, Israel and Russia. Related patent applications are pending in the United States, the European Union, Hong Kong, Brazil, India, Israel, Canada, New Zealand and Russia. We have also filed five patent applications in various jurisdictions and one Patent Cooperation Treaty (PCT) application that currently contain claims directed to oral administration technologies, including compositions and drug delivery devices utilizing an absorption enhancer and methods of treating osteoporosis, hypoparathyroidism and bone fractures and related conditions with orally administered parathyroid hormone. We cannot be certain that patents will be issued or granted with respect to any of our pending or future patent applications, or that issued or granted patents will not later be found to be invalid or unenforceable. The patent position of pharmaceutical companies is generally uncertain because it involves complex legal and factual considerations. The standards applied by the United States Patent and Trademark Office, or USPTO, and foreign patent offices in granting patents are not always applied uniformly or predictably, and can change. For example, there is no uniform worldwide policy regarding patentable subject matter or the scope of claims allowable in pharmaceutical or biotechnology patents. Even if our pending patent applications issue as patents, such patents may not cover our product candidates in the United States or in other countries. Accordingly, we cannot predict whether additional patents protecting our technology will issue in the United States or in non-U.S. jurisdictions, or whether any patents that do issue will have claims of adequate scope to provide us with a competitive advantage.</w:t>
      </w:r>
    </w:p>
    <w:p>
      <w:pPr>
        <w:spacing w:after="0" w:line="18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technology and products similar or identical to ours, or limit the duration of the patent protection covering our technology and product candidates. In addition, patents have a limited lifespan. In the United States and most foreign jurisdictions, the natural expiration of a patent is generally 20 years after its effective filing date. Various extensions may be available; however, the life of a patent and the protection it affords is limited. For example, the Drug Price Competition and Patent Term Restoration Act of 1984, or the Hatch-Waxman Act, permits a patent term extension of up to five years beyond the expiration date of a U.S. patent as partial compensation for the useful patent term lost, if any, during the FDA regulatory review process. However, a patent term extension cannot extend the remaining term of a patent beyond a total of</w:t>
      </w:r>
    </w:p>
    <w:p>
      <w:pPr>
        <w:spacing w:after="0" w:line="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14 years from the date of the product’s approval by the FDA, only one patent applicable to an approved drug is eligible for the extension, and only those claims covering the approved drug, a method for using it or a method for manufacturing it may be extended. We may not be granted an extension because we may fail to satisfy applicable requirements and even if we are granted an extension, the applicable time period or the scope of patent protection afforded could be less than we request. In addition, if we encounter delays in obtaining regulatory approvals, the period of time during which we could market a product under patent protection could be reduced. Even if patents covering our product candidates are obtained, once such patents expire, we may be vulnerable to competition from similar or generic products. Given the amount of time required for the development, testing and regulatory review of new product candidates, patents protecting such candidates might expire before or shortly after such candidates are commercialized. As a result, we cannot provide any assurance that any of our issued patents or any patents that may issue to us in the future will provide sufficient protections for our technology or product candidates, in whole or in part, or will effectively prevent competitors from commercializing similar or identical technologies and products.</w:t>
      </w:r>
    </w:p>
    <w:p>
      <w:pPr>
        <w:spacing w:after="0" w:line="16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issued patents may not be sufficient to provide us with a competitive advantage. For example, competitors and other third parties may be able to circumvent our patents by developing similar or alternative technologies or products in a non-infringing manner. We may also grant licenses under our intellectual property that may limit our ability to exploit such intellectual property. For example, we are party to a patent transfer agreement with Oramed Ltd., or the Patent Transfer Agreement, pursuant to which we have granted Oramed Ltd. an exclusive, worldwide, royalty-free, irrevocable and perpetual license, with the right to sublicense, under certain of our patent rights to develop, manufacture and commercialize covered products or otherwise exploit such patent rights in the fields of diabetes and influenza and we have agreed not to, directly or indirectly, engage in any activities within the fields of diabetes and influenza. Even if such agreement were to be terminated, Oramed Ltd. would retain its exclusive license under such patent rights.</w:t>
      </w:r>
    </w:p>
    <w:p>
      <w:pPr>
        <w:spacing w:after="0" w:line="16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the future, we may enter into collaborative agreements or license agreements with third parties which may subject us to obligations that must be fulfilled and require us to manage complex relationships with third parties. If we are unable to meet our obligations or</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manage our relationships with our collaborators under these agreements, our revenue may decrease. From the standpoint of our future strategic collaborators, the strength of the intellectual property under which we may grant licenses can be a determinant of the value of these relationships. If we are unable to secure, protect and enforce our intellectual property, it may become more difficult for us to attract strategic collaborators. The loss or diminution of our intellectual property rights could also result in a decision by future third-party collaborators to terminate their agreements with us. In addition, these agreements may be complex and may contain provisions that could give rise to legal disputes, including potential disputes concerning financial obligations or ownership of intellectual property and data under such agreements. Such disputes can lead to lengthy, expensive litigation or arbitration, requiring us to divert management time and resources to such dispute. Any such development could have a material adverse effect on our business, prospects, financial condition and results of operations.</w:t>
      </w:r>
    </w:p>
    <w:p>
      <w:pPr>
        <w:spacing w:after="0" w:line="188"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We may become involved in proceedings to protect or enforce our proprietary rights, which could be expensive and time consuming, and may ultimately be unsuccessful.</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Competitors or other third parties may infringe or otherwise violate our patents, trademarks, copyrights or other intellectual property rights.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 Third parties may also raise challenges to the validity of our patent claims before administrative bodies in the United States or abroad, even outside the context of litigation. Such mechanisms include re-examination, post-grant review and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and equivalent proceedings in foreign jurisdictions such as opposition proceedings. If third parties have prepared and filed patent applications in the United States that also claim technology to which we have rights, we may have to participate in interference proceedings in the USPTO, to determine priority of invention for patent applications filed before March 16, 2013, or in derivation proceedings to determine inventorship for patent applications filed after such date. Such proceedings could result in the revocation of, cancellation of, or amendment to our patents in such a way that they no longer cover our product candidates or provide us with any competitive advantage.</w:t>
      </w:r>
    </w:p>
    <w:p>
      <w:pPr>
        <w:spacing w:after="0" w:line="17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addition, we may be subject to third-party challenges regarding our exclusive ownership of our intellectual property. If a third party were successful in challenging our exclusive ownership of any of our intellectual property, we may lose our right to use such intellectual property, such third party may be able to license such intellectual property to other third parties, including our competitors, and third parties could market competing products and technology.</w:t>
      </w:r>
    </w:p>
    <w:p>
      <w:pPr>
        <w:spacing w:after="0" w:line="14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Emisphere Technologies, Inc., or Emisphere, has notified us that it believes that, among other things, it is the exclusive owner of certain U.S. and related foreign patents and patent applications we acquired from Oramed Ltd. We are currently investigating the merits of this claim. If Emisphere were to initiate a legal proceeding against us regarding its claim of ownership, we would vigorously defend against such claim. However, if Emisphere is ultimately successful in obtaining ownership of the patent rights that are the subject of its claim, then we may lose our ability to enforce such patent rights against any third party infringers. Moreover, if Emisphere is ultimately successful in obtaining ownership of such patent rights and could successfully demonstrate that, absent a license from Emisphere, our product candidates, including EB612, or technologies infringe such patent rights, then we would be required to redesign our product candidates or technologies so they are no longer infringing or obtain a license from Emisphere to such patent rights, which may not be available on commercially reasonable terms or at all. Even if we are successful in defending against Emisphere’s claim, litigation could result in substantial costs and be a distraction to management. Any of the foregoing could have a material adverse effect on our competitive position, business, financial conditions, results of operations, and prospects.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commercial success depends significantly on our ability to operate without infringing the patents and other proprietary rights of third parties.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claims that we are violating the intellectual property rights of others.</w:t>
      </w:r>
    </w:p>
    <w:p>
      <w:pPr>
        <w:spacing w:after="0" w:line="21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success will depend in part on our ability to operate without infringing the proprietary rights of third parties. Other entities may have or obtain patents or other proprietary rights that could limit our ability to make, use, sell, offer for sale or import our product candidates and future approved products or impair our competitive position. We may face claims, including from direct competitors, asserting that the commercial use of our technology infringes or otherwise violates the intellectual property rights of others. We cannot be certain that our technologies and processes do not violate the intellectual property rights of others. Third parties may assert infringement claims against us based on existing or future intellectual property rights. We expect that we may increasingly be subject to such claims as our product candidates approach commercialization, and as we gain greater visibility as a public company. We may not be aware of all such intellectual property rights potentially relating to our product candidates and their uses. Thus, we do not know</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with certainty that our oral PTH (1-34) tablet or any other product candidate, or our commercialization thereof, does not and will not infringe or otherwise violate any third party’s intellectual property.</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If we were found to infringe or otherwise violate the intellectual property rights of others, we could face significant costs to implement work-arounds, and we cannot provide any assurance that any such work-around would be available or technically equivalent to our current technology. In such cases, we might need to license a third party’s intellectual property, and such required licenses might not be available on acceptable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expose us to similar liabilities and have a similar negative impact on our business.</w:t>
      </w:r>
    </w:p>
    <w:p>
      <w:pPr>
        <w:spacing w:after="0" w:line="18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or predictable. There is a substantial amount of litigation involving patent and other intellectual property rights in the biotechnology and pharmaceutical industries generally, and these lawsuits can be very time consuming and costly. If we are sued for patent infringement, we would need to demonstrate that our products or methods either do not infringe the patent claims of the relevant patent or that the patent claims are invalid, and we may not be successful in doing so.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defending these proceedings, which could have a material adverse effect on our business.</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Also, to the extent that our agreements provide that we will defend and indemnify our suppliers, service providers, future strategic collaborators or any other party for claims against them relating to any alleged infringement of the intellectual property rights of third parties in connection with such suppliers’, service providers’, strategic collaborators’ or other parties’ use of our technologies, we may incur substantial costs defending and indemnifying such parties to the extent they are subject to these types of claims. Any claims brought against us, any suppliers, service providers, future strategic collaborators or any other party indemnified by us alleging that we have violated the intellectual property of others could have a material adverse effect on our business, prospects,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protect and enforce our intellectual property rights throughout the world.</w:t>
      </w:r>
    </w:p>
    <w:p>
      <w:pPr>
        <w:spacing w:after="0" w:line="22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currently have limited patent protection for our product candidates and technologies, and filing, prosecuting, maintaining and defending patents on product candidates in all countries throughout the world would be prohibitively expensive. In addition, we may not pursue or obtain patent protection in all major markets. In addition, the legal systems of some countries, particularly developing countries, do not favor the enforcement of patents and other intellectual property protection, especially those relating to life sciences. This could make it difficult for us to stop the infringement of our other intellectual property rights. For example, many foreign countries have compulsory licensing laws under which a patent owner must grant licenses to third parties. Furthermore, many countries limit the enforceability of patents against third parties, including government agencies or government contractors. In these countries, patents may provide limited or no benefit.</w:t>
      </w:r>
    </w:p>
    <w:p>
      <w:pPr>
        <w:spacing w:after="0" w:line="18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Competitors may use our technologies in jurisdictions where we have not obtained or are unable to adequately enforce patent protection to develop or commercialize their own products. These products may compete with our future products, and our patents or other intellectual property rights may not be effective or sufficient to prevent them from competing. Proceedings to enforce our patent rights in such jurisdictions, whether or not successful, could result in substantial costs and divert our efforts and attention from other aspects of our business, could put our patents at risk of being invalidated or interpreted narrowly, put our patent applications at risk of not issuing and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changes in the law and legal decisions by courts in the United States and foreign countries may affect our ability to obtain adequate protection for our technology and to enforce our intellectual property.</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U.S. patent law could diminish the value of our future patents, if issued, thereby impairing our ability to protect our product candidates.</w:t>
      </w:r>
    </w:p>
    <w:p>
      <w:pPr>
        <w:spacing w:after="0" w:line="252"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As is the case with other pharmaceutical companies, our success is heavily dependent on intellectual property, particularly patents. Obtaining and enforcing patents in the pharmaceutical industry involve both technological and legal complexity. Therefore, obtaining and enforcing pharmaceutical patents is costly, time-consuming and inherently uncertain. In addition, the United States has recently enacted wide-ranging patent reform legislation, which includes provisions that affect the way patent applications are prosecuted, redefine prior art, may affect patent litigation, and switch the U.S. patent system from a “first to invent” system to a “first inventor to file” system. It is not clear what, if any, impact such legislation will have on the operation of our business. Additionally,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could increase the uncertainties and costs surrounding the prosecution of our patent applications and the enforcement or defense of any U.S. patents that may issue to us in the future, all of which could have a material adverse effect on our business and financial condition.</w:t>
      </w:r>
    </w:p>
    <w:p>
      <w:pPr>
        <w:spacing w:after="0" w:line="16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Intellectual property litigation may lead to unfavorable publicity that harms our reputation and causes the market price of our ordinary shares to decline.</w:t>
      </w:r>
    </w:p>
    <w:p>
      <w:pPr>
        <w:spacing w:after="0" w:line="16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If securities analysts or investors regard these announcements as negative, the perceived value of our product candidates or future products, services or intellectual property could be diminished and the market price of our ordinary shares may decline as a result. Furthermore, such negative publicity could severely impair our capability to enter into future agreements with key commercial collaborators.</w:t>
      </w:r>
    </w:p>
    <w:p>
      <w:pPr>
        <w:spacing w:after="0" w:line="167" w:lineRule="exact"/>
        <w:rPr>
          <w:sz w:val="20"/>
          <w:szCs w:val="20"/>
          <w:color w:val="auto"/>
        </w:rPr>
      </w:pPr>
    </w:p>
    <w:p>
      <w:pPr>
        <w:jc w:val="both"/>
        <w:ind w:right="360"/>
        <w:spacing w:after="0" w:line="266"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8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and/or applications will be due to be paid to the USPTO and various government patent agencies outside of the United States over the lifetime of our owned patents and/or applications and any patent rights we may own or license in the future. The USPTO and various non-U.S. government patent agencies require compliance with several procedural, documentary, fee payment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spacing w:after="0" w:line="174"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Under applicable employment laws, we may not be able to enforce covenants not to compete and therefore may be unable to prevent our competitors from benefiting from the expertise of some of our former employees. In addition, our Israeli employees may be entitled to seek compensation for their inventions irrespective of their contractual agreements with us.</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agreements with our employees and key consultants generally include non-competition provisions. These provisions prohibit such employees and key consultants, if they cease working for us, from competing directly with us or working for our competitors or clients for a limited period of time. We may be unable to enforce these provisions under the laws of the jurisdictions in which our employees and consultants work and it may be difficult for us to restrict our competitors from benefitting from the expertise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 In addition, a significant portion of our intellectual property has been developed by our employees and consultants in the course of their employment or consulting relationship with us. Under the Israeli Patent Law, 5727-1967, inventions conceived by an employee or consultant during the scope of his or her employment or consulting relationship with a company are regarded as “service inventions.” Even when our agreements with our employees and consultants include provisions regarding the assignment and waiver of rights to additional compensation in respect of inventions created within the course of their employment or consulting relationship with us, including in respect of service inventions, we cannot guarantee that such provisions will be upheld by Israeli courts, as a result of uncertainty under Israeli law with respect to the efficacy</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of such provisions. If we are required to pay additional compensation or face disputes relating to service inventions, our results of operations could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protect the confidentiality of our technology, which, if disseminated, could negatively impact our plan of operations.</w:t>
      </w:r>
    </w:p>
    <w:p>
      <w:pPr>
        <w:spacing w:after="0" w:line="24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to seeking patent protection, we also rely on trade secret protection and confidentiality agreements to protect proprietary know-how that may not be patentable, processes for which patents may be difficult to obtain and/or enforce, and other elements of our technology. Any disclosure to or misappropriation by third parties of our confidential proprietary information could enable competitors to quickly duplicate or surpass our technological achievements, which would harm our competitive position. While we strive to maintain systems and procedures to protect the confidentiality of our trade secrets and technical know-how, these systems and procedures may fail to provide an adequate degree of protection. For example, although we generally enter into agreements with our employees, consultants, advisors, and other collaborators restricting the disclosure and use of trade secrets, technical know-how and confidential information, we cannot provide any assurance that these agreements will be sufficient to prevent unauthorized use or disclosure of our trade secrets and technical know-how, that these agreements will not be breached or that we have executed agreements with all parties who may have had access to our proprietary information. We may not have adequate remedies in the case of a breach of any such agreements, and our competitors or others may independently develop substantially equivalent or superior proprietary information and techniques or otherwise gain access to our trade secrets or know-how. Monitoring and policing unauthorized use and disclosure of intellectual property is difficult. Further, the laws of certain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or if our competitors or other third parties independently develop any of our trade secrets, we will not be able to establish or maintain a competitive advantage in our market, which could materially adversely affect our business, results of operations and financial condition.</w:t>
      </w:r>
    </w:p>
    <w:p>
      <w:pPr>
        <w:spacing w:after="0" w:line="16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currently have relationships with different consultants who perform research and development activities for us and who are not employed by us, and we may enter into additional relationships of such nature in the future. We have limited control over the activities of these consultants and can expect only limited amounts of their time to be dedicated to our activities. These persons may have consulting, employment or advisory arrangements with other entities that may conflict with or compete with their obligations to us. We typically require our consultants to sign agreements that require such consultants treat our proprietary information and results of studies as confidential. However, in connection with each such relationship, we may not be able to maintain the confidentiality of our technology, the dissemination of which could hurt our competitive position and results of operations. To the extent that our scientific consultants develop inventions or processes independently that may be applicable to our product candidates, disputes may arise as to the ownership of the proprietary rights to such information, and we may expend significant resources in such disputes and we may not win those disputes.</w:t>
      </w:r>
    </w:p>
    <w:p>
      <w:pPr>
        <w:spacing w:after="0" w:line="16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may be subject to claims by third parties asserting that we or our employees, consultants or contractors have misappropriated their intellectual property, or claiming ownership of what we regard as our own intellectual property.</w:t>
      </w:r>
    </w:p>
    <w:p>
      <w:pPr>
        <w:spacing w:after="0" w:line="166"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Certain of our employees, consultants and contractors were previously employed at other biotechnology or pharmaceutical companies, including our competitors or potential competitors. Although we try to ensure that our employees, consultants and contractors do not use the proprietary information or know-how of others in their work for us, we may be subject to claims that we or these employees, consultants or contractors have used or disclosed intellectual property, including trade secrets or other proprietary information, of any such employee’s, consultant’s or contractor’s former employer.</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Further, such assignment agreements may not be self-executing, may be insufficient in scope or may be breached, and we may be forced to bring claims against third parties, or defend claims they may bring against us, to determine the ownership of what we regard as our intellectual property.</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trademarks and trade names related to our product candidates are not adequately protected, then we may not be able to build name recognition in our markets of interest and our business may be adversely affected.</w:t>
      </w:r>
    </w:p>
    <w:p>
      <w:pPr>
        <w:spacing w:after="0" w:line="16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do not currently own or use any registered trademarks for our product candidates. In the future, 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by potential collaborators or customers in our markets of interest. Over the long term, if we are unable to establish name recognition based on our trademarks and trade names, then we may not be able to compete effectively and our business may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Ordinary Shares, Warrants and this Offering</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price of our ordinary shares may be volatile, and you may not be able to resell your shares at or above the initial public offering price.</w:t>
      </w:r>
    </w:p>
    <w:p>
      <w:pPr>
        <w:spacing w:after="0" w:line="24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share price of publicly traded emerging biopharmaceutical and drug discovery and development companies has been highly volatile and is likely to remain highly volatile in the future. These fluctuations may result from a variety of factors, many of which are beyond our control. These factors include:</w:t>
      </w:r>
    </w:p>
    <w:p>
      <w:pPr>
        <w:spacing w:after="0" w:line="124" w:lineRule="exact"/>
        <w:rPr>
          <w:sz w:val="20"/>
          <w:szCs w:val="20"/>
          <w:color w:val="auto"/>
        </w:rPr>
      </w:pPr>
    </w:p>
    <w:p>
      <w:pPr>
        <w:ind w:left="340" w:hanging="170"/>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clinical trial results and the timing of the release of such results;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 of our cash resources and our ability to obtain additional funding;</w:t>
      </w:r>
    </w:p>
    <w:p>
      <w:pPr>
        <w:spacing w:after="0" w:line="225" w:lineRule="exact"/>
        <w:rPr>
          <w:rFonts w:ascii="Arial" w:cs="Arial" w:eastAsia="Arial" w:hAnsi="Arial"/>
          <w:sz w:val="18"/>
          <w:szCs w:val="18"/>
          <w:color w:val="auto"/>
        </w:rPr>
      </w:pPr>
    </w:p>
    <w:p>
      <w:pPr>
        <w:ind w:left="340" w:right="100" w:hanging="170"/>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of research activities, business developments, technological innovations or new products, or acquisitions or expansion plans by us or our competitors;</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entering into or terminating strategic relationships;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laws or government regulation;</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departure of our key personnel;</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disputes related to proprietary rights, including patents, litigation matters and our ability to obtain intellectual property protection for our technologies;</w:t>
      </w:r>
    </w:p>
    <w:p>
      <w:pPr>
        <w:spacing w:after="0" w:line="248" w:lineRule="exact"/>
        <w:rPr>
          <w:rFonts w:ascii="Arial" w:cs="Arial" w:eastAsia="Arial" w:hAnsi="Arial"/>
          <w:sz w:val="16"/>
          <w:szCs w:val="16"/>
          <w:color w:val="auto"/>
        </w:rPr>
      </w:pPr>
    </w:p>
    <w:p>
      <w:pPr>
        <w:ind w:left="340" w:hanging="170"/>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sale, or the sale by our significant shareholders, of ordinary shares or other securities in the future;</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 concern regarding the safety, efficacy or other aspects of the products or methodologies being developed;</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conditions in our industry and changes in estimates of the future size and growth rate of our markets;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market analysts;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trading volume of our ordinary shares; and</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addition, the stock market in general has recently experienced extreme price and volume fluctuations that have often been unrelated or disproportionate to the operating performance of individual companies. Broad market and industry factors may materially affect the market price of companies’ stock, including ours, regardless of actual operating performance.</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There was no public market for our ordinary shares prior to this offering, and an active market in our ordinary shares may not develop in which investors can resell our ordinary shares.</w:t>
      </w:r>
    </w:p>
    <w:p>
      <w:pPr>
        <w:spacing w:after="0" w:line="16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Prior to this offering there was no public market for our ordinary shares. Although we have applied to list our ordinary shares on the NASDAQ Capital Market and expect that our ordinary shares will be listed on the NASDAQ Capital Market prior to the completion of this offering, we cannot predict the extent to which an active market for our ordinary shares will develop or be sustained after this offering, or how the development of such a market might affect the market price for our ordinary shares. The initial public offering price of our ordinary shares in this offering was agreed between us and the underwriters based on a number of factors, including market conditions in effect at the time of this offering, which may not be indicative of the price at which our ordinary shares will trade following completion of this offering. Investors may not be able to sell their ordinary shares at or above the initial public offering price.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no public market for the warrants being offered in this offering.</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There is no established public trading market for the warrants being offered in this offering, and we do not expect a market to develop. In addition, we do not intend to apply to list the warrants on any national securities exchange or other nationally recognized trading system, including the NASDAQ Capital Market. Without an active market, the liquidity of the warrants will be limited.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warrants are speculative in nature. You may not be able to recover your investment in the warrants, and the warrants may expire worthless.</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the price per share of our ordinary shares does not increase to an amount sufficiently above the applicable exercise price of the warrants during the period the warrants are exercisable, you will be unable to recover any of your investment in the warrants. There can be no assurance that the market price of the ordinary shares will ever equal or exceed the exercise price of the warrants, and consequently, whether it will ever be profitable for holders of the warrants to exercise the warrants.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the warrants will have no rights as shareholders until they acquire our ordinary shares.</w:t>
      </w:r>
    </w:p>
    <w:p>
      <w:pPr>
        <w:spacing w:after="0" w:line="229"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Until you acquire our ordinary shares upon exercise of the warrants, you will have no rights with respect to our ordinary shares issuable upon exercise of the warrants, except as set forth in the warrants. Upon exercise of your warrants, you will be entitled to exercise the rights of a shareholder only as to matters for which the record date occurs on or after the exercise date, unless the warrants are settled via “cashless exercise” in which case you will be entitled to exercise such rights only after the end of the relevant calculation period (as defined under “Description of Warrants — Exercisability, Exercise Price and Term”).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by our shareholders may adversely affect our stock price and our ability to raise funds in new stock offerings.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Sales of our ordinary shares in the public market following this offering could lower the market price of our ordinary shares. Sales may also make it more difficult for us to sell equity securities or equity-related securities in the future at a time and price that our management deems acceptable or at all. Most of our outstanding ordinary shares will be restricted from resale immediately after the consummation of this offering. In the event of a sale of ordinary shares offered by selling shareholders, the price of our ordinary shares could decline, and such decline could be material.</w:t>
      </w:r>
    </w:p>
    <w:p>
      <w:pPr>
        <w:spacing w:after="0" w:line="167"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Immediately following this offering, D.N.A Biomedical will beneficially own approximately % of our ordinary shares and may therefore be able to significantly influence the outcome of matters requiring shareholder approval.</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Immediately following this offering, D.N.A Biomedical Solutions Ltd., or D.N.A Biomedical, will beneficially own approximately % of our outstanding shares. Accordingly, subject to special approvals required by Israeli law for transactions involving controlling shareholders, D.N.A Biomedical may be able to exercise significant influence over all matters requiring shareholder approval, including the election of directors and approval of significant corporate transactions, which could have the effect of delaying or preventing either a third party from acquiring control over us or engaging in other purchases of our ordinary shares that might otherwise give our shareholders the opportunity to realize a premium over the then-prevailing market price for our ordinary shares or any changes, or from making any changes to our management or board of directors. D.N.A Biomedical could also sell its stake in our company and effectively transfer control of our company to another party without your consent.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ordinary shares could be negatively affected by future sales of our ordinary shares.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After this offering, we will have ordinary shares outstanding. If we or our shareholders sell substantial amounts of our ordinary shares or if there is a public perception that these sales may occur in the future, the market price of our ordinary shares may decline. We, together with our directors, officers and our significant shareholders that, in the aggregate beneficially own approximately % of our outstanding ordinary shares as of March 31, 2018, have agreed with the underwriters of this offering not to sell any ordinary shares, other than the shares offered through this prospectus, for a period of 180 days following the date of this prospectus, subject to certain exceptions. See “Shares Eligible for Future Sale” and “Underwriters.”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this offering and may not use them effectively.</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intend to allocate the net proceeds from this offering to our different areas of activity. Our management may not apply the net proceeds in ways that ultimately increase the value of your investment in our units. They will have broad discretion in the application of the use of proceeds from this offering, and you will be relying on the judgment of our management regarding the application of these proceeds. If we do not invest or apply the net proceeds from this offering in ways that enhance shareholder value, we may fail to achieve expected financial results, which could cause the price of our ordinary shares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purchase the ordinary shares in this offering, you will suffer immediate dilution of your investment.</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If you purchase the ordinary shares in this offering, you will pay a price per ordinary share that exceeds our pro forma as adjusted net tangible book value per ordinary share. You will experience immediate dilution of $ per ordinary share, representing the difference between our pro forma as adjusted net tangible book value per ordinary share of $ as of December 31, 2017 and the assumed initial public offering price of $ per ordinary share (the midpoint of the estimated offering price range on the cover of this prospectus). Purchasers of the ordinary shares in this offering will have contributed approximately % of the aggregate price paid by all purchasers of our ordinary shares but will own only approximately % of our ordinary shares outstanding after this offering. To the extent options or warrants for our ordinary shares are exercised, you will incur further dilution. See “Dilution.”</w:t>
      </w:r>
    </w:p>
    <w:p>
      <w:pPr>
        <w:sectPr>
          <w:pgSz w:w="11900" w:h="16838" w:orient="portrait"/>
          <w:cols w:equalWidth="0" w:num="1">
            <w:col w:w="11420"/>
          </w:cols>
          <w:pgMar w:left="240" w:top="225" w:right="239" w:bottom="188" w:gutter="0" w:footer="0" w:header="0"/>
        </w:sectPr>
      </w:pPr>
    </w:p>
    <w:bookmarkStart w:id="48" w:name="page49"/>
    <w:bookmarkEnd w:id="48"/>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never declared or paid any cash dividends on our ordinary shares. In addition, Israeli law may limit our declaration or payment of dividends, and may subject our dividends to Israeli withholding taxes. We currently intend to retain any future earnings to finance operations and to expand our business and, therefore, do not expect to pay any cash dividends in the foreseeable future.</w:t>
      </w:r>
    </w:p>
    <w:p>
      <w:pPr>
        <w:spacing w:after="0" w:line="177" w:lineRule="exact"/>
        <w:rPr>
          <w:sz w:val="20"/>
          <w:szCs w:val="20"/>
          <w:color w:val="auto"/>
        </w:rPr>
      </w:pPr>
    </w:p>
    <w:p>
      <w:pPr>
        <w:ind w:right="800"/>
        <w:spacing w:after="0" w:line="313" w:lineRule="auto"/>
        <w:rPr>
          <w:sz w:val="20"/>
          <w:szCs w:val="20"/>
          <w:color w:val="auto"/>
        </w:rPr>
      </w:pPr>
      <w:r>
        <w:rPr>
          <w:rFonts w:ascii="Arial" w:cs="Arial" w:eastAsia="Arial" w:hAnsi="Arial"/>
          <w:sz w:val="17"/>
          <w:szCs w:val="17"/>
          <w:b w:val="1"/>
          <w:bCs w:val="1"/>
          <w:color w:val="auto"/>
        </w:rPr>
        <w:t>We will be a foreign private issuer and, as a result, we will not be subject to U.S. proxy rules and will be subject to Exchange Act reporting obligations that, to some extent, are more lenient and less frequent than those of a U.S. domestic public company.</w:t>
      </w:r>
    </w:p>
    <w:p>
      <w:pPr>
        <w:spacing w:after="0" w:line="142"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Upon consummation of this offering, we will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We do, however, intend to make available to our shareholders quarterly reports containing unaudited financial information for each of the first three quarters of each fiscal year. In addition, foreign private issuers are not required to file their annual report on Form 20-F until</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four months after the end of each fiscal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8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As a foreign private issuer and as permitted by the listing requirements of the NASDAQ Capital Market, we will follow certain home country governance practices rather than the corporate governance requirements of the NASDAQ Capital Market.</w:t>
      </w:r>
    </w:p>
    <w:p>
      <w:pPr>
        <w:spacing w:after="0" w:line="166"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As a foreign private issuer, we have the option to follow certain Israeli corporate governance practices rather than those of the NASDAQ Capital Market, except to the extent that such laws would be contrary to U.S. securities laws, and provided that we disclose the requirements we are not following and describe the home country practices we follow instead. We intend to rely on this “foreign private issuer exemption” with respect to the NASDAQ Capital Market shareholder approval requirements in respect of equity issuances and equity-based compensation plans and the quorum requirement for meetings of our shareholders. In addition, we intend to rely on the “foreign private issuer exemption” with respect to the NASDAQ Capital Market compensation committee requirements, independent approval of board nominations, the requirement to have a majority of independent directors on our board and the requirement for independent directors to hold executive sessions. We may in the future elect to follow home country practices in Israel with regard to other matters. As a result, our shareholders may not have the same protections afforded to shareholders of companies that are subject to all NASDAQ Capital Market corporate governance requirements.</w:t>
      </w:r>
    </w:p>
    <w:p>
      <w:pPr>
        <w:spacing w:after="0" w:line="178"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We may lose our status as a foreign private issuer, which would increase our compliance costs and could thereby negatively impact our results of operations.</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may no longer be a foreign private issuer as of June 30, 2018 (the end of our second fiscal quarter in the fiscal year after this offering), which would require us to comply with all of the periodic disclosure and current reporting requirements of the Exchange Act applicable to U.S. domestic issuers as of January 1, 2019. We will not maintain our current status as a foreign private issuer, if (a) a majority of our ordinary shares is not either directly or indirectly owned of record by non-residents of the United States and (b) one of the following applies: (i) a majority of our executive officers or directors are United States citizens or residents, (ii) more than 50 percent of our assets are located in the United States or (iii) our business is administered principally inside the United States.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may also be required to modify certain of our policies to comply with governance practices associated with U.S. domestic issuers. Such modifications will involve additional costs. In addition, we may lose our ability to rely upon exemptions from certain corporate governance requirements on the NASDAQ Capital Market that are available to foreign private issuers.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w:t>
      </w: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coverage or incur substantially higher costs to obtain coverage. These rules and regulations could also make it more difficult for us to attract and retain qualified members of our board of directors.</w:t>
      </w:r>
    </w:p>
    <w:p>
      <w:pPr>
        <w:spacing w:after="0" w:line="166"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There is a risk that we will be a passive foreign investment company, or a PFIC, for U.S. federal income tax purposes for any taxable year, which generally would result in certain adverse U.S. federal income tax consequences to our U.S. shareholders.</w:t>
      </w:r>
    </w:p>
    <w:p>
      <w:pPr>
        <w:spacing w:after="0" w:line="16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general, a non-U.S. corporation is a “passive foreign investment company,” or a PFIC, for any taxable year in which (i) 75% or more of its gross income consists of passive income, or the income test, or (ii) 50% or more of the average quarterly value of its assets consists of assets that produce, or are held for the production of, passive income, or the assets test. Generally, “passive income” includes interest, dividends, rents, royalties and certain gains, and cash (including cash raised in this offering) is a passive asset for PFIC purposes. The assets shown on our balance sheet are expected to consist primarily of cash and cash equivalents for the foreseeable future. Therefore, whether we will satisfy the assets test for the current or any future taxable year will depend largely on the quarterly value of our goodwill and on how quickly we utilize our cash in our business. Because (i) the value of our goodwill may be determined by reference to the market price of our ordinary shares, which may be volatile given the nature and early stage of our business, (ii) we expect to hold a significant amount of cash following this offering, and (iii) a company’s PFIC status is determined on an annual basis after the end of each taxable year, we cannot express a view as to whether we will be a PFIC for the current or any future taxable year. In addition, it is not clear how to apply the income test to a company such as our company, whose only income for a relevant taxable year is passive interest income but whose overall losses significantly exceed the amount of such passive income. We believe that it is reasonable to take the position that a company like us, whose overall losses exceed its passive income, would not be a PFIC if it otherwise would not be a PFIC under the assets test for the relevant taxable year, but there can be no assurance that the Internal Revenue Service will respect, or a court will uphold, such position. If we were a PFIC for any taxable year during which a U.S. investor owned our ordinary shares (or under proposed Treasury regulations, warrants), such U.S. shareholder generally will be subject to certain adverse U.S. federal income tax consequences, including increased tax liability on gains from dispositions of the ordinary shares (or warrants) and certain distributions and a requirement to file annual reports with the Internal Revenue Service. See “Taxation and Government Programs — Material U.S. Federal Income Tax Considerations for U.S. Holders — Passive Foreign Investment Company Rules” for more information.</w:t>
      </w:r>
    </w:p>
    <w:p>
      <w:pPr>
        <w:spacing w:after="0" w:line="17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are an “emerging growth company” and we cannot be certain whether the reduced requirements applicable to “emerging growth companies” will make our ordinary shares less attractive to investors.</w:t>
      </w:r>
    </w:p>
    <w:p>
      <w:pPr>
        <w:spacing w:after="0" w:line="16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are an “emerging growth company,” as defined in the JOBS Act, and we may take advantage of certain exemptions from various requirements that are applicable to other public companies that are not “emerging growth companies.” For instance, for so long as we remain an “emerging growth company,” we will not be subject to the provision of Section 404(b) of the Sarbanes-Oxley Act that requires our independent registered public accounting firm to provide an attestation report on the effectiveness of our internal control over financial reporting. This may increase the risk that we will fail to detect and remedy any weaknesses or deficiencies in our internal control over financial reporting. We have also elected to include two years of audited financial statements and selected financial data, as permitted for an “emerging growth company” compared to three and five years, respectively, for comparable data reported by other public companies. In general, these reduced reporting requirements may allow us to refrain from disclosing information that you may find important.</w:t>
      </w:r>
    </w:p>
    <w:p>
      <w:pPr>
        <w:spacing w:after="0" w:line="16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could be an “emerging growth company” for up to five years, although circumstances could cause us to lose that status earlier, including if the market value of our ordinary shares held by non-affiliates exceeds $700 million as of any June 30 (the end of our second fiscal quarter) before that time, in which case we would no longer be an “emerging growth company” as of the following December 31 (our fiscal year end). When we are no longer deemed to be an “emerging growth company,” we will not be entitled to the exemptions provided in the JOBS Act. We cannot predict if investors will find our ordinary shares less attractive as a result of our reliance on exemptions under the JOBS Act. If some investors find our ordinary shares less attractive as a result, there may be a less active trading market for our ordinary shares and our share price may be more volatile.</w:t>
      </w:r>
    </w:p>
    <w:p>
      <w:pPr>
        <w:spacing w:after="0" w:line="174"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We have not yet determined whether our existing internal control over financial reporting is compliant with Section 404 of the Sarbanes-Oxley Act, and we cannot provide any assurance that there are no material weaknesses or significant deficiencies in our existing internal controls.</w:t>
      </w:r>
    </w:p>
    <w:p>
      <w:pPr>
        <w:spacing w:after="0" w:line="12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Pursuant to Section 404 of the Sarbanes-Oxley Act and the related rules adopted by the SEC and the Public Company Accounting Oversight Board, or Section 404, starting with the second annual report that we file with the SEC after the consummation of this offering, our management will be required to report on the effectiveness of our internal control over financial reporting. In addition, once we no longer qualify as an “emerging growth company” under the JOBS Act and lose the ability to rely on the exemptions related thereto discussed above, our independent registered public accounting firm will also need to attest to the effectiveness of our internal control over financial reporting under Section 404.</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only initially commenced the process of determining whether our existing internal controls over financial reporting systems are compliant with Section 404 and whether there are any material weaknesses or significant deficiencies in our existing internal controls. This process will require the investment of substantial time and resources, including by our Chief Financial Officer and other members of our senior management. As a result, this process may divert internal resources and take a significant amount of time and effort to complete.</w:t>
      </w:r>
    </w:p>
    <w:p>
      <w:pPr>
        <w:spacing w:after="0" w:line="18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addition, we cannot predict the outcome of this determination and whether we will need to implement remedial actions in order to implement effective control over financial reporting. The determination and any remedial actions required could result in us incurring additional costs that we did not anticipate. Irrespective of compliance with Section 404, any failure of our internal controls could have a material adverse effect on our stated results of operations and harm our reputation. As a result,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independent auditors.</w:t>
      </w:r>
    </w:p>
    <w:p>
      <w:pPr>
        <w:spacing w:after="0" w:line="17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or publish unfavorable research about our business, our share price and trading volume could decline.</w:t>
      </w:r>
    </w:p>
    <w:p>
      <w:pPr>
        <w:spacing w:after="0" w:line="16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trading market for our ordinary shares will depend in part on the research and reports that securities or industry analysts publish about us or our business. We do not currently have and may never obtain research coverage by securities and industry analysts. If securities or industry analysts do not commence coverage of our company, the trading price for our shares would be negatively affected. In the event we obtain securities or industry analyst coverage, if one or more of the analysts who covers us downgrades our shares, our shares price would likely decline. If one or more of these analysts ceases to cover us or fails to publish regular reports on us, interest in the purchase of our shares could decrease, which could cause our share price or trading volume to decline.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Incorporation and Location in Israel</w:t>
      </w:r>
    </w:p>
    <w:p>
      <w:pPr>
        <w:spacing w:after="0" w:line="221"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The Israeli government grants we have received for research and development expenditures restrict our ability to manufacture products and transfer technologies outside of Israel and require us to satisfy specified conditions. If we fail to satisfy these conditions, we may be required to refund grants previously received together with interest and penalties or to pay other amounts according to the formulas set out in the relevant laws.</w:t>
      </w:r>
    </w:p>
    <w:p>
      <w:pPr>
        <w:spacing w:after="0" w:line="14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research and development efforts have been financed, in part, through the grants that we have received from the Israeli Innovation Authority (formerly known as the Office of Chief Scientist of the Israeli Ministry of Economy), or the IIA. Pursuant to these grants, we must comply with the requirements of the Encouragement of Industrial Research, Development and Technological Innovation in Industry Law 5744-1984, or the Research Law. Until the grants are repaid with interest, royalties are payable to the IIA in the amount of 3% on revenues derived from sales of products or services developed in whole or in part using the IIA grants, including EB612, EB613 and any other oral PTH product candidates we may develop. The royalty rate may increase to 5%, with respect to approved applications filed following any year in which we achieve sales of over $70 million.</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Research Law, we are prohibited from manufacturing products developed using these grants outside of the State of Israel without special approvals. We may not receive the required approvals for any proposed transfer of manufacturing activities. Even if we do receive approval to manufacture products developed with government grants outside of Israel, the royalty rate may be increased and we may be required to pay up to three times the grant amounts plus interest, depending on the manufacturing volume that is performed outside of Israel. This restriction may impair our ability to outsource manufacturing or engage in our own manufacturing operations for those products or technologies. See “Business — The Israeli Innovation Authority Grant” for additional information.</w:t>
      </w:r>
    </w:p>
    <w:p>
      <w:pPr>
        <w:spacing w:after="0" w:line="19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Additionally, under the Research Law, we are prohibited from transferring in any manner (including by way of license), the IIA-financed technologies and related rights (including know-how and other intellectual property rights) outside of the State of Israel, except under limited circumstances and only with the approval of the IIA Research Committee. We may not receive the required approvals for any proposed transfer and, even if received, we may be required to pay the IIA a portion of the consideration that we receive upon any transfer of such technology to a non-Israeli entity up to 600% of the grant amounts plus interest. The scope of the IIA support received, the royalties that we have already paid to the IIA, the amount of time that has elapsed between the date on which the know-how or other intellectual property rights were transferred and the date on which the IIA grants were received and the sale price and the form of transaction will be taken into account in order to calculate the amount of the payment to the IIA. Approval to transfer the technology to residents of the State of Israel is also required, and may be granted in specific circumstances only if the recipient abides by the provisions of applicable laws, including the restrictions on the transfer of know-how and the obligation to pay royalties. No assurance can be made that approval to any such transfer, if requested, will be granted. Transfer of know-how or rights outside of the state of Israel without IIA approval is a criminal offense.</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These restrictions may impair our ability to sell our technology assets or to perform or outsource manufacturing outside of Israel, engage in change of control transactions or otherwise transfer our know-how outside of Israel and may require us to obtain the approval of the IIA for certain actions and transactions and pay additional royalties and other amounts to the IIA. In addition, any change of control and any change of ownership of our ordinary shares (including by way of an initial public offering) that would make a non-Israeli citizen or resident an “interested party,” as defined in the Israeli Securities Law, 5728-1968, as amended, or the Securities Law, requires written notice to the IIA, and our failure to comply with this requirement could result in monetary fines. Such non-Israeli interested parties, which include 5% shareholders and shareholders who have the right to appoint a director to our board of directors, are required to sign an undertaking towards the IIA in which they would undertake to comply with the Research Law. Shareholders that purchase shares in an IPO would not be required to sign such an undertaking.</w:t>
      </w:r>
    </w:p>
    <w:p>
      <w:pPr>
        <w:spacing w:after="0" w:line="17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These restrictions will continue to apply even after we have repaid the full amount of the grants. If we fail to satisfy the conditions of the Research Law, we may be required to refund certain grants previously received together with interest and penalties, and may become subject to criminal charges.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political and economic instability in the Middle East may harm our business.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principal offices and research and development facilities are located in Israel. Accordingly, political, economic and military conditions in the Middle East may affect our business directly. Since the establishment of the State of Israel in 1948, a number of armed conflicts have occurred between Israel and its neighboring countries, Hamas (an Islamist militia and political group in the Gaza Strip) and Hezbollah (an Islamist militia and political group in Lebanon). Recent political uprisings, social unrest and violence in various countries in the Middle East and North Africa, including Israel’s neighbors Egypt and Syria, are affecting the political stability of those countries. This instability may lead to deterioration of the political relationships that exist between Israel and certain countries and have raised concerns regarding security in the region and the potential for armed conflict. In addition, Iran has threatened to attack Israel. Iran is also believed to have a strong influence among the Syrian government, Hamas and Hezbollah. These situations may potentially escalate in the future into more violent events which may affect Israel and us. These situations, including conflicts which involved missile strikes against civilian targets in various parts of Israel have in the past negatively affected business conditions in Israel.</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hostilities involving Israel or the interruption or curtailment of trade between Israel and its present trading partners could have a material adverse effect on our business. Although such hostilities did not in the past have a material adverse impact on our business, we cannot guarantee that hostilities will not be renewed and have such an effect in the future. The political and security situation in Israel may result in parties with whom we have contracts claiming that they are not obligated to perform their commitments under those agreements pursuant to force majeure provisions. These or other Israeli political or economic factors could harm our operations and product development. Any hostilities involving Israel or the interruption or curtailment of trade between Israel and its present trading partners could adversely affect our operations and could make it more difficult for us to raise capital. We could experience disruptions if acts associated with this conflict result in any serious damage to our facilities. Furthermore, several countries restrict business with Israel and Israeli companies, which could have an adverse effect on our business. Our business interruption insurance may not adequately compensate us for losses, if at all, that may occur as a result of an event associated with a security situation in the Middle East, and any losses or damages incurred by us could have a material adverse effect on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disrupted by the obligations of personnel to perform military service.</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employees in Israel, including executive officers, may be called upon to perform up to 36 days (and in some cases more) of annual military reserve duty until they reach the age of 40 (or older in some cases) and, in emergency circumstances, could be called to active duty. In response to increased tension and hostilities, since September 2000 there have been occasional call-ups of military reservists, including in connection with the mid-2006 war in Lebanon and the December 2008, November 2012 and July 2014 conflicts with Hamas, and it is possible that there will be additional call-ups in the future. Our operations could be disrupted by the absence of a significant number of our employees related to military service or the absence for extended periods of one or more of our key employees for military service. Such disruption could materially adversely affect our operations, business and results of operations.</w:t>
      </w:r>
    </w:p>
    <w:p>
      <w:pPr>
        <w:spacing w:after="0" w:line="16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Our business is subject to currency exchange risk and fluctuations between the U.S. dollar and other currencies may negatively affect our earnings and results of operations.</w:t>
      </w:r>
    </w:p>
    <w:p>
      <w:pPr>
        <w:spacing w:after="0" w:line="16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U.S. dollar is both our functional and reporting currency. As a result, our results of operations may be adversely affected by exchange rate fluctuations between the U.S. dollar and the NIS. A significant portion of the expenses associated with our Israeli operations, including personnel and facilities related expenses, are incurred in NIS. Consequently, inflation in Israel will have the effect of increasing the cost of our operations in Israel unless it is offset on a timely basis by a devaluation of the NIS relative to the</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U.S. dollar. In addition, if the value of the U.S. dollar decreases against the NIS, our earnings may be negatively impacted. Moreover, exchange rate fluctuations in currency exchange rates in countries other than Israel where we operate, perform our clinical trials or conduct business may also negatively affect our earnings and results of operations.</w:t>
      </w:r>
    </w:p>
    <w:p>
      <w:pPr>
        <w:spacing w:after="0" w:line="18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Potential future revenue may be derived from abroad, including outside of the United States. As a result, our business and share price may be affected by fluctuations in foreign exchange rates with these other currencies, which may also have a significant impact on our reported results of operations and cash flows from period to period. Currently, we do not have any exchange rate hedging arrangements in place. Foreign currency fluctuations could materially adversely affect our results of operations or could positively affect our results of operations in ways that may not necessarily be repeated in future periods.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 may be difficult to enforce a U.S. judgment against us or our officers and directors and to assert U.S. securities laws claims in Israel.</w:t>
      </w:r>
    </w:p>
    <w:p>
      <w:pPr>
        <w:spacing w:after="0" w:line="24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incorporated under the laws of the State of Israel. Service of process upon us, our directors and officers and the Israeli experts, if any, named in this prospectus, substantially all of whom reside outside the United States, may be difficult to obtain within the United States. Furthermore, because the majority of our assets and investments, and substantially all of our directors, officers and such Israeli experts, if any, are located outside the United States, any judgment obtained in the United States against us or any of them may be difficult to collect within the United States. In addition, such judgment may not be enforced by an Israeli court.</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it may be difficult for an investor to assert U.S. securities law claims in original actions instituted in Israel. Israeli courts may refuse to hear a claim based on an alleged violation of U.S. securities laws reasoning that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 See the section entitled “Enforceability of Civil Liabilities.”</w:t>
      </w:r>
    </w:p>
    <w:p>
      <w:pPr>
        <w:spacing w:after="0" w:line="18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Provisions of Israeli law and our amended Articles may give rise to withholding obligations or delay, prevent or make difficult a change of control and therefore depress the price of our shares.</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these types of transactions. For example, under the Israeli Companies Law, 5759-1999, or the Companies Law, upon the request of a creditor of either party to a proposed merger, the court may delay or prevent the merger if it concludes that there exists a reasonable concern that as a result of the merger the surviving company will be unable to satisfy the obligations of any of the parties to the merger. For additional information regarding the regulation of mergers and tender offers under the Israeli Companies Law, see “Description of Share Capital — Anti-Takeover Provisions; Mergers and Acquisitions.”</w:t>
      </w:r>
    </w:p>
    <w:p>
      <w:pPr>
        <w:spacing w:after="0" w:line="17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Israeli tax law allows for tax deferral in certain circumstances that makes the deferral contingent on the fulfillment of numerous conditions, including a holding period of two years from the date of the transaction during which sales and dispositions of shares of the participating companies are, subject to certain exceptions, restricted. Moreover, with respect to certain share swap transactions, the tax deferral is limited in time, and when the time expires, tax then becomes payable even if no actual disposition of the shares has occurred.</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amended Articles provide that our directors (other than external directors) are elected on a staggered basis such that a potential acquirer cannot readily replace our entire board of directors at a single general shareholders meeting.</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These provisions could cause our ordinary shares to trade at prices below the price for which third parties might be willing to pay to gain control of us. Third parties who are otherwise willing to pay a premium over prevailing market prices to gain control of us may be unable or unwilling to do so because of these provisions of Israeli law and our amended Articles.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of the IPO Transactions that will be completed in connection with the closing of this offering may be treated, for Israeli income tax purposes, as taxable exchanges, which may give rise to withholding obligations applicable to us, absent a ruling or other written instructions issued by the Israel Tax Authority providing otherwise. We have not applied to the Israel Tax Authority for a ruling or other instructions with respect to any potential withholding obligations we may have in connection with such IPO Transactions. In the event that it is determined that we failed to withhold any applicable withholding tax in connection with such IPO Transactions, in addition to the liability to pay such taxes, we may be liable for payment of interest, and certain penalties and fines.</w:t>
      </w:r>
    </w:p>
    <w:p>
      <w:pPr>
        <w:spacing w:after="0" w:line="189" w:lineRule="exact"/>
        <w:rPr>
          <w:sz w:val="20"/>
          <w:szCs w:val="20"/>
          <w:color w:val="auto"/>
        </w:rPr>
      </w:pPr>
    </w:p>
    <w:p>
      <w:pPr>
        <w:ind w:right="1040"/>
        <w:spacing w:after="0" w:line="282" w:lineRule="auto"/>
        <w:rPr>
          <w:sz w:val="20"/>
          <w:szCs w:val="20"/>
          <w:color w:val="auto"/>
        </w:rPr>
      </w:pPr>
      <w:r>
        <w:rPr>
          <w:rFonts w:ascii="Arial" w:cs="Arial" w:eastAsia="Arial" w:hAnsi="Arial"/>
          <w:sz w:val="18"/>
          <w:szCs w:val="18"/>
          <w:b w:val="1"/>
          <w:bCs w:val="1"/>
          <w:color w:val="auto"/>
        </w:rPr>
        <w:t>Your rights and responsibilities as a shareholder will be governed by Israeli law, which may differ in some respects from the rights and responsibilities of shareholders of U.S. companies.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incorporated under Israeli law. The rights and responsibilities of the holders of our ordinary shares are governed by our then-current articles of association and Israeli law. These rights and responsibilities differ in some respects from the rights and responsibilities of shareholders in typical U.S.-based corporations. In particular, a shareholder of an Israeli company has a duty to act in good faith toward the company and other shareholders and to refrain from abusing its power in the company, including, among other things, in voting at the general meeting of shareholders on matters such as amendments to a company’s articles of association, increases in a company’s authorized share capital, mergers and acquisitions and interested party transactions requiring shareholder approval. In addition, a shareholder who knows that it possesses the power to determine the outcome of a shareholder vote or to appoint or prevent the appointment of a director or executive officer in the company has a duty of fairness toward the company. There is limited case law available to assist us in understanding the implications of these provisions that govern shareholders’ actions, and these provisions may be interpreted to impose additional obligations and liabilities on holders of our ordinary shares that are not typically imposed on shareholders of U.S. corporations. See “Description of Share Capital — Our Ordinary Shares.”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24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prospectus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Forward-looking statements include all statements that are not historical facts and can be identified by words such as, but not limited to, “believe,” “expect,” “anticipate,” “estimate,” “intend,” “plan,” “targets,” “likely,” “will,” “would,” “could,” and similar expressions or phrases. We have based these forward-looking statements largely on our management’s current expectations and future events and financial trends that we believe may affect our financial condition, results of operations, business strategy and financial needs. Forward-looking statements include, but are not limited to, statements about:</w:t>
      </w:r>
    </w:p>
    <w:p>
      <w:pPr>
        <w:spacing w:after="0" w:line="178" w:lineRule="exact"/>
        <w:rPr>
          <w:sz w:val="20"/>
          <w:szCs w:val="20"/>
          <w:color w:val="auto"/>
        </w:rPr>
      </w:pPr>
    </w:p>
    <w:p>
      <w:pPr>
        <w:ind w:left="340" w:right="400" w:hanging="170"/>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operation as a development stage company with limited operating history and a history of operating losses and our ability to fund our operations going forward;</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225" w:lineRule="exact"/>
        <w:rPr>
          <w:rFonts w:ascii="Arial" w:cs="Arial" w:eastAsia="Arial" w:hAnsi="Arial"/>
          <w:sz w:val="18"/>
          <w:szCs w:val="18"/>
          <w:color w:val="auto"/>
        </w:rPr>
      </w:pPr>
    </w:p>
    <w:p>
      <w:pPr>
        <w:jc w:val="both"/>
        <w:ind w:left="340" w:right="100" w:hanging="170"/>
        <w:spacing w:after="0" w:line="264"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uncertainty surrounding whether any of our product candidates will receive regulatory approval, which is necessary before they can be commercialized, including that we will be able to demonstrate to regulators the clinical superiority of EB612 over Natpara, which is required to overcome Natpara’s drug exclusivity;</w:t>
      </w:r>
    </w:p>
    <w:p>
      <w:pPr>
        <w:spacing w:after="0" w:line="181" w:lineRule="exact"/>
        <w:rPr>
          <w:rFonts w:ascii="Arial" w:cs="Arial" w:eastAsia="Arial" w:hAnsi="Arial"/>
          <w:sz w:val="18"/>
          <w:szCs w:val="18"/>
          <w:color w:val="auto"/>
        </w:rPr>
      </w:pPr>
    </w:p>
    <w:p>
      <w:pPr>
        <w:ind w:left="340" w:hanging="170"/>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competitive position, especially with respect to Natpara, our key competitor for hypoparathyroidism treatment;</w:t>
      </w:r>
    </w:p>
    <w:p>
      <w:pPr>
        <w:spacing w:after="0" w:line="225" w:lineRule="exact"/>
        <w:rPr>
          <w:rFonts w:ascii="Arial" w:cs="Arial" w:eastAsia="Arial" w:hAnsi="Arial"/>
          <w:sz w:val="18"/>
          <w:szCs w:val="18"/>
          <w:color w:val="auto"/>
        </w:rPr>
      </w:pPr>
    </w:p>
    <w:p>
      <w:pPr>
        <w:ind w:left="340" w:right="600" w:hanging="170"/>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recurring losses from operations have raised substantial doubt regarding our ability to continue as a going concern absent access to sources of liquidity;</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use and expand our drug delivery technology to other product candidates;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being subject to ongoing regulatory obligations if our products secure regulatory approval;</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develop sales, marketing and distribution infrastructure;</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reliance on third parties to conduct our clinical trials and on third-party suppliers to supply or produce our product candidates;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achieve market acceptance for our product candidates;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obtain and maintain adequate intellectual property rights and adequately protect and enforce such rights;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retain key personnel and recruit additional qualified personnel;</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this offering;</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manage growth; and</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risk factors discussed under “Risk Factors.”</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All forward-looking statements involve risks, assumptions and uncertainties. You should not rely upon forward-looking statements as predictors of future events. The occurrence of the events described, and the achievement of expected results, depend on many events, some or all of which are not predictable or within our control. Actual results may differ materially from expected results. See the sections below “Risk Factors” and “Management’s Discussion and Analysis of Financial Condition and Results of Operations” and elsewhere in this prospectus for a more complete discussion of these risks, assumptions and uncertainties and for other risks and uncertainties. These risks, assumptions and uncertainties are not necessarily all of the important factors that could cause actual results to differ materially from those expressed in any of our forward-looking statements. Other unknown or unpredictable factors also could harm our results. All of the forward-looking statements we have included in this prospectus are based on information available to us on the date of this prospectus. We undertake no obligation, and specifically decline any obligation, to update publicly or revise any forward-looking statements, whether as a result of new information, future events or otherwise. In light of these risks, uncertainties and assumptions, the forward-looking events discussed in this prospectus might not occur.</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USE OF PROCEEDS</w:t>
      </w:r>
    </w:p>
    <w:p>
      <w:pPr>
        <w:spacing w:after="0" w:line="24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estimate that we will receive net proceeds of approximately $ million from our sale of units in this offering (or approximately $ million if the underwriters fully exercise their over-allotment option), after deducting the estimated underwriting discounts and commissions and the estimated offering expenses payable by us. The foregoing description of estimated net proceeds does not give effect to the proceeds, if any, from the potential exercise of the</w:t>
      </w:r>
    </w:p>
    <w:p>
      <w:pPr>
        <w:ind w:right="360"/>
        <w:spacing w:after="0" w:line="261" w:lineRule="auto"/>
        <w:rPr>
          <w:sz w:val="20"/>
          <w:szCs w:val="20"/>
          <w:color w:val="auto"/>
        </w:rPr>
      </w:pPr>
      <w:r>
        <w:rPr>
          <w:rFonts w:ascii="Arial" w:cs="Arial" w:eastAsia="Arial" w:hAnsi="Arial"/>
          <w:sz w:val="18"/>
          <w:szCs w:val="18"/>
          <w:color w:val="auto"/>
        </w:rPr>
        <w:t>warrants offered hereby. This assumes an initial public offering price of $ per unit, which is the midpoint of the estimated offering price range on the cover page of this prospectus.</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March 31, 2018, we had cash and cash equivalents of $9.2 million. We intend to use the net proceeds from this offering, together with our cash and cash equivalents, as follows:</w:t>
      </w:r>
    </w:p>
    <w:p>
      <w:pPr>
        <w:spacing w:after="0" w:line="170" w:lineRule="exact"/>
        <w:rPr>
          <w:sz w:val="20"/>
          <w:szCs w:val="20"/>
          <w:color w:val="auto"/>
        </w:rPr>
      </w:pPr>
    </w:p>
    <w:p>
      <w:pPr>
        <w:ind w:left="180"/>
        <w:spacing w:after="0"/>
        <w:tabs>
          <w:tab w:leader="none" w:pos="2080" w:val="left"/>
        </w:tabs>
        <w:rPr>
          <w:sz w:val="20"/>
          <w:szCs w:val="20"/>
          <w:color w:val="auto"/>
        </w:rPr>
      </w:pPr>
      <w:r>
        <w:rPr>
          <w:rFonts w:ascii="Arial" w:cs="Arial" w:eastAsia="Arial" w:hAnsi="Arial"/>
          <w:sz w:val="18"/>
          <w:szCs w:val="18"/>
          <w:color w:val="auto"/>
        </w:rPr>
        <w:t>• approximately $</w:t>
      </w:r>
      <w:r>
        <w:rPr>
          <w:sz w:val="20"/>
          <w:szCs w:val="20"/>
          <w:color w:val="auto"/>
        </w:rPr>
        <w:tab/>
      </w:r>
      <w:r>
        <w:rPr>
          <w:rFonts w:ascii="Arial" w:cs="Arial" w:eastAsia="Arial" w:hAnsi="Arial"/>
          <w:sz w:val="16"/>
          <w:szCs w:val="16"/>
          <w:color w:val="auto"/>
        </w:rPr>
        <w:t>million to fund research and development expenses of our oral PTH candidate, EB612;</w:t>
      </w:r>
    </w:p>
    <w:p>
      <w:pPr>
        <w:spacing w:after="0" w:line="225" w:lineRule="exact"/>
        <w:rPr>
          <w:sz w:val="20"/>
          <w:szCs w:val="20"/>
          <w:color w:val="auto"/>
        </w:rPr>
      </w:pPr>
    </w:p>
    <w:p>
      <w:pPr>
        <w:ind w:left="180"/>
        <w:spacing w:after="0"/>
        <w:tabs>
          <w:tab w:leader="none" w:pos="2120" w:val="left"/>
        </w:tabs>
        <w:rPr>
          <w:sz w:val="20"/>
          <w:szCs w:val="20"/>
          <w:color w:val="auto"/>
        </w:rPr>
      </w:pPr>
      <w:r>
        <w:rPr>
          <w:rFonts w:ascii="Arial" w:cs="Arial" w:eastAsia="Arial" w:hAnsi="Arial"/>
          <w:sz w:val="18"/>
          <w:szCs w:val="18"/>
          <w:color w:val="auto"/>
        </w:rPr>
        <w:t>• approximately $</w:t>
      </w:r>
      <w:r>
        <w:rPr>
          <w:sz w:val="20"/>
          <w:szCs w:val="20"/>
          <w:color w:val="auto"/>
        </w:rPr>
        <w:tab/>
      </w:r>
      <w:r>
        <w:rPr>
          <w:rFonts w:ascii="Arial" w:cs="Arial" w:eastAsia="Arial" w:hAnsi="Arial"/>
          <w:sz w:val="16"/>
          <w:szCs w:val="16"/>
          <w:color w:val="auto"/>
        </w:rPr>
        <w:t>million to fund research and development expenses of our oral PTH candidate, EB613; and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the remainder for working capital and general corporate purposes.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expected use of net proceeds from this offering represents our current intentions based upon our present plans and business condition. As of the date of this prospectus, we cannot predict with certainty all of the particular uses for the net proceeds to be received upon the completion of this offering or the amounts that we will actually spend on the uses set forth above. The amounts and timing of our actual use of net proceeds will vary depending on numerous factors, including our ability to obtain additional financing, the relative success and cost of our research, preclinical and clinical development programs, including a change in our planned course of development or the termination of a clinical program necessitated by the results of data received from clinical trials, the amount and timing of revenues, if any, received from future collaborations. As a result, management will have broad discretion in the application of the net proceeds, and investors will be relying on our judgment regarding the application of the net proceeds of this offering. In addition, we might decide to postpone or not pursue other clinical trials or preclinical activities if the net proceeds from this offering and our other sources of cash are less than expected.</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Based on our planned use of the net proceeds of this offering and our current cash and cash equivalents described above, we estimate that such funds will be sufficient to enable us to fund our operating expenses and capital expenditure requirements for at least the next months. Following the completion of this offering, we will need additional capital for the Phase 2b/3 trial of our oral PTH candidate, EB612, for the Phase 2a trial for EB613 and for other trials, marketing and sales development for EB612, if approved. We have based these estimates on assumptions that may prove to be incorrect, and we could use our available capital resources sooner than we currently expect. For additional information regarding our capital requirements, see “Even if this offering is successful, we will need substantial additional capital in order to satisfy our long-term growth strategy, which may not be available to us on acceptable terms, or at all, and, if not available, may require us to delay, scale back, or cease our product development programs or operations.” under the heading “Risk Factors.”</w:t>
      </w:r>
    </w:p>
    <w:p>
      <w:pPr>
        <w:spacing w:after="0" w:line="21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Pending their use, we plan to invest the net proceeds from this offering in short- and intermediate-term interest-bearing financial assets and certificates of deposit.</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 $1.00 increase (decrease) in the assumed initial public offering price of $ per unit, the midpoint of the range set forth on the cover page of this prospectus, would increase (decrease) our net proceeds from this offering by approximately $ million (or $ million if the underwriters fully exercise their over-allotment option), assuming the number of units offered by us remains the same.</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also increase or decrease the number of units we are offering. An increase (decrease) of 1,000,000 units offered by us would increase (decrease) our net proceeds from this offering by $ million, assuming the public offering price per unit remains the same. The information on net proceeds payable to us discussed above is illustrative only and will adjust based on the actual initial public offering price, the actual number of units offered by us, and other terms of the offering determined at pricing.</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DIVIDEND POLICY</w:t>
      </w:r>
    </w:p>
    <w:p>
      <w:pPr>
        <w:spacing w:after="0" w:line="24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never declared or paid any cash dividends on our ordinary shares and we do not anticipate paying any cash dividends on our ordinary shares in the future. We currently intend to retain all future earnings to finance our operations and to expand our business. Any future determination relating to our dividend policy will be made at the discretion of our board of directors and will depend on a number of factors, which may include future earnings, capital requirements, financial condition and future prospects and other factors the board of directors may deem relevant. Our ability to distribute dividends is limited under Israeli law, as described below under “Description of Share Capital — Our Ordinary Shares — Dividends and Liquidation Rights.”</w:t>
      </w: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CAPITALIZATION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and cash equivalents and capitalization as of December 31, 2017:</w:t>
      </w:r>
    </w:p>
    <w:p>
      <w:pPr>
        <w:spacing w:after="0" w:line="225" w:lineRule="exact"/>
        <w:rPr>
          <w:sz w:val="20"/>
          <w:szCs w:val="20"/>
          <w:color w:val="auto"/>
        </w:rPr>
      </w:pPr>
    </w:p>
    <w:p>
      <w:pPr>
        <w:ind w:left="340" w:hanging="170"/>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a pro forma basis to give effect to the IPO Transactions, as described in “Summary — The Offering”; and</w:t>
      </w:r>
    </w:p>
    <w:p>
      <w:pPr>
        <w:spacing w:after="0" w:line="225" w:lineRule="exact"/>
        <w:rPr>
          <w:sz w:val="20"/>
          <w:szCs w:val="20"/>
          <w:color w:val="auto"/>
        </w:rPr>
      </w:pPr>
    </w:p>
    <w:p>
      <w:pPr>
        <w:ind w:left="340" w:right="60" w:hanging="159"/>
        <w:spacing w:after="0" w:line="257" w:lineRule="auto"/>
        <w:tabs>
          <w:tab w:leader="none" w:pos="320" w:val="left"/>
        </w:tabs>
        <w:rPr>
          <w:sz w:val="20"/>
          <w:szCs w:val="20"/>
          <w:color w:val="auto"/>
        </w:rPr>
      </w:pPr>
      <w:r>
        <w:rPr>
          <w:rFonts w:ascii="Arial" w:cs="Arial" w:eastAsia="Arial" w:hAnsi="Arial"/>
          <w:sz w:val="18"/>
          <w:szCs w:val="18"/>
          <w:color w:val="auto"/>
        </w:rPr>
        <w:t>•</w:t>
        <w:tab/>
        <w:t>on a pro forma as adjusted basis to give effect to (a) the IPO Transactions and (b) our sale in this offering of units (which does not include the 30-day option to purchase up to an additional ordinary shares and/or additional warrants that we have granted to the underwriters to cover over-allotments, if any, or the ordinary shares issuable upon exercise of the warrants offered hereby) at an assumed initial public offering price of $ per unit, which is the midpoint of the estimated offering price range on the cover page of this prospectus, after deducting the estimated underwriting discounts and commissions and estimated offering expenses payable by us.</w:t>
      </w:r>
    </w:p>
    <w:p>
      <w:pPr>
        <w:spacing w:after="0" w:line="18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You should read this table together with our financial statements and the related notes included elsewhere in this prospectus and the “Management’s Discussion and Analysis of Financial Condition and Results of Operations” and “Certain Relationships and Related Party Transactions” sections and other information contained in this prospectus.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As of December 31, 2017</w:t>
            </w:r>
          </w:p>
        </w:tc>
        <w:tc>
          <w:tcPr>
            <w:tcW w:w="1200" w:type="dxa"/>
            <w:vAlign w:val="bottom"/>
            <w:tcBorders>
              <w:bottom w:val="single" w:sz="8" w:color="auto"/>
            </w:tcBorders>
          </w:tcPr>
          <w:p>
            <w:pPr>
              <w:spacing w:after="0"/>
              <w:rPr>
                <w:sz w:val="20"/>
                <w:szCs w:val="20"/>
                <w:color w:val="auto"/>
              </w:rPr>
            </w:pPr>
          </w:p>
        </w:tc>
      </w:tr>
      <w:tr>
        <w:trPr>
          <w:trHeight w:val="191"/>
        </w:trPr>
        <w:tc>
          <w:tcPr>
            <w:tcW w:w="7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89"/>
              </w:rPr>
              <w:t>Pro forma as</w:t>
            </w:r>
          </w:p>
        </w:tc>
      </w:tr>
      <w:tr>
        <w:trPr>
          <w:trHeight w:val="234"/>
        </w:trPr>
        <w:tc>
          <w:tcPr>
            <w:tcW w:w="7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Actual (Audited)</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Pro forma</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Adjusted</w:t>
            </w:r>
          </w:p>
        </w:tc>
      </w:tr>
      <w:tr>
        <w:trPr>
          <w:trHeight w:val="210"/>
        </w:trPr>
        <w:tc>
          <w:tcPr>
            <w:tcW w:w="7020" w:type="dxa"/>
            <w:vAlign w:val="bottom"/>
            <w:tcBorders>
              <w:bottom w:val="single" w:sz="8" w:color="D5EAEA"/>
            </w:tcBorders>
          </w:tcPr>
          <w:p>
            <w:pPr>
              <w:spacing w:after="0"/>
              <w:rPr>
                <w:sz w:val="18"/>
                <w:szCs w:val="18"/>
                <w:color w:val="auto"/>
              </w:rPr>
            </w:pPr>
          </w:p>
        </w:tc>
        <w:tc>
          <w:tcPr>
            <w:tcW w:w="80" w:type="dxa"/>
            <w:vAlign w:val="bottom"/>
            <w:tcBorders>
              <w:bottom w:val="single" w:sz="8" w:color="D5EAEA"/>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0"/>
              </w:rPr>
              <w:t>(In thousands)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0"/>
        </w:trPr>
        <w:tc>
          <w:tcPr>
            <w:tcW w:w="7020" w:type="dxa"/>
            <w:vAlign w:val="bottom"/>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D5EAEA"/>
          </w:tcPr>
          <w:p>
            <w:pPr>
              <w:spacing w:after="0"/>
              <w:rPr>
                <w:sz w:val="18"/>
                <w:szCs w:val="18"/>
                <w:color w:val="auto"/>
              </w:rPr>
            </w:pPr>
          </w:p>
        </w:tc>
        <w:tc>
          <w:tcPr>
            <w:tcW w:w="440" w:type="dxa"/>
            <w:vAlign w:val="bottom"/>
            <w:shd w:val="clear" w:color="auto" w:fill="D5EAEA"/>
          </w:tcPr>
          <w:p>
            <w:pPr>
              <w:jc w:val="right"/>
              <w:ind w:right="27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11,746</w:t>
            </w:r>
          </w:p>
        </w:tc>
        <w:tc>
          <w:tcPr>
            <w:tcW w:w="2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5EAEA"/>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Convertible loans</w:t>
            </w:r>
          </w:p>
        </w:tc>
        <w:tc>
          <w:tcPr>
            <w:tcW w:w="520" w:type="dxa"/>
            <w:vAlign w:val="bottom"/>
            <w:gridSpan w:val="2"/>
          </w:tcPr>
          <w:p>
            <w:pPr>
              <w:jc w:val="right"/>
              <w:ind w:right="277"/>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3,893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02"/>
        </w:trPr>
        <w:tc>
          <w:tcPr>
            <w:tcW w:w="7020" w:type="dxa"/>
            <w:vAlign w:val="bottom"/>
            <w:shd w:val="clear" w:color="auto" w:fill="D5EAEA"/>
          </w:tcPr>
          <w:p>
            <w:pPr>
              <w:spacing w:after="0" w:line="201" w:lineRule="exact"/>
              <w:rPr>
                <w:sz w:val="20"/>
                <w:szCs w:val="20"/>
                <w:color w:val="auto"/>
              </w:rPr>
            </w:pPr>
            <w:r>
              <w:rPr>
                <w:rFonts w:ascii="Arial" w:cs="Arial" w:eastAsia="Arial" w:hAnsi="Arial"/>
                <w:sz w:val="18"/>
                <w:szCs w:val="18"/>
                <w:color w:val="auto"/>
              </w:rPr>
              <w:t>Series A preferred shares of NIS 0.01 par value; 25,000 authorized, 10,222 issued and</w:t>
            </w:r>
          </w:p>
        </w:tc>
        <w:tc>
          <w:tcPr>
            <w:tcW w:w="80" w:type="dxa"/>
            <w:vAlign w:val="bottom"/>
            <w:shd w:val="clear" w:color="auto" w:fill="D5EAEA"/>
          </w:tcPr>
          <w:p>
            <w:pPr>
              <w:spacing w:after="0"/>
              <w:rPr>
                <w:sz w:val="17"/>
                <w:szCs w:val="17"/>
                <w:color w:val="auto"/>
              </w:rPr>
            </w:pPr>
          </w:p>
        </w:tc>
        <w:tc>
          <w:tcPr>
            <w:tcW w:w="440" w:type="dxa"/>
            <w:vAlign w:val="bottom"/>
            <w:shd w:val="clear" w:color="auto" w:fill="D5EAEA"/>
          </w:tcPr>
          <w:p>
            <w:pPr>
              <w:spacing w:after="0"/>
              <w:rPr>
                <w:sz w:val="17"/>
                <w:szCs w:val="17"/>
                <w:color w:val="auto"/>
              </w:rPr>
            </w:pPr>
          </w:p>
        </w:tc>
        <w:tc>
          <w:tcPr>
            <w:tcW w:w="980" w:type="dxa"/>
            <w:vAlign w:val="bottom"/>
            <w:shd w:val="clear" w:color="auto" w:fill="D5EAEA"/>
          </w:tcPr>
          <w:p>
            <w:pPr>
              <w:spacing w:after="0"/>
              <w:rPr>
                <w:sz w:val="17"/>
                <w:szCs w:val="17"/>
                <w:color w:val="auto"/>
              </w:rPr>
            </w:pPr>
          </w:p>
        </w:tc>
        <w:tc>
          <w:tcPr>
            <w:tcW w:w="200" w:type="dxa"/>
            <w:vAlign w:val="bottom"/>
            <w:shd w:val="clear" w:color="auto" w:fill="D5EAEA"/>
          </w:tcPr>
          <w:p>
            <w:pPr>
              <w:spacing w:after="0"/>
              <w:rPr>
                <w:sz w:val="17"/>
                <w:szCs w:val="17"/>
                <w:color w:val="auto"/>
              </w:rPr>
            </w:pPr>
          </w:p>
        </w:tc>
        <w:tc>
          <w:tcPr>
            <w:tcW w:w="1200" w:type="dxa"/>
            <w:vAlign w:val="bottom"/>
            <w:shd w:val="clear" w:color="auto" w:fill="D5EAEA"/>
          </w:tcPr>
          <w:p>
            <w:pPr>
              <w:spacing w:after="0"/>
              <w:rPr>
                <w:sz w:val="17"/>
                <w:szCs w:val="17"/>
                <w:color w:val="auto"/>
              </w:rPr>
            </w:pPr>
          </w:p>
        </w:tc>
        <w:tc>
          <w:tcPr>
            <w:tcW w:w="300" w:type="dxa"/>
            <w:vAlign w:val="bottom"/>
            <w:shd w:val="clear" w:color="auto" w:fill="D5EAEA"/>
          </w:tcPr>
          <w:p>
            <w:pPr>
              <w:spacing w:after="0"/>
              <w:rPr>
                <w:sz w:val="17"/>
                <w:szCs w:val="17"/>
                <w:color w:val="auto"/>
              </w:rPr>
            </w:pPr>
          </w:p>
        </w:tc>
        <w:tc>
          <w:tcPr>
            <w:tcW w:w="1200" w:type="dxa"/>
            <w:vAlign w:val="bottom"/>
            <w:shd w:val="clear" w:color="auto" w:fill="D5EAEA"/>
          </w:tcPr>
          <w:p>
            <w:pPr>
              <w:spacing w:after="0"/>
              <w:rPr>
                <w:sz w:val="17"/>
                <w:szCs w:val="17"/>
                <w:color w:val="auto"/>
              </w:rPr>
            </w:pPr>
          </w:p>
        </w:tc>
      </w:tr>
      <w:tr>
        <w:trPr>
          <w:trHeight w:val="216"/>
        </w:trPr>
        <w:tc>
          <w:tcPr>
            <w:tcW w:w="7020" w:type="dxa"/>
            <w:vAlign w:val="bottom"/>
            <w:shd w:val="clear" w:color="auto" w:fill="D5EAEA"/>
          </w:tcPr>
          <w:p>
            <w:pPr>
              <w:ind w:left="140"/>
              <w:spacing w:after="0"/>
              <w:rPr>
                <w:sz w:val="20"/>
                <w:szCs w:val="20"/>
                <w:color w:val="auto"/>
              </w:rPr>
            </w:pPr>
            <w:r>
              <w:rPr>
                <w:rFonts w:ascii="Arial" w:cs="Arial" w:eastAsia="Arial" w:hAnsi="Arial"/>
                <w:sz w:val="18"/>
                <w:szCs w:val="18"/>
                <w:color w:val="auto"/>
              </w:rPr>
              <w:t>outstanding, actual; no authorized, no issued and outstanding, pro forma ; no shares</w:t>
            </w:r>
          </w:p>
        </w:tc>
        <w:tc>
          <w:tcPr>
            <w:tcW w:w="80" w:type="dxa"/>
            <w:vAlign w:val="bottom"/>
            <w:shd w:val="clear" w:color="auto" w:fill="D5EAEA"/>
          </w:tcPr>
          <w:p>
            <w:pPr>
              <w:spacing w:after="0"/>
              <w:rPr>
                <w:sz w:val="18"/>
                <w:szCs w:val="18"/>
                <w:color w:val="auto"/>
              </w:rPr>
            </w:pPr>
          </w:p>
        </w:tc>
        <w:tc>
          <w:tcPr>
            <w:tcW w:w="440" w:type="dxa"/>
            <w:vAlign w:val="bottom"/>
            <w:shd w:val="clear" w:color="auto" w:fill="D5EAEA"/>
          </w:tcPr>
          <w:p>
            <w:pPr>
              <w:spacing w:after="0"/>
              <w:rPr>
                <w:sz w:val="18"/>
                <w:szCs w:val="18"/>
                <w:color w:val="auto"/>
              </w:rPr>
            </w:pPr>
          </w:p>
        </w:tc>
        <w:tc>
          <w:tcPr>
            <w:tcW w:w="98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1200" w:type="dxa"/>
            <w:vAlign w:val="bottom"/>
            <w:shd w:val="clear" w:color="auto" w:fill="D5EAEA"/>
          </w:tcPr>
          <w:p>
            <w:pPr>
              <w:spacing w:after="0"/>
              <w:rPr>
                <w:sz w:val="18"/>
                <w:szCs w:val="18"/>
                <w:color w:val="auto"/>
              </w:rPr>
            </w:pPr>
          </w:p>
        </w:tc>
        <w:tc>
          <w:tcPr>
            <w:tcW w:w="300" w:type="dxa"/>
            <w:vAlign w:val="bottom"/>
            <w:shd w:val="clear" w:color="auto" w:fill="D5EAEA"/>
          </w:tcPr>
          <w:p>
            <w:pPr>
              <w:spacing w:after="0"/>
              <w:rPr>
                <w:sz w:val="18"/>
                <w:szCs w:val="18"/>
                <w:color w:val="auto"/>
              </w:rPr>
            </w:pPr>
          </w:p>
        </w:tc>
        <w:tc>
          <w:tcPr>
            <w:tcW w:w="1200" w:type="dxa"/>
            <w:vAlign w:val="bottom"/>
            <w:shd w:val="clear" w:color="auto" w:fill="D5EAEA"/>
          </w:tcPr>
          <w:p>
            <w:pPr>
              <w:spacing w:after="0"/>
              <w:rPr>
                <w:sz w:val="18"/>
                <w:szCs w:val="18"/>
                <w:color w:val="auto"/>
              </w:rPr>
            </w:pPr>
          </w:p>
        </w:tc>
      </w:tr>
      <w:tr>
        <w:trPr>
          <w:trHeight w:val="230"/>
        </w:trPr>
        <w:tc>
          <w:tcPr>
            <w:tcW w:w="7020" w:type="dxa"/>
            <w:vAlign w:val="bottom"/>
            <w:shd w:val="clear" w:color="auto" w:fill="D5EAEA"/>
          </w:tcPr>
          <w:p>
            <w:pPr>
              <w:ind w:left="140"/>
              <w:spacing w:after="0"/>
              <w:rPr>
                <w:sz w:val="20"/>
                <w:szCs w:val="20"/>
                <w:color w:val="auto"/>
              </w:rPr>
            </w:pPr>
            <w:r>
              <w:rPr>
                <w:rFonts w:ascii="Arial" w:cs="Arial" w:eastAsia="Arial" w:hAnsi="Arial"/>
                <w:sz w:val="18"/>
                <w:szCs w:val="18"/>
                <w:color w:val="auto"/>
              </w:rPr>
              <w:t>authorized, issued and outstanding, pro forma as adjusted</w:t>
            </w:r>
          </w:p>
        </w:tc>
        <w:tc>
          <w:tcPr>
            <w:tcW w:w="80" w:type="dxa"/>
            <w:vAlign w:val="bottom"/>
            <w:shd w:val="clear" w:color="auto" w:fill="D5EAEA"/>
          </w:tcPr>
          <w:p>
            <w:pPr>
              <w:spacing w:after="0"/>
              <w:rPr>
                <w:sz w:val="20"/>
                <w:szCs w:val="20"/>
                <w:color w:val="auto"/>
              </w:rPr>
            </w:pPr>
          </w:p>
        </w:tc>
        <w:tc>
          <w:tcPr>
            <w:tcW w:w="440" w:type="dxa"/>
            <w:vAlign w:val="bottom"/>
            <w:shd w:val="clear" w:color="auto" w:fill="D5EAEA"/>
          </w:tcPr>
          <w:p>
            <w:pPr>
              <w:spacing w:after="0"/>
              <w:rPr>
                <w:sz w:val="20"/>
                <w:szCs w:val="20"/>
                <w:color w:val="auto"/>
              </w:rPr>
            </w:pPr>
          </w:p>
        </w:tc>
        <w:tc>
          <w:tcPr>
            <w:tcW w:w="98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8,810</w:t>
            </w:r>
          </w:p>
        </w:tc>
        <w:tc>
          <w:tcPr>
            <w:tcW w:w="200" w:type="dxa"/>
            <w:vAlign w:val="bottom"/>
            <w:shd w:val="clear" w:color="auto" w:fill="D5EAEA"/>
          </w:tcPr>
          <w:p>
            <w:pPr>
              <w:spacing w:after="0"/>
              <w:rPr>
                <w:sz w:val="20"/>
                <w:szCs w:val="20"/>
                <w:color w:val="auto"/>
              </w:rPr>
            </w:pPr>
          </w:p>
        </w:tc>
        <w:tc>
          <w:tcPr>
            <w:tcW w:w="12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D5EAEA"/>
          </w:tcPr>
          <w:p>
            <w:pPr>
              <w:spacing w:after="0"/>
              <w:rPr>
                <w:sz w:val="20"/>
                <w:szCs w:val="20"/>
                <w:color w:val="auto"/>
              </w:rPr>
            </w:pPr>
          </w:p>
        </w:tc>
        <w:tc>
          <w:tcPr>
            <w:tcW w:w="120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r>
      <w:tr>
        <w:trPr>
          <w:trHeight w:val="202"/>
        </w:trPr>
        <w:tc>
          <w:tcPr>
            <w:tcW w:w="7020" w:type="dxa"/>
            <w:vAlign w:val="bottom"/>
          </w:tcPr>
          <w:p>
            <w:pPr>
              <w:spacing w:after="0" w:line="201" w:lineRule="exact"/>
              <w:rPr>
                <w:sz w:val="20"/>
                <w:szCs w:val="20"/>
                <w:color w:val="auto"/>
              </w:rPr>
            </w:pPr>
            <w:r>
              <w:rPr>
                <w:rFonts w:ascii="Arial" w:cs="Arial" w:eastAsia="Arial" w:hAnsi="Arial"/>
                <w:sz w:val="18"/>
                <w:szCs w:val="18"/>
                <w:color w:val="auto"/>
                <w:w w:val="93"/>
              </w:rPr>
              <w:t>Series B preferred shares of NIS 0.01 par value; 35,000 authorized, 14,283 shares issued and</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7020" w:type="dxa"/>
            <w:vAlign w:val="bottom"/>
          </w:tcPr>
          <w:p>
            <w:pPr>
              <w:ind w:left="140"/>
              <w:spacing w:after="0"/>
              <w:rPr>
                <w:sz w:val="20"/>
                <w:szCs w:val="20"/>
                <w:color w:val="auto"/>
              </w:rPr>
            </w:pPr>
            <w:r>
              <w:rPr>
                <w:rFonts w:ascii="Arial" w:cs="Arial" w:eastAsia="Arial" w:hAnsi="Arial"/>
                <w:sz w:val="18"/>
                <w:szCs w:val="18"/>
                <w:color w:val="auto"/>
                <w:w w:val="90"/>
              </w:rPr>
              <w:t>outstanding, actual; no authorized, no issued and outstanding, pro forma; no shares authorized,</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7020" w:type="dxa"/>
            <w:vAlign w:val="bottom"/>
          </w:tcPr>
          <w:p>
            <w:pPr>
              <w:ind w:left="140"/>
              <w:spacing w:after="0"/>
              <w:rPr>
                <w:sz w:val="20"/>
                <w:szCs w:val="20"/>
                <w:color w:val="auto"/>
              </w:rPr>
            </w:pPr>
            <w:r>
              <w:rPr>
                <w:rFonts w:ascii="Arial" w:cs="Arial" w:eastAsia="Arial" w:hAnsi="Arial"/>
                <w:sz w:val="18"/>
                <w:szCs w:val="18"/>
                <w:color w:val="auto"/>
              </w:rPr>
              <w:t>issued and outstanding, pro forma as adjusted</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12,980</w:t>
            </w:r>
          </w:p>
        </w:tc>
        <w:tc>
          <w:tcPr>
            <w:tcW w:w="20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02"/>
        </w:trPr>
        <w:tc>
          <w:tcPr>
            <w:tcW w:w="7020" w:type="dxa"/>
            <w:vAlign w:val="bottom"/>
            <w:shd w:val="clear" w:color="auto" w:fill="D5EAEA"/>
          </w:tcPr>
          <w:p>
            <w:pPr>
              <w:spacing w:after="0" w:line="201" w:lineRule="exact"/>
              <w:rPr>
                <w:sz w:val="20"/>
                <w:szCs w:val="20"/>
                <w:color w:val="auto"/>
              </w:rPr>
            </w:pPr>
            <w:r>
              <w:rPr>
                <w:rFonts w:ascii="Arial" w:cs="Arial" w:eastAsia="Arial" w:hAnsi="Arial"/>
                <w:sz w:val="18"/>
                <w:szCs w:val="18"/>
                <w:color w:val="auto"/>
                <w:w w:val="91"/>
              </w:rPr>
              <w:t>Series B-1 preferred shares of NIS 0.01 par value; 17,000 authorized, 13,229 shares issued and</w:t>
            </w:r>
          </w:p>
        </w:tc>
        <w:tc>
          <w:tcPr>
            <w:tcW w:w="80" w:type="dxa"/>
            <w:vAlign w:val="bottom"/>
            <w:shd w:val="clear" w:color="auto" w:fill="D5EAEA"/>
          </w:tcPr>
          <w:p>
            <w:pPr>
              <w:spacing w:after="0"/>
              <w:rPr>
                <w:sz w:val="17"/>
                <w:szCs w:val="17"/>
                <w:color w:val="auto"/>
              </w:rPr>
            </w:pPr>
          </w:p>
        </w:tc>
        <w:tc>
          <w:tcPr>
            <w:tcW w:w="440" w:type="dxa"/>
            <w:vAlign w:val="bottom"/>
            <w:shd w:val="clear" w:color="auto" w:fill="D5EAEA"/>
          </w:tcPr>
          <w:p>
            <w:pPr>
              <w:spacing w:after="0"/>
              <w:rPr>
                <w:sz w:val="17"/>
                <w:szCs w:val="17"/>
                <w:color w:val="auto"/>
              </w:rPr>
            </w:pPr>
          </w:p>
        </w:tc>
        <w:tc>
          <w:tcPr>
            <w:tcW w:w="980" w:type="dxa"/>
            <w:vAlign w:val="bottom"/>
            <w:shd w:val="clear" w:color="auto" w:fill="D5EAEA"/>
          </w:tcPr>
          <w:p>
            <w:pPr>
              <w:spacing w:after="0"/>
              <w:rPr>
                <w:sz w:val="17"/>
                <w:szCs w:val="17"/>
                <w:color w:val="auto"/>
              </w:rPr>
            </w:pPr>
          </w:p>
        </w:tc>
        <w:tc>
          <w:tcPr>
            <w:tcW w:w="200" w:type="dxa"/>
            <w:vAlign w:val="bottom"/>
            <w:shd w:val="clear" w:color="auto" w:fill="D5EAEA"/>
          </w:tcPr>
          <w:p>
            <w:pPr>
              <w:spacing w:after="0"/>
              <w:rPr>
                <w:sz w:val="17"/>
                <w:szCs w:val="17"/>
                <w:color w:val="auto"/>
              </w:rPr>
            </w:pPr>
          </w:p>
        </w:tc>
        <w:tc>
          <w:tcPr>
            <w:tcW w:w="1200" w:type="dxa"/>
            <w:vAlign w:val="bottom"/>
            <w:shd w:val="clear" w:color="auto" w:fill="D5EAEA"/>
          </w:tcPr>
          <w:p>
            <w:pPr>
              <w:spacing w:after="0"/>
              <w:rPr>
                <w:sz w:val="17"/>
                <w:szCs w:val="17"/>
                <w:color w:val="auto"/>
              </w:rPr>
            </w:pPr>
          </w:p>
        </w:tc>
        <w:tc>
          <w:tcPr>
            <w:tcW w:w="300" w:type="dxa"/>
            <w:vAlign w:val="bottom"/>
            <w:shd w:val="clear" w:color="auto" w:fill="D5EAEA"/>
          </w:tcPr>
          <w:p>
            <w:pPr>
              <w:spacing w:after="0"/>
              <w:rPr>
                <w:sz w:val="17"/>
                <w:szCs w:val="17"/>
                <w:color w:val="auto"/>
              </w:rPr>
            </w:pPr>
          </w:p>
        </w:tc>
        <w:tc>
          <w:tcPr>
            <w:tcW w:w="1200" w:type="dxa"/>
            <w:vAlign w:val="bottom"/>
            <w:shd w:val="clear" w:color="auto" w:fill="D5EAEA"/>
          </w:tcPr>
          <w:p>
            <w:pPr>
              <w:spacing w:after="0"/>
              <w:rPr>
                <w:sz w:val="17"/>
                <w:szCs w:val="17"/>
                <w:color w:val="auto"/>
              </w:rPr>
            </w:pPr>
          </w:p>
        </w:tc>
      </w:tr>
      <w:tr>
        <w:trPr>
          <w:trHeight w:val="216"/>
        </w:trPr>
        <w:tc>
          <w:tcPr>
            <w:tcW w:w="7020" w:type="dxa"/>
            <w:vAlign w:val="bottom"/>
            <w:shd w:val="clear" w:color="auto" w:fill="D5EAEA"/>
          </w:tcPr>
          <w:p>
            <w:pPr>
              <w:ind w:left="140"/>
              <w:spacing w:after="0"/>
              <w:rPr>
                <w:sz w:val="20"/>
                <w:szCs w:val="20"/>
                <w:color w:val="auto"/>
              </w:rPr>
            </w:pPr>
            <w:r>
              <w:rPr>
                <w:rFonts w:ascii="Arial" w:cs="Arial" w:eastAsia="Arial" w:hAnsi="Arial"/>
                <w:sz w:val="18"/>
                <w:szCs w:val="18"/>
                <w:color w:val="auto"/>
                <w:w w:val="90"/>
              </w:rPr>
              <w:t>outstanding, actual; no authorized, no issued and outstanding, pro forma; no shares authorized,</w:t>
            </w:r>
          </w:p>
        </w:tc>
        <w:tc>
          <w:tcPr>
            <w:tcW w:w="80" w:type="dxa"/>
            <w:vAlign w:val="bottom"/>
            <w:shd w:val="clear" w:color="auto" w:fill="D5EAEA"/>
          </w:tcPr>
          <w:p>
            <w:pPr>
              <w:spacing w:after="0"/>
              <w:rPr>
                <w:sz w:val="18"/>
                <w:szCs w:val="18"/>
                <w:color w:val="auto"/>
              </w:rPr>
            </w:pPr>
          </w:p>
        </w:tc>
        <w:tc>
          <w:tcPr>
            <w:tcW w:w="440" w:type="dxa"/>
            <w:vAlign w:val="bottom"/>
            <w:shd w:val="clear" w:color="auto" w:fill="D5EAEA"/>
          </w:tcPr>
          <w:p>
            <w:pPr>
              <w:spacing w:after="0"/>
              <w:rPr>
                <w:sz w:val="18"/>
                <w:szCs w:val="18"/>
                <w:color w:val="auto"/>
              </w:rPr>
            </w:pPr>
          </w:p>
        </w:tc>
        <w:tc>
          <w:tcPr>
            <w:tcW w:w="980" w:type="dxa"/>
            <w:vAlign w:val="bottom"/>
            <w:shd w:val="clear" w:color="auto" w:fill="D5EAEA"/>
          </w:tcPr>
          <w:p>
            <w:pPr>
              <w:spacing w:after="0"/>
              <w:rPr>
                <w:sz w:val="18"/>
                <w:szCs w:val="18"/>
                <w:color w:val="auto"/>
              </w:rPr>
            </w:pPr>
          </w:p>
        </w:tc>
        <w:tc>
          <w:tcPr>
            <w:tcW w:w="200" w:type="dxa"/>
            <w:vAlign w:val="bottom"/>
            <w:shd w:val="clear" w:color="auto" w:fill="D5EAEA"/>
          </w:tcPr>
          <w:p>
            <w:pPr>
              <w:spacing w:after="0"/>
              <w:rPr>
                <w:sz w:val="18"/>
                <w:szCs w:val="18"/>
                <w:color w:val="auto"/>
              </w:rPr>
            </w:pPr>
          </w:p>
        </w:tc>
        <w:tc>
          <w:tcPr>
            <w:tcW w:w="1200" w:type="dxa"/>
            <w:vAlign w:val="bottom"/>
            <w:shd w:val="clear" w:color="auto" w:fill="D5EAEA"/>
          </w:tcPr>
          <w:p>
            <w:pPr>
              <w:spacing w:after="0"/>
              <w:rPr>
                <w:sz w:val="18"/>
                <w:szCs w:val="18"/>
                <w:color w:val="auto"/>
              </w:rPr>
            </w:pPr>
          </w:p>
        </w:tc>
        <w:tc>
          <w:tcPr>
            <w:tcW w:w="300" w:type="dxa"/>
            <w:vAlign w:val="bottom"/>
            <w:shd w:val="clear" w:color="auto" w:fill="D5EAEA"/>
          </w:tcPr>
          <w:p>
            <w:pPr>
              <w:spacing w:after="0"/>
              <w:rPr>
                <w:sz w:val="18"/>
                <w:szCs w:val="18"/>
                <w:color w:val="auto"/>
              </w:rPr>
            </w:pPr>
          </w:p>
        </w:tc>
        <w:tc>
          <w:tcPr>
            <w:tcW w:w="1200" w:type="dxa"/>
            <w:vAlign w:val="bottom"/>
            <w:shd w:val="clear" w:color="auto" w:fill="D5EAEA"/>
          </w:tcPr>
          <w:p>
            <w:pPr>
              <w:spacing w:after="0"/>
              <w:rPr>
                <w:sz w:val="18"/>
                <w:szCs w:val="18"/>
                <w:color w:val="auto"/>
              </w:rPr>
            </w:pPr>
          </w:p>
        </w:tc>
      </w:tr>
      <w:tr>
        <w:trPr>
          <w:trHeight w:val="230"/>
        </w:trPr>
        <w:tc>
          <w:tcPr>
            <w:tcW w:w="7020" w:type="dxa"/>
            <w:vAlign w:val="bottom"/>
            <w:shd w:val="clear" w:color="auto" w:fill="D5EAEA"/>
          </w:tcPr>
          <w:p>
            <w:pPr>
              <w:ind w:left="140"/>
              <w:spacing w:after="0"/>
              <w:rPr>
                <w:sz w:val="20"/>
                <w:szCs w:val="20"/>
                <w:color w:val="auto"/>
              </w:rPr>
            </w:pPr>
            <w:r>
              <w:rPr>
                <w:rFonts w:ascii="Arial" w:cs="Arial" w:eastAsia="Arial" w:hAnsi="Arial"/>
                <w:sz w:val="18"/>
                <w:szCs w:val="18"/>
                <w:color w:val="auto"/>
              </w:rPr>
              <w:t>issued and outstanding, pro forma as adjusted</w:t>
            </w:r>
          </w:p>
        </w:tc>
        <w:tc>
          <w:tcPr>
            <w:tcW w:w="80" w:type="dxa"/>
            <w:vAlign w:val="bottom"/>
            <w:shd w:val="clear" w:color="auto" w:fill="D5EAEA"/>
          </w:tcPr>
          <w:p>
            <w:pPr>
              <w:spacing w:after="0"/>
              <w:rPr>
                <w:sz w:val="20"/>
                <w:szCs w:val="20"/>
                <w:color w:val="auto"/>
              </w:rPr>
            </w:pPr>
          </w:p>
        </w:tc>
        <w:tc>
          <w:tcPr>
            <w:tcW w:w="440" w:type="dxa"/>
            <w:vAlign w:val="bottom"/>
            <w:shd w:val="clear" w:color="auto" w:fill="D5EAEA"/>
          </w:tcPr>
          <w:p>
            <w:pPr>
              <w:spacing w:after="0"/>
              <w:rPr>
                <w:sz w:val="20"/>
                <w:szCs w:val="20"/>
                <w:color w:val="auto"/>
              </w:rPr>
            </w:pPr>
          </w:p>
        </w:tc>
        <w:tc>
          <w:tcPr>
            <w:tcW w:w="98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11,665</w:t>
            </w:r>
          </w:p>
        </w:tc>
        <w:tc>
          <w:tcPr>
            <w:tcW w:w="200" w:type="dxa"/>
            <w:vAlign w:val="bottom"/>
            <w:shd w:val="clear" w:color="auto" w:fill="D5EAEA"/>
          </w:tcPr>
          <w:p>
            <w:pPr>
              <w:spacing w:after="0"/>
              <w:rPr>
                <w:sz w:val="20"/>
                <w:szCs w:val="20"/>
                <w:color w:val="auto"/>
              </w:rPr>
            </w:pPr>
          </w:p>
        </w:tc>
        <w:tc>
          <w:tcPr>
            <w:tcW w:w="120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shd w:val="clear" w:color="auto" w:fill="D5EAEA"/>
          </w:tcPr>
          <w:p>
            <w:pPr>
              <w:spacing w:after="0"/>
              <w:rPr>
                <w:sz w:val="20"/>
                <w:szCs w:val="20"/>
                <w:color w:val="auto"/>
              </w:rPr>
            </w:pPr>
          </w:p>
        </w:tc>
        <w:tc>
          <w:tcPr>
            <w:tcW w:w="120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Warrants to purchase preferred shares and shares</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5,398</w:t>
            </w:r>
          </w:p>
        </w:tc>
        <w:tc>
          <w:tcPr>
            <w:tcW w:w="20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796"/>
        </w:trPr>
        <w:tc>
          <w:tcPr>
            <w:tcW w:w="7020" w:type="dxa"/>
            <w:vAlign w:val="bottom"/>
            <w:tcBorders>
              <w:bottom w:val="single" w:sz="8" w:color="auto"/>
            </w:tcBorders>
          </w:tcPr>
          <w:p>
            <w:pPr>
              <w:ind w:left="5600"/>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5" w:right="2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13" w:lineRule="exact"/>
        <w:rPr>
          <w:sz w:val="20"/>
          <w:szCs w:val="20"/>
          <w:color w:val="auto"/>
        </w:rPr>
      </w:pPr>
    </w:p>
    <w:p>
      <w:pPr>
        <w:jc w:val="right"/>
        <w:ind w:right="1120"/>
        <w:spacing w:after="0"/>
        <w:rPr>
          <w:sz w:val="20"/>
          <w:szCs w:val="20"/>
          <w:color w:val="auto"/>
        </w:rPr>
      </w:pPr>
      <w:r>
        <w:rPr>
          <w:rFonts w:ascii="Arial" w:cs="Arial" w:eastAsia="Arial" w:hAnsi="Arial"/>
          <w:sz w:val="18"/>
          <w:szCs w:val="18"/>
          <w:b w:val="1"/>
          <w:bCs w:val="1"/>
          <w:color w:val="auto"/>
        </w:rPr>
        <w:t>As of December 31, 2017</w:t>
      </w:r>
    </w:p>
    <w:p>
      <w:pPr>
        <w:sectPr>
          <w:pgSz w:w="11900" w:h="16838" w:orient="portrait"/>
          <w:cols w:equalWidth="0" w:num="1">
            <w:col w:w="11320"/>
          </w:cols>
          <w:pgMar w:left="24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Equity (capital deficiency):</w:t>
      </w:r>
    </w:p>
    <w:p>
      <w:pPr>
        <w:spacing w:after="0" w:line="23" w:lineRule="exact"/>
        <w:rPr>
          <w:sz w:val="20"/>
          <w:szCs w:val="20"/>
          <w:color w:val="auto"/>
        </w:rPr>
      </w:pPr>
    </w:p>
    <w:p>
      <w:pPr>
        <w:ind w:left="140" w:hanging="129"/>
        <w:spacing w:after="0" w:line="281" w:lineRule="auto"/>
        <w:rPr>
          <w:sz w:val="20"/>
          <w:szCs w:val="20"/>
          <w:color w:val="auto"/>
        </w:rPr>
      </w:pPr>
      <w:r>
        <w:rPr>
          <w:rFonts w:ascii="Arial" w:cs="Arial" w:eastAsia="Arial" w:hAnsi="Arial"/>
          <w:sz w:val="16"/>
          <w:szCs w:val="16"/>
          <w:color w:val="auto"/>
        </w:rPr>
        <w:t>Ordinary shares; 1,000,000 authorized, 34,544 issued and outstanding, actual, of NIS 0.01 par value; 1,000,000 authorized, 35,544 issued and outstanding, pro forma of NIS 0.01 par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548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ind w:left="540" w:right="420" w:hanging="404"/>
        <w:spacing w:after="0" w:line="250" w:lineRule="auto"/>
        <w:rPr>
          <w:sz w:val="20"/>
          <w:szCs w:val="20"/>
          <w:color w:val="auto"/>
        </w:rPr>
      </w:pPr>
      <w:r>
        <w:rPr>
          <w:rFonts w:ascii="Arial" w:cs="Arial" w:eastAsia="Arial" w:hAnsi="Arial"/>
          <w:sz w:val="18"/>
          <w:szCs w:val="18"/>
          <w:color w:val="auto"/>
        </w:rPr>
        <w:t>value;</w:t>
      </w:r>
      <w:r>
        <w:rPr>
          <w:sz w:val="20"/>
          <w:szCs w:val="20"/>
          <w:color w:val="auto"/>
        </w:rPr>
        <w:t xml:space="preserve"> </w:t>
      </w:r>
      <w:r>
        <w:rPr>
          <w:rFonts w:ascii="Arial" w:cs="Arial" w:eastAsia="Arial" w:hAnsi="Arial"/>
          <w:sz w:val="18"/>
          <w:szCs w:val="18"/>
          <w:color w:val="auto"/>
        </w:rPr>
        <w:t>authorized, issued and outstanding, pro forma as adjusted of NIS par value;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Additional paid-in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Total equity (capital deficiency)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10890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140"/>
        <w:spacing w:after="0"/>
        <w:rPr>
          <w:sz w:val="20"/>
          <w:szCs w:val="20"/>
          <w:color w:val="auto"/>
        </w:rPr>
      </w:pPr>
      <w:r>
        <w:rPr>
          <w:rFonts w:ascii="Arial" w:cs="Arial" w:eastAsia="Arial" w:hAnsi="Arial"/>
          <w:sz w:val="17"/>
          <w:szCs w:val="17"/>
          <w:b w:val="1"/>
          <w:bCs w:val="1"/>
          <w:color w:val="auto"/>
        </w:rPr>
        <w:t>Pro forma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2744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4" w:lineRule="exact"/>
        <w:rPr>
          <w:sz w:val="20"/>
          <w:szCs w:val="20"/>
          <w:color w:val="auto"/>
        </w:rPr>
      </w:pPr>
    </w:p>
    <w:p>
      <w:pPr>
        <w:ind w:left="40"/>
        <w:spacing w:after="0"/>
        <w:tabs>
          <w:tab w:leader="none" w:pos="1780" w:val="left"/>
          <w:tab w:leader="none" w:pos="3280" w:val="left"/>
        </w:tabs>
        <w:rPr>
          <w:sz w:val="20"/>
          <w:szCs w:val="20"/>
          <w:color w:val="auto"/>
        </w:rPr>
      </w:pPr>
      <w:r>
        <w:rPr>
          <w:rFonts w:ascii="Arial" w:cs="Arial" w:eastAsia="Arial" w:hAnsi="Arial"/>
          <w:sz w:val="18"/>
          <w:szCs w:val="18"/>
          <w:b w:val="1"/>
          <w:bCs w:val="1"/>
          <w:color w:val="auto"/>
        </w:rPr>
        <w:t>Actual (Audited)</w:t>
      </w:r>
      <w:r>
        <w:rPr>
          <w:sz w:val="20"/>
          <w:szCs w:val="20"/>
          <w:color w:val="auto"/>
        </w:rPr>
        <w:tab/>
      </w:r>
      <w:r>
        <w:rPr>
          <w:rFonts w:ascii="Arial" w:cs="Arial" w:eastAsia="Arial" w:hAnsi="Arial"/>
          <w:sz w:val="18"/>
          <w:szCs w:val="18"/>
          <w:b w:val="1"/>
          <w:bCs w:val="1"/>
          <w:color w:val="auto"/>
        </w:rPr>
        <w:t>Pro forma</w:t>
      </w:r>
      <w:r>
        <w:rPr>
          <w:sz w:val="20"/>
          <w:szCs w:val="20"/>
          <w:color w:val="auto"/>
        </w:rPr>
        <w:tab/>
      </w:r>
      <w:r>
        <w:rPr>
          <w:rFonts w:ascii="Arial" w:cs="Arial" w:eastAsia="Arial" w:hAnsi="Arial"/>
          <w:sz w:val="16"/>
          <w:szCs w:val="16"/>
          <w:b w:val="1"/>
          <w:bCs w:val="1"/>
          <w:color w:val="auto"/>
        </w:rPr>
        <w:t>Adjusted</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744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4447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-130810</wp:posOffset>
            </wp:positionV>
            <wp:extent cx="2744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7,361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2,853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(41,813)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(31,558</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0" w:type="dxa"/>
            <w:vAlign w:val="bottom"/>
            <w:tcBorders>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85"/>
              <w:spacing w:after="0"/>
              <w:rPr>
                <w:sz w:val="20"/>
                <w:szCs w:val="20"/>
                <w:color w:val="auto"/>
              </w:rPr>
            </w:pPr>
            <w:r>
              <w:rPr>
                <w:rFonts w:ascii="Arial" w:cs="Arial" w:eastAsia="Arial" w:hAnsi="Arial"/>
                <w:sz w:val="15"/>
                <w:szCs w:val="15"/>
                <w:color w:val="auto"/>
                <w:w w:val="71"/>
              </w:rPr>
              <w:t>$</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80" w:space="320"/>
            <w:col w:w="4220"/>
          </w:cols>
          <w:pgMar w:left="240" w:top="225" w:right="339" w:bottom="1440" w:gutter="0" w:footer="0" w:header="0"/>
          <w:type w:val="continuous"/>
        </w:sectPr>
      </w:pPr>
    </w:p>
    <w:p>
      <w:pPr>
        <w:spacing w:after="0" w:line="299"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an amount less than one thousand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listed in the table above does not reflect:</w:t>
      </w:r>
    </w:p>
    <w:p>
      <w:pPr>
        <w:spacing w:after="0" w:line="225" w:lineRule="exact"/>
        <w:rPr>
          <w:sz w:val="20"/>
          <w:szCs w:val="20"/>
          <w:color w:val="auto"/>
        </w:rPr>
      </w:pPr>
    </w:p>
    <w:p>
      <w:pPr>
        <w:ind w:left="340" w:right="280" w:hanging="170"/>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23,423 ordinary shares issuable upon the exercise of options outstanding as of December 31, 2017 and issuable upon the closing of this offering, at a weighted average exercise price of $597.03 per share;</w:t>
      </w:r>
    </w:p>
    <w:p>
      <w:pPr>
        <w:spacing w:after="0" w:line="170" w:lineRule="exact"/>
        <w:rPr>
          <w:rFonts w:ascii="Arial" w:cs="Arial" w:eastAsia="Arial" w:hAnsi="Arial"/>
          <w:sz w:val="18"/>
          <w:szCs w:val="18"/>
          <w:color w:val="auto"/>
        </w:rPr>
      </w:pPr>
    </w:p>
    <w:p>
      <w:pPr>
        <w:ind w:left="340" w:right="280" w:hanging="170"/>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15,694 ordinary shares issuable upon the exercise of warrants and options outstanding as of December 31, 2017 and issuable upon the closing of this offering, at a weighted average exercise price of $684.52 per share; and</w:t>
      </w:r>
    </w:p>
    <w:p>
      <w:pPr>
        <w:spacing w:after="0" w:line="170" w:lineRule="exact"/>
        <w:rPr>
          <w:rFonts w:ascii="Arial" w:cs="Arial" w:eastAsia="Arial" w:hAnsi="Arial"/>
          <w:sz w:val="18"/>
          <w:szCs w:val="18"/>
          <w:color w:val="auto"/>
        </w:rPr>
      </w:pPr>
    </w:p>
    <w:p>
      <w:pPr>
        <w:ind w:left="600" w:hanging="430"/>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ordinary shares issuable upon exercise of the warrants offered hereby; and</w:t>
      </w:r>
    </w:p>
    <w:p>
      <w:pPr>
        <w:spacing w:after="0" w:line="225" w:lineRule="exact"/>
        <w:rPr>
          <w:rFonts w:ascii="Arial" w:cs="Arial" w:eastAsia="Arial" w:hAnsi="Arial"/>
          <w:sz w:val="18"/>
          <w:szCs w:val="18"/>
          <w:color w:val="auto"/>
        </w:rPr>
      </w:pPr>
    </w:p>
    <w:p>
      <w:pPr>
        <w:ind w:left="540" w:hanging="370"/>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ordinary shares issuable upon exercise of the representative’s underwriter warrants.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type w:val="continuous"/>
        </w:sectPr>
      </w:pPr>
    </w:p>
    <w:bookmarkStart w:id="61" w:name="page62"/>
    <w:bookmarkEnd w:id="6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DILUTION</w:t>
      </w:r>
    </w:p>
    <w:p>
      <w:pPr>
        <w:spacing w:after="0" w:line="24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historical net tangible book value (deficit) as of December 31, 2017, was ($32.2 million), or ($932.49) per share. Historical net tangible book value (deficit) per share is calculated by subtracting our total liabilities from our total tangible assets, which is total assets less intangible assets, and dividing this amount by the 34,544 issued and outstanding ordinary shares as of December 31, 2017.</w:t>
      </w:r>
    </w:p>
    <w:p>
      <w:pPr>
        <w:spacing w:after="0" w:line="18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pro forma net tangible book value as of December 31, 2017, was $ million, or $ per share. Pro forma net tangible book value per share is calculated by subtracting our total liabilities from our total tangible assets which is total assets less intangible assets, and dividing this amount by the issued and outstanding ordinary shares as of December 31, 2017, after giving pro forma effect to the IPO Transactions, as described in “Summary — The Offering.”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gridSpan w:val="5"/>
          </w:tcPr>
          <w:p>
            <w:pPr>
              <w:spacing w:after="0"/>
              <w:rPr>
                <w:sz w:val="20"/>
                <w:szCs w:val="20"/>
                <w:color w:val="auto"/>
              </w:rPr>
            </w:pPr>
            <w:r>
              <w:rPr>
                <w:rFonts w:ascii="Arial" w:cs="Arial" w:eastAsia="Arial" w:hAnsi="Arial"/>
                <w:sz w:val="18"/>
                <w:szCs w:val="18"/>
                <w:color w:val="auto"/>
                <w:w w:val="94"/>
              </w:rPr>
              <w:t>After giving effect to the IPO transactions and the sale by us of the</w:t>
            </w:r>
          </w:p>
        </w:tc>
        <w:tc>
          <w:tcPr>
            <w:tcW w:w="6400" w:type="dxa"/>
            <w:vAlign w:val="bottom"/>
            <w:gridSpan w:val="9"/>
          </w:tcPr>
          <w:p>
            <w:pPr>
              <w:ind w:left="180"/>
              <w:spacing w:after="0"/>
              <w:rPr>
                <w:sz w:val="20"/>
                <w:szCs w:val="20"/>
                <w:color w:val="auto"/>
              </w:rPr>
            </w:pPr>
            <w:r>
              <w:rPr>
                <w:rFonts w:ascii="Arial" w:cs="Arial" w:eastAsia="Arial" w:hAnsi="Arial"/>
                <w:sz w:val="18"/>
                <w:szCs w:val="18"/>
                <w:color w:val="auto"/>
                <w:w w:val="93"/>
              </w:rPr>
              <w:t>units in this offering (which does not include the 30-day option to purchase up to an</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700" w:type="dxa"/>
            <w:vAlign w:val="bottom"/>
            <w:gridSpan w:val="2"/>
          </w:tcPr>
          <w:p>
            <w:pPr>
              <w:ind w:left="60"/>
              <w:spacing w:after="0"/>
              <w:rPr>
                <w:sz w:val="20"/>
                <w:szCs w:val="20"/>
                <w:color w:val="auto"/>
              </w:rPr>
            </w:pPr>
            <w:r>
              <w:rPr>
                <w:rFonts w:ascii="Arial" w:cs="Arial" w:eastAsia="Arial" w:hAnsi="Arial"/>
                <w:sz w:val="18"/>
                <w:szCs w:val="18"/>
                <w:color w:val="auto"/>
                <w:w w:val="99"/>
              </w:rPr>
              <w:t>additional ordinary shares and/or</w:t>
            </w:r>
          </w:p>
        </w:tc>
        <w:tc>
          <w:tcPr>
            <w:tcW w:w="8400" w:type="dxa"/>
            <w:vAlign w:val="bottom"/>
            <w:gridSpan w:val="11"/>
          </w:tcPr>
          <w:p>
            <w:pPr>
              <w:ind w:left="140"/>
              <w:spacing w:after="0"/>
              <w:rPr>
                <w:sz w:val="20"/>
                <w:szCs w:val="20"/>
                <w:color w:val="auto"/>
              </w:rPr>
            </w:pPr>
            <w:r>
              <w:rPr>
                <w:rFonts w:ascii="Arial" w:cs="Arial" w:eastAsia="Arial" w:hAnsi="Arial"/>
                <w:sz w:val="18"/>
                <w:szCs w:val="18"/>
                <w:color w:val="auto"/>
                <w:w w:val="93"/>
              </w:rPr>
              <w:t>additional warrants that we have granted to the underwriters to cover over-allotments, if any, or the proceeds, if</w:t>
            </w:r>
          </w:p>
        </w:tc>
        <w:tc>
          <w:tcPr>
            <w:tcW w:w="0" w:type="dxa"/>
            <w:vAlign w:val="bottom"/>
          </w:tcPr>
          <w:p>
            <w:pPr>
              <w:spacing w:after="0"/>
              <w:rPr>
                <w:sz w:val="1"/>
                <w:szCs w:val="1"/>
                <w:color w:val="auto"/>
              </w:rPr>
            </w:pPr>
          </w:p>
        </w:tc>
      </w:tr>
      <w:tr>
        <w:trPr>
          <w:trHeight w:val="216"/>
        </w:trPr>
        <w:tc>
          <w:tcPr>
            <w:tcW w:w="9840" w:type="dxa"/>
            <w:vAlign w:val="bottom"/>
            <w:gridSpan w:val="10"/>
          </w:tcPr>
          <w:p>
            <w:pPr>
              <w:spacing w:after="0"/>
              <w:rPr>
                <w:sz w:val="20"/>
                <w:szCs w:val="20"/>
                <w:color w:val="auto"/>
              </w:rPr>
            </w:pPr>
            <w:r>
              <w:rPr>
                <w:rFonts w:ascii="Arial" w:cs="Arial" w:eastAsia="Arial" w:hAnsi="Arial"/>
                <w:sz w:val="18"/>
                <w:szCs w:val="18"/>
                <w:color w:val="auto"/>
                <w:w w:val="92"/>
              </w:rPr>
              <w:t>any, we may receive from the exercise of the warrants issued pursuant to this offering), at an assumed initial public offering price of $</w:t>
            </w:r>
          </w:p>
        </w:tc>
        <w:tc>
          <w:tcPr>
            <w:tcW w:w="20" w:type="dxa"/>
            <w:vAlign w:val="bottom"/>
          </w:tcPr>
          <w:p>
            <w:pPr>
              <w:spacing w:after="0"/>
              <w:rPr>
                <w:sz w:val="18"/>
                <w:szCs w:val="18"/>
                <w:color w:val="auto"/>
              </w:rPr>
            </w:pP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per unit, the</w:t>
            </w:r>
          </w:p>
        </w:tc>
        <w:tc>
          <w:tcPr>
            <w:tcW w:w="0" w:type="dxa"/>
            <w:vAlign w:val="bottom"/>
          </w:tcPr>
          <w:p>
            <w:pPr>
              <w:spacing w:after="0"/>
              <w:rPr>
                <w:sz w:val="1"/>
                <w:szCs w:val="1"/>
                <w:color w:val="auto"/>
              </w:rPr>
            </w:pPr>
          </w:p>
        </w:tc>
      </w:tr>
      <w:tr>
        <w:trPr>
          <w:trHeight w:val="216"/>
        </w:trPr>
        <w:tc>
          <w:tcPr>
            <w:tcW w:w="11400" w:type="dxa"/>
            <w:vAlign w:val="bottom"/>
            <w:gridSpan w:val="14"/>
          </w:tcPr>
          <w:p>
            <w:pPr>
              <w:spacing w:after="0"/>
              <w:rPr>
                <w:sz w:val="20"/>
                <w:szCs w:val="20"/>
                <w:color w:val="auto"/>
              </w:rPr>
            </w:pPr>
            <w:r>
              <w:rPr>
                <w:rFonts w:ascii="Arial" w:cs="Arial" w:eastAsia="Arial" w:hAnsi="Arial"/>
                <w:sz w:val="18"/>
                <w:szCs w:val="18"/>
                <w:color w:val="auto"/>
                <w:w w:val="98"/>
              </w:rPr>
              <w:t>midpoint of the estimated offering price range set forth on the cover page of this prospectus, our pro forma as adjusted net tangible book value at</w:t>
            </w:r>
          </w:p>
        </w:tc>
        <w:tc>
          <w:tcPr>
            <w:tcW w:w="0" w:type="dxa"/>
            <w:vAlign w:val="bottom"/>
          </w:tcPr>
          <w:p>
            <w:pPr>
              <w:spacing w:after="0"/>
              <w:rPr>
                <w:sz w:val="1"/>
                <w:szCs w:val="1"/>
                <w:color w:val="auto"/>
              </w:rPr>
            </w:pP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w w:val="93"/>
              </w:rPr>
              <w:t>December 31, 2017, would have been $</w:t>
            </w:r>
          </w:p>
        </w:tc>
        <w:tc>
          <w:tcPr>
            <w:tcW w:w="1360" w:type="dxa"/>
            <w:vAlign w:val="bottom"/>
          </w:tcPr>
          <w:p>
            <w:pPr>
              <w:ind w:left="180"/>
              <w:spacing w:after="0"/>
              <w:rPr>
                <w:sz w:val="20"/>
                <w:szCs w:val="20"/>
                <w:color w:val="auto"/>
              </w:rPr>
            </w:pPr>
            <w:r>
              <w:rPr>
                <w:rFonts w:ascii="Arial" w:cs="Arial" w:eastAsia="Arial" w:hAnsi="Arial"/>
                <w:sz w:val="18"/>
                <w:szCs w:val="18"/>
                <w:color w:val="auto"/>
              </w:rPr>
              <w:t>million, or $</w:t>
            </w:r>
          </w:p>
        </w:tc>
        <w:tc>
          <w:tcPr>
            <w:tcW w:w="7040" w:type="dxa"/>
            <w:vAlign w:val="bottom"/>
            <w:gridSpan w:val="10"/>
          </w:tcPr>
          <w:p>
            <w:pPr>
              <w:ind w:left="40"/>
              <w:spacing w:after="0"/>
              <w:rPr>
                <w:sz w:val="20"/>
                <w:szCs w:val="20"/>
                <w:color w:val="auto"/>
              </w:rPr>
            </w:pPr>
            <w:r>
              <w:rPr>
                <w:rFonts w:ascii="Arial" w:cs="Arial" w:eastAsia="Arial" w:hAnsi="Arial"/>
                <w:sz w:val="18"/>
                <w:szCs w:val="18"/>
                <w:color w:val="auto"/>
                <w:w w:val="88"/>
              </w:rPr>
              <w:t>per share. This represents an immediate increase in pro forma as adjusted net tangible book value</w:t>
            </w:r>
          </w:p>
        </w:tc>
        <w:tc>
          <w:tcPr>
            <w:tcW w:w="0" w:type="dxa"/>
            <w:vAlign w:val="bottom"/>
          </w:tcPr>
          <w:p>
            <w:pPr>
              <w:spacing w:after="0"/>
              <w:rPr>
                <w:sz w:val="1"/>
                <w:szCs w:val="1"/>
                <w:color w:val="auto"/>
              </w:rPr>
            </w:pP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w w:val="97"/>
              </w:rPr>
              <w:t>to existing shareholders of $</w:t>
            </w:r>
          </w:p>
        </w:tc>
        <w:tc>
          <w:tcPr>
            <w:tcW w:w="4180" w:type="dxa"/>
            <w:vAlign w:val="bottom"/>
            <w:gridSpan w:val="5"/>
          </w:tcPr>
          <w:p>
            <w:pPr>
              <w:ind w:left="180"/>
              <w:spacing w:after="0"/>
              <w:rPr>
                <w:sz w:val="20"/>
                <w:szCs w:val="20"/>
                <w:color w:val="auto"/>
              </w:rPr>
            </w:pPr>
            <w:r>
              <w:rPr>
                <w:rFonts w:ascii="Arial" w:cs="Arial" w:eastAsia="Arial" w:hAnsi="Arial"/>
                <w:sz w:val="18"/>
                <w:szCs w:val="18"/>
                <w:color w:val="auto"/>
                <w:w w:val="92"/>
              </w:rPr>
              <w:t>per share and immediate dilution to new investors of $</w:t>
            </w:r>
          </w:p>
        </w:tc>
        <w:tc>
          <w:tcPr>
            <w:tcW w:w="3440" w:type="dxa"/>
            <w:vAlign w:val="bottom"/>
            <w:gridSpan w:val="3"/>
          </w:tcPr>
          <w:p>
            <w:pPr>
              <w:ind w:left="280"/>
              <w:spacing w:after="0"/>
              <w:rPr>
                <w:sz w:val="20"/>
                <w:szCs w:val="20"/>
                <w:color w:val="auto"/>
              </w:rPr>
            </w:pPr>
            <w:r>
              <w:rPr>
                <w:rFonts w:ascii="Arial" w:cs="Arial" w:eastAsia="Arial" w:hAnsi="Arial"/>
                <w:sz w:val="18"/>
                <w:szCs w:val="18"/>
                <w:color w:val="auto"/>
              </w:rPr>
              <w:t>per share.</w:t>
            </w: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60" w:type="dxa"/>
            <w:vAlign w:val="bottom"/>
            <w:gridSpan w:val="6"/>
          </w:tcPr>
          <w:p>
            <w:pPr>
              <w:spacing w:after="0"/>
              <w:rPr>
                <w:sz w:val="20"/>
                <w:szCs w:val="20"/>
                <w:color w:val="auto"/>
              </w:rPr>
            </w:pPr>
            <w:r>
              <w:rPr>
                <w:rFonts w:ascii="Arial" w:cs="Arial" w:eastAsia="Arial" w:hAnsi="Arial"/>
                <w:sz w:val="18"/>
                <w:szCs w:val="18"/>
                <w:color w:val="auto"/>
              </w:rPr>
              <w:t>The following table illustrates this per share dilution on a per share basis:</w:t>
            </w:r>
          </w:p>
        </w:tc>
        <w:tc>
          <w:tcPr>
            <w:tcW w:w="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4060" w:type="dxa"/>
            <w:vAlign w:val="bottom"/>
            <w:gridSpan w:val="3"/>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4060" w:type="dxa"/>
            <w:vAlign w:val="bottom"/>
            <w:gridSpan w:val="3"/>
            <w:shd w:val="clear" w:color="auto" w:fill="D5EAEA"/>
          </w:tcPr>
          <w:p>
            <w:pPr>
              <w:spacing w:after="0"/>
              <w:rPr>
                <w:sz w:val="20"/>
                <w:szCs w:val="20"/>
                <w:color w:val="auto"/>
              </w:rPr>
            </w:pPr>
            <w:r>
              <w:rPr>
                <w:rFonts w:ascii="Arial" w:cs="Arial" w:eastAsia="Arial" w:hAnsi="Arial"/>
                <w:sz w:val="18"/>
                <w:szCs w:val="18"/>
                <w:color w:val="auto"/>
                <w:w w:val="93"/>
              </w:rPr>
              <w:t>Assumed initial public offering price per ordinary share</w:t>
            </w:r>
          </w:p>
        </w:tc>
        <w:tc>
          <w:tcPr>
            <w:tcW w:w="640" w:type="dxa"/>
            <w:vAlign w:val="bottom"/>
            <w:shd w:val="clear" w:color="auto" w:fill="D5EAEA"/>
          </w:tcPr>
          <w:p>
            <w:pPr>
              <w:spacing w:after="0"/>
              <w:rPr>
                <w:sz w:val="18"/>
                <w:szCs w:val="18"/>
                <w:color w:val="auto"/>
              </w:rPr>
            </w:pPr>
          </w:p>
        </w:tc>
        <w:tc>
          <w:tcPr>
            <w:tcW w:w="960" w:type="dxa"/>
            <w:vAlign w:val="bottom"/>
            <w:shd w:val="clear" w:color="auto" w:fill="D5EAEA"/>
          </w:tcPr>
          <w:p>
            <w:pPr>
              <w:spacing w:after="0"/>
              <w:rPr>
                <w:sz w:val="18"/>
                <w:szCs w:val="18"/>
                <w:color w:val="auto"/>
              </w:rPr>
            </w:pPr>
          </w:p>
        </w:tc>
        <w:tc>
          <w:tcPr>
            <w:tcW w:w="440" w:type="dxa"/>
            <w:vAlign w:val="bottom"/>
            <w:shd w:val="clear" w:color="auto" w:fill="D5EAEA"/>
          </w:tcPr>
          <w:p>
            <w:pPr>
              <w:spacing w:after="0"/>
              <w:rPr>
                <w:sz w:val="18"/>
                <w:szCs w:val="18"/>
                <w:color w:val="auto"/>
              </w:rPr>
            </w:pPr>
          </w:p>
        </w:tc>
        <w:tc>
          <w:tcPr>
            <w:tcW w:w="2040" w:type="dxa"/>
            <w:vAlign w:val="bottom"/>
            <w:shd w:val="clear" w:color="auto" w:fill="D5EAEA"/>
          </w:tcPr>
          <w:p>
            <w:pPr>
              <w:spacing w:after="0"/>
              <w:rPr>
                <w:sz w:val="18"/>
                <w:szCs w:val="18"/>
                <w:color w:val="auto"/>
              </w:rPr>
            </w:pPr>
          </w:p>
        </w:tc>
        <w:tc>
          <w:tcPr>
            <w:tcW w:w="118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180" w:type="dxa"/>
            <w:vAlign w:val="bottom"/>
            <w:gridSpan w:val="2"/>
            <w:shd w:val="clear" w:color="auto" w:fill="D5EAEA"/>
          </w:tcPr>
          <w:p>
            <w:pPr>
              <w:jc w:val="right"/>
              <w:ind w:right="1010"/>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D5EAEA"/>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660" w:type="dxa"/>
            <w:vAlign w:val="bottom"/>
            <w:gridSpan w:val="5"/>
          </w:tcPr>
          <w:p>
            <w:pPr>
              <w:spacing w:after="0"/>
              <w:rPr>
                <w:sz w:val="20"/>
                <w:szCs w:val="20"/>
                <w:color w:val="auto"/>
              </w:rPr>
            </w:pPr>
            <w:r>
              <w:rPr>
                <w:rFonts w:ascii="Arial" w:cs="Arial" w:eastAsia="Arial" w:hAnsi="Arial"/>
                <w:sz w:val="18"/>
                <w:szCs w:val="18"/>
                <w:color w:val="auto"/>
                <w:w w:val="97"/>
              </w:rPr>
              <w:t>Pro forma as adjusted net tangible book value (deficit) per ordinary share</w:t>
            </w:r>
          </w:p>
        </w:tc>
        <w:tc>
          <w:tcPr>
            <w:tcW w:w="440" w:type="dxa"/>
            <w:vAlign w:val="bottom"/>
          </w:tcPr>
          <w:p>
            <w:pPr>
              <w:spacing w:after="0"/>
              <w:rPr>
                <w:sz w:val="18"/>
                <w:szCs w:val="18"/>
                <w:color w:val="auto"/>
              </w:rPr>
            </w:pPr>
          </w:p>
        </w:tc>
        <w:tc>
          <w:tcPr>
            <w:tcW w:w="322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6100" w:type="dxa"/>
            <w:vAlign w:val="bottom"/>
            <w:gridSpan w:val="6"/>
            <w:shd w:val="clear" w:color="auto" w:fill="D5EAEA"/>
          </w:tcPr>
          <w:p>
            <w:pPr>
              <w:spacing w:after="0" w:line="201" w:lineRule="exact"/>
              <w:rPr>
                <w:sz w:val="20"/>
                <w:szCs w:val="20"/>
                <w:color w:val="auto"/>
              </w:rPr>
            </w:pPr>
            <w:r>
              <w:rPr>
                <w:rFonts w:ascii="Arial" w:cs="Arial" w:eastAsia="Arial" w:hAnsi="Arial"/>
                <w:sz w:val="18"/>
                <w:szCs w:val="18"/>
                <w:color w:val="auto"/>
                <w:w w:val="93"/>
              </w:rPr>
              <w:t>Increase in pro forma net tangible book value (deficit) per share attributable to this</w:t>
            </w:r>
          </w:p>
        </w:tc>
        <w:tc>
          <w:tcPr>
            <w:tcW w:w="2040" w:type="dxa"/>
            <w:vAlign w:val="bottom"/>
            <w:shd w:val="clear" w:color="auto" w:fill="D5EAEA"/>
          </w:tcPr>
          <w:p>
            <w:pPr>
              <w:spacing w:after="0"/>
              <w:rPr>
                <w:sz w:val="17"/>
                <w:szCs w:val="17"/>
                <w:color w:val="auto"/>
              </w:rPr>
            </w:pPr>
          </w:p>
        </w:tc>
        <w:tc>
          <w:tcPr>
            <w:tcW w:w="1180" w:type="dxa"/>
            <w:vAlign w:val="bottom"/>
            <w:shd w:val="clear" w:color="auto" w:fill="D5EAEA"/>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11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920" w:type="dxa"/>
            <w:vAlign w:val="bottom"/>
            <w:shd w:val="clear" w:color="auto" w:fill="D5EAEA"/>
          </w:tcPr>
          <w:p>
            <w:pPr>
              <w:ind w:left="120"/>
              <w:spacing w:after="0"/>
              <w:rPr>
                <w:sz w:val="20"/>
                <w:szCs w:val="20"/>
                <w:color w:val="auto"/>
              </w:rPr>
            </w:pPr>
            <w:r>
              <w:rPr>
                <w:rFonts w:ascii="Arial" w:cs="Arial" w:eastAsia="Arial" w:hAnsi="Arial"/>
                <w:sz w:val="18"/>
                <w:szCs w:val="18"/>
                <w:color w:val="auto"/>
              </w:rPr>
              <w:t>offering</w:t>
            </w:r>
          </w:p>
        </w:tc>
        <w:tc>
          <w:tcPr>
            <w:tcW w:w="780" w:type="dxa"/>
            <w:vAlign w:val="bottom"/>
            <w:shd w:val="clear" w:color="auto" w:fill="D5EAEA"/>
          </w:tcPr>
          <w:p>
            <w:pPr>
              <w:spacing w:after="0"/>
              <w:rPr>
                <w:sz w:val="20"/>
                <w:szCs w:val="20"/>
                <w:color w:val="auto"/>
              </w:rPr>
            </w:pPr>
          </w:p>
        </w:tc>
        <w:tc>
          <w:tcPr>
            <w:tcW w:w="1360" w:type="dxa"/>
            <w:vAlign w:val="bottom"/>
            <w:shd w:val="clear" w:color="auto" w:fill="D5EAEA"/>
          </w:tcPr>
          <w:p>
            <w:pPr>
              <w:spacing w:after="0"/>
              <w:rPr>
                <w:sz w:val="20"/>
                <w:szCs w:val="20"/>
                <w:color w:val="auto"/>
              </w:rPr>
            </w:pPr>
          </w:p>
        </w:tc>
        <w:tc>
          <w:tcPr>
            <w:tcW w:w="640" w:type="dxa"/>
            <w:vAlign w:val="bottom"/>
            <w:shd w:val="clear" w:color="auto" w:fill="D5EAEA"/>
          </w:tcPr>
          <w:p>
            <w:pPr>
              <w:spacing w:after="0"/>
              <w:rPr>
                <w:sz w:val="20"/>
                <w:szCs w:val="20"/>
                <w:color w:val="auto"/>
              </w:rPr>
            </w:pPr>
          </w:p>
        </w:tc>
        <w:tc>
          <w:tcPr>
            <w:tcW w:w="960" w:type="dxa"/>
            <w:vAlign w:val="bottom"/>
            <w:shd w:val="clear" w:color="auto" w:fill="D5EAEA"/>
          </w:tcPr>
          <w:p>
            <w:pPr>
              <w:spacing w:after="0"/>
              <w:rPr>
                <w:sz w:val="20"/>
                <w:szCs w:val="20"/>
                <w:color w:val="auto"/>
              </w:rPr>
            </w:pPr>
          </w:p>
        </w:tc>
        <w:tc>
          <w:tcPr>
            <w:tcW w:w="440" w:type="dxa"/>
            <w:vAlign w:val="bottom"/>
            <w:shd w:val="clear" w:color="auto" w:fill="D5EAEA"/>
          </w:tcPr>
          <w:p>
            <w:pPr>
              <w:spacing w:after="0"/>
              <w:rPr>
                <w:sz w:val="20"/>
                <w:szCs w:val="20"/>
                <w:color w:val="auto"/>
              </w:rPr>
            </w:pPr>
          </w:p>
        </w:tc>
        <w:tc>
          <w:tcPr>
            <w:tcW w:w="3220" w:type="dxa"/>
            <w:vAlign w:val="bottom"/>
            <w:gridSpan w:val="2"/>
            <w:shd w:val="clear" w:color="auto" w:fill="D5EAEA"/>
          </w:tcPr>
          <w:p>
            <w:pPr>
              <w:jc w:val="right"/>
              <w:ind w:right="1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D5EAEA"/>
          </w:tcPr>
          <w:p>
            <w:pPr>
              <w:spacing w:after="0"/>
              <w:rPr>
                <w:sz w:val="20"/>
                <w:szCs w:val="20"/>
                <w:color w:val="auto"/>
              </w:rPr>
            </w:pPr>
          </w:p>
        </w:tc>
        <w:tc>
          <w:tcPr>
            <w:tcW w:w="20" w:type="dxa"/>
            <w:vAlign w:val="bottom"/>
            <w:shd w:val="clear" w:color="auto" w:fill="D5EAEA"/>
          </w:tcPr>
          <w:p>
            <w:pPr>
              <w:spacing w:after="0"/>
              <w:rPr>
                <w:sz w:val="20"/>
                <w:szCs w:val="20"/>
                <w:color w:val="auto"/>
              </w:rPr>
            </w:pPr>
          </w:p>
        </w:tc>
        <w:tc>
          <w:tcPr>
            <w:tcW w:w="116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4700" w:type="dxa"/>
            <w:vAlign w:val="bottom"/>
            <w:gridSpan w:val="4"/>
          </w:tcPr>
          <w:p>
            <w:pPr>
              <w:spacing w:after="0" w:line="196" w:lineRule="exact"/>
              <w:rPr>
                <w:sz w:val="20"/>
                <w:szCs w:val="20"/>
                <w:color w:val="auto"/>
              </w:rPr>
            </w:pPr>
            <w:r>
              <w:rPr>
                <w:rFonts w:ascii="Arial" w:cs="Arial" w:eastAsia="Arial" w:hAnsi="Arial"/>
                <w:sz w:val="18"/>
                <w:szCs w:val="18"/>
                <w:color w:val="auto"/>
              </w:rPr>
              <w:t>Dilution per ordinary share to new investors in this offering</w:t>
            </w: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Borders>
              <w:bottom w:val="single" w:sz="8" w:color="auto"/>
            </w:tcBorders>
            <w:gridSpan w:val="2"/>
          </w:tcPr>
          <w:p>
            <w:pPr>
              <w:jc w:val="right"/>
              <w:ind w:right="1010"/>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60" w:type="dxa"/>
            <w:vAlign w:val="bottom"/>
            <w:gridSpan w:val="6"/>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960" w:type="dxa"/>
            <w:vAlign w:val="bottom"/>
            <w:gridSpan w:val="6"/>
          </w:tcPr>
          <w:p>
            <w:pPr>
              <w:spacing w:after="0"/>
              <w:rPr>
                <w:sz w:val="20"/>
                <w:szCs w:val="20"/>
                <w:color w:val="auto"/>
              </w:rPr>
            </w:pPr>
            <w:r>
              <w:rPr>
                <w:rFonts w:ascii="Arial" w:cs="Arial" w:eastAsia="Arial" w:hAnsi="Arial"/>
                <w:sz w:val="18"/>
                <w:szCs w:val="18"/>
                <w:color w:val="auto"/>
                <w:w w:val="99"/>
              </w:rPr>
              <w:t>A $1.00 increase (decrease) in the assumed initial public offering price of $</w:t>
            </w:r>
          </w:p>
        </w:tc>
        <w:tc>
          <w:tcPr>
            <w:tcW w:w="5440" w:type="dxa"/>
            <w:vAlign w:val="bottom"/>
            <w:gridSpan w:val="8"/>
          </w:tcPr>
          <w:p>
            <w:pPr>
              <w:spacing w:after="0"/>
              <w:rPr>
                <w:sz w:val="20"/>
                <w:szCs w:val="20"/>
                <w:color w:val="auto"/>
              </w:rPr>
            </w:pPr>
            <w:r>
              <w:rPr>
                <w:rFonts w:ascii="Arial" w:cs="Arial" w:eastAsia="Arial" w:hAnsi="Arial"/>
                <w:sz w:val="18"/>
                <w:szCs w:val="18"/>
                <w:color w:val="auto"/>
                <w:w w:val="92"/>
              </w:rPr>
              <w:t>per unit, the midpoint of the estimated offering price range set forth on the</w:t>
            </w:r>
          </w:p>
        </w:tc>
        <w:tc>
          <w:tcPr>
            <w:tcW w:w="0" w:type="dxa"/>
            <w:vAlign w:val="bottom"/>
          </w:tcPr>
          <w:p>
            <w:pPr>
              <w:spacing w:after="0"/>
              <w:rPr>
                <w:sz w:val="1"/>
                <w:szCs w:val="1"/>
                <w:color w:val="auto"/>
              </w:rPr>
            </w:pPr>
          </w:p>
        </w:tc>
      </w:tr>
      <w:tr>
        <w:trPr>
          <w:trHeight w:val="216"/>
        </w:trPr>
        <w:tc>
          <w:tcPr>
            <w:tcW w:w="11400" w:type="dxa"/>
            <w:vAlign w:val="bottom"/>
            <w:gridSpan w:val="14"/>
          </w:tcPr>
          <w:p>
            <w:pPr>
              <w:spacing w:after="0"/>
              <w:rPr>
                <w:sz w:val="20"/>
                <w:szCs w:val="20"/>
                <w:color w:val="auto"/>
              </w:rPr>
            </w:pPr>
            <w:r>
              <w:rPr>
                <w:rFonts w:ascii="Arial" w:cs="Arial" w:eastAsia="Arial" w:hAnsi="Arial"/>
                <w:sz w:val="18"/>
                <w:szCs w:val="18"/>
                <w:color w:val="auto"/>
                <w:w w:val="95"/>
              </w:rPr>
              <w:t>cover page of this prospectus, would increase (decrease) the pro forma as adjusted net tangible book value at December 31, 2017 by approximately $</w:t>
            </w:r>
          </w:p>
        </w:tc>
        <w:tc>
          <w:tcPr>
            <w:tcW w:w="0" w:type="dxa"/>
            <w:vAlign w:val="bottom"/>
          </w:tcPr>
          <w:p>
            <w:pPr>
              <w:spacing w:after="0"/>
              <w:rPr>
                <w:sz w:val="1"/>
                <w:szCs w:val="1"/>
                <w:color w:val="auto"/>
              </w:rPr>
            </w:pPr>
          </w:p>
        </w:tc>
      </w:tr>
      <w:tr>
        <w:trPr>
          <w:trHeight w:val="216"/>
        </w:trPr>
        <w:tc>
          <w:tcPr>
            <w:tcW w:w="2220" w:type="dxa"/>
            <w:vAlign w:val="bottom"/>
            <w:gridSpan w:val="2"/>
          </w:tcPr>
          <w:p>
            <w:pPr>
              <w:ind w:left="60"/>
              <w:spacing w:after="0"/>
              <w:rPr>
                <w:sz w:val="20"/>
                <w:szCs w:val="20"/>
                <w:color w:val="auto"/>
              </w:rPr>
            </w:pPr>
            <w:r>
              <w:rPr>
                <w:rFonts w:ascii="Arial" w:cs="Arial" w:eastAsia="Arial" w:hAnsi="Arial"/>
                <w:sz w:val="18"/>
                <w:szCs w:val="18"/>
                <w:color w:val="auto"/>
              </w:rPr>
              <w:t>million, or approximately $</w:t>
            </w:r>
          </w:p>
        </w:tc>
        <w:tc>
          <w:tcPr>
            <w:tcW w:w="3740" w:type="dxa"/>
            <w:vAlign w:val="bottom"/>
            <w:gridSpan w:val="4"/>
          </w:tcPr>
          <w:p>
            <w:pPr>
              <w:ind w:left="300"/>
              <w:spacing w:after="0"/>
              <w:rPr>
                <w:sz w:val="20"/>
                <w:szCs w:val="20"/>
                <w:color w:val="auto"/>
              </w:rPr>
            </w:pPr>
            <w:r>
              <w:rPr>
                <w:rFonts w:ascii="Arial" w:cs="Arial" w:eastAsia="Arial" w:hAnsi="Arial"/>
                <w:sz w:val="18"/>
                <w:szCs w:val="18"/>
                <w:color w:val="auto"/>
                <w:w w:val="91"/>
              </w:rPr>
              <w:t>per share and the dilution to new investors of $</w:t>
            </w:r>
          </w:p>
        </w:tc>
        <w:tc>
          <w:tcPr>
            <w:tcW w:w="440" w:type="dxa"/>
            <w:vAlign w:val="bottom"/>
          </w:tcPr>
          <w:p>
            <w:pPr>
              <w:spacing w:after="0"/>
              <w:rPr>
                <w:sz w:val="18"/>
                <w:szCs w:val="18"/>
                <w:color w:val="auto"/>
              </w:rPr>
            </w:pPr>
          </w:p>
        </w:tc>
        <w:tc>
          <w:tcPr>
            <w:tcW w:w="5000" w:type="dxa"/>
            <w:vAlign w:val="bottom"/>
            <w:gridSpan w:val="7"/>
          </w:tcPr>
          <w:p>
            <w:pPr>
              <w:ind w:left="40"/>
              <w:spacing w:after="0"/>
              <w:rPr>
                <w:sz w:val="20"/>
                <w:szCs w:val="20"/>
                <w:color w:val="auto"/>
              </w:rPr>
            </w:pPr>
            <w:r>
              <w:rPr>
                <w:rFonts w:ascii="Arial" w:cs="Arial" w:eastAsia="Arial" w:hAnsi="Arial"/>
                <w:sz w:val="18"/>
                <w:szCs w:val="18"/>
                <w:color w:val="auto"/>
                <w:w w:val="89"/>
              </w:rPr>
              <w:t>per share, assuming that the number of shares offered by us remains</w:t>
            </w:r>
          </w:p>
        </w:tc>
        <w:tc>
          <w:tcPr>
            <w:tcW w:w="0" w:type="dxa"/>
            <w:vAlign w:val="bottom"/>
          </w:tcPr>
          <w:p>
            <w:pPr>
              <w:spacing w:after="0"/>
              <w:rPr>
                <w:sz w:val="1"/>
                <w:szCs w:val="1"/>
                <w:color w:val="auto"/>
              </w:rPr>
            </w:pP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the same.</w:t>
            </w:r>
          </w:p>
        </w:tc>
        <w:tc>
          <w:tcPr>
            <w:tcW w:w="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We may also increase or decrease the number of shares we are offering. An increase of 1,000,000 units offered by us would result in pro forma as adjusted net</w:t>
      </w:r>
    </w:p>
    <w:p>
      <w:pPr>
        <w:spacing w:after="0" w:line="46"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tangible book value at December 31, 2017 of approximately $ million, or $ per share, and dilution to new investors of $ per share, assuming the public offering price per share remains the same. Similarly, a decrease of 1,000,000 units offered by us would result in pro forma as adjusted net</w:t>
      </w:r>
    </w:p>
    <w:p>
      <w:pPr>
        <w:spacing w:after="0" w:line="255" w:lineRule="auto"/>
        <w:rPr>
          <w:sz w:val="20"/>
          <w:szCs w:val="20"/>
          <w:color w:val="auto"/>
        </w:rPr>
      </w:pPr>
      <w:r>
        <w:rPr>
          <w:rFonts w:ascii="Arial" w:cs="Arial" w:eastAsia="Arial" w:hAnsi="Arial"/>
          <w:sz w:val="18"/>
          <w:szCs w:val="18"/>
          <w:color w:val="auto"/>
        </w:rPr>
        <w:t>tangible book value at December 31, 2017 of approximately $ million, or $ per share, and dilution to new investors of $ per share, assuming the public offering price per unit remains the same. The dilution information discussed above is illustrative only and will change based on the actual public offering price and other terms of this offering determined at pricing.</w:t>
      </w:r>
    </w:p>
    <w:p>
      <w:pPr>
        <w:spacing w:after="0" w:line="2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following table sets forth, as of December 31, 2017, on a pro forma as adjusted basis, the number of units purchased from us, the total consideration paid, or to be paid, and the average price per share paid, or to be paid, by existing shareholders and by the new investors, at an assumed initial public offering price</w:t>
      </w:r>
    </w:p>
    <w:p>
      <w:pPr>
        <w:ind w:right="80"/>
        <w:spacing w:after="0" w:line="261" w:lineRule="auto"/>
        <w:rPr>
          <w:sz w:val="20"/>
          <w:szCs w:val="20"/>
          <w:color w:val="auto"/>
        </w:rPr>
      </w:pPr>
      <w:r>
        <w:rPr>
          <w:rFonts w:ascii="Arial" w:cs="Arial" w:eastAsia="Arial" w:hAnsi="Arial"/>
          <w:sz w:val="18"/>
          <w:szCs w:val="18"/>
          <w:color w:val="auto"/>
        </w:rPr>
        <w:t>of $ per unit, the midpoint of the estimated offering price range set forth on the cover page of this prospectus, before deducting estimated underwriting discounts and commissions and offering expenses payable by us: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Total Consideration</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302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rPr>
              <w:t>Shares Purchased</w:t>
            </w:r>
          </w:p>
        </w:tc>
        <w:tc>
          <w:tcPr>
            <w:tcW w:w="240" w:type="dxa"/>
            <w:vAlign w:val="bottom"/>
          </w:tcPr>
          <w:p>
            <w:pPr>
              <w:spacing w:after="0"/>
              <w:rPr>
                <w:sz w:val="20"/>
                <w:szCs w:val="20"/>
                <w:color w:val="auto"/>
              </w:rPr>
            </w:pPr>
          </w:p>
        </w:tc>
        <w:tc>
          <w:tcPr>
            <w:tcW w:w="1880" w:type="dxa"/>
            <w:vAlign w:val="bottom"/>
            <w:tcBorders>
              <w:bottom w:val="single" w:sz="8" w:color="auto"/>
            </w:tcBorders>
            <w:gridSpan w:val="3"/>
          </w:tcPr>
          <w:p>
            <w:pPr>
              <w:jc w:val="center"/>
              <w:ind w:left="850"/>
              <w:spacing w:after="0"/>
              <w:rPr>
                <w:sz w:val="20"/>
                <w:szCs w:val="20"/>
                <w:color w:val="auto"/>
              </w:rPr>
            </w:pPr>
            <w:r>
              <w:rPr>
                <w:rFonts w:ascii="Arial" w:cs="Arial" w:eastAsia="Arial" w:hAnsi="Arial"/>
                <w:sz w:val="18"/>
                <w:szCs w:val="18"/>
                <w:b w:val="1"/>
                <w:bCs w:val="1"/>
                <w:color w:val="auto"/>
                <w:w w:val="87"/>
              </w:rPr>
              <w:t>(thousands)</w:t>
            </w:r>
          </w:p>
        </w:tc>
        <w:tc>
          <w:tcPr>
            <w:tcW w:w="9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Average Price</w:t>
            </w:r>
          </w:p>
        </w:tc>
      </w:tr>
      <w:tr>
        <w:trPr>
          <w:trHeight w:val="210"/>
        </w:trPr>
        <w:tc>
          <w:tcPr>
            <w:tcW w:w="3780" w:type="dxa"/>
            <w:vAlign w:val="bottom"/>
          </w:tcPr>
          <w:p>
            <w:pPr>
              <w:spacing w:after="0"/>
              <w:rPr>
                <w:sz w:val="18"/>
                <w:szCs w:val="18"/>
                <w:color w:val="auto"/>
              </w:rPr>
            </w:pPr>
          </w:p>
        </w:tc>
        <w:tc>
          <w:tcPr>
            <w:tcW w:w="1760" w:type="dxa"/>
            <w:vAlign w:val="bottom"/>
            <w:gridSpan w:val="2"/>
          </w:tcPr>
          <w:p>
            <w:pPr>
              <w:ind w:left="440"/>
              <w:spacing w:after="0"/>
              <w:rPr>
                <w:sz w:val="20"/>
                <w:szCs w:val="20"/>
                <w:color w:val="auto"/>
              </w:rPr>
            </w:pPr>
            <w:r>
              <w:rPr>
                <w:rFonts w:ascii="Arial" w:cs="Arial" w:eastAsia="Arial" w:hAnsi="Arial"/>
                <w:sz w:val="18"/>
                <w:szCs w:val="18"/>
                <w:b w:val="1"/>
                <w:bCs w:val="1"/>
                <w:color w:val="auto"/>
              </w:rPr>
              <w:t>Number</w:t>
            </w:r>
          </w:p>
        </w:tc>
        <w:tc>
          <w:tcPr>
            <w:tcW w:w="1260" w:type="dxa"/>
            <w:vAlign w:val="bottom"/>
          </w:tcPr>
          <w:p>
            <w:pPr>
              <w:ind w:left="340"/>
              <w:spacing w:after="0"/>
              <w:rPr>
                <w:sz w:val="20"/>
                <w:szCs w:val="20"/>
                <w:color w:val="auto"/>
              </w:rPr>
            </w:pPr>
            <w:r>
              <w:rPr>
                <w:rFonts w:ascii="Arial" w:cs="Arial" w:eastAsia="Arial" w:hAnsi="Arial"/>
                <w:sz w:val="18"/>
                <w:szCs w:val="18"/>
                <w:b w:val="1"/>
                <w:bCs w:val="1"/>
                <w:color w:val="auto"/>
              </w:rPr>
              <w:t>Percent</w:t>
            </w:r>
          </w:p>
        </w:tc>
        <w:tc>
          <w:tcPr>
            <w:tcW w:w="240" w:type="dxa"/>
            <w:vAlign w:val="bottom"/>
          </w:tcPr>
          <w:p>
            <w:pPr>
              <w:spacing w:after="0"/>
              <w:rPr>
                <w:sz w:val="18"/>
                <w:szCs w:val="18"/>
                <w:color w:val="auto"/>
              </w:rPr>
            </w:pPr>
          </w:p>
        </w:tc>
        <w:tc>
          <w:tcPr>
            <w:tcW w:w="1880" w:type="dxa"/>
            <w:vAlign w:val="bottom"/>
            <w:gridSpan w:val="3"/>
          </w:tcPr>
          <w:p>
            <w:pPr>
              <w:ind w:left="360"/>
              <w:spacing w:after="0"/>
              <w:rPr>
                <w:sz w:val="20"/>
                <w:szCs w:val="20"/>
                <w:color w:val="auto"/>
              </w:rPr>
            </w:pPr>
            <w:r>
              <w:rPr>
                <w:rFonts w:ascii="Arial" w:cs="Arial" w:eastAsia="Arial" w:hAnsi="Arial"/>
                <w:sz w:val="18"/>
                <w:szCs w:val="18"/>
                <w:b w:val="1"/>
                <w:bCs w:val="1"/>
                <w:color w:val="auto"/>
              </w:rPr>
              <w:t>Amount</w:t>
            </w:r>
          </w:p>
        </w:tc>
        <w:tc>
          <w:tcPr>
            <w:tcW w:w="940" w:type="dxa"/>
            <w:vAlign w:val="bottom"/>
          </w:tcPr>
          <w:p>
            <w:pPr>
              <w:ind w:left="20"/>
              <w:spacing w:after="0"/>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18"/>
                <w:szCs w:val="18"/>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Per Share</w:t>
            </w:r>
          </w:p>
        </w:tc>
      </w:tr>
      <w:tr>
        <w:trPr>
          <w:trHeight w:val="210"/>
        </w:trPr>
        <w:tc>
          <w:tcPr>
            <w:tcW w:w="378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Existing shareholders</w:t>
            </w:r>
          </w:p>
        </w:tc>
        <w:tc>
          <w:tcPr>
            <w:tcW w:w="1500" w:type="dxa"/>
            <w:vAlign w:val="bottom"/>
            <w:tcBorders>
              <w:top w:val="single" w:sz="8" w:color="auto"/>
            </w:tcBorders>
            <w:shd w:val="clear" w:color="auto" w:fill="D5EAEA"/>
          </w:tcPr>
          <w:p>
            <w:pPr>
              <w:spacing w:after="0"/>
              <w:rPr>
                <w:sz w:val="18"/>
                <w:szCs w:val="18"/>
                <w:color w:val="auto"/>
              </w:rPr>
            </w:pPr>
          </w:p>
        </w:tc>
        <w:tc>
          <w:tcPr>
            <w:tcW w:w="260" w:type="dxa"/>
            <w:vAlign w:val="bottom"/>
            <w:tcBorders>
              <w:top w:val="single" w:sz="8" w:color="D5EAEA"/>
            </w:tcBorders>
            <w:shd w:val="clear" w:color="auto" w:fill="D5EAEA"/>
          </w:tcPr>
          <w:p>
            <w:pPr>
              <w:spacing w:after="0"/>
              <w:rPr>
                <w:sz w:val="18"/>
                <w:szCs w:val="18"/>
                <w:color w:val="auto"/>
              </w:rPr>
            </w:pPr>
          </w:p>
        </w:tc>
        <w:tc>
          <w:tcPr>
            <w:tcW w:w="1260" w:type="dxa"/>
            <w:vAlign w:val="bottom"/>
            <w:tcBorders>
              <w:top w:val="single" w:sz="8" w:color="auto"/>
            </w:tcBorders>
            <w:shd w:val="clear" w:color="auto" w:fill="D5EAEA"/>
          </w:tcPr>
          <w:p>
            <w:pPr>
              <w:spacing w:after="0"/>
              <w:rPr>
                <w:sz w:val="18"/>
                <w:szCs w:val="18"/>
                <w:color w:val="auto"/>
              </w:rPr>
            </w:pPr>
          </w:p>
        </w:tc>
        <w:tc>
          <w:tcPr>
            <w:tcW w:w="240" w:type="dxa"/>
            <w:vAlign w:val="bottom"/>
            <w:tcBorders>
              <w:top w:val="single" w:sz="8" w:color="D5EAEA"/>
            </w:tcBorders>
            <w:shd w:val="clear" w:color="auto" w:fill="D5EAEA"/>
          </w:tcPr>
          <w:p>
            <w:pPr>
              <w:spacing w:after="0"/>
              <w:rPr>
                <w:sz w:val="18"/>
                <w:szCs w:val="18"/>
                <w:color w:val="auto"/>
              </w:rPr>
            </w:pPr>
          </w:p>
        </w:tc>
        <w:tc>
          <w:tcPr>
            <w:tcW w:w="1360" w:type="dxa"/>
            <w:vAlign w:val="bottom"/>
            <w:tcBorders>
              <w:top w:val="single" w:sz="8" w:color="auto"/>
            </w:tcBorders>
            <w:shd w:val="clear" w:color="auto" w:fill="D5EAEA"/>
          </w:tcPr>
          <w:p>
            <w:pPr>
              <w:jc w:val="right"/>
              <w:ind w:right="11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D5EAEA"/>
            </w:tcBorders>
            <w:shd w:val="clear" w:color="auto" w:fill="D5EAEA"/>
          </w:tcPr>
          <w:p>
            <w:pPr>
              <w:spacing w:after="0"/>
              <w:rPr>
                <w:sz w:val="18"/>
                <w:szCs w:val="18"/>
                <w:color w:val="auto"/>
              </w:rPr>
            </w:pPr>
          </w:p>
        </w:tc>
        <w:tc>
          <w:tcPr>
            <w:tcW w:w="300" w:type="dxa"/>
            <w:vAlign w:val="bottom"/>
            <w:tcBorders>
              <w:top w:val="single" w:sz="8" w:color="auto"/>
            </w:tcBorders>
            <w:shd w:val="clear" w:color="auto" w:fill="D5EAEA"/>
          </w:tcPr>
          <w:p>
            <w:pPr>
              <w:spacing w:after="0"/>
              <w:rPr>
                <w:sz w:val="18"/>
                <w:szCs w:val="18"/>
                <w:color w:val="auto"/>
              </w:rPr>
            </w:pPr>
          </w:p>
        </w:tc>
        <w:tc>
          <w:tcPr>
            <w:tcW w:w="940" w:type="dxa"/>
            <w:vAlign w:val="bottom"/>
            <w:tcBorders>
              <w:top w:val="single" w:sz="8" w:color="auto"/>
            </w:tcBorders>
            <w:shd w:val="clear" w:color="auto" w:fill="D5EAEA"/>
          </w:tcPr>
          <w:p>
            <w:pPr>
              <w:spacing w:after="0"/>
              <w:rPr>
                <w:sz w:val="18"/>
                <w:szCs w:val="18"/>
                <w:color w:val="auto"/>
              </w:rPr>
            </w:pPr>
          </w:p>
        </w:tc>
        <w:tc>
          <w:tcPr>
            <w:tcW w:w="200" w:type="dxa"/>
            <w:vAlign w:val="bottom"/>
            <w:tcBorders>
              <w:top w:val="single" w:sz="8" w:color="D5EAEA"/>
            </w:tcBorders>
            <w:shd w:val="clear" w:color="auto" w:fill="D5EAEA"/>
          </w:tcPr>
          <w:p>
            <w:pPr>
              <w:spacing w:after="0"/>
              <w:rPr>
                <w:sz w:val="18"/>
                <w:szCs w:val="18"/>
                <w:color w:val="auto"/>
              </w:rPr>
            </w:pPr>
          </w:p>
        </w:tc>
        <w:tc>
          <w:tcPr>
            <w:tcW w:w="1260" w:type="dxa"/>
            <w:vAlign w:val="bottom"/>
            <w:tcBorders>
              <w:top w:val="single" w:sz="8" w:color="auto"/>
            </w:tcBorders>
            <w:shd w:val="clear" w:color="auto" w:fill="D5EAEA"/>
          </w:tcPr>
          <w:p>
            <w:pPr>
              <w:jc w:val="right"/>
              <w:ind w:right="10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D5EAEA"/>
            </w:tcBorders>
            <w:shd w:val="clear" w:color="auto" w:fill="D5EAEA"/>
          </w:tcPr>
          <w:p>
            <w:pPr>
              <w:spacing w:after="0"/>
              <w:rPr>
                <w:sz w:val="18"/>
                <w:szCs w:val="18"/>
                <w:color w:val="auto"/>
              </w:rPr>
            </w:pPr>
          </w:p>
        </w:tc>
      </w:tr>
      <w:tr>
        <w:trPr>
          <w:trHeight w:val="216"/>
        </w:trPr>
        <w:tc>
          <w:tcPr>
            <w:tcW w:w="5540" w:type="dxa"/>
            <w:vAlign w:val="bottom"/>
            <w:gridSpan w:val="3"/>
          </w:tcPr>
          <w:p>
            <w:pPr>
              <w:spacing w:after="0"/>
              <w:rPr>
                <w:sz w:val="20"/>
                <w:szCs w:val="20"/>
                <w:color w:val="auto"/>
              </w:rPr>
            </w:pPr>
            <w:r>
              <w:rPr>
                <w:rFonts w:ascii="Arial" w:cs="Arial" w:eastAsia="Arial" w:hAnsi="Arial"/>
                <w:sz w:val="18"/>
                <w:szCs w:val="18"/>
                <w:color w:val="auto"/>
              </w:rPr>
              <w:t>New investors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780" w:type="dxa"/>
            <w:vAlign w:val="bottom"/>
            <w:tcBorders>
              <w:top w:val="single" w:sz="8" w:color="D5EAEA"/>
              <w:bottom w:val="single" w:sz="8" w:color="D5EAEA"/>
            </w:tcBorders>
            <w:shd w:val="clear" w:color="auto" w:fill="D5EAEA"/>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shd w:val="clear" w:color="auto" w:fill="D5EAEA"/>
          </w:tcPr>
          <w:p>
            <w:pPr>
              <w:spacing w:after="0"/>
              <w:rPr>
                <w:sz w:val="18"/>
                <w:szCs w:val="18"/>
                <w:color w:val="auto"/>
              </w:rPr>
            </w:pPr>
          </w:p>
        </w:tc>
        <w:tc>
          <w:tcPr>
            <w:tcW w:w="260" w:type="dxa"/>
            <w:vAlign w:val="bottom"/>
            <w:tcBorders>
              <w:top w:val="single" w:sz="8" w:color="D5EAEA"/>
              <w:bottom w:val="single" w:sz="8" w:color="D5EAEA"/>
            </w:tcBorders>
            <w:shd w:val="clear" w:color="auto" w:fill="D5EAEA"/>
          </w:tcPr>
          <w:p>
            <w:pPr>
              <w:spacing w:after="0"/>
              <w:rPr>
                <w:sz w:val="18"/>
                <w:szCs w:val="18"/>
                <w:color w:val="auto"/>
              </w:rPr>
            </w:pPr>
          </w:p>
        </w:tc>
        <w:tc>
          <w:tcPr>
            <w:tcW w:w="1260" w:type="dxa"/>
            <w:vAlign w:val="bottom"/>
            <w:tcBorders>
              <w:top w:val="single" w:sz="8" w:color="auto"/>
              <w:bottom w:val="single" w:sz="8" w:color="auto"/>
            </w:tcBorders>
            <w:shd w:val="clear" w:color="auto" w:fill="D5EAEA"/>
          </w:tcPr>
          <w:p>
            <w:pPr>
              <w:spacing w:after="0"/>
              <w:rPr>
                <w:sz w:val="18"/>
                <w:szCs w:val="18"/>
                <w:color w:val="auto"/>
              </w:rPr>
            </w:pPr>
          </w:p>
        </w:tc>
        <w:tc>
          <w:tcPr>
            <w:tcW w:w="240" w:type="dxa"/>
            <w:vAlign w:val="bottom"/>
            <w:tcBorders>
              <w:top w:val="single" w:sz="8" w:color="D5EAEA"/>
              <w:bottom w:val="single" w:sz="8" w:color="D5EAEA"/>
            </w:tcBorders>
            <w:shd w:val="clear" w:color="auto" w:fill="D5EAEA"/>
          </w:tcPr>
          <w:p>
            <w:pPr>
              <w:spacing w:after="0"/>
              <w:rPr>
                <w:sz w:val="18"/>
                <w:szCs w:val="18"/>
                <w:color w:val="auto"/>
              </w:rPr>
            </w:pPr>
          </w:p>
        </w:tc>
        <w:tc>
          <w:tcPr>
            <w:tcW w:w="1360" w:type="dxa"/>
            <w:vAlign w:val="bottom"/>
            <w:tcBorders>
              <w:top w:val="single" w:sz="8" w:color="auto"/>
              <w:bottom w:val="single" w:sz="8" w:color="auto"/>
            </w:tcBorders>
            <w:shd w:val="clear" w:color="auto" w:fill="D5EAEA"/>
          </w:tcPr>
          <w:p>
            <w:pPr>
              <w:jc w:val="right"/>
              <w:ind w:right="11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D5EAEA"/>
              <w:bottom w:val="single" w:sz="8" w:color="D5EAEA"/>
            </w:tcBorders>
            <w:shd w:val="clear" w:color="auto" w:fill="D5EAEA"/>
          </w:tcPr>
          <w:p>
            <w:pPr>
              <w:spacing w:after="0"/>
              <w:rPr>
                <w:sz w:val="18"/>
                <w:szCs w:val="18"/>
                <w:color w:val="auto"/>
              </w:rPr>
            </w:pPr>
          </w:p>
        </w:tc>
        <w:tc>
          <w:tcPr>
            <w:tcW w:w="300" w:type="dxa"/>
            <w:vAlign w:val="bottom"/>
            <w:tcBorders>
              <w:top w:val="single" w:sz="8" w:color="auto"/>
              <w:bottom w:val="single" w:sz="8" w:color="auto"/>
            </w:tcBorders>
            <w:shd w:val="clear" w:color="auto" w:fill="D5EAEA"/>
          </w:tcPr>
          <w:p>
            <w:pPr>
              <w:spacing w:after="0"/>
              <w:rPr>
                <w:sz w:val="18"/>
                <w:szCs w:val="18"/>
                <w:color w:val="auto"/>
              </w:rPr>
            </w:pPr>
          </w:p>
        </w:tc>
        <w:tc>
          <w:tcPr>
            <w:tcW w:w="940" w:type="dxa"/>
            <w:vAlign w:val="bottom"/>
            <w:tcBorders>
              <w:top w:val="single" w:sz="8" w:color="auto"/>
              <w:bottom w:val="single" w:sz="8" w:color="auto"/>
            </w:tcBorders>
            <w:shd w:val="clear" w:color="auto" w:fill="D5EAEA"/>
          </w:tcPr>
          <w:p>
            <w:pPr>
              <w:spacing w:after="0"/>
              <w:rPr>
                <w:sz w:val="18"/>
                <w:szCs w:val="18"/>
                <w:color w:val="auto"/>
              </w:rPr>
            </w:pPr>
          </w:p>
        </w:tc>
        <w:tc>
          <w:tcPr>
            <w:tcW w:w="200" w:type="dxa"/>
            <w:vAlign w:val="bottom"/>
            <w:tcBorders>
              <w:top w:val="single" w:sz="8" w:color="D5EAEA"/>
              <w:bottom w:val="single" w:sz="8" w:color="D5EAEA"/>
            </w:tcBorders>
            <w:shd w:val="clear" w:color="auto" w:fill="D5EAEA"/>
          </w:tcPr>
          <w:p>
            <w:pPr>
              <w:spacing w:after="0"/>
              <w:rPr>
                <w:sz w:val="18"/>
                <w:szCs w:val="18"/>
                <w:color w:val="auto"/>
              </w:rPr>
            </w:pPr>
          </w:p>
        </w:tc>
        <w:tc>
          <w:tcPr>
            <w:tcW w:w="1260" w:type="dxa"/>
            <w:vAlign w:val="bottom"/>
            <w:tcBorders>
              <w:top w:val="single" w:sz="8" w:color="auto"/>
              <w:bottom w:val="single" w:sz="8" w:color="D5EAEA"/>
            </w:tcBorders>
            <w:shd w:val="clear" w:color="auto" w:fill="D5EAEA"/>
          </w:tcPr>
          <w:p>
            <w:pPr>
              <w:spacing w:after="0"/>
              <w:rPr>
                <w:sz w:val="18"/>
                <w:szCs w:val="18"/>
                <w:color w:val="auto"/>
              </w:rPr>
            </w:pP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The foregoing tables assume no exercise of the underwriters’ over-allotment option or of outstanding options or warrants to purchase our shares after December 31, 2017. At December 31, 2017 and after giving effect to the IPO Transactions and the stock split, ordinary shares were subject to outstanding</w:t>
      </w:r>
    </w:p>
    <w:tbl>
      <w:tblPr>
        <w:tblLayout w:type="fixed"/>
        <w:tblInd w:w="0" w:type="dxa"/>
        <w:tblCellMar>
          <w:top w:w="0" w:type="dxa"/>
          <w:left w:w="0" w:type="dxa"/>
          <w:bottom w:w="0" w:type="dxa"/>
          <w:right w:w="0" w:type="dxa"/>
        </w:tblCellMar>
      </w:tblPr>
      <w:tr>
        <w:trPr>
          <w:trHeight w:val="202"/>
        </w:trPr>
        <w:tc>
          <w:tcPr>
            <w:tcW w:w="3560" w:type="dxa"/>
            <w:vAlign w:val="bottom"/>
          </w:tcPr>
          <w:p>
            <w:pPr>
              <w:spacing w:after="0" w:line="202" w:lineRule="exact"/>
              <w:rPr>
                <w:sz w:val="20"/>
                <w:szCs w:val="20"/>
                <w:color w:val="auto"/>
              </w:rPr>
            </w:pPr>
            <w:r>
              <w:rPr>
                <w:rFonts w:ascii="Arial" w:cs="Arial" w:eastAsia="Arial" w:hAnsi="Arial"/>
                <w:sz w:val="18"/>
                <w:szCs w:val="18"/>
                <w:color w:val="auto"/>
                <w:w w:val="90"/>
              </w:rPr>
              <w:t>options at a weighted average exercise price of $</w:t>
            </w:r>
          </w:p>
        </w:tc>
        <w:tc>
          <w:tcPr>
            <w:tcW w:w="2740" w:type="dxa"/>
            <w:vAlign w:val="bottom"/>
            <w:gridSpan w:val="2"/>
          </w:tcPr>
          <w:p>
            <w:pPr>
              <w:jc w:val="right"/>
              <w:ind w:right="570"/>
              <w:spacing w:after="0" w:line="202" w:lineRule="exact"/>
              <w:rPr>
                <w:sz w:val="20"/>
                <w:szCs w:val="20"/>
                <w:color w:val="auto"/>
              </w:rPr>
            </w:pPr>
            <w:r>
              <w:rPr>
                <w:rFonts w:ascii="Arial" w:cs="Arial" w:eastAsia="Arial" w:hAnsi="Arial"/>
                <w:sz w:val="18"/>
                <w:szCs w:val="18"/>
                <w:color w:val="auto"/>
              </w:rPr>
              <w:t>; warrants to purchase</w:t>
            </w:r>
          </w:p>
        </w:tc>
        <w:tc>
          <w:tcPr>
            <w:tcW w:w="4520" w:type="dxa"/>
            <w:vAlign w:val="bottom"/>
            <w:gridSpan w:val="3"/>
          </w:tcPr>
          <w:p>
            <w:pPr>
              <w:ind w:left="60"/>
              <w:spacing w:after="0" w:line="202" w:lineRule="exact"/>
              <w:rPr>
                <w:sz w:val="20"/>
                <w:szCs w:val="20"/>
                <w:color w:val="auto"/>
              </w:rPr>
            </w:pPr>
            <w:r>
              <w:rPr>
                <w:rFonts w:ascii="Arial" w:cs="Arial" w:eastAsia="Arial" w:hAnsi="Arial"/>
                <w:sz w:val="18"/>
                <w:szCs w:val="18"/>
                <w:color w:val="auto"/>
                <w:w w:val="95"/>
              </w:rPr>
              <w:t>ordinary shares were outstanding, at an exercise price of $</w:t>
            </w:r>
          </w:p>
        </w:tc>
        <w:tc>
          <w:tcPr>
            <w:tcW w:w="600" w:type="dxa"/>
            <w:vAlign w:val="bottom"/>
          </w:tcPr>
          <w:p>
            <w:pPr>
              <w:ind w:left="260"/>
              <w:spacing w:after="0" w:line="202" w:lineRule="exact"/>
              <w:rPr>
                <w:sz w:val="20"/>
                <w:szCs w:val="20"/>
                <w:color w:val="auto"/>
              </w:rPr>
            </w:pPr>
            <w:r>
              <w:rPr>
                <w:rFonts w:ascii="Arial" w:cs="Arial" w:eastAsia="Arial" w:hAnsi="Arial"/>
                <w:sz w:val="18"/>
                <w:szCs w:val="18"/>
                <w:color w:val="auto"/>
              </w:rPr>
              <w:t>per</w:t>
            </w:r>
          </w:p>
        </w:tc>
      </w:tr>
      <w:tr>
        <w:trPr>
          <w:trHeight w:val="216"/>
        </w:trPr>
        <w:tc>
          <w:tcPr>
            <w:tcW w:w="6300" w:type="dxa"/>
            <w:vAlign w:val="bottom"/>
            <w:gridSpan w:val="3"/>
          </w:tcPr>
          <w:p>
            <w:pPr>
              <w:spacing w:after="0"/>
              <w:rPr>
                <w:sz w:val="20"/>
                <w:szCs w:val="20"/>
                <w:color w:val="auto"/>
              </w:rPr>
            </w:pPr>
            <w:r>
              <w:rPr>
                <w:rFonts w:ascii="Arial" w:cs="Arial" w:eastAsia="Arial" w:hAnsi="Arial"/>
                <w:sz w:val="18"/>
                <w:szCs w:val="18"/>
                <w:color w:val="auto"/>
                <w:w w:val="90"/>
              </w:rPr>
              <w:t>share; warrants to purchase ordinary shares were outstanding, at an exercise price of $</w:t>
            </w:r>
          </w:p>
        </w:tc>
        <w:tc>
          <w:tcPr>
            <w:tcW w:w="3580" w:type="dxa"/>
            <w:vAlign w:val="bottom"/>
            <w:gridSpan w:val="2"/>
          </w:tcPr>
          <w:p>
            <w:pPr>
              <w:ind w:left="440"/>
              <w:spacing w:after="0"/>
              <w:rPr>
                <w:sz w:val="20"/>
                <w:szCs w:val="20"/>
                <w:color w:val="auto"/>
              </w:rPr>
            </w:pPr>
            <w:r>
              <w:rPr>
                <w:rFonts w:ascii="Arial" w:cs="Arial" w:eastAsia="Arial" w:hAnsi="Arial"/>
                <w:sz w:val="18"/>
                <w:szCs w:val="18"/>
                <w:color w:val="auto"/>
              </w:rPr>
              <w:t>per share; and warrants to purchase</w:t>
            </w: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ordinary shares</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were outstanding, at an exercise price of $</w:t>
            </w:r>
          </w:p>
        </w:tc>
        <w:tc>
          <w:tcPr>
            <w:tcW w:w="7860" w:type="dxa"/>
            <w:vAlign w:val="bottom"/>
            <w:gridSpan w:val="6"/>
          </w:tcPr>
          <w:p>
            <w:pPr>
              <w:ind w:left="20"/>
              <w:spacing w:after="0"/>
              <w:rPr>
                <w:sz w:val="20"/>
                <w:szCs w:val="20"/>
                <w:color w:val="auto"/>
              </w:rPr>
            </w:pPr>
            <w:r>
              <w:rPr>
                <w:rFonts w:ascii="Arial" w:cs="Arial" w:eastAsia="Arial" w:hAnsi="Arial"/>
                <w:sz w:val="18"/>
                <w:szCs w:val="18"/>
                <w:color w:val="auto"/>
                <w:w w:val="90"/>
              </w:rPr>
              <w:t>per share. See “Summary — The Offering.” To the extent these options and warrants are exercised there will</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be further dilution to new investors.</w:t>
            </w:r>
          </w:p>
        </w:tc>
        <w:tc>
          <w:tcPr>
            <w:tcW w:w="1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18"/>
        </w:trPr>
        <w:tc>
          <w:tcPr>
            <w:tcW w:w="9880" w:type="dxa"/>
            <w:vAlign w:val="bottom"/>
            <w:gridSpan w:val="5"/>
          </w:tcPr>
          <w:p>
            <w:pPr>
              <w:spacing w:after="0"/>
              <w:rPr>
                <w:sz w:val="20"/>
                <w:szCs w:val="20"/>
                <w:color w:val="auto"/>
              </w:rPr>
            </w:pPr>
            <w:r>
              <w:rPr>
                <w:rFonts w:ascii="Arial" w:cs="Arial" w:eastAsia="Arial" w:hAnsi="Arial"/>
                <w:sz w:val="18"/>
                <w:szCs w:val="18"/>
                <w:color w:val="auto"/>
                <w:w w:val="93"/>
              </w:rPr>
              <w:t>If the underwriters exercise the over-allotment option in full in this offering, our pro forma as adjusted net tangible book value will be $</w:t>
            </w:r>
          </w:p>
        </w:tc>
        <w:tc>
          <w:tcPr>
            <w:tcW w:w="1540" w:type="dxa"/>
            <w:vAlign w:val="bottom"/>
            <w:gridSpan w:val="2"/>
          </w:tcPr>
          <w:p>
            <w:pPr>
              <w:ind w:left="440"/>
              <w:spacing w:after="0"/>
              <w:rPr>
                <w:sz w:val="20"/>
                <w:szCs w:val="20"/>
                <w:color w:val="auto"/>
              </w:rPr>
            </w:pPr>
            <w:r>
              <w:rPr>
                <w:rFonts w:ascii="Arial" w:cs="Arial" w:eastAsia="Arial" w:hAnsi="Arial"/>
                <w:sz w:val="18"/>
                <w:szCs w:val="18"/>
                <w:color w:val="auto"/>
              </w:rPr>
              <w:t>million, or $</w:t>
            </w:r>
          </w:p>
        </w:tc>
      </w:tr>
      <w:tr>
        <w:trPr>
          <w:trHeight w:val="216"/>
        </w:trPr>
        <w:tc>
          <w:tcPr>
            <w:tcW w:w="8920" w:type="dxa"/>
            <w:vAlign w:val="bottom"/>
            <w:gridSpan w:val="4"/>
          </w:tcPr>
          <w:p>
            <w:pPr>
              <w:ind w:left="460"/>
              <w:spacing w:after="0"/>
              <w:rPr>
                <w:sz w:val="20"/>
                <w:szCs w:val="20"/>
                <w:color w:val="auto"/>
              </w:rPr>
            </w:pPr>
            <w:r>
              <w:rPr>
                <w:rFonts w:ascii="Arial" w:cs="Arial" w:eastAsia="Arial" w:hAnsi="Arial"/>
                <w:sz w:val="18"/>
                <w:szCs w:val="18"/>
                <w:color w:val="auto"/>
                <w:w w:val="92"/>
              </w:rPr>
              <w:t>per share, representing an immediate increase in pro forma as adjusted net tangible book value of approximately $</w:t>
            </w:r>
          </w:p>
        </w:tc>
        <w:tc>
          <w:tcPr>
            <w:tcW w:w="2500" w:type="dxa"/>
            <w:vAlign w:val="bottom"/>
            <w:gridSpan w:val="3"/>
          </w:tcPr>
          <w:p>
            <w:pPr>
              <w:ind w:left="260"/>
              <w:spacing w:after="0"/>
              <w:rPr>
                <w:sz w:val="20"/>
                <w:szCs w:val="20"/>
                <w:color w:val="auto"/>
              </w:rPr>
            </w:pPr>
            <w:r>
              <w:rPr>
                <w:rFonts w:ascii="Arial" w:cs="Arial" w:eastAsia="Arial" w:hAnsi="Arial"/>
                <w:sz w:val="18"/>
                <w:szCs w:val="18"/>
                <w:color w:val="auto"/>
                <w:w w:val="99"/>
              </w:rPr>
              <w:t>per share attributable to this</w:t>
            </w: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w w:val="97"/>
              </w:rPr>
              <w:t>offering to our existing shareholders and immediate dilution of $</w:t>
            </w:r>
          </w:p>
        </w:tc>
        <w:tc>
          <w:tcPr>
            <w:tcW w:w="4920" w:type="dxa"/>
            <w:vAlign w:val="bottom"/>
            <w:gridSpan w:val="3"/>
          </w:tcPr>
          <w:p>
            <w:pPr>
              <w:ind w:left="240"/>
              <w:spacing w:after="0"/>
              <w:rPr>
                <w:sz w:val="20"/>
                <w:szCs w:val="20"/>
                <w:color w:val="auto"/>
              </w:rPr>
            </w:pPr>
            <w:r>
              <w:rPr>
                <w:rFonts w:ascii="Arial" w:cs="Arial" w:eastAsia="Arial" w:hAnsi="Arial"/>
                <w:sz w:val="18"/>
                <w:szCs w:val="18"/>
                <w:color w:val="auto"/>
                <w:w w:val="99"/>
              </w:rPr>
              <w:t>per share to new investors purchasing units in the offering.</w:t>
            </w: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540"/>
        </w:trPr>
        <w:tc>
          <w:tcPr>
            <w:tcW w:w="35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55</w:t>
            </w:r>
          </w:p>
        </w:tc>
        <w:tc>
          <w:tcPr>
            <w:tcW w:w="2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5" w:right="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EXCHANGE RATES</w:t>
      </w:r>
    </w:p>
    <w:p>
      <w:pPr>
        <w:spacing w:after="0" w:line="246"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following table sets forth, for the periods indicated, the high, low, average and period-end exchange rates for the purchase of U.S. dollars expressed in NIS per U.S. dollar. The average rate is calculated by using the average of the Bank of Israel’s reported exchange rates on each day during a monthly period and on the last day of each month during an annual period. On May 11, 2018, the exchange rate as reported by the Bank of Israel was NIS 3.5690 to $1.00.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40" w:type="dxa"/>
            <w:vAlign w:val="bottom"/>
          </w:tcPr>
          <w:p>
            <w:pPr>
              <w:jc w:val="right"/>
              <w:ind w:right="410"/>
              <w:spacing w:after="0"/>
              <w:rPr>
                <w:sz w:val="20"/>
                <w:szCs w:val="20"/>
                <w:color w:val="auto"/>
              </w:rPr>
            </w:pPr>
            <w:r>
              <w:rPr>
                <w:rFonts w:ascii="Arial" w:cs="Arial" w:eastAsia="Arial" w:hAnsi="Arial"/>
                <w:sz w:val="18"/>
                <w:szCs w:val="18"/>
                <w:b w:val="1"/>
                <w:bCs w:val="1"/>
                <w:color w:val="auto"/>
              </w:rPr>
              <w:t>Average for</w:t>
            </w: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Period-end</w:t>
            </w:r>
          </w:p>
        </w:tc>
        <w:tc>
          <w:tcPr>
            <w:tcW w:w="16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Period</w:t>
            </w: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Low</w:t>
            </w: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High</w:t>
            </w:r>
          </w:p>
        </w:tc>
      </w:tr>
      <w:tr>
        <w:trPr>
          <w:trHeight w:val="210"/>
        </w:trPr>
        <w:tc>
          <w:tcPr>
            <w:tcW w:w="38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80" w:type="dxa"/>
            <w:vAlign w:val="bottom"/>
            <w:gridSpan w:val="2"/>
          </w:tcPr>
          <w:p>
            <w:pPr>
              <w:jc w:val="right"/>
              <w:ind w:right="830"/>
              <w:spacing w:after="0"/>
              <w:rPr>
                <w:sz w:val="20"/>
                <w:szCs w:val="20"/>
                <w:color w:val="auto"/>
              </w:rPr>
            </w:pPr>
            <w:r>
              <w:rPr>
                <w:rFonts w:ascii="Arial" w:cs="Arial" w:eastAsia="Arial" w:hAnsi="Arial"/>
                <w:sz w:val="18"/>
                <w:szCs w:val="18"/>
                <w:color w:val="auto"/>
              </w:rPr>
              <w:t>(NIS per U.S. dollar)</w:t>
            </w:r>
          </w:p>
        </w:tc>
        <w:tc>
          <w:tcPr>
            <w:tcW w:w="1220" w:type="dxa"/>
            <w:vAlign w:val="bottom"/>
          </w:tcPr>
          <w:p>
            <w:pPr>
              <w:spacing w:after="0"/>
              <w:rPr>
                <w:sz w:val="18"/>
                <w:szCs w:val="18"/>
                <w:color w:val="auto"/>
              </w:rPr>
            </w:pPr>
          </w:p>
        </w:tc>
      </w:tr>
      <w:tr>
        <w:trPr>
          <w:trHeight w:val="216"/>
        </w:trPr>
        <w:tc>
          <w:tcPr>
            <w:tcW w:w="3860" w:type="dxa"/>
            <w:vAlign w:val="bottom"/>
            <w:shd w:val="clear" w:color="auto" w:fill="D5EAEA"/>
          </w:tcPr>
          <w:p>
            <w:pPr>
              <w:spacing w:after="0"/>
              <w:rPr>
                <w:sz w:val="20"/>
                <w:szCs w:val="20"/>
                <w:color w:val="auto"/>
              </w:rPr>
            </w:pPr>
            <w:r>
              <w:rPr>
                <w:rFonts w:ascii="Arial" w:cs="Arial" w:eastAsia="Arial" w:hAnsi="Arial"/>
                <w:sz w:val="18"/>
                <w:szCs w:val="18"/>
                <w:color w:val="auto"/>
              </w:rPr>
              <w:t>Year Ended December 31:</w:t>
            </w:r>
          </w:p>
        </w:tc>
        <w:tc>
          <w:tcPr>
            <w:tcW w:w="1760" w:type="dxa"/>
            <w:vAlign w:val="bottom"/>
            <w:shd w:val="clear" w:color="auto" w:fill="D5EAEA"/>
          </w:tcPr>
          <w:p>
            <w:pPr>
              <w:spacing w:after="0"/>
              <w:rPr>
                <w:sz w:val="18"/>
                <w:szCs w:val="18"/>
                <w:color w:val="auto"/>
              </w:rPr>
            </w:pPr>
          </w:p>
        </w:tc>
        <w:tc>
          <w:tcPr>
            <w:tcW w:w="1500" w:type="dxa"/>
            <w:vAlign w:val="bottom"/>
            <w:shd w:val="clear" w:color="auto" w:fill="D5EAEA"/>
          </w:tcPr>
          <w:p>
            <w:pPr>
              <w:spacing w:after="0"/>
              <w:rPr>
                <w:sz w:val="18"/>
                <w:szCs w:val="18"/>
                <w:color w:val="auto"/>
              </w:rPr>
            </w:pPr>
          </w:p>
        </w:tc>
        <w:tc>
          <w:tcPr>
            <w:tcW w:w="1640" w:type="dxa"/>
            <w:vAlign w:val="bottom"/>
            <w:shd w:val="clear" w:color="auto" w:fill="D5EAEA"/>
          </w:tcPr>
          <w:p>
            <w:pPr>
              <w:spacing w:after="0"/>
              <w:rPr>
                <w:sz w:val="18"/>
                <w:szCs w:val="18"/>
                <w:color w:val="auto"/>
              </w:rPr>
            </w:pPr>
          </w:p>
        </w:tc>
        <w:tc>
          <w:tcPr>
            <w:tcW w:w="1440" w:type="dxa"/>
            <w:vAlign w:val="bottom"/>
            <w:shd w:val="clear" w:color="auto" w:fill="D5EAEA"/>
          </w:tcPr>
          <w:p>
            <w:pPr>
              <w:spacing w:after="0"/>
              <w:rPr>
                <w:sz w:val="18"/>
                <w:szCs w:val="18"/>
                <w:color w:val="auto"/>
              </w:rPr>
            </w:pPr>
          </w:p>
        </w:tc>
        <w:tc>
          <w:tcPr>
            <w:tcW w:w="1220" w:type="dxa"/>
            <w:vAlign w:val="bottom"/>
            <w:shd w:val="clear" w:color="auto" w:fill="D5EAEA"/>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2012</w:t>
            </w:r>
          </w:p>
        </w:tc>
        <w:tc>
          <w:tcPr>
            <w:tcW w:w="3260" w:type="dxa"/>
            <w:vAlign w:val="bottom"/>
            <w:gridSpan w:val="2"/>
          </w:tcPr>
          <w:p>
            <w:pPr>
              <w:jc w:val="right"/>
              <w:ind w:right="150"/>
              <w:spacing w:after="0"/>
              <w:rPr>
                <w:sz w:val="20"/>
                <w:szCs w:val="20"/>
                <w:color w:val="auto"/>
              </w:rPr>
            </w:pPr>
            <w:r>
              <w:rPr>
                <w:rFonts w:ascii="Arial" w:cs="Arial" w:eastAsia="Arial" w:hAnsi="Arial"/>
                <w:sz w:val="18"/>
                <w:szCs w:val="18"/>
                <w:color w:val="auto"/>
              </w:rPr>
              <w:t>3.7330</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3.8438</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3.7000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4.0840</w:t>
            </w:r>
          </w:p>
        </w:tc>
      </w:tr>
      <w:tr>
        <w:trPr>
          <w:trHeight w:val="216"/>
        </w:trPr>
        <w:tc>
          <w:tcPr>
            <w:tcW w:w="3860" w:type="dxa"/>
            <w:vAlign w:val="bottom"/>
            <w:shd w:val="clear" w:color="auto" w:fill="D5EAEA"/>
          </w:tcPr>
          <w:p>
            <w:pPr>
              <w:spacing w:after="0"/>
              <w:rPr>
                <w:sz w:val="20"/>
                <w:szCs w:val="20"/>
                <w:color w:val="auto"/>
              </w:rPr>
            </w:pPr>
            <w:r>
              <w:rPr>
                <w:rFonts w:ascii="Arial" w:cs="Arial" w:eastAsia="Arial" w:hAnsi="Arial"/>
                <w:sz w:val="18"/>
                <w:szCs w:val="18"/>
                <w:color w:val="auto"/>
              </w:rPr>
              <w:t>2013</w:t>
            </w:r>
          </w:p>
        </w:tc>
        <w:tc>
          <w:tcPr>
            <w:tcW w:w="3260" w:type="dxa"/>
            <w:vAlign w:val="bottom"/>
            <w:gridSpan w:val="2"/>
            <w:shd w:val="clear" w:color="auto" w:fill="D5EAEA"/>
          </w:tcPr>
          <w:p>
            <w:pPr>
              <w:jc w:val="right"/>
              <w:ind w:right="150"/>
              <w:spacing w:after="0"/>
              <w:rPr>
                <w:sz w:val="20"/>
                <w:szCs w:val="20"/>
                <w:color w:val="auto"/>
              </w:rPr>
            </w:pPr>
            <w:r>
              <w:rPr>
                <w:rFonts w:ascii="Arial" w:cs="Arial" w:eastAsia="Arial" w:hAnsi="Arial"/>
                <w:sz w:val="18"/>
                <w:szCs w:val="18"/>
                <w:color w:val="auto"/>
              </w:rPr>
              <w:t>3.4710</w:t>
            </w:r>
          </w:p>
        </w:tc>
        <w:tc>
          <w:tcPr>
            <w:tcW w:w="1640" w:type="dxa"/>
            <w:vAlign w:val="bottom"/>
            <w:shd w:val="clear" w:color="auto" w:fill="D5EAEA"/>
          </w:tcPr>
          <w:p>
            <w:pPr>
              <w:jc w:val="right"/>
              <w:ind w:right="270"/>
              <w:spacing w:after="0"/>
              <w:rPr>
                <w:sz w:val="20"/>
                <w:szCs w:val="20"/>
                <w:color w:val="auto"/>
              </w:rPr>
            </w:pPr>
            <w:r>
              <w:rPr>
                <w:rFonts w:ascii="Arial" w:cs="Arial" w:eastAsia="Arial" w:hAnsi="Arial"/>
                <w:sz w:val="18"/>
                <w:szCs w:val="18"/>
                <w:color w:val="auto"/>
              </w:rPr>
              <w:t>3.6023</w:t>
            </w:r>
          </w:p>
        </w:tc>
        <w:tc>
          <w:tcPr>
            <w:tcW w:w="1440" w:type="dxa"/>
            <w:vAlign w:val="bottom"/>
            <w:shd w:val="clear" w:color="auto" w:fill="D5EAEA"/>
          </w:tcPr>
          <w:p>
            <w:pPr>
              <w:jc w:val="right"/>
              <w:ind w:right="250"/>
              <w:spacing w:after="0"/>
              <w:rPr>
                <w:sz w:val="20"/>
                <w:szCs w:val="20"/>
                <w:color w:val="auto"/>
              </w:rPr>
            </w:pPr>
            <w:r>
              <w:rPr>
                <w:rFonts w:ascii="Arial" w:cs="Arial" w:eastAsia="Arial" w:hAnsi="Arial"/>
                <w:sz w:val="18"/>
                <w:szCs w:val="18"/>
                <w:color w:val="auto"/>
              </w:rPr>
              <w:t>3.4710</w:t>
            </w: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3.7910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2014</w:t>
            </w:r>
          </w:p>
        </w:tc>
        <w:tc>
          <w:tcPr>
            <w:tcW w:w="3260" w:type="dxa"/>
            <w:vAlign w:val="bottom"/>
            <w:gridSpan w:val="2"/>
          </w:tcPr>
          <w:p>
            <w:pPr>
              <w:jc w:val="right"/>
              <w:ind w:right="150"/>
              <w:spacing w:after="0"/>
              <w:rPr>
                <w:sz w:val="20"/>
                <w:szCs w:val="20"/>
                <w:color w:val="auto"/>
              </w:rPr>
            </w:pPr>
            <w:r>
              <w:rPr>
                <w:rFonts w:ascii="Arial" w:cs="Arial" w:eastAsia="Arial" w:hAnsi="Arial"/>
                <w:sz w:val="18"/>
                <w:szCs w:val="18"/>
                <w:color w:val="auto"/>
              </w:rPr>
              <w:t>3.8890</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3.5928</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3.4020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3.9940</w:t>
            </w:r>
          </w:p>
        </w:tc>
      </w:tr>
      <w:tr>
        <w:trPr>
          <w:trHeight w:val="216"/>
        </w:trPr>
        <w:tc>
          <w:tcPr>
            <w:tcW w:w="3860" w:type="dxa"/>
            <w:vAlign w:val="bottom"/>
            <w:shd w:val="clear" w:color="auto" w:fill="D5EAEA"/>
          </w:tcPr>
          <w:p>
            <w:pPr>
              <w:spacing w:after="0"/>
              <w:rPr>
                <w:sz w:val="20"/>
                <w:szCs w:val="20"/>
                <w:color w:val="auto"/>
              </w:rPr>
            </w:pPr>
            <w:r>
              <w:rPr>
                <w:rFonts w:ascii="Arial" w:cs="Arial" w:eastAsia="Arial" w:hAnsi="Arial"/>
                <w:sz w:val="18"/>
                <w:szCs w:val="18"/>
                <w:color w:val="auto"/>
              </w:rPr>
              <w:t>2015</w:t>
            </w:r>
          </w:p>
        </w:tc>
        <w:tc>
          <w:tcPr>
            <w:tcW w:w="3260" w:type="dxa"/>
            <w:vAlign w:val="bottom"/>
            <w:gridSpan w:val="2"/>
            <w:shd w:val="clear" w:color="auto" w:fill="D5EAEA"/>
          </w:tcPr>
          <w:p>
            <w:pPr>
              <w:jc w:val="right"/>
              <w:ind w:right="150"/>
              <w:spacing w:after="0"/>
              <w:rPr>
                <w:sz w:val="20"/>
                <w:szCs w:val="20"/>
                <w:color w:val="auto"/>
              </w:rPr>
            </w:pPr>
            <w:r>
              <w:rPr>
                <w:rFonts w:ascii="Arial" w:cs="Arial" w:eastAsia="Arial" w:hAnsi="Arial"/>
                <w:sz w:val="18"/>
                <w:szCs w:val="18"/>
                <w:color w:val="auto"/>
              </w:rPr>
              <w:t>3.9020</w:t>
            </w:r>
          </w:p>
        </w:tc>
        <w:tc>
          <w:tcPr>
            <w:tcW w:w="1640" w:type="dxa"/>
            <w:vAlign w:val="bottom"/>
            <w:shd w:val="clear" w:color="auto" w:fill="D5EAEA"/>
          </w:tcPr>
          <w:p>
            <w:pPr>
              <w:jc w:val="right"/>
              <w:ind w:right="270"/>
              <w:spacing w:after="0"/>
              <w:rPr>
                <w:sz w:val="20"/>
                <w:szCs w:val="20"/>
                <w:color w:val="auto"/>
              </w:rPr>
            </w:pPr>
            <w:r>
              <w:rPr>
                <w:rFonts w:ascii="Arial" w:cs="Arial" w:eastAsia="Arial" w:hAnsi="Arial"/>
                <w:sz w:val="18"/>
                <w:szCs w:val="18"/>
                <w:color w:val="auto"/>
              </w:rPr>
              <w:t>3.8869</w:t>
            </w:r>
          </w:p>
        </w:tc>
        <w:tc>
          <w:tcPr>
            <w:tcW w:w="1440" w:type="dxa"/>
            <w:vAlign w:val="bottom"/>
            <w:shd w:val="clear" w:color="auto" w:fill="D5EAEA"/>
          </w:tcPr>
          <w:p>
            <w:pPr>
              <w:jc w:val="right"/>
              <w:ind w:right="250"/>
              <w:spacing w:after="0"/>
              <w:rPr>
                <w:sz w:val="20"/>
                <w:szCs w:val="20"/>
                <w:color w:val="auto"/>
              </w:rPr>
            </w:pPr>
            <w:r>
              <w:rPr>
                <w:rFonts w:ascii="Arial" w:cs="Arial" w:eastAsia="Arial" w:hAnsi="Arial"/>
                <w:sz w:val="18"/>
                <w:szCs w:val="18"/>
                <w:color w:val="auto"/>
              </w:rPr>
              <w:t>3.7610</w:t>
            </w: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4.0530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2016</w:t>
            </w:r>
          </w:p>
        </w:tc>
        <w:tc>
          <w:tcPr>
            <w:tcW w:w="3260" w:type="dxa"/>
            <w:vAlign w:val="bottom"/>
            <w:gridSpan w:val="2"/>
          </w:tcPr>
          <w:p>
            <w:pPr>
              <w:jc w:val="right"/>
              <w:ind w:right="150"/>
              <w:spacing w:after="0"/>
              <w:rPr>
                <w:sz w:val="20"/>
                <w:szCs w:val="20"/>
                <w:color w:val="auto"/>
              </w:rPr>
            </w:pPr>
            <w:r>
              <w:rPr>
                <w:rFonts w:ascii="Arial" w:cs="Arial" w:eastAsia="Arial" w:hAnsi="Arial"/>
                <w:sz w:val="18"/>
                <w:szCs w:val="18"/>
                <w:color w:val="auto"/>
              </w:rPr>
              <w:t>3.8450</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3.8406</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3.7460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3.9830</w:t>
            </w:r>
          </w:p>
        </w:tc>
      </w:tr>
      <w:tr>
        <w:trPr>
          <w:trHeight w:val="216"/>
        </w:trPr>
        <w:tc>
          <w:tcPr>
            <w:tcW w:w="3860" w:type="dxa"/>
            <w:vAlign w:val="bottom"/>
            <w:shd w:val="clear" w:color="auto" w:fill="D5EAEA"/>
          </w:tcPr>
          <w:p>
            <w:pPr>
              <w:spacing w:after="0"/>
              <w:rPr>
                <w:sz w:val="20"/>
                <w:szCs w:val="20"/>
                <w:color w:val="auto"/>
              </w:rPr>
            </w:pPr>
            <w:r>
              <w:rPr>
                <w:rFonts w:ascii="Arial" w:cs="Arial" w:eastAsia="Arial" w:hAnsi="Arial"/>
                <w:sz w:val="18"/>
                <w:szCs w:val="18"/>
                <w:color w:val="auto"/>
              </w:rPr>
              <w:t>2017</w:t>
            </w:r>
          </w:p>
        </w:tc>
        <w:tc>
          <w:tcPr>
            <w:tcW w:w="3260" w:type="dxa"/>
            <w:vAlign w:val="bottom"/>
            <w:gridSpan w:val="2"/>
            <w:shd w:val="clear" w:color="auto" w:fill="D5EAEA"/>
          </w:tcPr>
          <w:p>
            <w:pPr>
              <w:jc w:val="right"/>
              <w:ind w:right="150"/>
              <w:spacing w:after="0"/>
              <w:rPr>
                <w:sz w:val="20"/>
                <w:szCs w:val="20"/>
                <w:color w:val="auto"/>
              </w:rPr>
            </w:pPr>
            <w:r>
              <w:rPr>
                <w:rFonts w:ascii="Arial" w:cs="Arial" w:eastAsia="Arial" w:hAnsi="Arial"/>
                <w:sz w:val="18"/>
                <w:szCs w:val="18"/>
                <w:color w:val="auto"/>
              </w:rPr>
              <w:t>3.4670</w:t>
            </w:r>
          </w:p>
        </w:tc>
        <w:tc>
          <w:tcPr>
            <w:tcW w:w="1640" w:type="dxa"/>
            <w:vAlign w:val="bottom"/>
            <w:shd w:val="clear" w:color="auto" w:fill="D5EAEA"/>
          </w:tcPr>
          <w:p>
            <w:pPr>
              <w:jc w:val="right"/>
              <w:ind w:right="270"/>
              <w:spacing w:after="0"/>
              <w:rPr>
                <w:sz w:val="20"/>
                <w:szCs w:val="20"/>
                <w:color w:val="auto"/>
              </w:rPr>
            </w:pPr>
            <w:r>
              <w:rPr>
                <w:rFonts w:ascii="Arial" w:cs="Arial" w:eastAsia="Arial" w:hAnsi="Arial"/>
                <w:sz w:val="18"/>
                <w:szCs w:val="18"/>
                <w:color w:val="auto"/>
              </w:rPr>
              <w:t>3.5997</w:t>
            </w:r>
          </w:p>
        </w:tc>
        <w:tc>
          <w:tcPr>
            <w:tcW w:w="1440" w:type="dxa"/>
            <w:vAlign w:val="bottom"/>
            <w:shd w:val="clear" w:color="auto" w:fill="D5EAEA"/>
          </w:tcPr>
          <w:p>
            <w:pPr>
              <w:jc w:val="right"/>
              <w:ind w:right="250"/>
              <w:spacing w:after="0"/>
              <w:rPr>
                <w:sz w:val="20"/>
                <w:szCs w:val="20"/>
                <w:color w:val="auto"/>
              </w:rPr>
            </w:pPr>
            <w:r>
              <w:rPr>
                <w:rFonts w:ascii="Arial" w:cs="Arial" w:eastAsia="Arial" w:hAnsi="Arial"/>
                <w:sz w:val="18"/>
                <w:szCs w:val="18"/>
                <w:color w:val="auto"/>
              </w:rPr>
              <w:t>3.4670</w:t>
            </w: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3.8600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Month Ended:</w:t>
            </w: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860" w:type="dxa"/>
            <w:vAlign w:val="bottom"/>
            <w:shd w:val="clear" w:color="auto" w:fill="D5EAEA"/>
          </w:tcPr>
          <w:p>
            <w:pPr>
              <w:spacing w:after="0"/>
              <w:rPr>
                <w:sz w:val="20"/>
                <w:szCs w:val="20"/>
                <w:color w:val="auto"/>
              </w:rPr>
            </w:pPr>
            <w:r>
              <w:rPr>
                <w:rFonts w:ascii="Arial" w:cs="Arial" w:eastAsia="Arial" w:hAnsi="Arial"/>
                <w:sz w:val="18"/>
                <w:szCs w:val="18"/>
                <w:color w:val="auto"/>
              </w:rPr>
              <w:t>January 31, 2018</w:t>
            </w:r>
          </w:p>
        </w:tc>
        <w:tc>
          <w:tcPr>
            <w:tcW w:w="3260" w:type="dxa"/>
            <w:vAlign w:val="bottom"/>
            <w:gridSpan w:val="2"/>
            <w:shd w:val="clear" w:color="auto" w:fill="D5EAEA"/>
          </w:tcPr>
          <w:p>
            <w:pPr>
              <w:jc w:val="right"/>
              <w:ind w:right="150"/>
              <w:spacing w:after="0"/>
              <w:rPr>
                <w:sz w:val="20"/>
                <w:szCs w:val="20"/>
                <w:color w:val="auto"/>
              </w:rPr>
            </w:pPr>
            <w:r>
              <w:rPr>
                <w:rFonts w:ascii="Arial" w:cs="Arial" w:eastAsia="Arial" w:hAnsi="Arial"/>
                <w:sz w:val="18"/>
                <w:szCs w:val="18"/>
                <w:color w:val="auto"/>
              </w:rPr>
              <w:t>3.4050</w:t>
            </w:r>
          </w:p>
        </w:tc>
        <w:tc>
          <w:tcPr>
            <w:tcW w:w="1640" w:type="dxa"/>
            <w:vAlign w:val="bottom"/>
            <w:shd w:val="clear" w:color="auto" w:fill="D5EAEA"/>
          </w:tcPr>
          <w:p>
            <w:pPr>
              <w:jc w:val="right"/>
              <w:ind w:right="270"/>
              <w:spacing w:after="0"/>
              <w:rPr>
                <w:sz w:val="20"/>
                <w:szCs w:val="20"/>
                <w:color w:val="auto"/>
              </w:rPr>
            </w:pPr>
            <w:r>
              <w:rPr>
                <w:rFonts w:ascii="Arial" w:cs="Arial" w:eastAsia="Arial" w:hAnsi="Arial"/>
                <w:sz w:val="18"/>
                <w:szCs w:val="18"/>
                <w:color w:val="auto"/>
              </w:rPr>
              <w:t>3.4232</w:t>
            </w:r>
          </w:p>
        </w:tc>
        <w:tc>
          <w:tcPr>
            <w:tcW w:w="1440" w:type="dxa"/>
            <w:vAlign w:val="bottom"/>
            <w:shd w:val="clear" w:color="auto" w:fill="D5EAEA"/>
          </w:tcPr>
          <w:p>
            <w:pPr>
              <w:jc w:val="right"/>
              <w:ind w:right="250"/>
              <w:spacing w:after="0"/>
              <w:rPr>
                <w:sz w:val="20"/>
                <w:szCs w:val="20"/>
                <w:color w:val="auto"/>
              </w:rPr>
            </w:pPr>
            <w:r>
              <w:rPr>
                <w:rFonts w:ascii="Arial" w:cs="Arial" w:eastAsia="Arial" w:hAnsi="Arial"/>
                <w:sz w:val="18"/>
                <w:szCs w:val="18"/>
                <w:color w:val="auto"/>
              </w:rPr>
              <w:t>3.3880</w:t>
            </w: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3.4600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February 28, 2018</w:t>
            </w:r>
          </w:p>
        </w:tc>
        <w:tc>
          <w:tcPr>
            <w:tcW w:w="3260" w:type="dxa"/>
            <w:vAlign w:val="bottom"/>
            <w:gridSpan w:val="2"/>
          </w:tcPr>
          <w:p>
            <w:pPr>
              <w:jc w:val="right"/>
              <w:ind w:right="150"/>
              <w:spacing w:after="0"/>
              <w:rPr>
                <w:sz w:val="20"/>
                <w:szCs w:val="20"/>
                <w:color w:val="auto"/>
              </w:rPr>
            </w:pPr>
            <w:r>
              <w:rPr>
                <w:rFonts w:ascii="Arial" w:cs="Arial" w:eastAsia="Arial" w:hAnsi="Arial"/>
                <w:sz w:val="18"/>
                <w:szCs w:val="18"/>
                <w:color w:val="auto"/>
              </w:rPr>
              <w:t>3.4850</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3.4944</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3.4270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3.5350</w:t>
            </w:r>
          </w:p>
        </w:tc>
      </w:tr>
      <w:tr>
        <w:trPr>
          <w:trHeight w:val="216"/>
        </w:trPr>
        <w:tc>
          <w:tcPr>
            <w:tcW w:w="3860" w:type="dxa"/>
            <w:vAlign w:val="bottom"/>
            <w:shd w:val="clear" w:color="auto" w:fill="D5EAEA"/>
          </w:tcPr>
          <w:p>
            <w:pPr>
              <w:spacing w:after="0"/>
              <w:rPr>
                <w:sz w:val="20"/>
                <w:szCs w:val="20"/>
                <w:color w:val="auto"/>
              </w:rPr>
            </w:pPr>
            <w:r>
              <w:rPr>
                <w:rFonts w:ascii="Arial" w:cs="Arial" w:eastAsia="Arial" w:hAnsi="Arial"/>
                <w:sz w:val="18"/>
                <w:szCs w:val="18"/>
                <w:color w:val="auto"/>
              </w:rPr>
              <w:t>March 31, 2018</w:t>
            </w:r>
          </w:p>
        </w:tc>
        <w:tc>
          <w:tcPr>
            <w:tcW w:w="3260" w:type="dxa"/>
            <w:vAlign w:val="bottom"/>
            <w:gridSpan w:val="2"/>
            <w:shd w:val="clear" w:color="auto" w:fill="D5EAEA"/>
          </w:tcPr>
          <w:p>
            <w:pPr>
              <w:jc w:val="right"/>
              <w:ind w:right="150"/>
              <w:spacing w:after="0"/>
              <w:rPr>
                <w:sz w:val="20"/>
                <w:szCs w:val="20"/>
                <w:color w:val="auto"/>
              </w:rPr>
            </w:pPr>
            <w:r>
              <w:rPr>
                <w:rFonts w:ascii="Arial" w:cs="Arial" w:eastAsia="Arial" w:hAnsi="Arial"/>
                <w:sz w:val="18"/>
                <w:szCs w:val="18"/>
                <w:color w:val="auto"/>
              </w:rPr>
              <w:t>3.5140</w:t>
            </w:r>
          </w:p>
        </w:tc>
        <w:tc>
          <w:tcPr>
            <w:tcW w:w="1640" w:type="dxa"/>
            <w:vAlign w:val="bottom"/>
            <w:shd w:val="clear" w:color="auto" w:fill="D5EAEA"/>
          </w:tcPr>
          <w:p>
            <w:pPr>
              <w:jc w:val="right"/>
              <w:ind w:right="270"/>
              <w:spacing w:after="0"/>
              <w:rPr>
                <w:sz w:val="20"/>
                <w:szCs w:val="20"/>
                <w:color w:val="auto"/>
              </w:rPr>
            </w:pPr>
            <w:r>
              <w:rPr>
                <w:rFonts w:ascii="Arial" w:cs="Arial" w:eastAsia="Arial" w:hAnsi="Arial"/>
                <w:sz w:val="18"/>
                <w:szCs w:val="18"/>
                <w:color w:val="auto"/>
              </w:rPr>
              <w:t>3.4689</w:t>
            </w:r>
          </w:p>
        </w:tc>
        <w:tc>
          <w:tcPr>
            <w:tcW w:w="1440" w:type="dxa"/>
            <w:vAlign w:val="bottom"/>
            <w:shd w:val="clear" w:color="auto" w:fill="D5EAEA"/>
          </w:tcPr>
          <w:p>
            <w:pPr>
              <w:jc w:val="right"/>
              <w:ind w:right="250"/>
              <w:spacing w:after="0"/>
              <w:rPr>
                <w:sz w:val="20"/>
                <w:szCs w:val="20"/>
                <w:color w:val="auto"/>
              </w:rPr>
            </w:pPr>
            <w:r>
              <w:rPr>
                <w:rFonts w:ascii="Arial" w:cs="Arial" w:eastAsia="Arial" w:hAnsi="Arial"/>
                <w:sz w:val="18"/>
                <w:szCs w:val="18"/>
                <w:color w:val="auto"/>
              </w:rPr>
              <w:t>3.4310</w:t>
            </w: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3.5140</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April 30, 2018</w:t>
            </w:r>
          </w:p>
        </w:tc>
        <w:tc>
          <w:tcPr>
            <w:tcW w:w="3260" w:type="dxa"/>
            <w:vAlign w:val="bottom"/>
            <w:gridSpan w:val="2"/>
          </w:tcPr>
          <w:p>
            <w:pPr>
              <w:jc w:val="right"/>
              <w:ind w:right="150"/>
              <w:spacing w:after="0"/>
              <w:rPr>
                <w:sz w:val="20"/>
                <w:szCs w:val="20"/>
                <w:color w:val="auto"/>
              </w:rPr>
            </w:pPr>
            <w:r>
              <w:rPr>
                <w:rFonts w:ascii="Arial" w:cs="Arial" w:eastAsia="Arial" w:hAnsi="Arial"/>
                <w:sz w:val="18"/>
                <w:szCs w:val="18"/>
                <w:color w:val="auto"/>
              </w:rPr>
              <w:t>3.5880</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3.5385</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3.5030</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3.5970</w:t>
            </w:r>
          </w:p>
        </w:tc>
      </w:tr>
      <w:tr>
        <w:trPr>
          <w:trHeight w:val="216"/>
        </w:trPr>
        <w:tc>
          <w:tcPr>
            <w:tcW w:w="3860" w:type="dxa"/>
            <w:vAlign w:val="bottom"/>
            <w:shd w:val="clear" w:color="auto" w:fill="D5EAEA"/>
          </w:tcPr>
          <w:p>
            <w:pPr>
              <w:spacing w:after="0"/>
              <w:rPr>
                <w:sz w:val="20"/>
                <w:szCs w:val="20"/>
                <w:color w:val="auto"/>
              </w:rPr>
            </w:pPr>
            <w:r>
              <w:rPr>
                <w:rFonts w:ascii="Arial" w:cs="Arial" w:eastAsia="Arial" w:hAnsi="Arial"/>
                <w:sz w:val="18"/>
                <w:szCs w:val="18"/>
                <w:color w:val="auto"/>
              </w:rPr>
              <w:t>May (through May 11, 2018)</w:t>
            </w:r>
          </w:p>
        </w:tc>
        <w:tc>
          <w:tcPr>
            <w:tcW w:w="3260" w:type="dxa"/>
            <w:vAlign w:val="bottom"/>
            <w:gridSpan w:val="2"/>
            <w:shd w:val="clear" w:color="auto" w:fill="D5EAEA"/>
          </w:tcPr>
          <w:p>
            <w:pPr>
              <w:jc w:val="right"/>
              <w:ind w:right="150"/>
              <w:spacing w:after="0"/>
              <w:rPr>
                <w:sz w:val="20"/>
                <w:szCs w:val="20"/>
                <w:color w:val="auto"/>
              </w:rPr>
            </w:pPr>
            <w:r>
              <w:rPr>
                <w:rFonts w:ascii="Arial" w:cs="Arial" w:eastAsia="Arial" w:hAnsi="Arial"/>
                <w:sz w:val="18"/>
                <w:szCs w:val="18"/>
                <w:color w:val="auto"/>
              </w:rPr>
              <w:t>3.5690</w:t>
            </w:r>
          </w:p>
        </w:tc>
        <w:tc>
          <w:tcPr>
            <w:tcW w:w="1640" w:type="dxa"/>
            <w:vAlign w:val="bottom"/>
            <w:shd w:val="clear" w:color="auto" w:fill="D5EAEA"/>
          </w:tcPr>
          <w:p>
            <w:pPr>
              <w:jc w:val="right"/>
              <w:ind w:right="270"/>
              <w:spacing w:after="0"/>
              <w:rPr>
                <w:sz w:val="20"/>
                <w:szCs w:val="20"/>
                <w:color w:val="auto"/>
              </w:rPr>
            </w:pPr>
            <w:r>
              <w:rPr>
                <w:rFonts w:ascii="Arial" w:cs="Arial" w:eastAsia="Arial" w:hAnsi="Arial"/>
                <w:sz w:val="18"/>
                <w:szCs w:val="18"/>
                <w:color w:val="auto"/>
              </w:rPr>
              <w:t>3.6065</w:t>
            </w:r>
          </w:p>
        </w:tc>
        <w:tc>
          <w:tcPr>
            <w:tcW w:w="1440" w:type="dxa"/>
            <w:vAlign w:val="bottom"/>
            <w:shd w:val="clear" w:color="auto" w:fill="D5EAEA"/>
          </w:tcPr>
          <w:p>
            <w:pPr>
              <w:jc w:val="right"/>
              <w:ind w:right="250"/>
              <w:spacing w:after="0"/>
              <w:rPr>
                <w:sz w:val="20"/>
                <w:szCs w:val="20"/>
                <w:color w:val="auto"/>
              </w:rPr>
            </w:pPr>
            <w:r>
              <w:rPr>
                <w:rFonts w:ascii="Arial" w:cs="Arial" w:eastAsia="Arial" w:hAnsi="Arial"/>
                <w:sz w:val="18"/>
                <w:szCs w:val="18"/>
                <w:color w:val="auto"/>
              </w:rPr>
              <w:t>3.5690</w:t>
            </w:r>
          </w:p>
        </w:tc>
        <w:tc>
          <w:tcPr>
            <w:tcW w:w="12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3.6320</w:t>
            </w:r>
          </w:p>
        </w:tc>
      </w:tr>
      <w:tr>
        <w:trPr>
          <w:trHeight w:val="756"/>
        </w:trPr>
        <w:tc>
          <w:tcPr>
            <w:tcW w:w="38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2"/>
          </w:tcPr>
          <w:p>
            <w:pPr>
              <w:jc w:val="right"/>
              <w:ind w:right="1250"/>
              <w:spacing w:after="0"/>
              <w:rPr>
                <w:sz w:val="20"/>
                <w:szCs w:val="20"/>
                <w:color w:val="auto"/>
              </w:rPr>
            </w:pPr>
            <w:r>
              <w:rPr>
                <w:rFonts w:ascii="Arial" w:cs="Arial" w:eastAsia="Arial" w:hAnsi="Arial"/>
                <w:sz w:val="18"/>
                <w:szCs w:val="18"/>
                <w:color w:val="auto"/>
              </w:rPr>
              <w:t>56</w:t>
            </w:r>
          </w:p>
        </w:tc>
        <w:tc>
          <w:tcPr>
            <w:tcW w:w="16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5" w:right="2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SELECTED FINANCIAL DATA</w:t>
      </w:r>
    </w:p>
    <w:p>
      <w:pPr>
        <w:spacing w:after="0" w:line="24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tables set forth our selected financial data. You should read the following selected financial and other data in conjunction with “Summary Financial Data”, “Management’s Discussion and Analysis of Financial Condition and Results of Operations” and our financial statements and related notes included elsewhere in this prospectus. Historical results are not necessarily indicative of the results that may be expected in the future. Our financial statements have been prepared in accordance with IFRS as issued by the IASB.</w:t>
      </w:r>
    </w:p>
    <w:p>
      <w:pPr>
        <w:spacing w:after="0" w:line="18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selected statements of comprehensive loss data for each of the years in the two-year period ended December 31, 2017 and the selected statements of financial position data as of December 31, 2017 are derived from our audited financial statements included elsewhere in this prospectus.</w:t>
      </w:r>
    </w:p>
    <w:p>
      <w:pPr>
        <w:spacing w:after="0" w:line="133"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17145</wp:posOffset>
            </wp:positionV>
            <wp:extent cx="14408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6" w:lineRule="exact"/>
        <w:rPr>
          <w:sz w:val="20"/>
          <w:szCs w:val="20"/>
          <w:color w:val="auto"/>
        </w:rPr>
      </w:pPr>
    </w:p>
    <w:p>
      <w:pPr>
        <w:ind w:left="8380"/>
        <w:spacing w:after="0"/>
        <w:tabs>
          <w:tab w:leader="none" w:pos="954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(In thousands, except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-130810</wp:posOffset>
            </wp:positionV>
            <wp:extent cx="14408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and per share data)</w:t>
      </w:r>
    </w:p>
    <w:p>
      <w:pPr>
        <w:sectPr>
          <w:pgSz w:w="11900" w:h="16838" w:orient="portrait"/>
          <w:cols w:equalWidth="0" w:num="1">
            <w:col w:w="11320"/>
          </w:cols>
          <w:pgMar w:left="240" w:top="225" w:right="339" w:bottom="1440" w:gutter="0" w:footer="0" w:header="0"/>
        </w:sectPr>
      </w:pP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Statements of comprehensive loss: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8"/>
          <w:szCs w:val="18"/>
          <w:color w:val="auto"/>
        </w:rPr>
        <w:t>General and administrative expenses</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Total 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Financial income:</w:t>
      </w:r>
    </w:p>
    <w:p>
      <w:pPr>
        <w:spacing w:after="0" w:line="23" w:lineRule="exact"/>
        <w:rPr>
          <w:sz w:val="20"/>
          <w:szCs w:val="20"/>
          <w:color w:val="auto"/>
        </w:rPr>
      </w:pPr>
    </w:p>
    <w:p>
      <w:pPr>
        <w:ind w:left="1140" w:right="1240"/>
        <w:spacing w:after="0" w:line="261" w:lineRule="auto"/>
        <w:rPr>
          <w:sz w:val="20"/>
          <w:szCs w:val="20"/>
          <w:color w:val="auto"/>
        </w:rPr>
      </w:pPr>
      <w:r>
        <w:rPr>
          <w:rFonts w:ascii="Arial" w:cs="Arial" w:eastAsia="Arial" w:hAnsi="Arial"/>
          <w:sz w:val="18"/>
          <w:szCs w:val="18"/>
          <w:color w:val="auto"/>
        </w:rPr>
        <w:t>Income from change in fair value of financial liabilities at fair value Other financial expenses,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-285115</wp:posOffset>
            </wp:positionV>
            <wp:extent cx="579755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2,768</w:t>
            </w:r>
          </w:p>
        </w:tc>
        <w:tc>
          <w:tcPr>
            <w:tcW w:w="100" w:type="dxa"/>
            <w:vAlign w:val="bottom"/>
          </w:tcPr>
          <w:p>
            <w:pPr>
              <w:spacing w:after="0"/>
              <w:rPr>
                <w:sz w:val="19"/>
                <w:szCs w:val="19"/>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2,648</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w:t>
            </w:r>
          </w:p>
        </w:tc>
        <w:tc>
          <w:tcPr>
            <w:tcW w:w="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w:t>
            </w:r>
          </w:p>
        </w:tc>
        <w:tc>
          <w:tcPr>
            <w:tcW w:w="60" w:type="dxa"/>
            <w:vAlign w:val="bottom"/>
          </w:tcPr>
          <w:p>
            <w:pPr>
              <w:spacing w:after="0"/>
              <w:rPr>
                <w:sz w:val="18"/>
                <w:szCs w:val="18"/>
                <w:color w:val="auto"/>
              </w:rPr>
            </w:pPr>
          </w:p>
        </w:tc>
      </w:tr>
      <w:tr>
        <w:trPr>
          <w:trHeight w:val="42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(4,311)</w:t>
            </w:r>
          </w:p>
        </w:tc>
      </w:t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19"/>
                <w:szCs w:val="19"/>
                <w:color w:val="auto"/>
              </w:rPr>
            </w:pPr>
          </w:p>
        </w:tc>
      </w:tr>
    </w:tbl>
    <w:p>
      <w:pPr>
        <w:spacing w:after="0" w:line="7" w:lineRule="exact"/>
        <w:rPr>
          <w:sz w:val="20"/>
          <w:szCs w:val="20"/>
          <w:color w:val="auto"/>
        </w:rPr>
      </w:pPr>
    </w:p>
    <w:p>
      <w:pPr>
        <w:sectPr>
          <w:pgSz w:w="11900" w:h="16838" w:orient="portrait"/>
          <w:cols w:equalWidth="0" w:num="2">
            <w:col w:w="7280" w:space="720"/>
            <w:col w:w="3320"/>
          </w:cols>
          <w:pgMar w:left="240" w:top="225" w:right="339" w:bottom="1440" w:gutter="0" w:footer="0" w:header="0"/>
          <w:type w:val="continuous"/>
        </w:sectPr>
      </w:pPr>
    </w:p>
    <w:tbl>
      <w:tblPr>
        <w:tblLayout w:type="fixed"/>
        <w:tblInd w:w="114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620" w:type="dxa"/>
            <w:vAlign w:val="bottom"/>
            <w:tcBorders>
              <w:top w:val="single" w:sz="8" w:color="D5EAEA"/>
            </w:tcBorders>
            <w:shd w:val="clear" w:color="auto" w:fill="D5EAEA"/>
          </w:tcPr>
          <w:p>
            <w:pPr>
              <w:spacing w:after="0" w:line="205" w:lineRule="exact"/>
              <w:rPr>
                <w:sz w:val="20"/>
                <w:szCs w:val="20"/>
                <w:color w:val="auto"/>
              </w:rPr>
            </w:pPr>
            <w:r>
              <w:rPr>
                <w:rFonts w:ascii="Arial" w:cs="Arial" w:eastAsia="Arial" w:hAnsi="Arial"/>
                <w:sz w:val="18"/>
                <w:szCs w:val="18"/>
                <w:color w:val="auto"/>
              </w:rPr>
              <w:t>Financial (income) expenses, net</w:t>
            </w:r>
          </w:p>
        </w:tc>
        <w:tc>
          <w:tcPr>
            <w:tcW w:w="240" w:type="dxa"/>
            <w:vAlign w:val="bottom"/>
            <w:tcBorders>
              <w:top w:val="single" w:sz="8" w:color="D5EAEA"/>
            </w:tcBorders>
            <w:shd w:val="clear" w:color="auto" w:fill="D5EAEA"/>
          </w:tcPr>
          <w:p>
            <w:pPr>
              <w:spacing w:after="0"/>
              <w:rPr>
                <w:sz w:val="17"/>
                <w:szCs w:val="17"/>
                <w:color w:val="auto"/>
              </w:rPr>
            </w:pPr>
          </w:p>
        </w:tc>
        <w:tc>
          <w:tcPr>
            <w:tcW w:w="300" w:type="dxa"/>
            <w:vAlign w:val="bottom"/>
            <w:tcBorders>
              <w:top w:val="single" w:sz="8" w:color="auto"/>
              <w:bottom w:val="single" w:sz="8" w:color="auto"/>
            </w:tcBorders>
            <w:shd w:val="clear" w:color="auto" w:fill="D5EAEA"/>
          </w:tcPr>
          <w:p>
            <w:pPr>
              <w:spacing w:after="0"/>
              <w:rPr>
                <w:sz w:val="17"/>
                <w:szCs w:val="17"/>
                <w:color w:val="auto"/>
              </w:rPr>
            </w:pPr>
          </w:p>
        </w:tc>
        <w:tc>
          <w:tcPr>
            <w:tcW w:w="720" w:type="dxa"/>
            <w:vAlign w:val="bottom"/>
            <w:tcBorders>
              <w:top w:val="single" w:sz="8" w:color="auto"/>
              <w:bottom w:val="single" w:sz="8" w:color="auto"/>
            </w:tcBorders>
            <w:shd w:val="clear" w:color="auto" w:fill="D5EAEA"/>
          </w:tcPr>
          <w:p>
            <w:pPr>
              <w:jc w:val="right"/>
              <w:spacing w:after="0" w:line="205" w:lineRule="exact"/>
              <w:rPr>
                <w:sz w:val="20"/>
                <w:szCs w:val="20"/>
                <w:color w:val="auto"/>
              </w:rPr>
            </w:pPr>
            <w:r>
              <w:rPr>
                <w:rFonts w:ascii="Arial" w:cs="Arial" w:eastAsia="Arial" w:hAnsi="Arial"/>
                <w:sz w:val="18"/>
                <w:szCs w:val="18"/>
                <w:color w:val="auto"/>
              </w:rPr>
              <w:t>(146</w:t>
            </w:r>
          </w:p>
        </w:tc>
        <w:tc>
          <w:tcPr>
            <w:tcW w:w="100" w:type="dxa"/>
            <w:vAlign w:val="bottom"/>
            <w:tcBorders>
              <w:top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D5EAEA"/>
            </w:tcBorders>
            <w:shd w:val="clear" w:color="auto" w:fill="D5EAEA"/>
          </w:tcPr>
          <w:p>
            <w:pPr>
              <w:spacing w:after="0"/>
              <w:rPr>
                <w:sz w:val="17"/>
                <w:szCs w:val="17"/>
                <w:color w:val="auto"/>
              </w:rPr>
            </w:pPr>
          </w:p>
        </w:tc>
        <w:tc>
          <w:tcPr>
            <w:tcW w:w="300" w:type="dxa"/>
            <w:vAlign w:val="bottom"/>
            <w:tcBorders>
              <w:top w:val="single" w:sz="8" w:color="auto"/>
              <w:bottom w:val="single" w:sz="8" w:color="auto"/>
            </w:tcBorders>
            <w:shd w:val="clear" w:color="auto" w:fill="D5EAEA"/>
          </w:tcPr>
          <w:p>
            <w:pPr>
              <w:spacing w:after="0"/>
              <w:rPr>
                <w:sz w:val="17"/>
                <w:szCs w:val="17"/>
                <w:color w:val="auto"/>
              </w:rPr>
            </w:pPr>
          </w:p>
        </w:tc>
        <w:tc>
          <w:tcPr>
            <w:tcW w:w="700" w:type="dxa"/>
            <w:vAlign w:val="bottom"/>
            <w:tcBorders>
              <w:top w:val="single" w:sz="8" w:color="auto"/>
              <w:bottom w:val="single" w:sz="8" w:color="auto"/>
            </w:tcBorders>
            <w:shd w:val="clear" w:color="auto" w:fill="D5EAEA"/>
          </w:tcPr>
          <w:p>
            <w:pPr>
              <w:jc w:val="right"/>
              <w:spacing w:after="0" w:line="205" w:lineRule="exact"/>
              <w:rPr>
                <w:sz w:val="20"/>
                <w:szCs w:val="20"/>
                <w:color w:val="auto"/>
              </w:rPr>
            </w:pPr>
            <w:r>
              <w:rPr>
                <w:rFonts w:ascii="Arial" w:cs="Arial" w:eastAsia="Arial" w:hAnsi="Arial"/>
                <w:sz w:val="18"/>
                <w:szCs w:val="18"/>
                <w:color w:val="auto"/>
              </w:rPr>
              <w:t>(4,168</w:t>
            </w:r>
          </w:p>
        </w:tc>
        <w:tc>
          <w:tcPr>
            <w:tcW w:w="80" w:type="dxa"/>
            <w:vAlign w:val="bottom"/>
            <w:tcBorders>
              <w:top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Net comprehensive loss</w:t>
            </w:r>
          </w:p>
        </w:tc>
        <w:tc>
          <w:tcPr>
            <w:tcW w:w="240" w:type="dxa"/>
            <w:vAlign w:val="bottom"/>
            <w:tcBorders>
              <w:bottom w:val="single" w:sz="8" w:color="D5EAEA"/>
            </w:tcBorders>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11,197</w:t>
            </w:r>
          </w:p>
        </w:tc>
        <w:tc>
          <w:tcPr>
            <w:tcW w:w="100" w:type="dxa"/>
            <w:vAlign w:val="bottom"/>
            <w:tcBorders>
              <w:bottom w:val="single" w:sz="8" w:color="D5EAEA"/>
            </w:tcBorders>
          </w:tcPr>
          <w:p>
            <w:pPr>
              <w:spacing w:after="0"/>
              <w:rPr>
                <w:sz w:val="18"/>
                <w:szCs w:val="18"/>
                <w:color w:val="auto"/>
              </w:rPr>
            </w:pPr>
          </w:p>
        </w:tc>
        <w:tc>
          <w:tcPr>
            <w:tcW w:w="60" w:type="dxa"/>
            <w:vAlign w:val="bottom"/>
            <w:tcBorders>
              <w:bottom w:val="single" w:sz="8" w:color="D5EAEA"/>
            </w:tcBorders>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80" w:type="dxa"/>
            <w:vAlign w:val="bottom"/>
            <w:tcBorders>
              <w:bottom w:val="single" w:sz="8" w:color="D5EAEA"/>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D5EAEA"/>
          </w:tcPr>
          <w:p>
            <w:pPr>
              <w:spacing w:after="0"/>
              <w:rPr>
                <w:sz w:val="20"/>
                <w:szCs w:val="20"/>
                <w:color w:val="auto"/>
              </w:rPr>
            </w:pPr>
            <w:r>
              <w:rPr>
                <w:rFonts w:ascii="Arial" w:cs="Arial" w:eastAsia="Arial" w:hAnsi="Arial"/>
                <w:sz w:val="18"/>
                <w:szCs w:val="18"/>
                <w:color w:val="auto"/>
              </w:rPr>
              <w:t>Loss per ordinary share (1)</w:t>
            </w:r>
          </w:p>
        </w:tc>
        <w:tc>
          <w:tcPr>
            <w:tcW w:w="240" w:type="dxa"/>
            <w:vAlign w:val="bottom"/>
            <w:shd w:val="clear" w:color="auto" w:fill="D5EAEA"/>
          </w:tcPr>
          <w:p>
            <w:pPr>
              <w:spacing w:after="0"/>
              <w:rPr>
                <w:sz w:val="18"/>
                <w:szCs w:val="18"/>
                <w:color w:val="auto"/>
              </w:rPr>
            </w:pPr>
          </w:p>
        </w:tc>
        <w:tc>
          <w:tcPr>
            <w:tcW w:w="300" w:type="dxa"/>
            <w:vAlign w:val="bottom"/>
            <w:tcBorders>
              <w:bottom w:val="single" w:sz="8" w:color="auto"/>
            </w:tcBorders>
            <w:shd w:val="clear" w:color="auto" w:fill="D5EAEA"/>
          </w:tcPr>
          <w:p>
            <w:pPr>
              <w:spacing w:after="0"/>
              <w:rPr>
                <w:sz w:val="18"/>
                <w:szCs w:val="18"/>
                <w:color w:val="auto"/>
              </w:rPr>
            </w:pPr>
          </w:p>
        </w:tc>
        <w:tc>
          <w:tcPr>
            <w:tcW w:w="720" w:type="dxa"/>
            <w:vAlign w:val="bottom"/>
            <w:tcBorders>
              <w:bottom w:val="single" w:sz="8" w:color="auto"/>
            </w:tcBorders>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300" w:type="dxa"/>
            <w:vAlign w:val="bottom"/>
            <w:tcBorders>
              <w:bottom w:val="single" w:sz="8" w:color="auto"/>
            </w:tcBorders>
            <w:shd w:val="clear" w:color="auto" w:fill="D5EAEA"/>
          </w:tcPr>
          <w:p>
            <w:pPr>
              <w:spacing w:after="0"/>
              <w:rPr>
                <w:sz w:val="18"/>
                <w:szCs w:val="18"/>
                <w:color w:val="auto"/>
              </w:rPr>
            </w:pPr>
          </w:p>
        </w:tc>
        <w:tc>
          <w:tcPr>
            <w:tcW w:w="700" w:type="dxa"/>
            <w:vAlign w:val="bottom"/>
            <w:tcBorders>
              <w:bottom w:val="single" w:sz="8" w:color="auto"/>
            </w:tcBorders>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6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D5EAEA"/>
            </w:tcBorders>
          </w:tcPr>
          <w:p>
            <w:pPr>
              <w:spacing w:after="0"/>
              <w:rPr>
                <w:sz w:val="22"/>
                <w:szCs w:val="22"/>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D5EAEA"/>
            </w:tcBorders>
          </w:tcPr>
          <w:p>
            <w:pPr>
              <w:spacing w:after="0"/>
              <w:rPr>
                <w:sz w:val="22"/>
                <w:szCs w:val="22"/>
                <w:color w:val="auto"/>
              </w:rPr>
            </w:pPr>
          </w:p>
        </w:tc>
        <w:tc>
          <w:tcPr>
            <w:tcW w:w="60" w:type="dxa"/>
            <w:vAlign w:val="bottom"/>
            <w:tcBorders>
              <w:bottom w:val="single" w:sz="8" w:color="D5EAEA"/>
            </w:tcBorders>
          </w:tcPr>
          <w:p>
            <w:pPr>
              <w:spacing w:after="0"/>
              <w:rPr>
                <w:sz w:val="22"/>
                <w:szCs w:val="22"/>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D5EAEA"/>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Borders>
              <w:bottom w:val="single" w:sz="8" w:color="D5EAEA"/>
            </w:tcBorders>
            <w:shd w:val="clear" w:color="auto" w:fill="D5EAEA"/>
          </w:tcPr>
          <w:p>
            <w:pPr>
              <w:spacing w:after="0" w:line="190"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D5EAEA"/>
            </w:tcBorders>
            <w:shd w:val="clear" w:color="auto" w:fill="D5EAEA"/>
          </w:tcPr>
          <w:p>
            <w:pPr>
              <w:spacing w:after="0"/>
              <w:rPr>
                <w:sz w:val="17"/>
                <w:szCs w:val="17"/>
                <w:color w:val="auto"/>
              </w:rPr>
            </w:pPr>
          </w:p>
        </w:tc>
        <w:tc>
          <w:tcPr>
            <w:tcW w:w="300" w:type="dxa"/>
            <w:vAlign w:val="bottom"/>
            <w:tcBorders>
              <w:bottom w:val="single" w:sz="8" w:color="auto"/>
            </w:tcBorders>
            <w:shd w:val="clear" w:color="auto" w:fill="D5EAEA"/>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324</w:t>
            </w:r>
          </w:p>
        </w:tc>
        <w:tc>
          <w:tcPr>
            <w:tcW w:w="100" w:type="dxa"/>
            <w:vAlign w:val="bottom"/>
            <w:tcBorders>
              <w:bottom w:val="single" w:sz="8" w:color="D5EAEA"/>
            </w:tcBorders>
            <w:shd w:val="clear" w:color="auto" w:fill="D5EAEA"/>
          </w:tcPr>
          <w:p>
            <w:pPr>
              <w:spacing w:after="0"/>
              <w:rPr>
                <w:sz w:val="17"/>
                <w:szCs w:val="17"/>
                <w:color w:val="auto"/>
              </w:rPr>
            </w:pPr>
          </w:p>
        </w:tc>
        <w:tc>
          <w:tcPr>
            <w:tcW w:w="60" w:type="dxa"/>
            <w:vAlign w:val="bottom"/>
            <w:tcBorders>
              <w:bottom w:val="single" w:sz="8" w:color="D5EAEA"/>
            </w:tcBorders>
            <w:shd w:val="clear" w:color="auto" w:fill="D5EAEA"/>
          </w:tcPr>
          <w:p>
            <w:pPr>
              <w:spacing w:after="0"/>
              <w:rPr>
                <w:sz w:val="17"/>
                <w:szCs w:val="17"/>
                <w:color w:val="auto"/>
              </w:rPr>
            </w:pPr>
          </w:p>
        </w:tc>
        <w:tc>
          <w:tcPr>
            <w:tcW w:w="300" w:type="dxa"/>
            <w:vAlign w:val="bottom"/>
            <w:tcBorders>
              <w:bottom w:val="single" w:sz="8" w:color="auto"/>
            </w:tcBorders>
            <w:shd w:val="clear" w:color="auto" w:fill="D5EAEA"/>
          </w:tcPr>
          <w:p>
            <w:pPr>
              <w:jc w:val="right"/>
              <w:ind w:right="1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102</w:t>
            </w:r>
          </w:p>
        </w:tc>
        <w:tc>
          <w:tcPr>
            <w:tcW w:w="80" w:type="dxa"/>
            <w:vAlign w:val="bottom"/>
            <w:tcBorders>
              <w:bottom w:val="single" w:sz="8" w:color="D5EAEA"/>
            </w:tcBorders>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spacing w:after="0" w:line="195" w:lineRule="exact"/>
              <w:rPr>
                <w:sz w:val="20"/>
                <w:szCs w:val="20"/>
                <w:color w:val="auto"/>
              </w:rPr>
            </w:pPr>
            <w:r>
              <w:rPr>
                <w:rFonts w:ascii="Arial" w:cs="Arial" w:eastAsia="Arial" w:hAnsi="Arial"/>
                <w:sz w:val="18"/>
                <w:szCs w:val="18"/>
                <w:color w:val="auto"/>
                <w:w w:val="94"/>
              </w:rPr>
              <w:t>Weighted average number of ordinary shares used in computing basic loss per ordinary</w:t>
            </w: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6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620" w:type="dxa"/>
            <w:vAlign w:val="bottom"/>
            <w:tcBorders>
              <w:bottom w:val="single" w:sz="8" w:color="D5EAEA"/>
            </w:tcBorders>
          </w:tcPr>
          <w:p>
            <w:pPr>
              <w:ind w:left="320"/>
              <w:spacing w:after="0"/>
              <w:rPr>
                <w:sz w:val="20"/>
                <w:szCs w:val="20"/>
                <w:color w:val="auto"/>
              </w:rPr>
            </w:pPr>
            <w:r>
              <w:rPr>
                <w:rFonts w:ascii="Arial" w:cs="Arial" w:eastAsia="Arial" w:hAnsi="Arial"/>
                <w:sz w:val="18"/>
                <w:szCs w:val="18"/>
                <w:color w:val="auto"/>
              </w:rPr>
              <w:t>share(1)</w:t>
            </w:r>
          </w:p>
        </w:tc>
        <w:tc>
          <w:tcPr>
            <w:tcW w:w="240" w:type="dxa"/>
            <w:vAlign w:val="bottom"/>
            <w:tcBorders>
              <w:bottom w:val="single" w:sz="8" w:color="D5EAEA"/>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34,544</w:t>
            </w:r>
          </w:p>
        </w:tc>
        <w:tc>
          <w:tcPr>
            <w:tcW w:w="100" w:type="dxa"/>
            <w:vAlign w:val="bottom"/>
            <w:tcBorders>
              <w:bottom w:val="single" w:sz="8" w:color="D5EAEA"/>
            </w:tcBorders>
          </w:tcPr>
          <w:p>
            <w:pPr>
              <w:spacing w:after="0"/>
              <w:rPr>
                <w:sz w:val="24"/>
                <w:szCs w:val="24"/>
                <w:color w:val="auto"/>
              </w:rPr>
            </w:pPr>
          </w:p>
        </w:tc>
        <w:tc>
          <w:tcPr>
            <w:tcW w:w="60" w:type="dxa"/>
            <w:vAlign w:val="bottom"/>
            <w:tcBorders>
              <w:bottom w:val="single" w:sz="8" w:color="D5EAEA"/>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34,409</w:t>
            </w:r>
          </w:p>
        </w:tc>
        <w:tc>
          <w:tcPr>
            <w:tcW w:w="80" w:type="dxa"/>
            <w:vAlign w:val="bottom"/>
            <w:tcBorders>
              <w:bottom w:val="single" w:sz="8" w:color="D5EAEA"/>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20" w:type="dxa"/>
            <w:vAlign w:val="bottom"/>
            <w:shd w:val="clear" w:color="auto" w:fill="D5EAEA"/>
          </w:tcPr>
          <w:p>
            <w:pPr>
              <w:spacing w:after="0" w:line="156" w:lineRule="exact"/>
              <w:rPr>
                <w:sz w:val="20"/>
                <w:szCs w:val="20"/>
                <w:color w:val="auto"/>
              </w:rPr>
            </w:pPr>
            <w:r>
              <w:rPr>
                <w:rFonts w:ascii="Arial" w:cs="Arial" w:eastAsia="Arial" w:hAnsi="Arial"/>
                <w:sz w:val="18"/>
                <w:szCs w:val="18"/>
                <w:color w:val="auto"/>
                <w:w w:val="93"/>
              </w:rPr>
              <w:t>Weighted average number of ordinary shares used in computing diluted loss per ordinary</w:t>
            </w:r>
          </w:p>
        </w:tc>
        <w:tc>
          <w:tcPr>
            <w:tcW w:w="240" w:type="dxa"/>
            <w:vAlign w:val="bottom"/>
            <w:shd w:val="clear" w:color="auto" w:fill="D5EAEA"/>
          </w:tcPr>
          <w:p>
            <w:pPr>
              <w:spacing w:after="0"/>
              <w:rPr>
                <w:sz w:val="13"/>
                <w:szCs w:val="13"/>
                <w:color w:val="auto"/>
              </w:rPr>
            </w:pPr>
          </w:p>
        </w:tc>
        <w:tc>
          <w:tcPr>
            <w:tcW w:w="300" w:type="dxa"/>
            <w:vAlign w:val="bottom"/>
            <w:shd w:val="clear" w:color="auto" w:fill="D5EAEA"/>
          </w:tcPr>
          <w:p>
            <w:pPr>
              <w:spacing w:after="0"/>
              <w:rPr>
                <w:sz w:val="13"/>
                <w:szCs w:val="13"/>
                <w:color w:val="auto"/>
              </w:rPr>
            </w:pPr>
          </w:p>
        </w:tc>
        <w:tc>
          <w:tcPr>
            <w:tcW w:w="720" w:type="dxa"/>
            <w:vAlign w:val="bottom"/>
            <w:shd w:val="clear" w:color="auto" w:fill="D5EAEA"/>
          </w:tcPr>
          <w:p>
            <w:pPr>
              <w:spacing w:after="0"/>
              <w:rPr>
                <w:sz w:val="13"/>
                <w:szCs w:val="13"/>
                <w:color w:val="auto"/>
              </w:rPr>
            </w:pPr>
          </w:p>
        </w:tc>
        <w:tc>
          <w:tcPr>
            <w:tcW w:w="100" w:type="dxa"/>
            <w:vAlign w:val="bottom"/>
            <w:shd w:val="clear" w:color="auto" w:fill="D5EAEA"/>
          </w:tcPr>
          <w:p>
            <w:pPr>
              <w:spacing w:after="0"/>
              <w:rPr>
                <w:sz w:val="13"/>
                <w:szCs w:val="13"/>
                <w:color w:val="auto"/>
              </w:rPr>
            </w:pPr>
          </w:p>
        </w:tc>
        <w:tc>
          <w:tcPr>
            <w:tcW w:w="60" w:type="dxa"/>
            <w:vAlign w:val="bottom"/>
            <w:shd w:val="clear" w:color="auto" w:fill="D5EAEA"/>
          </w:tcPr>
          <w:p>
            <w:pPr>
              <w:spacing w:after="0"/>
              <w:rPr>
                <w:sz w:val="13"/>
                <w:szCs w:val="13"/>
                <w:color w:val="auto"/>
              </w:rPr>
            </w:pPr>
          </w:p>
        </w:tc>
        <w:tc>
          <w:tcPr>
            <w:tcW w:w="300" w:type="dxa"/>
            <w:vAlign w:val="bottom"/>
            <w:shd w:val="clear" w:color="auto" w:fill="D5EAEA"/>
          </w:tcPr>
          <w:p>
            <w:pPr>
              <w:spacing w:after="0"/>
              <w:rPr>
                <w:sz w:val="13"/>
                <w:szCs w:val="13"/>
                <w:color w:val="auto"/>
              </w:rPr>
            </w:pPr>
          </w:p>
        </w:tc>
        <w:tc>
          <w:tcPr>
            <w:tcW w:w="700" w:type="dxa"/>
            <w:vAlign w:val="bottom"/>
            <w:shd w:val="clear" w:color="auto" w:fill="D5EAEA"/>
          </w:tcPr>
          <w:p>
            <w:pPr>
              <w:spacing w:after="0"/>
              <w:rPr>
                <w:sz w:val="13"/>
                <w:szCs w:val="13"/>
                <w:color w:val="auto"/>
              </w:rPr>
            </w:pPr>
          </w:p>
        </w:tc>
        <w:tc>
          <w:tcPr>
            <w:tcW w:w="80" w:type="dxa"/>
            <w:vAlign w:val="bottom"/>
            <w:shd w:val="clear" w:color="auto" w:fill="D5EAEA"/>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20" w:type="dxa"/>
            <w:vAlign w:val="bottom"/>
            <w:tcBorders>
              <w:bottom w:val="single" w:sz="8" w:color="D5EAEA"/>
            </w:tcBorders>
            <w:shd w:val="clear" w:color="auto" w:fill="D5EAEA"/>
          </w:tcPr>
          <w:p>
            <w:pPr>
              <w:ind w:left="320"/>
              <w:spacing w:after="0"/>
              <w:rPr>
                <w:sz w:val="20"/>
                <w:szCs w:val="20"/>
                <w:color w:val="auto"/>
              </w:rPr>
            </w:pPr>
            <w:r>
              <w:rPr>
                <w:rFonts w:ascii="Arial" w:cs="Arial" w:eastAsia="Arial" w:hAnsi="Arial"/>
                <w:sz w:val="18"/>
                <w:szCs w:val="18"/>
                <w:color w:val="auto"/>
              </w:rPr>
              <w:t>share(1)</w:t>
            </w:r>
          </w:p>
        </w:tc>
        <w:tc>
          <w:tcPr>
            <w:tcW w:w="240" w:type="dxa"/>
            <w:vAlign w:val="bottom"/>
            <w:tcBorders>
              <w:bottom w:val="single" w:sz="8" w:color="D5EAEA"/>
            </w:tcBorders>
            <w:shd w:val="clear" w:color="auto" w:fill="D5EAEA"/>
          </w:tcPr>
          <w:p>
            <w:pPr>
              <w:spacing w:after="0"/>
              <w:rPr>
                <w:sz w:val="22"/>
                <w:szCs w:val="22"/>
                <w:color w:val="auto"/>
              </w:rPr>
            </w:pPr>
          </w:p>
        </w:tc>
        <w:tc>
          <w:tcPr>
            <w:tcW w:w="300" w:type="dxa"/>
            <w:vAlign w:val="bottom"/>
            <w:tcBorders>
              <w:bottom w:val="single" w:sz="8" w:color="auto"/>
            </w:tcBorders>
            <w:shd w:val="clear" w:color="auto" w:fill="D5EAEA"/>
          </w:tcPr>
          <w:p>
            <w:pPr>
              <w:spacing w:after="0"/>
              <w:rPr>
                <w:sz w:val="22"/>
                <w:szCs w:val="22"/>
                <w:color w:val="auto"/>
              </w:rPr>
            </w:pPr>
          </w:p>
        </w:tc>
        <w:tc>
          <w:tcPr>
            <w:tcW w:w="7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34,544</w:t>
            </w:r>
          </w:p>
        </w:tc>
        <w:tc>
          <w:tcPr>
            <w:tcW w:w="100" w:type="dxa"/>
            <w:vAlign w:val="bottom"/>
            <w:tcBorders>
              <w:bottom w:val="single" w:sz="8" w:color="D5EAEA"/>
            </w:tcBorders>
            <w:shd w:val="clear" w:color="auto" w:fill="D5EAEA"/>
          </w:tcPr>
          <w:p>
            <w:pPr>
              <w:spacing w:after="0"/>
              <w:rPr>
                <w:sz w:val="22"/>
                <w:szCs w:val="22"/>
                <w:color w:val="auto"/>
              </w:rPr>
            </w:pPr>
          </w:p>
        </w:tc>
        <w:tc>
          <w:tcPr>
            <w:tcW w:w="60" w:type="dxa"/>
            <w:vAlign w:val="bottom"/>
            <w:tcBorders>
              <w:bottom w:val="single" w:sz="8" w:color="D5EAEA"/>
            </w:tcBorders>
            <w:shd w:val="clear" w:color="auto" w:fill="D5EAEA"/>
          </w:tcPr>
          <w:p>
            <w:pPr>
              <w:spacing w:after="0"/>
              <w:rPr>
                <w:sz w:val="22"/>
                <w:szCs w:val="22"/>
                <w:color w:val="auto"/>
              </w:rPr>
            </w:pPr>
          </w:p>
        </w:tc>
        <w:tc>
          <w:tcPr>
            <w:tcW w:w="300" w:type="dxa"/>
            <w:vAlign w:val="bottom"/>
            <w:tcBorders>
              <w:bottom w:val="single" w:sz="8" w:color="auto"/>
            </w:tcBorders>
            <w:shd w:val="clear" w:color="auto" w:fill="D5EAEA"/>
          </w:tcPr>
          <w:p>
            <w:pPr>
              <w:spacing w:after="0"/>
              <w:rPr>
                <w:sz w:val="22"/>
                <w:szCs w:val="22"/>
                <w:color w:val="auto"/>
              </w:rPr>
            </w:pPr>
          </w:p>
        </w:tc>
        <w:tc>
          <w:tcPr>
            <w:tcW w:w="7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51,972</w:t>
            </w:r>
          </w:p>
        </w:tc>
        <w:tc>
          <w:tcPr>
            <w:tcW w:w="80" w:type="dxa"/>
            <w:vAlign w:val="bottom"/>
            <w:tcBorders>
              <w:bottom w:val="single" w:sz="8" w:color="D5EAEA"/>
            </w:tcBorders>
            <w:shd w:val="clear" w:color="auto" w:fill="D5EAEA"/>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926465</wp:posOffset>
            </wp:positionV>
            <wp:extent cx="10890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40" w:hanging="332"/>
        <w:spacing w:after="0" w:line="264"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Basic and diluted loss per ordinary share in 2017 are the same because the financial instruments as described in the financial statements excluded from the calculation since their effect was anti-dilutive. See Note 13 to our financial statements included elsewhere in this prospectus for further details on the calculation of basic and diluted loss per ordinary share.</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6860" w:type="dxa"/>
            <w:vAlign w:val="bottom"/>
            <w:gridSpan w:val="4"/>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5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860" w:type="dxa"/>
            <w:vAlign w:val="bottom"/>
            <w:gridSpan w:val="4"/>
            <w:vMerge w:val="restart"/>
          </w:tcPr>
          <w:p>
            <w:pPr>
              <w:ind w:left="580"/>
              <w:spacing w:after="0"/>
              <w:rPr>
                <w:sz w:val="20"/>
                <w:szCs w:val="20"/>
                <w:color w:val="auto"/>
              </w:rPr>
            </w:pPr>
            <w:r>
              <w:rPr>
                <w:rFonts w:ascii="Arial" w:cs="Arial" w:eastAsia="Arial" w:hAnsi="Arial"/>
                <w:sz w:val="18"/>
                <w:szCs w:val="18"/>
                <w:b w:val="1"/>
                <w:bCs w:val="1"/>
                <w:color w:val="auto"/>
              </w:rPr>
              <w:t>Statements of financial position data:</w:t>
            </w:r>
          </w:p>
        </w:tc>
        <w:tc>
          <w:tcPr>
            <w:tcW w:w="2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(In thousands)</w:t>
            </w:r>
          </w:p>
        </w:tc>
        <w:tc>
          <w:tcPr>
            <w:tcW w:w="0" w:type="dxa"/>
            <w:vAlign w:val="bottom"/>
          </w:tcPr>
          <w:p>
            <w:pPr>
              <w:spacing w:after="0"/>
              <w:rPr>
                <w:sz w:val="1"/>
                <w:szCs w:val="1"/>
                <w:color w:val="auto"/>
              </w:rPr>
            </w:pPr>
          </w:p>
        </w:tc>
      </w:tr>
      <w:tr>
        <w:trPr>
          <w:trHeight w:val="202"/>
        </w:trPr>
        <w:tc>
          <w:tcPr>
            <w:tcW w:w="6860" w:type="dxa"/>
            <w:vAlign w:val="bottom"/>
            <w:gridSpan w:val="4"/>
            <w:vMerge w:val="continue"/>
          </w:tcPr>
          <w:p>
            <w:pPr>
              <w:spacing w:after="0"/>
              <w:rPr>
                <w:sz w:val="17"/>
                <w:szCs w:val="17"/>
                <w:color w:val="auto"/>
              </w:rPr>
            </w:pPr>
          </w:p>
        </w:tc>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28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Cash and cash equivalents</w:t>
            </w:r>
          </w:p>
        </w:tc>
        <w:tc>
          <w:tcPr>
            <w:tcW w:w="278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0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11,746</w:t>
            </w: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8"/>
                <w:szCs w:val="18"/>
                <w:color w:val="auto"/>
              </w:rPr>
              <w:t>Other current assets</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28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Total current assets</w:t>
            </w:r>
          </w:p>
        </w:tc>
        <w:tc>
          <w:tcPr>
            <w:tcW w:w="278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0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12,417</w:t>
            </w: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8"/>
                <w:szCs w:val="18"/>
                <w:color w:val="auto"/>
              </w:rPr>
              <w:t>Property and equipment</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28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Intangible assets</w:t>
            </w:r>
          </w:p>
        </w:tc>
        <w:tc>
          <w:tcPr>
            <w:tcW w:w="2780" w:type="dxa"/>
            <w:vAlign w:val="bottom"/>
            <w:shd w:val="clear" w:color="auto" w:fill="D5EAEA"/>
          </w:tcPr>
          <w:p>
            <w:pPr>
              <w:spacing w:after="0"/>
              <w:rPr>
                <w:sz w:val="19"/>
                <w:szCs w:val="19"/>
                <w:color w:val="auto"/>
              </w:rPr>
            </w:pPr>
          </w:p>
        </w:tc>
        <w:tc>
          <w:tcPr>
            <w:tcW w:w="80" w:type="dxa"/>
            <w:vAlign w:val="bottom"/>
            <w:tcBorders>
              <w:bottom w:val="single" w:sz="8" w:color="auto"/>
            </w:tcBorders>
            <w:shd w:val="clear" w:color="auto" w:fill="D5EAEA"/>
          </w:tcPr>
          <w:p>
            <w:pPr>
              <w:spacing w:after="0"/>
              <w:rPr>
                <w:sz w:val="19"/>
                <w:szCs w:val="19"/>
                <w:color w:val="auto"/>
              </w:rPr>
            </w:pPr>
          </w:p>
        </w:tc>
        <w:tc>
          <w:tcPr>
            <w:tcW w:w="10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6280" w:type="dxa"/>
            <w:vAlign w:val="bottom"/>
            <w:tcBorders>
              <w:bottom w:val="single" w:sz="8" w:color="D5EAEA"/>
            </w:tcBorders>
            <w:gridSpan w:val="3"/>
          </w:tcPr>
          <w:p>
            <w:pPr>
              <w:spacing w:after="0"/>
              <w:rPr>
                <w:sz w:val="20"/>
                <w:szCs w:val="20"/>
                <w:color w:val="auto"/>
              </w:rPr>
            </w:pPr>
            <w:r>
              <w:rPr>
                <w:rFonts w:ascii="Arial" w:cs="Arial" w:eastAsia="Arial" w:hAnsi="Arial"/>
                <w:sz w:val="18"/>
                <w:szCs w:val="18"/>
                <w:color w:val="auto"/>
              </w:rPr>
              <w:t>Total assets</w:t>
            </w:r>
          </w:p>
        </w:tc>
        <w:tc>
          <w:tcPr>
            <w:tcW w:w="2780" w:type="dxa"/>
            <w:vAlign w:val="bottom"/>
            <w:tcBorders>
              <w:bottom w:val="single" w:sz="8" w:color="D5EAEA"/>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13,278</w:t>
            </w:r>
          </w:p>
        </w:tc>
        <w:tc>
          <w:tcPr>
            <w:tcW w:w="100" w:type="dxa"/>
            <w:vAlign w:val="bottom"/>
            <w:tcBorders>
              <w:bottom w:val="single" w:sz="8" w:color="D5EAEA"/>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6280" w:type="dxa"/>
            <w:vAlign w:val="bottom"/>
            <w:gridSpan w:val="3"/>
            <w:shd w:val="clear" w:color="auto" w:fill="D5EAEA"/>
          </w:tcPr>
          <w:p>
            <w:pPr>
              <w:spacing w:after="0" w:line="196" w:lineRule="exact"/>
              <w:rPr>
                <w:sz w:val="20"/>
                <w:szCs w:val="20"/>
                <w:color w:val="auto"/>
              </w:rPr>
            </w:pPr>
            <w:r>
              <w:rPr>
                <w:rFonts w:ascii="Arial" w:cs="Arial" w:eastAsia="Arial" w:hAnsi="Arial"/>
                <w:sz w:val="18"/>
                <w:szCs w:val="18"/>
                <w:color w:val="auto"/>
              </w:rPr>
              <w:t>Accounts payable-Trade and other</w:t>
            </w:r>
          </w:p>
        </w:tc>
        <w:tc>
          <w:tcPr>
            <w:tcW w:w="278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1040" w:type="dxa"/>
            <w:vAlign w:val="bottom"/>
            <w:shd w:val="clear" w:color="auto" w:fill="D5EAEA"/>
          </w:tcPr>
          <w:p>
            <w:pPr>
              <w:jc w:val="right"/>
              <w:spacing w:after="0" w:line="196" w:lineRule="exact"/>
              <w:rPr>
                <w:sz w:val="20"/>
                <w:szCs w:val="20"/>
                <w:color w:val="auto"/>
              </w:rPr>
            </w:pPr>
            <w:r>
              <w:rPr>
                <w:rFonts w:ascii="Arial" w:cs="Arial" w:eastAsia="Arial" w:hAnsi="Arial"/>
                <w:sz w:val="18"/>
                <w:szCs w:val="18"/>
                <w:color w:val="auto"/>
              </w:rPr>
              <w:t>2,020</w:t>
            </w:r>
          </w:p>
        </w:tc>
        <w:tc>
          <w:tcPr>
            <w:tcW w:w="10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280" w:type="dxa"/>
            <w:vAlign w:val="bottom"/>
            <w:tcBorders>
              <w:bottom w:val="single" w:sz="8" w:color="D5EAEA"/>
            </w:tcBorders>
            <w:gridSpan w:val="3"/>
          </w:tcPr>
          <w:p>
            <w:pPr>
              <w:spacing w:after="0"/>
              <w:rPr>
                <w:sz w:val="20"/>
                <w:szCs w:val="20"/>
                <w:color w:val="auto"/>
              </w:rPr>
            </w:pPr>
            <w:r>
              <w:rPr>
                <w:rFonts w:ascii="Arial" w:cs="Arial" w:eastAsia="Arial" w:hAnsi="Arial"/>
                <w:sz w:val="18"/>
                <w:szCs w:val="18"/>
                <w:color w:val="auto"/>
              </w:rPr>
              <w:t>Total current liabilities</w:t>
            </w:r>
          </w:p>
        </w:tc>
        <w:tc>
          <w:tcPr>
            <w:tcW w:w="2780" w:type="dxa"/>
            <w:vAlign w:val="bottom"/>
            <w:tcBorders>
              <w:bottom w:val="single" w:sz="8" w:color="D5EAEA"/>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D5EAEA"/>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28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Long term convertible loans</w:t>
            </w:r>
          </w:p>
        </w:tc>
        <w:tc>
          <w:tcPr>
            <w:tcW w:w="278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0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3,893</w:t>
            </w: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8"/>
                <w:szCs w:val="18"/>
                <w:color w:val="auto"/>
              </w:rPr>
              <w:t>Preferred shares</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28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Warrants to purchase preferred shares and shares</w:t>
            </w:r>
          </w:p>
        </w:tc>
        <w:tc>
          <w:tcPr>
            <w:tcW w:w="278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10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5,398</w:t>
            </w: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280" w:type="dxa"/>
            <w:vAlign w:val="bottom"/>
            <w:tcBorders>
              <w:bottom w:val="single" w:sz="8" w:color="D5EAEA"/>
            </w:tcBorders>
            <w:gridSpan w:val="3"/>
          </w:tcPr>
          <w:p>
            <w:pPr>
              <w:spacing w:after="0"/>
              <w:rPr>
                <w:sz w:val="20"/>
                <w:szCs w:val="20"/>
                <w:color w:val="auto"/>
              </w:rPr>
            </w:pPr>
            <w:r>
              <w:rPr>
                <w:rFonts w:ascii="Arial" w:cs="Arial" w:eastAsia="Arial" w:hAnsi="Arial"/>
                <w:sz w:val="18"/>
                <w:szCs w:val="18"/>
                <w:color w:val="auto"/>
              </w:rPr>
              <w:t>Severance pay obligations, net</w:t>
            </w:r>
          </w:p>
        </w:tc>
        <w:tc>
          <w:tcPr>
            <w:tcW w:w="2780" w:type="dxa"/>
            <w:vAlign w:val="bottom"/>
            <w:tcBorders>
              <w:bottom w:val="single" w:sz="8" w:color="D5EAEA"/>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D5EAE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280" w:type="dxa"/>
            <w:vAlign w:val="bottom"/>
            <w:tcBorders>
              <w:bottom w:val="single" w:sz="8" w:color="D5EAEA"/>
            </w:tcBorders>
            <w:gridSpan w:val="3"/>
            <w:shd w:val="clear" w:color="auto" w:fill="D5EAEA"/>
          </w:tcPr>
          <w:p>
            <w:pPr>
              <w:spacing w:after="0"/>
              <w:rPr>
                <w:sz w:val="20"/>
                <w:szCs w:val="20"/>
                <w:color w:val="auto"/>
              </w:rPr>
            </w:pPr>
            <w:r>
              <w:rPr>
                <w:rFonts w:ascii="Arial" w:cs="Arial" w:eastAsia="Arial" w:hAnsi="Arial"/>
                <w:sz w:val="18"/>
                <w:szCs w:val="18"/>
                <w:color w:val="auto"/>
              </w:rPr>
              <w:t>Total liabilities</w:t>
            </w:r>
          </w:p>
        </w:tc>
        <w:tc>
          <w:tcPr>
            <w:tcW w:w="2780" w:type="dxa"/>
            <w:vAlign w:val="bottom"/>
            <w:tcBorders>
              <w:bottom w:val="single" w:sz="8" w:color="D5EAEA"/>
            </w:tcBorders>
            <w:shd w:val="clear" w:color="auto" w:fill="D5EAEA"/>
          </w:tcPr>
          <w:p>
            <w:pPr>
              <w:spacing w:after="0"/>
              <w:rPr>
                <w:sz w:val="19"/>
                <w:szCs w:val="19"/>
                <w:color w:val="auto"/>
              </w:rPr>
            </w:pPr>
          </w:p>
        </w:tc>
        <w:tc>
          <w:tcPr>
            <w:tcW w:w="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44,836</w:t>
            </w:r>
          </w:p>
        </w:tc>
        <w:tc>
          <w:tcPr>
            <w:tcW w:w="100" w:type="dxa"/>
            <w:vAlign w:val="bottom"/>
            <w:tcBorders>
              <w:bottom w:val="single" w:sz="8" w:color="D5EAEA"/>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280" w:type="dxa"/>
            <w:vAlign w:val="bottom"/>
            <w:gridSpan w:val="3"/>
            <w:vMerge w:val="restart"/>
          </w:tcPr>
          <w:p>
            <w:pPr>
              <w:spacing w:after="0"/>
              <w:rPr>
                <w:sz w:val="20"/>
                <w:szCs w:val="20"/>
                <w:color w:val="auto"/>
              </w:rPr>
            </w:pPr>
            <w:r>
              <w:rPr>
                <w:rFonts w:ascii="Arial" w:cs="Arial" w:eastAsia="Arial" w:hAnsi="Arial"/>
                <w:sz w:val="18"/>
                <w:szCs w:val="18"/>
                <w:color w:val="auto"/>
              </w:rPr>
              <w:t>Capital deficiency</w:t>
            </w:r>
          </w:p>
        </w:tc>
        <w:tc>
          <w:tcPr>
            <w:tcW w:w="27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6280" w:type="dxa"/>
            <w:vAlign w:val="bottom"/>
            <w:tcBorders>
              <w:bottom w:val="single" w:sz="8" w:color="D5EAEA"/>
            </w:tcBorders>
            <w:gridSpan w:val="3"/>
            <w:vMerge w:val="continue"/>
          </w:tcPr>
          <w:p>
            <w:pPr>
              <w:spacing w:after="0"/>
              <w:rPr>
                <w:sz w:val="20"/>
                <w:szCs w:val="20"/>
                <w:color w:val="auto"/>
              </w:rPr>
            </w:pPr>
          </w:p>
        </w:tc>
        <w:tc>
          <w:tcPr>
            <w:tcW w:w="2780" w:type="dxa"/>
            <w:vAlign w:val="bottom"/>
            <w:tcBorders>
              <w:bottom w:val="single" w:sz="8" w:color="D5EAEA"/>
            </w:tcBorders>
            <w:vMerge w:val="continue"/>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(31,558</w:t>
            </w:r>
          </w:p>
        </w:tc>
        <w:tc>
          <w:tcPr>
            <w:tcW w:w="100" w:type="dxa"/>
            <w:vAlign w:val="bottom"/>
            <w:tcBorders>
              <w:bottom w:val="single" w:sz="8" w:color="D5EAEA"/>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6280" w:type="dxa"/>
            <w:vAlign w:val="bottom"/>
            <w:tcBorders>
              <w:bottom w:val="single" w:sz="8" w:color="D5EAEA"/>
            </w:tcBorders>
            <w:gridSpan w:val="3"/>
            <w:shd w:val="clear" w:color="auto" w:fill="D5EAEA"/>
          </w:tcPr>
          <w:p>
            <w:pPr>
              <w:spacing w:after="0" w:line="190" w:lineRule="exact"/>
              <w:rPr>
                <w:sz w:val="20"/>
                <w:szCs w:val="20"/>
                <w:color w:val="auto"/>
              </w:rPr>
            </w:pPr>
            <w:r>
              <w:rPr>
                <w:rFonts w:ascii="Arial" w:cs="Arial" w:eastAsia="Arial" w:hAnsi="Arial"/>
                <w:sz w:val="18"/>
                <w:szCs w:val="18"/>
                <w:color w:val="auto"/>
              </w:rPr>
              <w:t>Working capital(1)</w:t>
            </w:r>
          </w:p>
        </w:tc>
        <w:tc>
          <w:tcPr>
            <w:tcW w:w="2780" w:type="dxa"/>
            <w:vAlign w:val="bottom"/>
            <w:tcBorders>
              <w:bottom w:val="single" w:sz="8" w:color="D5EAEA"/>
            </w:tcBorders>
            <w:shd w:val="clear" w:color="auto" w:fill="D5EAEA"/>
          </w:tcPr>
          <w:p>
            <w:pPr>
              <w:spacing w:after="0"/>
              <w:rPr>
                <w:sz w:val="17"/>
                <w:szCs w:val="17"/>
                <w:color w:val="auto"/>
              </w:rPr>
            </w:pPr>
          </w:p>
        </w:tc>
        <w:tc>
          <w:tcPr>
            <w:tcW w:w="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10,397</w:t>
            </w:r>
          </w:p>
        </w:tc>
        <w:tc>
          <w:tcPr>
            <w:tcW w:w="100" w:type="dxa"/>
            <w:vAlign w:val="bottom"/>
            <w:tcBorders>
              <w:bottom w:val="single" w:sz="8" w:color="D5EAEA"/>
            </w:tcBorders>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1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600" w:right="4680" w:hanging="5592"/>
        <w:spacing w:after="0" w:line="765" w:lineRule="auto"/>
        <w:tabs>
          <w:tab w:leader="none" w:pos="528" w:val="left"/>
        </w:tabs>
        <w:numPr>
          <w:ilvl w:val="0"/>
          <w:numId w:val="41"/>
        </w:numPr>
        <w:rPr>
          <w:rFonts w:ascii="Arial" w:cs="Arial" w:eastAsia="Arial" w:hAnsi="Arial"/>
          <w:sz w:val="16"/>
          <w:szCs w:val="16"/>
          <w:color w:val="auto"/>
        </w:rPr>
      </w:pPr>
      <w:r>
        <w:rPr>
          <w:rFonts w:ascii="Arial" w:cs="Arial" w:eastAsia="Arial" w:hAnsi="Arial"/>
          <w:sz w:val="16"/>
          <w:szCs w:val="16"/>
          <w:color w:val="auto"/>
        </w:rPr>
        <w:t>Working capital is defined as total current assets minus total current liabilities.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222" w:right="79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MANAGEMENT’S DISCUSSION AND ANALYSIS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FINANCIAL CONDITION AND RESULTS OF OPERATIONS</w:t>
      </w:r>
    </w:p>
    <w:p>
      <w:pPr>
        <w:spacing w:after="0" w:line="22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our financial statements and the related notes included elsewhere in this prospectus.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and elsewhere in this prospectus. You should read the following discussion in conjunction with “Special Note Regarding Forward-Looking Statements” and “Risk Factors” included elsewhere in this prospectus. We have prepared our financial statements in accordance with IFRS as issued by IASB.</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a clinical-stage biopharmaceutical company focused on the development and commercialization of orally delivered large molecule therapeutics for use in orphan indications and other areas with significant unmet medical need. We are initially applying our technology to develop an oral formulation of parathyroid hormone, or PTH, which has been approved in the United States in injectable form for over a decade. Our lead oral PTH product candidate, EB612, has successfully completed a Phase 2a trial for hypoparathyroidism, a rare condition in which the body fails to produce sufficient amounts of PTH. We are planning to conduct a clinical trial to evaluate the PK/PD profile of various EB612 dose regimens in the second half of 2018. Upon the completion and evaluation of our planned PK/PD clinical trial and subject to receipt of additional funding, we expect in the future to initiate a Phase 2b/3 clinical trial of EB612 in hypoparathyroidism which would potentially support a submission for regulatory approval of EB612. The FDA and the EMA have granted EB612 orphan drug designation for the treatment of hypoparathyroidism. We are also developing an additional oral PTH product candidate, EB613, for the treatment of osteoporosis. Our intent is to seek FDA guidance on our proposed clinical trial design as part of a Pre-IND meeting in the second half of 2018, followed by an additional Phase 2a dose finding clinical trial. In addition, we intend to use our technology as a platform for the oral delivery of other protein and large molecule therapeutics as well as novel therapeutics. We intend to utilize future funds, as available, to prepare EB612 for advanced clinical studies and ultimately for regulatory approval.</w:t>
      </w:r>
    </w:p>
    <w:p>
      <w:pPr>
        <w:spacing w:after="0" w:line="18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To date, we have funded our operations through sales of ordinary shares, preferred shares and warrants, and the incurrence of convertible loans and receipt of government grants. We have no products that have received regulatory approval and have never generated revenue. From our inception, we have raised an aggregate of $31.3 million to fund our operations, including $7.2 million from sales of our ordinary shares, Series A preferred shares and warrants,</w:t>
      </w:r>
    </w:p>
    <w:p>
      <w:pPr>
        <w:spacing w:after="0" w:line="270" w:lineRule="auto"/>
        <w:rPr>
          <w:sz w:val="20"/>
          <w:szCs w:val="20"/>
          <w:color w:val="auto"/>
        </w:rPr>
      </w:pPr>
      <w:r>
        <w:rPr>
          <w:rFonts w:ascii="Arial" w:cs="Arial" w:eastAsia="Arial" w:hAnsi="Arial"/>
          <w:sz w:val="17"/>
          <w:szCs w:val="17"/>
          <w:color w:val="auto"/>
        </w:rPr>
        <w:t>$10.6 million from convertible loans (of which an amount of approximately $1.0 million ($1.1 million including interest) was repaid in February 2017) and $8.5 million ($9.0 million including interest) was converted in October 2017 into Series B-1 preferred shares, $13.0 million from sales of our Series B preferred shares from October to December 2017 and approximately $0.5 million of government grants. We were originally capitalized with $0.6 million of cash from D.N.A Biomedical Solutions Ltd., and a license to certain patent rights relating to the oral administration of proteins from Oramed Ltd., or Oramed, a subsidiary of Oramed Pharmaceuticals, Inc., and accordingly $0.6 million was recorded on our statements of financial position as an intangible asset based on the fair value of the ordinary shares issued in exchange for the license.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Since inception, we have incurred significant losses. For the years ended December 31, 2016 and 2017, our operating losses were $5.4 million and</w:t>
      </w:r>
    </w:p>
    <w:p>
      <w:pPr>
        <w:spacing w:after="0" w:line="3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$11.3 million, respectively. We expect to continue to incur significant expenses and losses for the next several years. As of December 31, 2017, we had an accumulated deficit of $41.8 million. Our losses may fluctuate significantly from quarter to quarter and year to year, depending on the timing of our clinical trials, our expenditures on any other research and development activities, the receipt of government grants and payments under any future collaborations into which we may enter.</w:t>
      </w:r>
    </w:p>
    <w:p>
      <w:pPr>
        <w:spacing w:after="0" w:line="19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of March 31, 2018, we had cash and cash equivalents of $9.2 million. In order to fund further operations, we will need to raise capital in addition to the net proceeds of this offering. We may seek these funds through a combination of private and public equity offerings, debt financings, government grants, strategic collaborations and licensing arrangements. Additional financing may not be available when we need it or may not be available on terms that are favorable to us. Our audited financial statements for the year ended December 31, 2017, included elsewhere in this prospectus, note that there is substantial doubt about our ability to continue as a going concern absent sources of additional liquidity. The financial statements included herein have been prepared assuming that we will continue as a going concern and do not include adjustments that might result from the outcome of this uncertainty. If we are unable to raise the requisite funds, we will need to curtail or cease operations. See “Risk Factors — Risks Related to Our Financial Position and Need for Additional Capital.”</w:t>
      </w:r>
    </w:p>
    <w:p>
      <w:pPr>
        <w:spacing w:after="0" w:line="192"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As of March 31, 2018, we had 19 employees, one consultant who provides consulting services to us on a full-time basis and two consultants who provide services to us on a part-time basis. In addition, we have entered into service agreements with three of our directors. Our operations are located in a single facility in Jerusalem, Israel as well as in a facility belonging to our fully-owned subsidiary in New Jersey.</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Transfer Agreement and Grant Funding</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Oramed Patent Transfer Agreement</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2011, we entered into a patent transfer agreement with Oramed, or the Patent Transfer Agreement, pursuant to which Oramed assigned to us all of its rights, title and interest in the patent rights Oramed licensed to us when we were originally capitalized, subject to a worldwide, royalty-free, exclusive, irrevocable, perpetual and sublicensable license granted to Oramed under the assigned patent rights to develop, manufacture and commercialize products or otherwise exploit such patent rights in the fields of diabetes and influenza. Additionally, we agreed not to engage, directly or indirectly, in any activities in the fields of diabetes and influenza. Under the terms of the Patent Transfer Agreement, we agreed to pay Oramed royalties equal to 3% of our net revenues generated, directly or indirectly, from exploitation of the assigned patent rights, including the sale, lease or transfer of the assigned patent rights or sales of products or services covered by the assigned patent rights. See “Business — Oramed Patent Transfer Agreement.”</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The Israeli Innovation Authority Grant (formerly: the Office of the Chief Scientist)</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received grants of approximately $0.5 million from the IIA to partially fund our research and development. The grants are subject to certain requirements and restrictions under the Israeli Encouragement of Research, Development and Technological Innovation in Industry Law 5477-1984, or the Research Law. In general, until the grants are repaid with interest, royalties are payable to the Israeli government in the amount of 3% on revenues derived from sales of products or services developed in whole or in part using the IIA grants, including EB612, EB613 and any other oral PTH product candidates we may develop. The royalty rate may increase to 5%, with respect to approved applications filed following any year in which we achieve sales of over $70 million.</w:t>
      </w: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amount that must be repaid may be increased to three times the amount of the grant received, and the rate of royalties may be accelerated, if manufacturing of the products developed with the grant money is transferred outside of the State of Israel. Moreover, a payment of up to 600% of the grant received may be required upon the transfer of any IIA-funded know-how to a non-Israeli entity. In addition, as disclosed under “Business — Manufacturing,” we have signed a contract with a UK-based contract manufacturing organization, to produce and supply pills for trials performed worldwide. We believe that, because production is not being done for commercial purposes, the entry into the production agreement in the UK will not affect the royalty rates to be paid to the IIA. Should it turn out that this position is not acceptable to the IIA, the maximum royalties to be paid to the IIA will be approximately $1.5 million, which is three times the amount of the original grants of $0.5 million.</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to paying any royalties due, we must abide by other restrictions associated with receiving such grants under the Research Law that continue to apply following repayment to the IIA. See “Business — The Israeli Innovation Authority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date, we have not generated any revenue. We do not expect to receive any revenue from any product candidates that we develop unless and until we obtain regulatory approval and successfully commercialize our products or enter into collaborative agreements with third parties.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Research and development expenses consist of costs incurred for the development of our drug delivery technology and our product candidates. Those expenses include:</w:t>
      </w:r>
    </w:p>
    <w:p>
      <w:pPr>
        <w:spacing w:after="0" w:line="170" w:lineRule="exact"/>
        <w:rPr>
          <w:sz w:val="20"/>
          <w:szCs w:val="20"/>
          <w:color w:val="auto"/>
        </w:rPr>
      </w:pPr>
    </w:p>
    <w:p>
      <w:pPr>
        <w:ind w:left="340" w:right="340" w:hanging="170"/>
        <w:spacing w:after="0" w:line="277"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and share-based compensation expenses for employees and service providers in research and development functions;</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expenses incurred in operating our laboratories and small-scale manufacturing facility;</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and investigative sites that conduct our clinical trials;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expenses relating to outsourced and contracted services, such as external laboratories, consulting and advisory services;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supply, development and manufacturing costs relating to clinical trial materials; and</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 costs associated with pre-clinical and clinical activities.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Research and development activities are the primary focus of our business.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significantly increase in absolute dollars in future periods as we continue to invest in research and development activities related to the development of our product candidates.</w:t>
      </w:r>
    </w:p>
    <w:p>
      <w:pPr>
        <w:spacing w:after="0" w:line="187" w:lineRule="exact"/>
        <w:rPr>
          <w:sz w:val="20"/>
          <w:szCs w:val="20"/>
          <w:color w:val="auto"/>
        </w:rPr>
      </w:pPr>
    </w:p>
    <w:p>
      <w:pPr>
        <w:ind w:right="860"/>
        <w:spacing w:after="0" w:line="342" w:lineRule="auto"/>
        <w:rPr>
          <w:sz w:val="20"/>
          <w:szCs w:val="20"/>
          <w:color w:val="auto"/>
        </w:rPr>
      </w:pPr>
      <w:r>
        <w:rPr>
          <w:rFonts w:ascii="Arial" w:cs="Arial" w:eastAsia="Arial" w:hAnsi="Arial"/>
          <w:sz w:val="16"/>
          <w:szCs w:val="16"/>
          <w:color w:val="auto"/>
        </w:rPr>
        <w:t>Research expenses are recognized as incurred. An intangible asset arising from the development of our product candidates is recognized if certain capitalization conditions are met. During the years ended December 31, 2016 and 2017, we did not capitalize any development costs.</w:t>
      </w:r>
    </w:p>
    <w:p>
      <w:pPr>
        <w:spacing w:after="0" w:line="12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research and development expenses may vary substantially from period to period based on the timing of our research and development activities, including due to timing of initiation of clinical trials and enrollment of patients in clinical trials. For the years ended December 31, 2016 and December 31, 2017, our research and development expenses were $2.6 million and $2.8 million, respectively. Research and development expenses for the years ended December 31, 2016 and 2017 were primarily for the development of EB612. Research and development expenses are expected to increase as we advance the clinical development of EB612 and EB613 and our preclinical work on additional product candidates. The successful development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 This is due to numerous risks and uncertainties associated with developing drugs, including the uncertainty of:</w:t>
      </w:r>
    </w:p>
    <w:p>
      <w:pPr>
        <w:spacing w:after="0" w:line="179" w:lineRule="exact"/>
        <w:rPr>
          <w:sz w:val="20"/>
          <w:szCs w:val="20"/>
          <w:color w:val="auto"/>
        </w:rPr>
      </w:pPr>
    </w:p>
    <w:p>
      <w:pPr>
        <w:ind w:left="340" w:hanging="170"/>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trials, nonclinical testing and other related activities;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cost of manufacturing clinical supplies and establishing commercial supplies of our product candidates and any products that we may develop;</w:t>
      </w:r>
    </w:p>
    <w:p>
      <w:pPr>
        <w:spacing w:after="0" w:line="236" w:lineRule="exact"/>
        <w:rPr>
          <w:rFonts w:ascii="Arial" w:cs="Arial" w:eastAsia="Arial" w:hAnsi="Arial"/>
          <w:sz w:val="17"/>
          <w:szCs w:val="17"/>
          <w:color w:val="auto"/>
        </w:rPr>
      </w:pPr>
    </w:p>
    <w:p>
      <w:pPr>
        <w:ind w:left="340" w:hanging="170"/>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 and</w:t>
      </w:r>
    </w:p>
    <w:p>
      <w:pPr>
        <w:spacing w:after="0" w:line="225" w:lineRule="exact"/>
        <w:rPr>
          <w:rFonts w:ascii="Arial" w:cs="Arial" w:eastAsia="Arial" w:hAnsi="Arial"/>
          <w:sz w:val="18"/>
          <w:szCs w:val="18"/>
          <w:color w:val="auto"/>
        </w:rPr>
      </w:pPr>
    </w:p>
    <w:p>
      <w:pPr>
        <w:ind w:left="340" w:right="580" w:hanging="170"/>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milestone and royalty payments thereunder.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 change in the outcome of any of these variables with respect to the development of EB612, EB613 or any other product candidate that we may develop could mean a significant change in the costs and timing associated with the development of such product candidate. For example, if the FDA or other regulatory authority were to require us to conduct preclinical and/or clinical studies beyond those which we currently anticipate will be required for the completion of clinical development, if we experience significant delays in enrollment in any clinical trials or if we encounter difficulties in manufacturing our clinical supplies, we could be required to expend significant additional financial resources and time on the completion of the clinical development.</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General and administrative expenses consist principally of salaries and related costs for directors and personnel in executive and finance functions, such as salaries, benefits and share-based compensation. Other general and administrative expenses include facility costs, communication expenses and professional fees for legal services, patent counseling and portfolio maintenance, consulting, auditing and accounting services and certain expenses with respect to this offering.</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following the completion of this offering due to many factors, the most significant of which include increased expenses associated with maintaining compliance with listing rules and SEC requirements as a result of becoming a publicly traded company, such as increased legal and accounting services, transfer agent and printing fees, addition of new headcount to support compliance and communication needs and increased insurance premiums.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Financial Income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Financial income is comprised mainly of gains resulting from the re-measurement of our convertible loan, Series A preferred shares, warrants to purchase Series A preferred shares and ordinary shares, Series B preferred shares issued from October to December 2017 and Series B-1 preferred shares issued as a result of the conversion of the Convertible Loans. We will continue to record adjustments to the estimated fair value of the convertible loans, preferred shares, warrants to issue preferred shares and ordinary shares until each are converted into our ordinary shares, after which we will no longer record any related periodic fair value adjustments.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Prior to the consummation of this offering, we will adjust our convertible loan liability and our liability to issue preferred shares and warrants to their fair value, evaluated based on the estimated public offering price. We expect to record additional financial expenses or income from the revaluation of our convertible loan liability, preferred shares and warrants. Under the terms of the applicable agreements and pursuant to the IPO Transactions, the convertible loans and preferred shares will be automatically converted into our ordinary shares, and the warrants to purchase preferred shares will be automatically converted into warrants to purchase ordinary shares, upon the closing of this offering. From October to December 2017, we raised a total of $13.0 million from sales of our Series B preferred shares ($12.1, net of issuance costs). In connection with the Series B Private Placement, the 2016 Convertible Loans were converted to our Series B-1 preferred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expenses are comprised mainly of exchange rate differences of certain currencies against our functional currency.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 on Income</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not generated taxable income since our inception and as of December 31, 2017 had carry-forward tax losses of $15.3 million. We anticipate that we will be able to carry forward these tax losses indefinitely to future tax years. Accordingly, we do not expect to pay taxes in Israel until we have taxable income after the full utilization of our carryforward tax losses.</w:t>
      </w:r>
    </w:p>
    <w:p>
      <w:pPr>
        <w:spacing w:after="0" w:line="18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We recognize deferred tax assets on losses for tax purposes carried forward to subsequent years if utilization of the related tax benefit against a future taxable income is probable. We have not created deferred tax assets on our tax loss carryforwards because their utilization is not expected in the foreseeable future.</w:t>
      </w: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describe our significant accounting policies more fully in Note 2 to our audited financial statements included elsewhere in this prospectus. We believe that the accounting policies below are critical in order to fully understand and evaluate our financial condition and results of operations. The preparation of our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Estimates and judgments are continually evaluated and are based on historical experience and other factors, including expectations of future events that are believed to be reasonable under the circumstances. The resulting accounting estimates will, by definition, seldom equal the related actual results. The estimates and assumptions that have a significant risk of causing a material adjustment to the carrying amounts of assets and liabilities within the next financial year are discussed below.</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adopted a share-based compensation plan for employees, directors and service providers. As part of the plan, we grant employees, directors and service providers, from time to time and at our discretion, options to purchase our ordinary shares. The fair value of the services received in exchange for the grant of the options is recognized as an expense in our statements of comprehensive loss with a corresponding adjustment to equity in our statements of financial position. The total amount is recognized as an expense ratably over the vesting period of the options, which is the period during which all vesting conditions are expected to be met.</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estimate the fair value of our share-based compensation to employees, directors and service providers using the Black-Scholes option pricing model, which requires the input of highly subjective assumptions, including (a) the expected volatility of our shares, (b) the expected term of the award, (c) the risk-free interest rate, (d) expected dividends and (e) the fair value of our ordinary shares at the date of grant. Due to the lack of a public market for the trading of our shares and a lack of company-specific historical and implied volatility data, we have based our estimate of expected volatility on the historic volatility of comparable companies that are publicly traded. We will continue to apply this process until a sufficient amount of historical information regarding the volatility of our own share price becomes available.</w:t>
      </w:r>
    </w:p>
    <w:p>
      <w:pPr>
        <w:spacing w:after="0" w:line="19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For options granted in 2016 and 2017, the fair value per ordinary share used in the Black-Scholes option pricing model was evaluated using a hybrid model that uses an option pricing model within each applicable exit scenario of our company. These valuations are highly subjective.</w:t>
      </w:r>
    </w:p>
    <w:p>
      <w:pPr>
        <w:spacing w:after="0" w:line="14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For the purpose of determining our enterprise value, we used the discounted cash flow, or DCF, method. Under the DCF method, our projected after-tax cash flows were discounted back to present value, using the discount rate. The discount rate, known as the weighted average cost of capital, or WACC, accounts for the time value of money and the appropriate degree of risk inherent in our business. The DCF method requires significant assumptions, in particular, regarding our projected cash flows and the discount rate applicable to our business. For the purpose of that valuation, we applied the applicable discount rate, projected commencement of sales and the probability of reaching sales. Following the Series B Private Placement, the fair value of our ordinary shares was based on the market approach and used a price per share of $908.78 per Series B preferred share from the Company’s preferred share issuance starting in October 2017 as a basis for fair market value.</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Following this offering, the fair value of our ordinary shares will be determined based on the closing price of our ordinary shares on the NASDAQ Capital Market.</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also required to estimate forfeitures at the time of grant, and we revise those estimates in subsequent periods if actual forfeitures differ from the estimates. Vesting conditions are included in assumptions about the number of options that are expected to vest. At the end of each reporting period, we revise our estimates of the number of options that are expected to vest based on the nonmarket vesting conditions. We recognize the impact of the revision to original estimates, if any, in profit or loss, with a corresponding adjustment to equity.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The following table summarizes the allocation of our share-based compensation expense:</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88"/>
              </w:rPr>
              <w:t>Year ended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7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auto"/>
            </w:tcBorders>
          </w:tcPr>
          <w:p>
            <w:pPr>
              <w:spacing w:after="0"/>
              <w:rPr>
                <w:sz w:val="19"/>
                <w:szCs w:val="19"/>
                <w:color w:val="auto"/>
              </w:rPr>
            </w:pPr>
          </w:p>
        </w:tc>
      </w:tr>
      <w:tr>
        <w:trPr>
          <w:trHeight w:val="210"/>
        </w:trPr>
        <w:tc>
          <w:tcPr>
            <w:tcW w:w="7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7720" w:type="dxa"/>
            <w:vAlign w:val="bottom"/>
            <w:shd w:val="clear" w:color="auto" w:fill="D5EAEA"/>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D5EAEA"/>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D5EAEA"/>
          </w:tcPr>
          <w:p>
            <w:pPr>
              <w:jc w:val="right"/>
              <w:ind w:right="200"/>
              <w:spacing w:after="0"/>
              <w:rPr>
                <w:sz w:val="20"/>
                <w:szCs w:val="20"/>
                <w:color w:val="auto"/>
              </w:rPr>
            </w:pPr>
            <w:r>
              <w:rPr>
                <w:rFonts w:ascii="Arial" w:cs="Arial" w:eastAsia="Arial" w:hAnsi="Arial"/>
                <w:sz w:val="18"/>
                <w:szCs w:val="18"/>
                <w:color w:val="auto"/>
              </w:rPr>
              <w:t>323</w:t>
            </w:r>
          </w:p>
        </w:tc>
        <w:tc>
          <w:tcPr>
            <w:tcW w:w="400" w:type="dxa"/>
            <w:vAlign w:val="bottom"/>
            <w:shd w:val="clear" w:color="auto" w:fill="D5EAEA"/>
          </w:tcPr>
          <w:p>
            <w:pPr>
              <w:jc w:val="right"/>
              <w:ind w:right="2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130</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4,562</w:t>
            </w:r>
          </w:p>
        </w:tc>
        <w:tc>
          <w:tcPr>
            <w:tcW w:w="4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1,360</w:t>
            </w:r>
          </w:p>
        </w:tc>
      </w:tr>
      <w:tr>
        <w:trPr>
          <w:trHeight w:val="223"/>
        </w:trPr>
        <w:tc>
          <w:tcPr>
            <w:tcW w:w="772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D5EAEA"/>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4,885</w:t>
            </w:r>
          </w:p>
        </w:tc>
        <w:tc>
          <w:tcPr>
            <w:tcW w:w="200" w:type="dxa"/>
            <w:vAlign w:val="bottom"/>
            <w:tcBorders>
              <w:top w:val="single" w:sz="8" w:color="D5EAEA"/>
              <w:bottom w:val="single" w:sz="8" w:color="D5EAEA"/>
            </w:tcBorders>
            <w:shd w:val="clear" w:color="auto" w:fill="D5EAEA"/>
          </w:tcPr>
          <w:p>
            <w:pPr>
              <w:spacing w:after="0"/>
              <w:rPr>
                <w:sz w:val="19"/>
                <w:szCs w:val="19"/>
                <w:color w:val="auto"/>
              </w:rPr>
            </w:pPr>
          </w:p>
        </w:tc>
        <w:tc>
          <w:tcPr>
            <w:tcW w:w="400" w:type="dxa"/>
            <w:vAlign w:val="bottom"/>
            <w:tcBorders>
              <w:top w:val="single" w:sz="8" w:color="auto"/>
              <w:bottom w:val="single" w:sz="8" w:color="auto"/>
            </w:tcBorders>
            <w:shd w:val="clear" w:color="auto" w:fill="D5EAEA"/>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 of Financial Liabilities Through Profit or Loss</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Series A preferred shares and warrants to purchase Series A preferred shares, Series B preferred shares and Series B-1 preferred shares are classified as financial liabilities because of the liquidation rights and conversion rights associated with the preferred shares and therefore are accounted for at fair value through profit or loss at each balance sheet date.. To determine the fair value of the convertible loans, preferred shares, and warrants, we use our judgment to select a variety of methods and make assumptions that are mainly based on market conditions existing at the end of each reporting period. The estimated fair value of these liabilities might have been different if we had used different estimates and assumptions.</w:t>
      </w:r>
    </w:p>
    <w:p>
      <w:pPr>
        <w:spacing w:after="0" w:line="1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 determine the fair value of the convertible loans, which is a valuation that is not based on observable market data, or a level 3 valuation, the debt component was evaluated based on the discounting of future payments of the debt. The convertible components of the loans (the option to convert the principal amount of the loans and accrued interest into our ordinary shares, subject to adjustment), were evaluated based on a combination of the probability weighted expected return method and the back solve option pricing method model.</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To determine the fair value of the preferred shares, warrants to purchase Series A preferred shares and warrants to purchase Series B preferred shares and Series B-1 preferred shares, we prepared a valuation of the fair value of each of these components. The components were evaluated using a combination of the probability weighted expected return method and the back solve option pricing method model.</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of December 31, 2017, the valuation of the Company’s financial liabilities was based on the market approach and used a price per share of $908.78 per Series B preferred share from the Company’s preferred share issuance starting in October 2017 as a basis for fair market value. The value of equity as of December 31, 2016 was based on the valuation of cash generating unit based on DCF.</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parameters were used:</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7620" w:type="dxa"/>
            <w:vAlign w:val="bottom"/>
            <w:tcBorders>
              <w:bottom w:val="single" w:sz="8" w:color="D5EAEA"/>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D5EAEA"/>
            </w:tcBorders>
          </w:tcPr>
          <w:p>
            <w:pPr>
              <w:spacing w:after="0"/>
              <w:rPr>
                <w:sz w:val="19"/>
                <w:szCs w:val="19"/>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r>
      <w:tr>
        <w:trPr>
          <w:trHeight w:val="210"/>
        </w:trPr>
        <w:tc>
          <w:tcPr>
            <w:tcW w:w="7620" w:type="dxa"/>
            <w:vAlign w:val="bottom"/>
            <w:shd w:val="clear" w:color="auto" w:fill="D5EAEA"/>
          </w:tcPr>
          <w:p>
            <w:pPr>
              <w:spacing w:after="0"/>
              <w:rPr>
                <w:sz w:val="20"/>
                <w:szCs w:val="20"/>
                <w:color w:val="auto"/>
              </w:rPr>
            </w:pPr>
            <w:r>
              <w:rPr>
                <w:rFonts w:ascii="Arial" w:cs="Arial" w:eastAsia="Arial" w:hAnsi="Arial"/>
                <w:sz w:val="18"/>
                <w:szCs w:val="18"/>
                <w:color w:val="auto"/>
              </w:rPr>
              <w:t>Preferred B price per share*</w:t>
            </w:r>
          </w:p>
        </w:tc>
        <w:tc>
          <w:tcPr>
            <w:tcW w:w="180" w:type="dxa"/>
            <w:vAlign w:val="bottom"/>
            <w:shd w:val="clear" w:color="auto" w:fill="D5EAEA"/>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D5EAEA"/>
          </w:tcPr>
          <w:p>
            <w:pPr>
              <w:jc w:val="right"/>
              <w:ind w:right="90"/>
              <w:spacing w:after="0"/>
              <w:rPr>
                <w:sz w:val="20"/>
                <w:szCs w:val="20"/>
                <w:color w:val="auto"/>
              </w:rPr>
            </w:pPr>
            <w:r>
              <w:rPr>
                <w:rFonts w:ascii="Arial" w:cs="Arial" w:eastAsia="Arial" w:hAnsi="Arial"/>
                <w:sz w:val="18"/>
                <w:szCs w:val="18"/>
                <w:color w:val="auto"/>
              </w:rPr>
              <w:t>908.78</w:t>
            </w:r>
          </w:p>
        </w:tc>
        <w:tc>
          <w:tcPr>
            <w:tcW w:w="80" w:type="dxa"/>
            <w:vAlign w:val="bottom"/>
            <w:shd w:val="clear" w:color="auto" w:fill="D5EAEA"/>
          </w:tcPr>
          <w:p>
            <w:pPr>
              <w:spacing w:after="0"/>
              <w:rPr>
                <w:sz w:val="18"/>
                <w:szCs w:val="18"/>
                <w:color w:val="auto"/>
              </w:rPr>
            </w:pPr>
          </w:p>
        </w:tc>
        <w:tc>
          <w:tcPr>
            <w:tcW w:w="1300" w:type="dxa"/>
            <w:vAlign w:val="bottom"/>
            <w:shd w:val="clear" w:color="auto" w:fill="D5EAEA"/>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Value of equity*</w:t>
            </w:r>
          </w:p>
        </w:tc>
        <w:tc>
          <w:tcPr>
            <w:tcW w:w="18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$78 million</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$71 million</w:t>
            </w:r>
          </w:p>
        </w:tc>
      </w:tr>
      <w:tr>
        <w:trPr>
          <w:trHeight w:val="216"/>
        </w:trPr>
        <w:tc>
          <w:tcPr>
            <w:tcW w:w="7620" w:type="dxa"/>
            <w:vAlign w:val="bottom"/>
            <w:shd w:val="clear" w:color="auto" w:fill="D5EAEA"/>
          </w:tcPr>
          <w:p>
            <w:pPr>
              <w:spacing w:after="0"/>
              <w:rPr>
                <w:sz w:val="20"/>
                <w:szCs w:val="20"/>
                <w:color w:val="auto"/>
              </w:rPr>
            </w:pPr>
            <w:r>
              <w:rPr>
                <w:rFonts w:ascii="Arial" w:cs="Arial" w:eastAsia="Arial" w:hAnsi="Arial"/>
                <w:sz w:val="18"/>
                <w:szCs w:val="18"/>
                <w:color w:val="auto"/>
              </w:rPr>
              <w:t>Volatility</w:t>
            </w:r>
          </w:p>
        </w:tc>
        <w:tc>
          <w:tcPr>
            <w:tcW w:w="180" w:type="dxa"/>
            <w:vAlign w:val="bottom"/>
            <w:shd w:val="clear" w:color="auto" w:fill="D5EAEA"/>
          </w:tcPr>
          <w:p>
            <w:pPr>
              <w:spacing w:after="0"/>
              <w:rPr>
                <w:sz w:val="18"/>
                <w:szCs w:val="18"/>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D5EAEA"/>
          </w:tcPr>
          <w:p>
            <w:pPr>
              <w:spacing w:after="0"/>
              <w:rPr>
                <w:sz w:val="18"/>
                <w:szCs w:val="18"/>
                <w:color w:val="auto"/>
              </w:rPr>
            </w:pPr>
          </w:p>
        </w:tc>
        <w:tc>
          <w:tcPr>
            <w:tcW w:w="13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Probability of entering Phase 2b/3 trial for EB612</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7620" w:type="dxa"/>
            <w:vAlign w:val="bottom"/>
            <w:shd w:val="clear" w:color="auto" w:fill="D5EAEA"/>
          </w:tcPr>
          <w:p>
            <w:pPr>
              <w:spacing w:after="0"/>
              <w:rPr>
                <w:sz w:val="20"/>
                <w:szCs w:val="20"/>
                <w:color w:val="auto"/>
              </w:rPr>
            </w:pPr>
            <w:r>
              <w:rPr>
                <w:rFonts w:ascii="Arial" w:cs="Arial" w:eastAsia="Arial" w:hAnsi="Arial"/>
                <w:sz w:val="18"/>
                <w:szCs w:val="18"/>
                <w:color w:val="auto"/>
              </w:rPr>
              <w:t>Probability for IPO/shares registration</w:t>
            </w:r>
          </w:p>
        </w:tc>
        <w:tc>
          <w:tcPr>
            <w:tcW w:w="180" w:type="dxa"/>
            <w:vAlign w:val="bottom"/>
            <w:shd w:val="clear" w:color="auto" w:fill="D5EAEA"/>
          </w:tcPr>
          <w:p>
            <w:pPr>
              <w:spacing w:after="0"/>
              <w:rPr>
                <w:sz w:val="18"/>
                <w:szCs w:val="18"/>
                <w:color w:val="auto"/>
              </w:rPr>
            </w:pPr>
          </w:p>
        </w:tc>
        <w:tc>
          <w:tcPr>
            <w:tcW w:w="11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D5EAEA"/>
          </w:tcPr>
          <w:p>
            <w:pPr>
              <w:spacing w:after="0"/>
              <w:rPr>
                <w:sz w:val="18"/>
                <w:szCs w:val="18"/>
                <w:color w:val="auto"/>
              </w:rPr>
            </w:pPr>
          </w:p>
        </w:tc>
        <w:tc>
          <w:tcPr>
            <w:tcW w:w="13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0890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0" w:right="200" w:hanging="332"/>
        <w:spacing w:after="0" w:line="256"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value of equity as of December 31, 2017 was based on the market approach as described above. The value of equity as of December 31, 2016 was based on the valuation of cash generating unit based on DCF. The value of equity includes ordinary shares, preferred shares, warrants and options to preferred shares and shares.</w:t>
      </w:r>
    </w:p>
    <w:p>
      <w:pPr>
        <w:ind w:left="340"/>
        <w:spacing w:after="0"/>
        <w:rPr>
          <w:rFonts w:ascii="Arial" w:cs="Arial" w:eastAsia="Arial" w:hAnsi="Arial"/>
          <w:sz w:val="18"/>
          <w:szCs w:val="18"/>
          <w:color w:val="auto"/>
        </w:rPr>
      </w:pPr>
      <w:r>
        <w:rPr>
          <w:rFonts w:ascii="Arial" w:cs="Arial" w:eastAsia="Arial" w:hAnsi="Arial"/>
          <w:sz w:val="18"/>
          <w:szCs w:val="18"/>
          <w:color w:val="auto"/>
        </w:rPr>
        <w:t>The primary assumptions used in the DCF valuations are as follows:</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1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7520" w:type="dxa"/>
            <w:vAlign w:val="bottom"/>
            <w:tcBorders>
              <w:bottom w:val="single" w:sz="8" w:color="D5EAEA"/>
            </w:tcBorders>
          </w:tcPr>
          <w:p>
            <w:pPr>
              <w:spacing w:after="0"/>
              <w:rPr>
                <w:sz w:val="18"/>
                <w:szCs w:val="18"/>
                <w:color w:val="auto"/>
              </w:rPr>
            </w:pPr>
          </w:p>
        </w:tc>
        <w:tc>
          <w:tcPr>
            <w:tcW w:w="16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10"/>
        </w:trPr>
        <w:tc>
          <w:tcPr>
            <w:tcW w:w="7520" w:type="dxa"/>
            <w:vAlign w:val="bottom"/>
            <w:shd w:val="clear" w:color="auto" w:fill="D5EAEA"/>
          </w:tcPr>
          <w:p>
            <w:pPr>
              <w:spacing w:after="0"/>
              <w:rPr>
                <w:sz w:val="20"/>
                <w:szCs w:val="20"/>
                <w:color w:val="auto"/>
              </w:rPr>
            </w:pPr>
            <w:r>
              <w:rPr>
                <w:rFonts w:ascii="Arial" w:cs="Arial" w:eastAsia="Arial" w:hAnsi="Arial"/>
                <w:sz w:val="18"/>
                <w:szCs w:val="18"/>
                <w:color w:val="auto"/>
              </w:rPr>
              <w:t>WACC</w:t>
            </w:r>
          </w:p>
        </w:tc>
        <w:tc>
          <w:tcPr>
            <w:tcW w:w="16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Commencement of sales</w:t>
            </w:r>
          </w:p>
        </w:tc>
        <w:tc>
          <w:tcPr>
            <w:tcW w:w="1600" w:type="dxa"/>
            <w:vAlign w:val="bottom"/>
          </w:tcPr>
          <w:p>
            <w:pPr>
              <w:jc w:val="right"/>
              <w:spacing w:after="0"/>
              <w:rPr>
                <w:sz w:val="20"/>
                <w:szCs w:val="20"/>
                <w:color w:val="auto"/>
              </w:rPr>
            </w:pPr>
            <w:r>
              <w:rPr>
                <w:rFonts w:ascii="Arial" w:cs="Arial" w:eastAsia="Arial" w:hAnsi="Arial"/>
                <w:sz w:val="18"/>
                <w:szCs w:val="18"/>
                <w:color w:val="auto"/>
              </w:rPr>
              <w:t>2021 – 2025</w:t>
            </w:r>
          </w:p>
        </w:tc>
      </w:tr>
      <w:tr>
        <w:trPr>
          <w:trHeight w:val="216"/>
        </w:trPr>
        <w:tc>
          <w:tcPr>
            <w:tcW w:w="7520" w:type="dxa"/>
            <w:vAlign w:val="bottom"/>
            <w:shd w:val="clear" w:color="auto" w:fill="D5EAEA"/>
          </w:tcPr>
          <w:p>
            <w:pPr>
              <w:spacing w:after="0"/>
              <w:rPr>
                <w:sz w:val="20"/>
                <w:szCs w:val="20"/>
                <w:color w:val="auto"/>
              </w:rPr>
            </w:pPr>
            <w:r>
              <w:rPr>
                <w:rFonts w:ascii="Arial" w:cs="Arial" w:eastAsia="Arial" w:hAnsi="Arial"/>
                <w:sz w:val="18"/>
                <w:szCs w:val="18"/>
                <w:color w:val="auto"/>
              </w:rPr>
              <w:t>Probability of reaching sales</w:t>
            </w:r>
          </w:p>
        </w:tc>
        <w:tc>
          <w:tcPr>
            <w:tcW w:w="16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20.1% – 37.9%</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 average cost of capital in the DCF model used to evaluate the equity as of December 31, 2016, or the discount rate, was calculated by using the Capital Asset Pricing Model to determine the required return on equity and is based on certain assumptions used to determine the appropriate cost of debt and capital structure,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5"/>
              </w:rPr>
              <w:t>December 31,</w:t>
            </w:r>
          </w:p>
        </w:tc>
      </w:tr>
      <w:tr>
        <w:trPr>
          <w:trHeight w:val="210"/>
        </w:trPr>
        <w:tc>
          <w:tcPr>
            <w:tcW w:w="660" w:type="dxa"/>
            <w:vAlign w:val="bottom"/>
          </w:tcPr>
          <w:p>
            <w:pPr>
              <w:spacing w:after="0"/>
              <w:rPr>
                <w:sz w:val="18"/>
                <w:szCs w:val="18"/>
                <w:color w:val="auto"/>
              </w:rPr>
            </w:pPr>
          </w:p>
        </w:tc>
        <w:tc>
          <w:tcPr>
            <w:tcW w:w="1060" w:type="dxa"/>
            <w:vAlign w:val="bottom"/>
            <w:tcBorders>
              <w:bottom w:val="single" w:sz="8" w:color="D5EAEA"/>
            </w:tcBorders>
          </w:tcPr>
          <w:p>
            <w:pPr>
              <w:spacing w:after="0"/>
              <w:rPr>
                <w:sz w:val="18"/>
                <w:szCs w:val="18"/>
                <w:color w:val="auto"/>
              </w:rPr>
            </w:pPr>
          </w:p>
        </w:tc>
        <w:tc>
          <w:tcPr>
            <w:tcW w:w="7720" w:type="dxa"/>
            <w:vAlign w:val="bottom"/>
            <w:tcBorders>
              <w:bottom w:val="single" w:sz="8" w:color="D5EAEA"/>
            </w:tcBorders>
          </w:tcPr>
          <w:p>
            <w:pPr>
              <w:spacing w:after="0"/>
              <w:rPr>
                <w:sz w:val="18"/>
                <w:szCs w:val="18"/>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r>
      <w:tr>
        <w:trPr>
          <w:trHeight w:val="210"/>
        </w:trPr>
        <w:tc>
          <w:tcPr>
            <w:tcW w:w="660" w:type="dxa"/>
            <w:vAlign w:val="bottom"/>
          </w:tcPr>
          <w:p>
            <w:pPr>
              <w:spacing w:after="0"/>
              <w:rPr>
                <w:sz w:val="18"/>
                <w:szCs w:val="18"/>
                <w:color w:val="auto"/>
              </w:rPr>
            </w:pPr>
          </w:p>
        </w:tc>
        <w:tc>
          <w:tcPr>
            <w:tcW w:w="87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Risk free(1)</w:t>
            </w:r>
          </w:p>
        </w:tc>
        <w:tc>
          <w:tcPr>
            <w:tcW w:w="12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0.99%</w:t>
            </w:r>
          </w:p>
        </w:tc>
      </w:tr>
      <w:tr>
        <w:trPr>
          <w:trHeight w:val="216"/>
        </w:trPr>
        <w:tc>
          <w:tcPr>
            <w:tcW w:w="66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Market premium(2)</w:t>
            </w:r>
          </w:p>
        </w:tc>
        <w:tc>
          <w:tcPr>
            <w:tcW w:w="126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16"/>
        </w:trPr>
        <w:tc>
          <w:tcPr>
            <w:tcW w:w="660" w:type="dxa"/>
            <w:vAlign w:val="bottom"/>
          </w:tcPr>
          <w:p>
            <w:pPr>
              <w:spacing w:after="0"/>
              <w:rPr>
                <w:sz w:val="18"/>
                <w:szCs w:val="18"/>
                <w:color w:val="auto"/>
              </w:rPr>
            </w:pPr>
          </w:p>
        </w:tc>
        <w:tc>
          <w:tcPr>
            <w:tcW w:w="87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Specific risk(3)</w:t>
            </w:r>
          </w:p>
        </w:tc>
        <w:tc>
          <w:tcPr>
            <w:tcW w:w="12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16.29%</w:t>
            </w:r>
          </w:p>
        </w:tc>
      </w:tr>
      <w:tr>
        <w:trPr>
          <w:trHeight w:val="216"/>
        </w:trPr>
        <w:tc>
          <w:tcPr>
            <w:tcW w:w="66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Beta(4)</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0.84</w:t>
            </w:r>
          </w:p>
        </w:tc>
      </w:tr>
      <w:tr>
        <w:trPr>
          <w:trHeight w:val="216"/>
        </w:trPr>
        <w:tc>
          <w:tcPr>
            <w:tcW w:w="660" w:type="dxa"/>
            <w:vAlign w:val="bottom"/>
          </w:tcPr>
          <w:p>
            <w:pPr>
              <w:spacing w:after="0"/>
              <w:rPr>
                <w:sz w:val="18"/>
                <w:szCs w:val="18"/>
                <w:color w:val="auto"/>
              </w:rPr>
            </w:pPr>
          </w:p>
        </w:tc>
        <w:tc>
          <w:tcPr>
            <w:tcW w:w="878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WACC</w:t>
            </w:r>
          </w:p>
        </w:tc>
        <w:tc>
          <w:tcPr>
            <w:tcW w:w="12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6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7720" w:type="dxa"/>
            <w:vAlign w:val="bottom"/>
          </w:tcPr>
          <w:p>
            <w:pPr>
              <w:spacing w:after="0"/>
              <w:rPr>
                <w:sz w:val="21"/>
                <w:szCs w:val="21"/>
                <w:color w:val="auto"/>
              </w:rPr>
            </w:pPr>
          </w:p>
        </w:tc>
        <w:tc>
          <w:tcPr>
            <w:tcW w:w="1260" w:type="dxa"/>
            <w:vAlign w:val="bottom"/>
          </w:tcPr>
          <w:p>
            <w:pPr>
              <w:spacing w:after="0"/>
              <w:rPr>
                <w:sz w:val="21"/>
                <w:szCs w:val="21"/>
                <w:color w:val="auto"/>
              </w:rPr>
            </w:pPr>
          </w:p>
        </w:tc>
      </w:tr>
    </w:tbl>
    <w:p>
      <w:pPr>
        <w:spacing w:after="0" w:line="256"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U.S. Treasury Real Long-Term Rate.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publicly available estimates.</w:t>
      </w:r>
    </w:p>
    <w:p>
      <w:pPr>
        <w:spacing w:after="0" w:line="225" w:lineRule="exact"/>
        <w:rPr>
          <w:rFonts w:ascii="Arial" w:cs="Arial" w:eastAsia="Arial" w:hAnsi="Arial"/>
          <w:sz w:val="18"/>
          <w:szCs w:val="18"/>
          <w:color w:val="auto"/>
        </w:rPr>
      </w:pPr>
    </w:p>
    <w:p>
      <w:pPr>
        <w:ind w:left="340" w:right="48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publicly available estimates and specific risk premium added, based on external appraiser opinion regarding the risk related to the capital raising required to execute our business plan.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a number of publicly traded companies which operate in the pharmaceuticals industry.</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probability of reaching sales was determined based on a publicly available research studies of a large number of clinical trials in various size and stages and indications and their associated success rates based on stage of clinical trials.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Comparison of Years Ended December 31, 2017 and 2016</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4"/>
          </w:tcPr>
          <w:p>
            <w:pPr>
              <w:jc w:val="right"/>
              <w:ind w:right="25"/>
              <w:spacing w:after="0"/>
              <w:rPr>
                <w:sz w:val="20"/>
                <w:szCs w:val="20"/>
                <w:color w:val="auto"/>
              </w:rPr>
            </w:pPr>
            <w:r>
              <w:rPr>
                <w:rFonts w:ascii="Arial" w:cs="Arial" w:eastAsia="Arial" w:hAnsi="Arial"/>
                <w:sz w:val="18"/>
                <w:szCs w:val="18"/>
                <w:b w:val="1"/>
                <w:bCs w:val="1"/>
                <w:color w:val="auto"/>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8"/>
                <w:szCs w:val="18"/>
                <w:b w:val="1"/>
                <w:bCs w:val="1"/>
                <w:color w:val="auto"/>
              </w:rPr>
              <w:t>Increase (Decrease)</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20" w:type="dxa"/>
            <w:vAlign w:val="bottom"/>
            <w:vMerge w:val="restart"/>
          </w:tcPr>
          <w:p>
            <w:pPr>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19"/>
                <w:szCs w:val="19"/>
                <w:color w:val="auto"/>
              </w:rPr>
            </w:pPr>
          </w:p>
        </w:tc>
        <w:tc>
          <w:tcPr>
            <w:tcW w:w="4540" w:type="dxa"/>
            <w:vAlign w:val="bottom"/>
            <w:gridSpan w:val="11"/>
          </w:tcPr>
          <w:p>
            <w:pPr>
              <w:ind w:left="820"/>
              <w:spacing w:after="0"/>
              <w:rPr>
                <w:sz w:val="20"/>
                <w:szCs w:val="20"/>
                <w:color w:val="auto"/>
              </w:rPr>
            </w:pPr>
            <w:r>
              <w:rPr>
                <w:rFonts w:ascii="Arial" w:cs="Arial" w:eastAsia="Arial" w:hAnsi="Arial"/>
                <w:sz w:val="18"/>
                <w:szCs w:val="18"/>
                <w:color w:val="auto"/>
                <w:w w:val="94"/>
              </w:rPr>
              <w:t>(In thousands, except for percentage information)</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D5EAEA"/>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D5EAEA"/>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2,768</w:t>
            </w:r>
          </w:p>
        </w:tc>
        <w:tc>
          <w:tcPr>
            <w:tcW w:w="140" w:type="dxa"/>
            <w:vAlign w:val="bottom"/>
            <w:shd w:val="clear" w:color="auto" w:fill="D5EAEA"/>
          </w:tcPr>
          <w:p>
            <w:pPr>
              <w:spacing w:after="0"/>
              <w:rPr>
                <w:sz w:val="18"/>
                <w:szCs w:val="18"/>
                <w:color w:val="auto"/>
              </w:rPr>
            </w:pPr>
          </w:p>
        </w:tc>
        <w:tc>
          <w:tcPr>
            <w:tcW w:w="560" w:type="dxa"/>
            <w:vAlign w:val="bottom"/>
            <w:gridSpan w:val="2"/>
            <w:shd w:val="clear" w:color="auto" w:fill="D5EAEA"/>
          </w:tcPr>
          <w:p>
            <w:pPr>
              <w:jc w:val="right"/>
              <w:ind w:right="3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2,648</w:t>
            </w:r>
          </w:p>
        </w:tc>
        <w:tc>
          <w:tcPr>
            <w:tcW w:w="480" w:type="dxa"/>
            <w:vAlign w:val="bottom"/>
            <w:gridSpan w:val="2"/>
            <w:shd w:val="clear" w:color="auto" w:fill="D5EAEA"/>
          </w:tcPr>
          <w:p>
            <w:pPr>
              <w:jc w:val="right"/>
              <w:ind w:right="20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120</w:t>
            </w:r>
          </w:p>
        </w:tc>
        <w:tc>
          <w:tcPr>
            <w:tcW w:w="440" w:type="dxa"/>
            <w:vAlign w:val="bottom"/>
            <w:shd w:val="clear" w:color="auto" w:fill="D5EAEA"/>
          </w:tcPr>
          <w:p>
            <w:pPr>
              <w:spacing w:after="0"/>
              <w:rPr>
                <w:sz w:val="18"/>
                <w:szCs w:val="18"/>
                <w:color w:val="auto"/>
              </w:rPr>
            </w:pPr>
          </w:p>
        </w:tc>
        <w:tc>
          <w:tcPr>
            <w:tcW w:w="96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5,856</w:t>
            </w:r>
          </w:p>
        </w:tc>
        <w:tc>
          <w:tcPr>
            <w:tcW w:w="4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16"/>
        </w:trPr>
        <w:tc>
          <w:tcPr>
            <w:tcW w:w="5620" w:type="dxa"/>
            <w:vAlign w:val="bottom"/>
            <w:shd w:val="clear" w:color="auto" w:fill="D5EAEA"/>
          </w:tcPr>
          <w:p>
            <w:pPr>
              <w:ind w:left="180"/>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D5EAEA"/>
          </w:tcPr>
          <w:p>
            <w:pPr>
              <w:spacing w:after="0"/>
              <w:rPr>
                <w:sz w:val="18"/>
                <w:szCs w:val="18"/>
                <w:color w:val="auto"/>
              </w:rPr>
            </w:pPr>
          </w:p>
        </w:tc>
        <w:tc>
          <w:tcPr>
            <w:tcW w:w="9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11,343</w:t>
            </w:r>
          </w:p>
        </w:tc>
        <w:tc>
          <w:tcPr>
            <w:tcW w:w="14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6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5,367</w:t>
            </w:r>
          </w:p>
        </w:tc>
        <w:tc>
          <w:tcPr>
            <w:tcW w:w="120" w:type="dxa"/>
            <w:vAlign w:val="bottom"/>
            <w:shd w:val="clear" w:color="auto" w:fill="D5EAEA"/>
          </w:tcPr>
          <w:p>
            <w:pPr>
              <w:spacing w:after="0"/>
              <w:rPr>
                <w:sz w:val="18"/>
                <w:szCs w:val="18"/>
                <w:color w:val="auto"/>
              </w:rPr>
            </w:pPr>
          </w:p>
        </w:tc>
        <w:tc>
          <w:tcPr>
            <w:tcW w:w="360" w:type="dxa"/>
            <w:vAlign w:val="bottom"/>
            <w:shd w:val="clear" w:color="auto" w:fill="D5EAEA"/>
          </w:tcPr>
          <w:p>
            <w:pPr>
              <w:spacing w:after="0"/>
              <w:rPr>
                <w:sz w:val="18"/>
                <w:szCs w:val="18"/>
                <w:color w:val="auto"/>
              </w:rPr>
            </w:pPr>
          </w:p>
        </w:tc>
        <w:tc>
          <w:tcPr>
            <w:tcW w:w="110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5,976</w:t>
            </w:r>
          </w:p>
        </w:tc>
        <w:tc>
          <w:tcPr>
            <w:tcW w:w="440" w:type="dxa"/>
            <w:vAlign w:val="bottom"/>
            <w:shd w:val="clear" w:color="auto" w:fill="D5EAEA"/>
          </w:tcPr>
          <w:p>
            <w:pPr>
              <w:spacing w:after="0"/>
              <w:rPr>
                <w:sz w:val="18"/>
                <w:szCs w:val="18"/>
                <w:color w:val="auto"/>
              </w:rPr>
            </w:pPr>
          </w:p>
        </w:tc>
        <w:tc>
          <w:tcPr>
            <w:tcW w:w="96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Financial income, net</w:t>
            </w:r>
          </w:p>
        </w:tc>
        <w:tc>
          <w:tcPr>
            <w:tcW w:w="3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(4,168)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4,022</w:t>
            </w:r>
          </w:p>
        </w:tc>
        <w:tc>
          <w:tcPr>
            <w:tcW w:w="4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D5EAEA"/>
              <w:bottom w:val="single" w:sz="8" w:color="D5EAEA"/>
            </w:tcBorders>
            <w:shd w:val="clear" w:color="auto" w:fill="D5EAEA"/>
          </w:tcPr>
          <w:p>
            <w:pPr>
              <w:ind w:left="180"/>
              <w:spacing w:after="0"/>
              <w:rPr>
                <w:sz w:val="20"/>
                <w:szCs w:val="20"/>
                <w:color w:val="auto"/>
              </w:rPr>
            </w:pPr>
            <w:r>
              <w:rPr>
                <w:rFonts w:ascii="Arial" w:cs="Arial" w:eastAsia="Arial" w:hAnsi="Arial"/>
                <w:sz w:val="18"/>
                <w:szCs w:val="18"/>
                <w:color w:val="auto"/>
              </w:rPr>
              <w:t>Net loss (income)</w:t>
            </w:r>
          </w:p>
        </w:tc>
        <w:tc>
          <w:tcPr>
            <w:tcW w:w="300" w:type="dxa"/>
            <w:vAlign w:val="bottom"/>
            <w:tcBorders>
              <w:top w:val="single" w:sz="8" w:color="auto"/>
              <w:bottom w:val="single" w:sz="8" w:color="auto"/>
            </w:tcBorders>
            <w:shd w:val="clear" w:color="auto" w:fill="D5EAEA"/>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11,197</w:t>
            </w:r>
          </w:p>
        </w:tc>
        <w:tc>
          <w:tcPr>
            <w:tcW w:w="140" w:type="dxa"/>
            <w:vAlign w:val="bottom"/>
            <w:tcBorders>
              <w:top w:val="single" w:sz="8" w:color="D5EAEA"/>
              <w:bottom w:val="single" w:sz="8" w:color="D5EAEA"/>
            </w:tcBorders>
            <w:shd w:val="clear" w:color="auto" w:fill="D5EAEA"/>
          </w:tcPr>
          <w:p>
            <w:pPr>
              <w:spacing w:after="0"/>
              <w:rPr>
                <w:sz w:val="19"/>
                <w:szCs w:val="19"/>
                <w:color w:val="auto"/>
              </w:rPr>
            </w:pPr>
          </w:p>
        </w:tc>
        <w:tc>
          <w:tcPr>
            <w:tcW w:w="80" w:type="dxa"/>
            <w:vAlign w:val="bottom"/>
            <w:tcBorders>
              <w:top w:val="single" w:sz="8" w:color="D5EAEA"/>
              <w:bottom w:val="single" w:sz="8" w:color="D5EAEA"/>
            </w:tcBorders>
            <w:shd w:val="clear" w:color="auto" w:fill="D5EAEA"/>
          </w:tcPr>
          <w:p>
            <w:pPr>
              <w:spacing w:after="0"/>
              <w:rPr>
                <w:sz w:val="19"/>
                <w:szCs w:val="19"/>
                <w:color w:val="auto"/>
              </w:rPr>
            </w:pPr>
          </w:p>
        </w:tc>
        <w:tc>
          <w:tcPr>
            <w:tcW w:w="480" w:type="dxa"/>
            <w:vAlign w:val="bottom"/>
            <w:tcBorders>
              <w:top w:val="single" w:sz="8" w:color="auto"/>
              <w:bottom w:val="single" w:sz="8" w:color="auto"/>
            </w:tcBorders>
            <w:shd w:val="clear" w:color="auto" w:fill="D5EAEA"/>
          </w:tcPr>
          <w:p>
            <w:pPr>
              <w:jc w:val="right"/>
              <w:ind w:right="3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360" w:type="dxa"/>
            <w:vAlign w:val="bottom"/>
            <w:tcBorders>
              <w:top w:val="single" w:sz="8" w:color="auto"/>
              <w:bottom w:val="single" w:sz="8" w:color="auto"/>
            </w:tcBorders>
            <w:shd w:val="clear" w:color="auto" w:fill="D5EAEA"/>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9,998</w:t>
            </w:r>
          </w:p>
        </w:tc>
        <w:tc>
          <w:tcPr>
            <w:tcW w:w="220" w:type="dxa"/>
            <w:vAlign w:val="bottom"/>
            <w:tcBorders>
              <w:top w:val="single" w:sz="8" w:color="D5EAEA"/>
              <w:bottom w:val="single" w:sz="8" w:color="D5EAEA"/>
            </w:tcBorders>
            <w:shd w:val="clear" w:color="auto" w:fill="D5EAEA"/>
          </w:tcPr>
          <w:p>
            <w:pPr>
              <w:spacing w:after="0"/>
              <w:rPr>
                <w:sz w:val="19"/>
                <w:szCs w:val="19"/>
                <w:color w:val="auto"/>
              </w:rPr>
            </w:pPr>
          </w:p>
        </w:tc>
        <w:tc>
          <w:tcPr>
            <w:tcW w:w="440" w:type="dxa"/>
            <w:vAlign w:val="bottom"/>
            <w:tcBorders>
              <w:top w:val="single" w:sz="8" w:color="auto"/>
              <w:bottom w:val="single" w:sz="8" w:color="auto"/>
            </w:tcBorders>
            <w:shd w:val="clear" w:color="auto" w:fill="D5EAEA"/>
          </w:tcPr>
          <w:p>
            <w:pPr>
              <w:spacing w:after="0"/>
              <w:rPr>
                <w:sz w:val="19"/>
                <w:szCs w:val="19"/>
                <w:color w:val="auto"/>
              </w:rPr>
            </w:pPr>
          </w:p>
        </w:tc>
        <w:tc>
          <w:tcPr>
            <w:tcW w:w="8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D5EAEA"/>
              <w:bottom w:val="single" w:sz="8" w:color="D5EAEA"/>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for the year ended December 31, 2017 were $2.8 million, compared to</w:t>
      </w:r>
    </w:p>
    <w:p>
      <w:pPr>
        <w:spacing w:after="0" w:line="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$2.6 million for the year ended December 31, 2016, an increase of $0.2 million, or 4.5%. The increase in research and development expenses was primarily due to an increase of $0.6 million in expenses for salaries and related employee expenses resulting mainly from an increase in salaries and bonuses (of which $0.2 million represented an increase in share-based compensation expenses), offset by $0.3 million primarily due to lower expenses for materials and decrease of $0.1 million in expenses for subcontractors and CROs.</w:t>
      </w:r>
    </w:p>
    <w:p>
      <w:pPr>
        <w:spacing w:after="0" w:line="19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General and administrative expenses for the year ended December 31, 2017 were $8.6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$2.7 million for the year ended December 31, 2016, an increase of $5.9 million, or 215.4%. The increase in general and administrative expenses was primarily due to an increase of $3.7 million in salaries and related employee expenses of which $3.2 million resulted from an increase in share-based compensation expenses, $1.1 million issuance costs of preferred B shares and $1.0 million in professional and other expenses related to the Company’s initial public offering expenses.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income expenses, net</w:t>
      </w:r>
      <w:r>
        <w:rPr>
          <w:rFonts w:ascii="Arial" w:cs="Arial" w:eastAsia="Arial" w:hAnsi="Arial"/>
          <w:sz w:val="17"/>
          <w:szCs w:val="17"/>
          <w:color w:val="auto"/>
        </w:rPr>
        <w:t>.  Financial income, net for the year ended December 31, 2017 was $0.1 million, compared to financial income, net of</w:t>
      </w:r>
    </w:p>
    <w:p>
      <w:pPr>
        <w:spacing w:after="0" w:line="3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$4.2 million for the year ended December 31, 2016. Financial income, net for the year ended December 31, 2017 resulted mainly from the change in the fair value of convertible loans, preferred shares, warrants to purchase Series A preferred shares and warrants to purchase Series B preferred shares that were recorded as a financial liability at fair value through profit or loss. During the years ended December 31, 2017 and 2016, we recorded a gain of $0.25 million and $4.3 million, respectively, on the fair value of financial liabilities. For the assumptions used in the valuation of the convertible loans and preferred shares components see “—Critical Accounting Policies and Estimate—Fair Value of Financial Liabilities Through Profit or Loss.”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Since inception, we have incurred significant losses. For the years ended December 31, 2016 and 2017, our operating losses were $5.4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$11.3 million, respectively. In addition, during the years ended December 31, 2016 and 2017 and currently, we have been cash constrained due to our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funds. We expect to continue to incur significant expenses and losses for the next several years. As of December 31, 2017, we had an accumulated deficit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$41.8 million. Since our inception and through December 31, 2017, we have raised a total of $31.3 million, including $7.2 million from sales of our ordinary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Series A preferred shares and warrants, of which $0.6 million was recorded as an intangible asset based on the fair value of ordinary shares issued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exchange, $10.6 million from convertible loans (of which an amount of approximately $1.0 million ($1.1 million including interest) was repaid 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February 2017) and an amount of $8.5 million ($9.0 million including interest) was converted in October 2017 to Series B-1 preferred shares), $13.0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sales of our Series B preferred shares from October to December 2017 and $0.5 million from IIA grants. As of March 31, 2018, we had cash and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equivalents of $9.2 million. Our primary uses of cash have been to fund research and development and working capital requirements, and we expect these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will continue to be our primary uses of cash.</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expect that the net proceeds from this offering and our existing cash and cash equivalents will enable us to fund our research and development expenses,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w w:val="97"/>
              </w:rPr>
              <w:t>and working capital requirements for at least</w:t>
            </w:r>
          </w:p>
        </w:tc>
        <w:tc>
          <w:tcPr>
            <w:tcW w:w="7960" w:type="dxa"/>
            <w:vAlign w:val="bottom"/>
          </w:tcPr>
          <w:p>
            <w:pPr>
              <w:jc w:val="right"/>
              <w:ind w:right="3950"/>
              <w:spacing w:after="0"/>
              <w:rPr>
                <w:sz w:val="20"/>
                <w:szCs w:val="20"/>
                <w:color w:val="auto"/>
              </w:rPr>
            </w:pPr>
            <w:r>
              <w:rPr>
                <w:rFonts w:ascii="Arial" w:cs="Arial" w:eastAsia="Arial" w:hAnsi="Arial"/>
                <w:sz w:val="18"/>
                <w:szCs w:val="18"/>
                <w:color w:val="auto"/>
                <w:w w:val="96"/>
              </w:rPr>
              <w:t>months, during which we intend to conduct various</w:t>
            </w:r>
          </w:p>
        </w:tc>
      </w:tr>
      <w:tr>
        <w:trPr>
          <w:trHeight w:val="526"/>
        </w:trPr>
        <w:tc>
          <w:tcPr>
            <w:tcW w:w="346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tcPr>
          <w:p>
            <w:pPr>
              <w:jc w:val="right"/>
              <w:ind w:right="5550"/>
              <w:spacing w:after="0"/>
              <w:rPr>
                <w:sz w:val="20"/>
                <w:szCs w:val="20"/>
                <w:color w:val="auto"/>
              </w:rPr>
            </w:pPr>
            <w:r>
              <w:rPr>
                <w:rFonts w:ascii="Arial" w:cs="Arial" w:eastAsia="Arial" w:hAnsi="Arial"/>
                <w:sz w:val="18"/>
                <w:szCs w:val="18"/>
                <w:color w:val="auto"/>
              </w:rPr>
              <w:t>66</w:t>
            </w:r>
          </w:p>
        </w:tc>
      </w:tr>
    </w:tbl>
    <w:p>
      <w:pPr>
        <w:sectPr>
          <w:pgSz w:w="11900" w:h="16838" w:orient="portrait"/>
          <w:cols w:equalWidth="0" w:num="1">
            <w:col w:w="11420"/>
          </w:cols>
          <w:pgMar w:left="240" w:top="225" w:right="2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development work designed to support advanced clinical trials such as the Phase 2b/3 clinical trial with EB612 and Phase 2a trials with EB613 that may potentially support regulatory submissions for market approval.</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based these estimates on assumptions that may prove to be wrong, and we may use our available capital resources sooner than we currently expect. Because of the numerous risks and uncertainties associated with the development of our product candidates, and the extent to which we may enter into collaborations with third parties for development of these or other product candidates, we are unable to estimate the amounts of increased capital outlays and operating expenses associated with completing the development of our current and future product candidates. Our future capital requirements will depend on many factors, including:</w:t>
      </w:r>
    </w:p>
    <w:p>
      <w:pPr>
        <w:spacing w:after="0" w:line="188" w:lineRule="exact"/>
        <w:rPr>
          <w:sz w:val="20"/>
          <w:szCs w:val="20"/>
          <w:color w:val="auto"/>
        </w:rPr>
      </w:pPr>
    </w:p>
    <w:p>
      <w:pPr>
        <w:ind w:left="340" w:hanging="170"/>
        <w:spacing w:after="0"/>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costs, timing and outcome of clinical trials for, and regulatory review of, EB612, EB613 and any other product candidates we may develop;</w:t>
      </w:r>
    </w:p>
    <w:p>
      <w:pPr>
        <w:spacing w:after="0" w:line="236" w:lineRule="exact"/>
        <w:rPr>
          <w:rFonts w:ascii="Arial" w:cs="Arial" w:eastAsia="Arial" w:hAnsi="Arial"/>
          <w:sz w:val="17"/>
          <w:szCs w:val="17"/>
          <w:color w:val="auto"/>
        </w:rPr>
      </w:pPr>
    </w:p>
    <w:p>
      <w:pPr>
        <w:ind w:left="340" w:hanging="170"/>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costs of development activities for any other product candidates we may pursue;</w:t>
      </w:r>
    </w:p>
    <w:p>
      <w:pPr>
        <w:spacing w:after="0" w:line="225" w:lineRule="exact"/>
        <w:rPr>
          <w:rFonts w:ascii="Arial" w:cs="Arial" w:eastAsia="Arial" w:hAnsi="Arial"/>
          <w:sz w:val="18"/>
          <w:szCs w:val="18"/>
          <w:color w:val="auto"/>
        </w:rPr>
      </w:pPr>
    </w:p>
    <w:p>
      <w:pPr>
        <w:ind w:left="340" w:right="300" w:hanging="170"/>
        <w:spacing w:after="0" w:line="277"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and technologies; and</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Until such time, if any, as we can generate substantial product revenue, we expect to finance our cash needs through a combination of private and public equity offerings, debt financings, government grants, strategic collaborations and licensing arrangements. We do not have any committed external sources of funds. To the extent that we raise additional capital through the sale of equity or convertible debt securities, the ownership interest of our then-existing shareholders will be diluted, and the terms of these securities may include liquidation or other preferences that may adversely affect your rights as a holder of our ordinary shares. Debt financing, if available,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third parties, we may have to relinquish valuable rights to our technologies, future revenue streams or research programs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our oral PTH product candidates and any other product candidates that we would otherwise prefer to develop and market ourselves.</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audited financial statements for the year ended December 31, 2017, included elsewhere in this prospectus, note that there is substantial doubt about our ability to continue as a going concern as of such date; and in its report accompanying our audited financial statements included herein, our independent registered public accounting firm included an explanatory paragraph stating that our recurring losses from operations and lack of sufficient working capital raise substantial doubt as to our ability to continue as a going concern. This means that our management and our independent registered public accounting firm have substantial doubt about our ability to continue our operations without an additional infusion of capital from external sources. The audited financial statements have been prepared on a going concern basis and do not include any adjustments that may be necessary should we be unable to continue as a going concern. If we are unable to finance our operations, our business would be in jeopardy and we might not be able to continue operations and might have to liquidate our assets. In that case, investors might receive less than the value at which those assets are carried on our financial statements, and it is likely that investors in this offering would lose all or a part of their investment.</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primary sources and uses of cash for each of the periods set forth below:</w:t>
      </w:r>
    </w:p>
    <w:p>
      <w:pPr>
        <w:sectPr>
          <w:pgSz w:w="11900" w:h="16838" w:orient="portrait"/>
          <w:cols w:equalWidth="0" w:num="1">
            <w:col w:w="11400"/>
          </w:cols>
          <w:pgMar w:left="240" w:top="2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-121920</wp:posOffset>
            </wp:positionV>
            <wp:extent cx="7023735"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23735" cy="13716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provided by (used in) investing activities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-130810</wp:posOffset>
            </wp:positionV>
            <wp:extent cx="7023735"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23735" cy="14605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Net increase in cash and cash equivalents</w:t>
      </w:r>
    </w:p>
    <w:p>
      <w:pPr>
        <w:spacing w:after="0" w:line="184" w:lineRule="exact"/>
        <w:rPr>
          <w:sz w:val="20"/>
          <w:szCs w:val="20"/>
          <w:color w:val="auto"/>
        </w:rPr>
      </w:pPr>
    </w:p>
    <w:p>
      <w:pPr>
        <w:jc w:val="right"/>
        <w:ind w:right="20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(audited)</w:t>
      </w:r>
    </w:p>
    <w:p>
      <w:pPr>
        <w:spacing w:after="0" w:line="27"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Year ended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4"/>
              </w:rPr>
              <w:t>2016</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r>
      <w:tr>
        <w:trPr>
          <w:trHeight w:val="195"/>
        </w:trPr>
        <w:tc>
          <w:tcPr>
            <w:tcW w:w="280" w:type="dxa"/>
            <w:vAlign w:val="bottom"/>
          </w:tcPr>
          <w:p>
            <w:pPr>
              <w:spacing w:after="0"/>
              <w:rPr>
                <w:sz w:val="16"/>
                <w:szCs w:val="16"/>
                <w:color w:val="auto"/>
              </w:rPr>
            </w:pPr>
          </w:p>
        </w:tc>
        <w:tc>
          <w:tcPr>
            <w:tcW w:w="162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(in thousands)</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(4,526)</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(3,142)</w:t>
            </w:r>
          </w:p>
        </w:tc>
      </w:tr>
      <w:tr>
        <w:trPr>
          <w:trHeight w:val="230"/>
        </w:trPr>
        <w:tc>
          <w:tcPr>
            <w:tcW w:w="2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1,002</w:t>
            </w:r>
          </w:p>
        </w:tc>
        <w:tc>
          <w:tcPr>
            <w:tcW w:w="48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(1,116)</w:t>
            </w:r>
          </w:p>
        </w:tc>
      </w:tr>
      <w:tr>
        <w:trPr>
          <w:trHeight w:val="230"/>
        </w:trPr>
        <w:tc>
          <w:tcPr>
            <w:tcW w:w="2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11,107</w:t>
            </w:r>
          </w:p>
        </w:tc>
        <w:tc>
          <w:tcPr>
            <w:tcW w:w="4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7,216</w:t>
            </w:r>
          </w:p>
        </w:tc>
        <w:tc>
          <w:tcPr>
            <w:tcW w:w="100" w:type="dxa"/>
            <w:vAlign w:val="bottom"/>
          </w:tcPr>
          <w:p>
            <w:pPr>
              <w:spacing w:after="0"/>
              <w:rPr>
                <w:sz w:val="20"/>
                <w:szCs w:val="20"/>
                <w:color w:val="auto"/>
              </w:rPr>
            </w:pPr>
          </w:p>
        </w:tc>
      </w:tr>
      <w:tr>
        <w:trPr>
          <w:trHeight w:val="223"/>
        </w:trPr>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7,583</w:t>
            </w:r>
          </w:p>
        </w:tc>
        <w:tc>
          <w:tcPr>
            <w:tcW w:w="2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2,958</w:t>
            </w:r>
          </w:p>
        </w:tc>
        <w:tc>
          <w:tcPr>
            <w:tcW w:w="100" w:type="dxa"/>
            <w:vAlign w:val="bottom"/>
          </w:tcPr>
          <w:p>
            <w:pPr>
              <w:spacing w:after="0"/>
              <w:rPr>
                <w:sz w:val="19"/>
                <w:szCs w:val="19"/>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2">
            <w:col w:w="7800" w:space="720"/>
            <w:col w:w="2880"/>
          </w:cols>
          <w:pgMar w:left="240" w:top="225" w:right="259" w:bottom="1440" w:gutter="0" w:footer="0" w:header="0"/>
          <w:type w:val="continuous"/>
        </w:sectPr>
      </w:pPr>
    </w:p>
    <w:bookmarkStart w:id="75" w:name="page76"/>
    <w:bookmarkEnd w:id="7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Cash used in operating activities for the year ended December 31, 2017 was $4.5 million and consisted primarily of our operating loss of $11.3 million arising mainly from research and development expenses and general and administrative expenses, partially offset by $4.9 million of share-based compensation, $1.1 million of issuance costs related to preferred B shares, of which $0.9 million in issuance costs in cash was related to investing activities, and by a $0.9 million decrease in working capital.</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Net Cash used in operating activities for the year ended December 31, 2016 was $3.1 million and consisted primarily of our operating loss of $5.4 million arising mainly from research and development activities and general and administrative expenses, partially offset by $1.5 million of share-based compensation and by $0.4 million decrease in working capital.</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increase in cash used in operating activities from 2016 to 2017 was mainly due to an increase of $0.5 million in expenses for salaries and related employee expenses and $0.5 million for services. In addition, there was an increase in professional services costs of $0.6 million, mainly related to the initial public offering process.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Cash Provided by (Used in) Investing Activities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Cash provided by investing activities for the year ended December 31, 2017 consisted primarily of a decrease in restricted deposits of $1.1 million used for the repayment of a portion of the 2015 Convertible Loan in February 2017.</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Net Cash used in investing activities for the year ended December 31, 2016 consisted primarily of an investment in restricted deposits of $1.1 million to secure the repayment of short-term convertible loans.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Net Cash provided by financing activities for the year ended December 31, 2017 resulted from net proceeds of $12.1 million from the issuance of preferred B shares during October and December 2017 and a $1.0 million decrease from the repayment of a portion of the 2015 Convertible Loan.</w:t>
      </w:r>
    </w:p>
    <w:p>
      <w:pPr>
        <w:spacing w:after="0" w:line="14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Net Cash provided by financing activities for the year ended December 31, 2016 resulted from net proceeds of $7.2 million from convertible loans and warrants to purchase our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our contractual obligations and commitments as of December 31, 2017 that will affect our future liquidity:</w:t>
      </w:r>
    </w:p>
    <w:p>
      <w:pPr>
        <w:sectPr>
          <w:pgSz w:w="11900" w:h="16838" w:orient="portrait"/>
          <w:cols w:equalWidth="0" w:num="1">
            <w:col w:w="11420"/>
          </w:cols>
          <w:pgMar w:left="240" w:top="2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387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23"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color w:val="auto"/>
        </w:rPr>
        <w:t>Operating leases for facility and vehicles 2012 Convertible Loans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30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Convertible Loans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2012 Convertible Loan</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Payments due by period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8"/>
              </w:rPr>
              <w:t>Less than</w:t>
            </w: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ind w:left="400"/>
              <w:spacing w:after="0" w:line="191" w:lineRule="exact"/>
              <w:rPr>
                <w:sz w:val="20"/>
                <w:szCs w:val="20"/>
                <w:color w:val="auto"/>
              </w:rPr>
            </w:pPr>
            <w:r>
              <w:rPr>
                <w:rFonts w:ascii="Arial" w:cs="Arial" w:eastAsia="Arial" w:hAnsi="Arial"/>
                <w:sz w:val="18"/>
                <w:szCs w:val="18"/>
                <w:b w:val="1"/>
                <w:bCs w:val="1"/>
                <w:color w:val="auto"/>
              </w:rPr>
              <w:t>1 - 3</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50"/>
              <w:spacing w:after="0" w:line="191" w:lineRule="exact"/>
              <w:rPr>
                <w:sz w:val="20"/>
                <w:szCs w:val="20"/>
                <w:color w:val="auto"/>
              </w:rPr>
            </w:pPr>
            <w:r>
              <w:rPr>
                <w:rFonts w:ascii="Arial" w:cs="Arial" w:eastAsia="Arial" w:hAnsi="Arial"/>
                <w:sz w:val="18"/>
                <w:szCs w:val="18"/>
                <w:b w:val="1"/>
                <w:bCs w:val="1"/>
                <w:color w:val="auto"/>
              </w:rPr>
              <w:t>3 - 5</w:t>
            </w: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rPr>
              <w:t>More than</w:t>
            </w:r>
          </w:p>
        </w:tc>
        <w:tc>
          <w:tcPr>
            <w:tcW w:w="100" w:type="dxa"/>
            <w:vAlign w:val="bottom"/>
            <w:tcBorders>
              <w:top w:val="single" w:sz="8" w:color="auto"/>
            </w:tcBorders>
          </w:tcPr>
          <w:p>
            <w:pPr>
              <w:spacing w:after="0"/>
              <w:rPr>
                <w:sz w:val="16"/>
                <w:szCs w:val="16"/>
                <w:color w:val="auto"/>
              </w:rPr>
            </w:pPr>
          </w:p>
        </w:tc>
      </w:tr>
      <w:tr>
        <w:trPr>
          <w:trHeight w:val="234"/>
        </w:trPr>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2"/>
              </w:rPr>
              <w:t>1 year</w:t>
            </w: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years</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years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 years</w:t>
            </w:r>
          </w:p>
        </w:tc>
        <w:tc>
          <w:tcPr>
            <w:tcW w:w="100" w:type="dxa"/>
            <w:vAlign w:val="bottom"/>
            <w:tcBorders>
              <w:bottom w:val="single" w:sz="8" w:color="auto"/>
            </w:tcBorders>
          </w:tcPr>
          <w:p>
            <w:pPr>
              <w:spacing w:after="0"/>
              <w:rPr>
                <w:sz w:val="20"/>
                <w:szCs w:val="20"/>
                <w:color w:val="auto"/>
              </w:rPr>
            </w:pPr>
          </w:p>
        </w:tc>
      </w:tr>
      <w:tr>
        <w:trPr>
          <w:trHeight w:val="195"/>
        </w:trPr>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231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center"/>
              <w:ind w:left="690"/>
              <w:spacing w:after="0"/>
              <w:rPr>
                <w:sz w:val="20"/>
                <w:szCs w:val="20"/>
                <w:color w:val="auto"/>
              </w:rPr>
            </w:pPr>
            <w:r>
              <w:rPr>
                <w:rFonts w:ascii="Arial" w:cs="Arial" w:eastAsia="Arial" w:hAnsi="Arial"/>
                <w:sz w:val="18"/>
                <w:szCs w:val="18"/>
                <w:color w:val="auto"/>
                <w:w w:val="93"/>
              </w:rPr>
              <w:t>133</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left="8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20"/>
                <w:szCs w:val="20"/>
                <w:color w:val="auto"/>
              </w:rPr>
            </w:pPr>
          </w:p>
        </w:tc>
      </w:tr>
      <w:tr>
        <w:trPr>
          <w:trHeight w:val="223"/>
        </w:trPr>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w w:val="93"/>
              </w:rPr>
              <w:t>133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19"/>
                <w:szCs w:val="19"/>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-462280</wp:posOffset>
            </wp:positionV>
            <wp:extent cx="72466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-179705</wp:posOffset>
            </wp:positionV>
            <wp:extent cx="7246620"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256" w:lineRule="exact"/>
        <w:rPr>
          <w:sz w:val="20"/>
          <w:szCs w:val="20"/>
          <w:color w:val="auto"/>
        </w:rPr>
      </w:pPr>
    </w:p>
    <w:p>
      <w:pPr>
        <w:sectPr>
          <w:pgSz w:w="11900" w:h="16838" w:orient="portrait"/>
          <w:cols w:equalWidth="0" w:num="2">
            <w:col w:w="3400" w:space="720"/>
            <w:col w:w="7300"/>
          </w:cols>
          <w:pgMar w:left="240" w:top="225" w:right="239" w:bottom="1440" w:gutter="0" w:footer="0" w:header="0"/>
          <w:type w:val="continuous"/>
        </w:sectPr>
      </w:pPr>
    </w:p>
    <w:p>
      <w:pPr>
        <w:spacing w:after="0" w:line="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November 8, 2012 and December 31, 2012, we entered into loan agreements with certain lenders, or the 2012 Convertible Loans. Pursuant to these agreements, the lenders loaned us an aggregate amount of $1.2 million. The 2012 Convertible Loans bear interest at a rate of 0.6% per year, which is to be paid every five years, and are due and payable after a term of 20 years. Interest expenses of $138,000 to be incurred through maturity are included in the table above. Each of the lenders has the right during the term to convert its respective loan amount into our ordinary shares at a conversion price of $240.26 per ordinary share (subject to adjustment), and for a period of the initial five years of the term of the loan agreement to exchange all such ordinary shares received into ordinary shares of D.N.A Biomedical at the rate of one of our ordinary shares for 5,590 ordinary shares of D.N.A Biomedical (subject to adjustment). Under the terms of the 2012 Convertible Loans, the outstanding loan amounts will be automatically converted into our ordinary shares upon the closing of this offering, and therefore these loans will no longer be outstanding after this offering.</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2015 Convertible Loan</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August 5, 2015, we entered into a Convertible Promissory Note and Loan Agreement with certain lenders, or the 2015 Convertible Loan. Pursuant to the loan agreement for the 2015 Convertible Loan, the lenders loaned us an aggregate amount of $2.005 million. The 2015 Convertible Loan bore interest at a rate of 5% per year. Under its terms, the 2015 Convertible Loan was to be automatically converted into shares upon the occurrence of the following events, each a 2015 Triggering Event: an initial public offering, a private placement of equity securities or securities convertible into equity securities in an aggregate amount of no less than $10 million or a change of control. In connection with any such 2015 Triggering Event, the 2015 Convertible Loans would have been converted into the equity securities and/or securities convertible into equity securities of the Company that were issued in such a transaction, at a 25% discount.</w:t>
      </w:r>
    </w:p>
    <w:p>
      <w:pPr>
        <w:spacing w:after="0" w:line="18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we issued to each lender under the 2015 Convertible Loan warrants, or the 2015 Warrants, to purchase an additional 40% of the amount of our securities that would have been issued to such lender as a result of the automatic conversion upon a 2015 Triggering Event at an exercise price of 125% of the applicable price per share. The 2015 Warrants were exercisable for the earlier of two years from the warrant issuance date or one year from the consummation of an initial public offering. As part of the 2016 Convertible Loan as discussed below, we granted the lenders a right to roll-over the 2015 Convertible Loan into the 2016 Convertible Loan. The lenders elected to roll-over an amount of $1.057 million into the 2016 Convertible Loan and the remainder, in an amount of $1.053 million (including interest and principal), was repaid by us in February 2017. There are no amounts outstanding under the 2015 Convertible Loans, and none of the 2015 Warrants remain outstanding, and as a result, the 2015 Convertible Loan agreement is no longer in force.</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2016 Convertible Loan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June 14, 2016, the Company entered into the 2016 Convertible Loan with certain lenders for an aggregate amount of approximately $7.44 million, or the 2016 Convertible Loan. In addition, an amount of $1.057 million of the 2015 Convertible Loan rolled over to the 2016 Convertible Loan. The 2016 Convertible Loan provided for a term of 18 months and bore interest at a rate of 5% per year. The 2016 Convertible Loan also granted each lender the right to invest, in the next share issuance by the Company, an</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77" w:name="page78"/>
    <w:bookmarkEnd w:id="7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amount not to exceed the amount such lender invested in the 2016 Convertible Loan, at a price per share of the shares issued in such issuance.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2016 Convertible Loan was to be automatically converted into shares upon the occurrence of any of the following events, each a 2016 Triggering Event: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 initial public offering in which we raise at least $20 million, a private placement of our equity securities in an aggregate amount of not less than</w:t>
      </w:r>
    </w:p>
    <w:p>
      <w:pPr>
        <w:spacing w:after="0" w:line="21"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color w:val="auto"/>
        </w:rPr>
        <w:t>$10 million, or a change of control. In addition, we issued to each lender under the 2016 Convertible Loan warrants to purchase an additional 40% of the amount of our securities issued to such lender as a result of the automatic conversion following a 2016 Triggering Event.</w:t>
      </w:r>
    </w:p>
    <w:p>
      <w:pPr>
        <w:spacing w:after="0" w:line="162"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Following the completion of the Series B preferred shares purchase agreement (as discussed below), which constituted a 2016 Triggering Event, the loan amount, together with all accrued interest, was converted into Series B-1 preferred shares. In addition, the Series B preferred shares purchase agreement set the price and the amount of shares for which the holders of the previously issued 2016 Warrants (as described below) are entitled to exercise their 2016</w:t>
      </w:r>
    </w:p>
    <w:p>
      <w:pPr>
        <w:ind w:right="40"/>
        <w:spacing w:after="0" w:line="261" w:lineRule="auto"/>
        <w:rPr>
          <w:sz w:val="20"/>
          <w:szCs w:val="20"/>
          <w:color w:val="auto"/>
        </w:rPr>
      </w:pPr>
      <w:r>
        <w:rPr>
          <w:rFonts w:ascii="Arial" w:cs="Arial" w:eastAsia="Arial" w:hAnsi="Arial"/>
          <w:sz w:val="18"/>
          <w:szCs w:val="18"/>
          <w:color w:val="auto"/>
        </w:rPr>
        <w:t>Warrants. The 2016 Warrants are exercisable until June 2020, and will be exercisable into an aggregate of ordinary shares following the completion of this offering.</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Severance Obligations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long-term liabilities for severance pay that are calculated pursuant to Israeli law generally based on the most recent salary of the relevant employees multiplied by the number of years of employment to the extent not covered by our regular deposits with defined contribution plans. As of December 31, 2017, our severance pay liability, net was $70,000. Because the timing of any such payments is not fixed and determinable, we have not included these liabilities in the table above.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We also have obligations to make future payments to third parties that become due and payable on the achievement of certain milestones, such as royalties upon sale of products. We have not included these commitments in our statements of financial position or in the table above because the achievement and timing of these milestones is not fixed and determinable. These potential future commitments include:</w:t>
      </w:r>
    </w:p>
    <w:p>
      <w:pPr>
        <w:spacing w:after="0" w:line="181" w:lineRule="exact"/>
        <w:rPr>
          <w:sz w:val="20"/>
          <w:szCs w:val="20"/>
          <w:color w:val="auto"/>
        </w:rPr>
      </w:pPr>
    </w:p>
    <w:p>
      <w:pPr>
        <w:ind w:left="340" w:right="80" w:hanging="170"/>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commitment to pay Oramed royalties equal to 3% of our net revenues pursuant to the terms of the Patent Transfer Agreement between us and Oramed; and</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commitment to pay royalties to the IIA. See “— Patent Transfer Agreement and Grant Funding.”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our inception, we have not engaged in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foreign currency exchange rates.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Foreign Currency Exchange Risk</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functional currency and reporting currency is the U.S. dollar. Fluctuations in the New Israel Shekel, or NIS, to U.S. dollar exchange rate may affect our results because some of our assets and liabilities are linked to the NIS and a portion of our operating expenses are denominated in NIS. In the future, we also may be exposed to additional currency fluctuations against the U.S. dollar. 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Inflation Risk</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do not believe that inflation had a material effect on our business, financial condition or results of operations in the last two fiscal years. If our costs were to become subject to significant inflationary pressures, we may not be able to fully offset such higher costs through hedging transactions. Our inability or failure to do so could harm our business, financial condition and results of operations.</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IFRS 9 “Financial Instruments”</w:t>
      </w:r>
    </w:p>
    <w:p>
      <w:pPr>
        <w:spacing w:after="0" w:line="22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The complete version of IFRS 9 replaces most of the guidance in IAS 39. IFRS 9 retains but simplifies the mixed measurement model and establishes three primary measurement categories for financial assets: amortized cost, fair value through other comprehensive income and fair value through profit and loss. The basis of classification depends on the entity’s business model and the contractual cash flow characteristics of the financial asset. Investments in equity instruments are required to be measured at fair value through profit or loss with the irrevocable option at inception to present changes in fair value in other comprehensive income. There is now a new expected credit losses model that replaces the incurred loss impairment model used in IAS 39. For financial liabilities, there were no changes to classification and measurement except for the recognition of changes in own credit risk in other comprehensive income, and for liabilities designated at fair value through profit or loss. The standard is effective for accounting periods beginning on or after January 1, 2018. The implementation of this standard is not expected to have a material impact on our financial statements.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IFRS 16 “Leases”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January 2016, the IASB issued IFRS 16, Leases, which sets out the principles for the recognition, measurement, presentation and disclosure of leases for both parties to a contract and replaces the previous leases standard, IAS 17, Leases. IFRS 16 eliminates the classification of leases for the lessee as either operating leases or finance leases as required by IAS 17 and instead introduces a single lessee accounting model whereby a lessee is required to recognize assets and liabilities for all leases with a term that is greater than 12 months, unless the underlying asset is of low value, and to recognize depreciation of lease assets separately from interest on lease liabilities in the income statement. As IFRS 16 substantially carries forward the lessor accounting requirements in IAS 17, a lessor will continue to classify its leases as operating leases or finance leases and to account for those two types of leases differently. IFRS 16 is effective from January 1, 2019 with early adoption allowed only if IFRS 15, Revenue from Contracts with Customers, is also applied. We are currently evaluating the impact of adoption of this standard on our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Exemptions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April 5, 2012, the U.S. Congress enacted the Jumpstart Our Business Startups Act of 2012, or the JOBS Act. Section 107 of the JOBS Act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Given that we currently report and expect to continue to report our financial results under IFRS as issued by the IASB, we will not be able to avail ourselves of this extended transition period and, as a result, we will adopt new or revised accounting standards on the relevant dates on which adoption of such standards is required by the IASB.</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Subject to certain conditions set forth in the JOBS Act, as an “emerging growth company,” we intend to rely on other exemptions, including without limitation, (i) providing an auditor’s attestation report on our system of internal controls over financial reporting pursuant to Section 404 and, (ii) complying with any requirement that may be adopted by the PCAOB regarding mandatory audit firm rotation or a supplement to the auditor’s report providing additional information about the audit and the financial statements (auditor discussion and analysis). These exemptions will apply for a period of five years following the completion of our initial public offering or until we are no longer an “emerging growth company.” We would cease to be an emerging growth company if we have more than $1.07 billion in annual revenue, have more than $700 million in market value of our ordinary shares held by non-affiliates or issue more than $1.0 billion of non-convertible debt over a three-year period.</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BUSINESS</w:t>
      </w:r>
    </w:p>
    <w:p>
      <w:pPr>
        <w:spacing w:after="0" w:line="24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orally delivered large molecule therapeutics for use in orphan indications and other areas with significant unmet medical need. We are initially applying our technology to develop an oral formulation of parathyroid hormone, or PTH, which has been approved in the United States in injectable form for over a decade. Our lead oral PTH product candidate, EB612, has successfully completed a Phase 2a trial for hypoparathyroidism, a rare condition in which the body fails to produce sufficient amounts of PTH. We are planning a clinical trial to evaluate the PK/PD profile of various EB612 dose regimens for the second half of 2018. In the future, after the completion and evaluation of our planned PK/PD clinical trial and subject to available funds, we expect to initiate a Phase 2b/3 clinical trial of EB612 in hypoparathyroidism, which would potentially support a submission for regulatory approval of EB612.The FDA and the EMA have granted EB612 orphan drug designation for the treatment of hypoparathyroidism. We intend to utilize future funds, as available, to prepare EB612 for advanced clinical studies and ultimately for regulatory approval.</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Hypoparathyroidism is a rare condition in which the body does not produce sufficient amounts of PTH, or the PTH produced lacks biologic activity. Individuals with a deficiency of PTH typically exhibit abnormally low levels of calcium in the blood, or hypocalcemia, and high levels of phosphorus, or hyperphosphatemia. Hypoparathyroidism is estimated to affect approximately 58,700 insured individuals in the United States. Historically, the treatments for hypoparathyroidism have been calcium supplements, vitamin D supplements and phosphate binders, the chronic use of which results in serious side effects with significant costs to the healthcare system. Natpara®, a once-daily injectable form of PTH, has been approved for the treatment of hypoparathyroidism. Our lead product candidate, EB612, is delivered orally and can be administered in customized doses several times a day. Multiple dosing per day has been shown to more effectively treat the symptoms of hypoparathyroidism than a once-daily injection, thus reducing the serious side effects of supplement treatment and improving patient outcomes. Studies performed by researchers at the NIH have shown that dosing PTH multiple times per day significantly increases the efficacy of therapy and would be more effective for treating hypoparathyroidism. These studies found that the total daily PTH dose required to maintain serum calcium in the normal or near-normal range was reduced by 50% with twice-daily PTH (1-34) and also demonstrated that twice-daily dosing achieved better control over serum calcium and urinary calcium excretion as compared to once-daily dosing. In addition, we believe patients generally prefer oral drugs. For these reasons, we believe EB612 is clinically superior to existing therapies and has the potential to become the standard of care for hypoparathyroidism.</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third quarter of 2015 we successfully completed our Phase 2a trial for EB612. The end points in the trial were met, and 17 subjects completed the four-month trial and reported no related adverse events. Although our Phase 2a trial involved a smaller number of patients, was conducted for a shorter duration and did not include an initial optimization period in comparison to the design of the pivotal trial used for regulatory approval of Natpara, the REPLACE study, our Phase 2a trial still showed the potential for similar efficacy, a result that we plan to confirm by conducting a Phase 2b/3 trial, which will further evaluate the dosage, effectiveness and safety profile of EB612 in an expanded patient population at multiple trial sites. We believe that EB612 will have inherent advantages compared to injectable forms, including convenience of application, that no special preparation is required and that it can be stored under convenient storage conditions (room temperature or refrigeration for long term storage). Additionally, based on the results of our preliminary studies, we believe that EB612 will have an enhanced clinical profile as compared to Natpara, with an additional positive effect on elevated urinary calcium, as well as reduced side effects. If our preliminary results are borne out in additional trials, we believe this combination of advantages and long term clinical benefits will be very compelling to both patients and physicians.</w:t>
      </w:r>
    </w:p>
    <w:p>
      <w:pPr>
        <w:spacing w:after="0" w:line="17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Based on consultations with key opinion leaders in the hypoparathyroidism field who have reviewed our Phase 2a results and are familiar with the REPLACE study, we have begun planning for a future Phase 2b/3 trial, designed to possibly be a pivotal study for registration. We expect that this Phase 2b/3 study, when initiated, will be designed to replicate the REPLACE study in many aspects and to achieve a significant reduction in urinary calcium.</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212090</wp:posOffset>
            </wp:positionV>
            <wp:extent cx="5265420" cy="25044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65420" cy="250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design for EB612 PK/PD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143510</wp:posOffset>
            </wp:positionV>
            <wp:extent cx="4682490" cy="131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682490"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Proposed design for EB612 Phase 2b/3 pivotal trial</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also developing an oral PTH product candidate, EB613, for the treatment of osteoporosis. Osteoporosis is a systemic skeletal disease characterized by low bone mass, deterioration of bone tissue and increased bone fragility and susceptibility to fracture. An estimated 10 million people in the United States have osteoporosis, and another approximately 43 million have low bone mass placing them at increased risk for osteoporosis. PTH plays a key role in the ongoing process of formation and degradation of bones. Forteo</w:t>
      </w:r>
      <w:r>
        <w:rPr>
          <w:rFonts w:ascii="Arial" w:cs="Arial" w:eastAsia="Arial" w:hAnsi="Arial"/>
          <w:sz w:val="18"/>
          <w:szCs w:val="18"/>
          <w:b w:val="1"/>
          <w:bCs w:val="1"/>
          <w:color w:val="auto"/>
        </w:rPr>
        <w:t>®</w:t>
      </w:r>
      <w:r>
        <w:rPr>
          <w:rFonts w:ascii="Arial" w:cs="Arial" w:eastAsia="Arial" w:hAnsi="Arial"/>
          <w:sz w:val="18"/>
          <w:szCs w:val="18"/>
          <w:color w:val="auto"/>
        </w:rPr>
        <w:t>, a once-daily injectable form of PTH, has been approved for the treatment of osteoporosis in the United States for over 10 years and is widely considered one of the most effective treatments due to its ability to build bone. Because our product candidate EB613 is delivered orally, we believe it will reduce the treatment burden on patients and lead to significantly higher patient and physician acceptance compared to an injectable form of PTH.</w:t>
      </w:r>
    </w:p>
    <w:p>
      <w:pPr>
        <w:spacing w:after="0" w:line="18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intend to pursue approval of EB613 utilizing the alternative Section 505(b)(2) pathway permitted under the Federal Food, Drug and Cosmetic Act. Based on recent changes in guidance issued by the FDA and the similarity of our product’s PK profile, to that of Forteo, we believe it is feasible to complete an NDA submission for EB613 with one or two pivotal Phase 3 studies, conducted with approximately 400-500 osteoporosis patients, that will examine bone mineral density and particular biochemical markers of bone activity. These studies would be conducted in anticipation of a 505(b)(2) application to the FDA and would include a comparison to the currently marketed drug, Forteo. In pursuit of this pathway, our intent is to seek FDA guidance as part of a Pre-IND meeting in the second half of 2018. Based on the responses of the FDA, we intend to conduct a dose ranging Phase 2a study in approximately 150 osteoporosis patients. Following analysis of this data, we intend to design and execute pivotal trial(s) in osteoporosis patients guided by the feedback of the FDA. We currently do not anticipate that the FDA will request that we examine the effects on bone mineral density in these trials past 12 months. We therefore believe that this alternative pathway will be significantly shorter than a pathway that utilizes bone fracture studies in significantly larger numbers of patients over greater periods of time.</w:t>
      </w:r>
    </w:p>
    <w:p>
      <w:pPr>
        <w:spacing w:after="0" w:line="17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product candidates utilize our proprietary technology for the oral delivery of large molecules. Drug development has shifted towards the use of peptides, proteins and other large molecules for the treatment of various diseases. Between 1993 and 2004, large-molecule clinical approval success rates have outpaced small molecules by about two-to-one. Large molecules have been particularly widely used in orphan indications. Oral drug delivery reduces the treatment burden on patients relative to injectable drugs and provides significantly more flexibility, both in size of dose and number of doses per day, than injectable drugs, which are frequently administered once per day by preset injection pen. However, peptides, proteins and other large molecule therapeutics can currently only be delivered via injections and other non-oral pathways because oral administration leads to poor absorption into the blood stream as well as enzymatic degradation within the gastrointestinal tract.</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proprietary oral drug delivery technology is designed to address both of these issues by utilizing a combination of a synthetic absorption enhancer, to facilitate the enhanced absorption of large molecules and protease inhibitors to prevent enzymatic degradation.</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also intend to use our technology as a platform for the oral delivery of other protein and large molecule therapeutics. We initially intend to focus on the development of products based on previously approved therapeutic agents. We believe this will allow us to more efficiently and predictably advance product candidates through the development cycle based on well-defined clinical and</w:t>
      </w:r>
    </w:p>
    <w:p>
      <w:pPr>
        <w:sectPr>
          <w:pgSz w:w="11900" w:h="16838" w:orient="portrait"/>
          <w:cols w:equalWidth="0" w:num="1">
            <w:col w:w="11380"/>
          </w:cols>
          <w:pgMar w:left="240" w:top="225" w:right="279" w:bottom="339"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339" w:gutter="0" w:footer="0" w:header="0"/>
          <w:type w:val="continuous"/>
        </w:sectPr>
      </w:pPr>
    </w:p>
    <w:bookmarkStart w:id="81" w:name="page82"/>
    <w:bookmarkEnd w:id="8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regulatory approval pathways. We have conducted initial feasibility studies with a number of candidates and intend to commence clinical development for our next, non-PTH, product candidate in the future.</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chart summarizes important information about each of our current product candidates, including their indications, and their current stage of development. We have not out-licensed any intellectual property rights to our PTH product candidates listed below, and, therefore, have retained the ability to pursue their worldwide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124460</wp:posOffset>
            </wp:positionV>
            <wp:extent cx="6140450" cy="15862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40450"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commenced operations in August 2010 after receiving startup financing in the form of $0.6 million in cash from D.N.A Biomedical Solutions Ltd. and a license from Oramed Ltd., a subsidiary of Oramed Pharmaceuticals, Inc., to certain patent rights relating to the oral administration of proteins. These previously licensed patent rights were assigned to us in 2011, subject to an exclusive, royalty-free license in specified fields under such patent rights that we granted to Oramed Ltd.</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subsequently advanced our oral PTH product candidates from preclinical studies in animals to a Phase 2a clinical trial of EB612 in hypoparathyroidism in less than five years.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While our operations are currently focused in our offices in Israel, we intend in coming years to build a substantial U.S. presence to execute on the later stage development of our products, including by expanding our executive management team, clinical operations, regulatory operations, and commercialization. The following chart summarizes important information about each of our current product candidates, including their indications, and their current stage of development. We have not out-licensed any intellectual property rights to our PTH product candidates listed below, and, therefore, have retained the ability to pursue their worldwide commercialization.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Our goal is to become a leading biopharmaceutical company focused on the development and commercialization of orally delivered large molecule therapeutics in indications with significant unmet medical need. The key elements of our strategy to achieve this goal are to:</w:t>
      </w:r>
    </w:p>
    <w:p>
      <w:pPr>
        <w:spacing w:after="0" w:line="147" w:lineRule="exact"/>
        <w:rPr>
          <w:sz w:val="20"/>
          <w:szCs w:val="20"/>
          <w:color w:val="auto"/>
        </w:rPr>
      </w:pPr>
    </w:p>
    <w:p>
      <w:pPr>
        <w:ind w:left="340" w:right="80" w:hanging="170"/>
        <w:spacing w:after="0" w:line="276"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Advance our lead product candidate, EB612, through clinical development and into commercialization for the treatment of hypoparathyroidism</w:t>
      </w:r>
      <w:r>
        <w:rPr>
          <w:rFonts w:ascii="Arial" w:cs="Arial" w:eastAsia="Arial" w:hAnsi="Arial"/>
          <w:sz w:val="17"/>
          <w:szCs w:val="17"/>
          <w:color w:val="auto"/>
        </w:rPr>
        <w:t>: We</w:t>
      </w:r>
      <w:r>
        <w:rPr>
          <w:rFonts w:ascii="Arial" w:cs="Arial" w:eastAsia="Arial" w:hAnsi="Arial"/>
          <w:sz w:val="17"/>
          <w:szCs w:val="17"/>
          <w:i w:val="1"/>
          <w:iCs w:val="1"/>
          <w:color w:val="auto"/>
        </w:rPr>
        <w:t xml:space="preserve"> </w:t>
      </w:r>
      <w:r>
        <w:rPr>
          <w:rFonts w:ascii="Arial" w:cs="Arial" w:eastAsia="Arial" w:hAnsi="Arial"/>
          <w:sz w:val="17"/>
          <w:szCs w:val="17"/>
          <w:color w:val="auto"/>
        </w:rPr>
        <w:t>completed a Phase 2a clinical trial of EB612 for the treatment of hypoparathyroidism and reported supportive results in the third quarter of 2015. We are planning a clinical trial to evaluate the PK/PD profile of various EB612 dose regimens for the second half of 2018. Upon the completion and evaluation of our planned PK/PD clinical trial and subject to receipt of additional funding, we expect to initiate a Phase 2b/3 clinical trial of EB612 in hypoparathyroidism which would potentially support a submission for regulatory approval of EB612.</w:t>
      </w:r>
    </w:p>
    <w:p>
      <w:pPr>
        <w:spacing w:after="0" w:line="172" w:lineRule="exact"/>
        <w:rPr>
          <w:rFonts w:ascii="Arial" w:cs="Arial" w:eastAsia="Arial" w:hAnsi="Arial"/>
          <w:sz w:val="17"/>
          <w:szCs w:val="17"/>
          <w:color w:val="auto"/>
        </w:rPr>
      </w:pPr>
    </w:p>
    <w:p>
      <w:pPr>
        <w:ind w:left="340" w:right="260" w:hanging="170"/>
        <w:spacing w:after="0" w:line="286" w:lineRule="auto"/>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Produce supportive clinical data for our second product candidate, EB613, for the treatment of osteoporosis, before advancing into late-stage clinical trials</w:t>
      </w:r>
      <w:r>
        <w:rPr>
          <w:rFonts w:ascii="Arial" w:cs="Arial" w:eastAsia="Arial" w:hAnsi="Arial"/>
          <w:sz w:val="17"/>
          <w:szCs w:val="17"/>
          <w:color w:val="auto"/>
        </w:rPr>
        <w:t>: Our intent is to seek FDA guidance on our proposed clinical trial design as part of a Pre-IND meeting in the second half of 2018. After we</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feedback from the FDA, we intend to conduct a Phase 2a dose finding study in osteoporosis patients in 2019.</w:t>
      </w:r>
    </w:p>
    <w:p>
      <w:pPr>
        <w:spacing w:after="0" w:line="165" w:lineRule="exact"/>
        <w:rPr>
          <w:rFonts w:ascii="Arial" w:cs="Arial" w:eastAsia="Arial" w:hAnsi="Arial"/>
          <w:sz w:val="17"/>
          <w:szCs w:val="17"/>
          <w:color w:val="auto"/>
        </w:rPr>
      </w:pPr>
    </w:p>
    <w:p>
      <w:pPr>
        <w:ind w:left="340" w:right="140" w:hanging="170"/>
        <w:spacing w:after="0" w:line="255"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Leverage our expertise in the oral delivery of PTH to develop product candidates in additional indications</w:t>
      </w:r>
      <w:r>
        <w:rPr>
          <w:rFonts w:ascii="Arial" w:cs="Arial" w:eastAsia="Arial" w:hAnsi="Arial"/>
          <w:sz w:val="18"/>
          <w:szCs w:val="18"/>
          <w:color w:val="auto"/>
        </w:rPr>
        <w:t>: In the future, we intend to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exploratory Phase 2 studies for the use of our oral PTH candidates in additional indications in which PTH plays a key biological role, including non-union fractures, one indication within the field of bone healing. We plan to use EB613, or a further modified formulation if studies suggest we could achieve a PK profile that is more efficacious, for these indications. We also plan to apply our drug delivery technology to other large molecules with chemical and other characteristics that would be advantageous with our technology in order to target orphan indications and other areas with significant unmet medical need.</w:t>
      </w:r>
    </w:p>
    <w:p>
      <w:pPr>
        <w:spacing w:after="0" w:line="193" w:lineRule="exact"/>
        <w:rPr>
          <w:rFonts w:ascii="Arial" w:cs="Arial" w:eastAsia="Arial" w:hAnsi="Arial"/>
          <w:sz w:val="18"/>
          <w:szCs w:val="18"/>
          <w:color w:val="auto"/>
        </w:rPr>
      </w:pPr>
    </w:p>
    <w:p>
      <w:pPr>
        <w:ind w:left="340" w:right="140" w:hanging="170"/>
        <w:spacing w:after="0" w:line="259"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Improve the efficacy profile of large molecule therapeutics through the application of our proprietary oral delivery technology</w:t>
      </w:r>
      <w:r>
        <w:rPr>
          <w:rFonts w:ascii="Arial" w:cs="Arial" w:eastAsia="Arial" w:hAnsi="Arial"/>
          <w:sz w:val="18"/>
          <w:szCs w:val="18"/>
          <w:color w:val="auto"/>
        </w:rPr>
        <w:t>: Oral drug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lowers the treatment burden on patients relative to injectable drugs, leading to higher patient and physician acceptance. However, peptides, proteins and other large molecule therapeutics can currently only be delivered via injections and other non-oral pathways because oral administration leads to negligible absorption into the blood stream as well as</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right="400"/>
        <w:spacing w:after="0" w:line="277" w:lineRule="auto"/>
        <w:rPr>
          <w:sz w:val="20"/>
          <w:szCs w:val="20"/>
          <w:color w:val="auto"/>
        </w:rPr>
      </w:pPr>
      <w:r>
        <w:rPr>
          <w:rFonts w:ascii="Arial" w:cs="Arial" w:eastAsia="Arial" w:hAnsi="Arial"/>
          <w:sz w:val="18"/>
          <w:szCs w:val="18"/>
          <w:color w:val="auto"/>
        </w:rPr>
        <w:t>enzymatic degradation within the gastrointestinal tract. Our technology is designed to overcome both of these issues by enabling enhanced systemic absorption of large molecules and slowing their enzymatic degradation.</w:t>
      </w:r>
    </w:p>
    <w:p>
      <w:pPr>
        <w:spacing w:after="0" w:line="170" w:lineRule="exact"/>
        <w:rPr>
          <w:sz w:val="20"/>
          <w:szCs w:val="20"/>
          <w:color w:val="auto"/>
        </w:rPr>
      </w:pPr>
    </w:p>
    <w:p>
      <w:pPr>
        <w:ind w:left="340" w:hanging="170"/>
        <w:spacing w:after="0" w:line="272"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Focus our development and commercialization efforts on indications with significant unmet medical need</w:t>
      </w:r>
      <w:r>
        <w:rPr>
          <w:rFonts w:ascii="Arial" w:cs="Arial" w:eastAsia="Arial" w:hAnsi="Arial"/>
          <w:sz w:val="17"/>
          <w:szCs w:val="17"/>
          <w:color w:val="auto"/>
        </w:rPr>
        <w:t>: We are focused on the development of orally</w:t>
      </w:r>
      <w:r>
        <w:rPr>
          <w:rFonts w:ascii="Arial" w:cs="Arial" w:eastAsia="Arial" w:hAnsi="Arial"/>
          <w:sz w:val="17"/>
          <w:szCs w:val="17"/>
          <w:i w:val="1"/>
          <w:iCs w:val="1"/>
          <w:color w:val="auto"/>
        </w:rPr>
        <w:t xml:space="preserve"> </w:t>
      </w:r>
      <w:r>
        <w:rPr>
          <w:rFonts w:ascii="Arial" w:cs="Arial" w:eastAsia="Arial" w:hAnsi="Arial"/>
          <w:sz w:val="17"/>
          <w:szCs w:val="17"/>
          <w:color w:val="auto"/>
        </w:rPr>
        <w:t>delivered large molecule therapeutics for the treatment of orphan indications and other indications with significant unmet medical need. Between 1993 and 2004, large-molecule clinical approval success rates have outpaced small molecules by about two-to-one and there are a wide range of large-molecules candidates within the orphan space for potential use with our oral drug delivery technology. For product candidates that target orphan indications, we intend to retain commercialization rights within key territories, including the United States, because of the ability to commercialize with a small sales force. For product candidates that target indications with larger patient populations, we may choose to partner with larger biopharmaceutical companies ahead of late stage development and commercialization.</w:t>
      </w:r>
    </w:p>
    <w:p>
      <w:pPr>
        <w:spacing w:after="0" w:line="177" w:lineRule="exact"/>
        <w:rPr>
          <w:rFonts w:ascii="Arial" w:cs="Arial" w:eastAsia="Arial" w:hAnsi="Arial"/>
          <w:sz w:val="17"/>
          <w:szCs w:val="17"/>
          <w:color w:val="auto"/>
        </w:rPr>
      </w:pPr>
    </w:p>
    <w:p>
      <w:pPr>
        <w:ind w:left="340" w:right="60" w:hanging="170"/>
        <w:spacing w:after="0" w:line="259"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Initially develop products based on FDA-approved large molecule therapeutics</w:t>
      </w:r>
      <w:r>
        <w:rPr>
          <w:rFonts w:ascii="Arial" w:cs="Arial" w:eastAsia="Arial" w:hAnsi="Arial"/>
          <w:sz w:val="18"/>
          <w:szCs w:val="18"/>
          <w:color w:val="auto"/>
        </w:rPr>
        <w:t>: By initially focusing on the development of product candidates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apply our technology to FDA-approved large molecule therapeutic agents with known mechanisms of action, we believe we can reduce the development risks associated with our product candidates. We believe this will allow us to advance our product candidates efficiently and predictably through the development cycle.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are focused on the development and commercialization of product candidates that leverage our proprietary technology for the oral delivery of large molecule therapeutics. Recently, drug development has shifted towards the use of peptides, proteins and other large molecules for the treatment of various diseases. By lowering the treatment burden on patients, oral drug delivery leads to higher patient and physician acceptance. In addition, oral drug delivery provides significantly more flexibility, both in size of dose and number of doses per day, than injectable drugs, which are frequently administered by preset injection pen and only once per day.</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Currently, peptides, proteins and other large molecule therapeutics can only be delivered via injections and other non-oral pathways because oral administration leads to poor absorption into the blood stream (bioavailability) due to enzymatic degradation within the gastrointestinal tract and poor permeability though the intestinal wall. Most oral drug delivery technologies attempting to overcome this hurdle nevertheless manage to attain only very low bioavailability (less than 1%). Orally-delivered large molecules with low systemic levels present high variability of dose exposure, both between patients and within the same patient at different times of administration since small changes in the level of absorption lead to significant changes in the bioavailability. Absorption variability is generally decreased as the drug bioavailability is increased.</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Oral formulations of large molecules must therefore ensure that the large molecule is able to pass through the intestinal wall so that it can be absorbed into the bloodstream and that the large molecule therapeutic is not exposed to enzymatic degradation in order to protect its biological activity and availability for absorption.</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proprietary technology is designed to address both of these issues by utilizing a combination of a synthetic absorption enhancer, or carrier molecule, to facilitate the enhanced absorption of large molecules, and protease inhibitors to prevent enzymatic degradation. By designing our product candidates to address both the issues of absorption and degradation, we have been able to significantly increase bioavailability and decrease the variability of the PTH dose delivered in our clinical trials to date.</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carrier molecule is designed to create a weak association with our chosen large molecule therapeutic, leaving the therapeutic agent chemically unmodified. The carrier molecule enables transport across the intestinal membrane via transcellular absorption without compromising the integrity of the intestinal wall. Because of the weak association between the carrier molecule and the therapeutic agent, the interaction is designed to be reversible and occurs spontaneously by simple dilution on entering the blood. We selected protease inhibitors that act by specifically inhibiting a number of gastrointestinal enzymes designed to assist in the degradation and digestion of proteins without interfering with normal gastrointestinal activity.</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order for large molecule therapeutics to be benefit from the use of our oral delivery technology, they must demonstrate a number of specific characteristics, including:</w:t>
      </w:r>
    </w:p>
    <w:p>
      <w:pPr>
        <w:spacing w:after="0" w:line="170" w:lineRule="exact"/>
        <w:rPr>
          <w:sz w:val="20"/>
          <w:szCs w:val="20"/>
          <w:color w:val="auto"/>
        </w:rPr>
      </w:pPr>
    </w:p>
    <w:p>
      <w:pPr>
        <w:ind w:left="340" w:hanging="170"/>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appropriate size, as measured by molecular weight, and other chemical/physical characteristics;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mechanism of action that favors delivery through the gastrointestinal tract rather than through injections, and;</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dosing schedule that requires dosing one or more times per day for at least three months.</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Based on these criteria, the first product candidate we chose to pursue was PTH, which has the potential for therapeutic use in a number of indications including hypoparathyroidism, osteoporosis and non-union fractures.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following chart summarizes important information about each of our current product candidates, including their indications and their current stage of development. We have not out-licensed any intellectual property rights to our PTH product candidates listed below, and, therefore, have retained the ability to pursue their worldwide commercialization.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Stage of</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720" w:type="dxa"/>
            <w:vAlign w:val="bottom"/>
          </w:tcPr>
          <w:p>
            <w:pPr>
              <w:spacing w:after="0"/>
              <w:rPr>
                <w:sz w:val="20"/>
                <w:szCs w:val="20"/>
                <w:color w:val="auto"/>
              </w:rPr>
            </w:pPr>
            <w:r>
              <w:rPr>
                <w:rFonts w:ascii="Arial" w:cs="Arial" w:eastAsia="Arial" w:hAnsi="Arial"/>
                <w:sz w:val="18"/>
                <w:szCs w:val="18"/>
                <w:b w:val="1"/>
                <w:bCs w:val="1"/>
                <w:color w:val="auto"/>
              </w:rPr>
              <w:t>Program</w:t>
            </w:r>
          </w:p>
        </w:tc>
        <w:tc>
          <w:tcPr>
            <w:tcW w:w="3360" w:type="dxa"/>
            <w:vAlign w:val="bottom"/>
            <w:gridSpan w:val="3"/>
          </w:tcPr>
          <w:p>
            <w:pPr>
              <w:ind w:left="240"/>
              <w:spacing w:after="0"/>
              <w:rPr>
                <w:sz w:val="20"/>
                <w:szCs w:val="20"/>
                <w:color w:val="auto"/>
              </w:rPr>
            </w:pPr>
            <w:r>
              <w:rPr>
                <w:rFonts w:ascii="Arial" w:cs="Arial" w:eastAsia="Arial" w:hAnsi="Arial"/>
                <w:sz w:val="18"/>
                <w:szCs w:val="18"/>
                <w:b w:val="1"/>
                <w:bCs w:val="1"/>
                <w:color w:val="auto"/>
              </w:rPr>
              <w:t>Indication</w:t>
            </w:r>
          </w:p>
        </w:tc>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Development</w:t>
            </w:r>
          </w:p>
        </w:tc>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Status</w:t>
            </w:r>
          </w:p>
        </w:tc>
      </w:tr>
      <w:tr>
        <w:trPr>
          <w:trHeight w:val="195"/>
        </w:trPr>
        <w:tc>
          <w:tcPr>
            <w:tcW w:w="1720" w:type="dxa"/>
            <w:vAlign w:val="bottom"/>
            <w:tcBorders>
              <w:top w:val="single" w:sz="8" w:color="auto"/>
            </w:tcBorders>
            <w:shd w:val="clear" w:color="auto" w:fill="DCEBF4"/>
          </w:tcPr>
          <w:p>
            <w:pPr>
              <w:spacing w:after="0" w:line="195" w:lineRule="exact"/>
              <w:rPr>
                <w:sz w:val="20"/>
                <w:szCs w:val="20"/>
                <w:color w:val="auto"/>
              </w:rPr>
            </w:pPr>
            <w:r>
              <w:rPr>
                <w:rFonts w:ascii="Arial" w:cs="Arial" w:eastAsia="Arial" w:hAnsi="Arial"/>
                <w:sz w:val="18"/>
                <w:szCs w:val="18"/>
                <w:b w:val="1"/>
                <w:bCs w:val="1"/>
                <w:color w:val="auto"/>
              </w:rPr>
              <w:t>EB612</w:t>
            </w:r>
          </w:p>
        </w:tc>
        <w:tc>
          <w:tcPr>
            <w:tcW w:w="240" w:type="dxa"/>
            <w:vAlign w:val="bottom"/>
            <w:tcBorders>
              <w:top w:val="single" w:sz="8" w:color="DCEBF4"/>
            </w:tcBorders>
            <w:shd w:val="clear" w:color="auto" w:fill="DCEBF4"/>
          </w:tcPr>
          <w:p>
            <w:pPr>
              <w:spacing w:after="0"/>
              <w:rPr>
                <w:sz w:val="16"/>
                <w:szCs w:val="16"/>
                <w:color w:val="auto"/>
              </w:rPr>
            </w:pPr>
          </w:p>
        </w:tc>
        <w:tc>
          <w:tcPr>
            <w:tcW w:w="2860" w:type="dxa"/>
            <w:vAlign w:val="bottom"/>
            <w:tcBorders>
              <w:top w:val="single" w:sz="8" w:color="auto"/>
            </w:tcBorders>
            <w:shd w:val="clear" w:color="auto" w:fill="DCEBF4"/>
          </w:tcPr>
          <w:p>
            <w:pPr>
              <w:spacing w:after="0" w:line="195" w:lineRule="exact"/>
              <w:rPr>
                <w:sz w:val="20"/>
                <w:szCs w:val="20"/>
                <w:color w:val="auto"/>
              </w:rPr>
            </w:pPr>
            <w:r>
              <w:rPr>
                <w:rFonts w:ascii="Arial" w:cs="Arial" w:eastAsia="Arial" w:hAnsi="Arial"/>
                <w:sz w:val="18"/>
                <w:szCs w:val="18"/>
                <w:color w:val="auto"/>
              </w:rPr>
              <w:t>Hypoparathyroidism</w:t>
            </w:r>
          </w:p>
        </w:tc>
        <w:tc>
          <w:tcPr>
            <w:tcW w:w="260" w:type="dxa"/>
            <w:vAlign w:val="bottom"/>
            <w:tcBorders>
              <w:top w:val="single" w:sz="8" w:color="DCEBF4"/>
            </w:tcBorders>
            <w:shd w:val="clear" w:color="auto" w:fill="DCEBF4"/>
          </w:tcPr>
          <w:p>
            <w:pPr>
              <w:spacing w:after="0"/>
              <w:rPr>
                <w:sz w:val="16"/>
                <w:szCs w:val="16"/>
                <w:color w:val="auto"/>
              </w:rPr>
            </w:pPr>
          </w:p>
        </w:tc>
        <w:tc>
          <w:tcPr>
            <w:tcW w:w="1480" w:type="dxa"/>
            <w:vAlign w:val="bottom"/>
            <w:tcBorders>
              <w:top w:val="single" w:sz="8" w:color="auto"/>
            </w:tcBorders>
            <w:shd w:val="clear" w:color="auto" w:fill="DCEBF4"/>
          </w:tcPr>
          <w:p>
            <w:pPr>
              <w:spacing w:after="0" w:line="195" w:lineRule="exact"/>
              <w:rPr>
                <w:sz w:val="20"/>
                <w:szCs w:val="20"/>
                <w:color w:val="auto"/>
              </w:rPr>
            </w:pPr>
            <w:r>
              <w:rPr>
                <w:rFonts w:ascii="Arial" w:cs="Arial" w:eastAsia="Arial" w:hAnsi="Arial"/>
                <w:sz w:val="18"/>
                <w:szCs w:val="18"/>
                <w:color w:val="auto"/>
              </w:rPr>
              <w:t>Oral PTH (1-34)</w:t>
            </w:r>
          </w:p>
        </w:tc>
        <w:tc>
          <w:tcPr>
            <w:tcW w:w="220" w:type="dxa"/>
            <w:vAlign w:val="bottom"/>
            <w:tcBorders>
              <w:top w:val="single" w:sz="8" w:color="DCEBF4"/>
            </w:tcBorders>
            <w:shd w:val="clear" w:color="auto" w:fill="DCEBF4"/>
          </w:tcPr>
          <w:p>
            <w:pPr>
              <w:spacing w:after="0"/>
              <w:rPr>
                <w:sz w:val="16"/>
                <w:szCs w:val="16"/>
                <w:color w:val="auto"/>
              </w:rPr>
            </w:pPr>
          </w:p>
        </w:tc>
        <w:tc>
          <w:tcPr>
            <w:tcW w:w="1460" w:type="dxa"/>
            <w:vAlign w:val="bottom"/>
            <w:tcBorders>
              <w:top w:val="single" w:sz="8" w:color="auto"/>
            </w:tcBorders>
            <w:shd w:val="clear" w:color="auto" w:fill="DCEBF4"/>
          </w:tcPr>
          <w:p>
            <w:pPr>
              <w:spacing w:after="0" w:line="195" w:lineRule="exact"/>
              <w:rPr>
                <w:sz w:val="20"/>
                <w:szCs w:val="20"/>
                <w:color w:val="auto"/>
              </w:rPr>
            </w:pPr>
            <w:r>
              <w:rPr>
                <w:rFonts w:ascii="Arial" w:cs="Arial" w:eastAsia="Arial" w:hAnsi="Arial"/>
                <w:sz w:val="18"/>
                <w:szCs w:val="18"/>
                <w:color w:val="auto"/>
                <w:w w:val="87"/>
              </w:rPr>
              <w:t>Phase 2a completed</w:t>
            </w:r>
          </w:p>
        </w:tc>
        <w:tc>
          <w:tcPr>
            <w:tcW w:w="220" w:type="dxa"/>
            <w:vAlign w:val="bottom"/>
            <w:tcBorders>
              <w:top w:val="single" w:sz="8" w:color="DCEBF4"/>
            </w:tcBorders>
            <w:shd w:val="clear" w:color="auto" w:fill="DCEBF4"/>
          </w:tcPr>
          <w:p>
            <w:pPr>
              <w:spacing w:after="0"/>
              <w:rPr>
                <w:sz w:val="16"/>
                <w:szCs w:val="16"/>
                <w:color w:val="auto"/>
              </w:rPr>
            </w:pPr>
          </w:p>
        </w:tc>
        <w:tc>
          <w:tcPr>
            <w:tcW w:w="2860" w:type="dxa"/>
            <w:vAlign w:val="bottom"/>
            <w:tcBorders>
              <w:top w:val="single" w:sz="8" w:color="auto"/>
            </w:tcBorders>
            <w:shd w:val="clear" w:color="auto" w:fill="DCEBF4"/>
          </w:tcPr>
          <w:p>
            <w:pPr>
              <w:spacing w:after="0" w:line="195" w:lineRule="exact"/>
              <w:rPr>
                <w:sz w:val="20"/>
                <w:szCs w:val="20"/>
                <w:color w:val="auto"/>
              </w:rPr>
            </w:pPr>
            <w:r>
              <w:rPr>
                <w:rFonts w:ascii="Arial" w:cs="Arial" w:eastAsia="Arial" w:hAnsi="Arial"/>
                <w:sz w:val="18"/>
                <w:szCs w:val="18"/>
                <w:color w:val="auto"/>
              </w:rPr>
              <w:t>Phase 2a successfully completed;</w:t>
            </w:r>
          </w:p>
        </w:tc>
        <w:tc>
          <w:tcPr>
            <w:tcW w:w="100" w:type="dxa"/>
            <w:vAlign w:val="bottom"/>
            <w:tcBorders>
              <w:top w:val="single" w:sz="8" w:color="DCEBF4"/>
            </w:tcBorders>
            <w:shd w:val="clear" w:color="auto" w:fill="DCEBF4"/>
          </w:tcPr>
          <w:p>
            <w:pPr>
              <w:spacing w:after="0"/>
              <w:rPr>
                <w:sz w:val="16"/>
                <w:szCs w:val="16"/>
                <w:color w:val="auto"/>
              </w:rPr>
            </w:pPr>
          </w:p>
        </w:tc>
      </w:tr>
      <w:tr>
        <w:trPr>
          <w:trHeight w:val="230"/>
        </w:trPr>
        <w:tc>
          <w:tcPr>
            <w:tcW w:w="1720" w:type="dxa"/>
            <w:vAlign w:val="bottom"/>
            <w:shd w:val="clear" w:color="auto" w:fill="DCEBF4"/>
          </w:tcPr>
          <w:p>
            <w:pPr>
              <w:spacing w:after="0"/>
              <w:rPr>
                <w:sz w:val="20"/>
                <w:szCs w:val="20"/>
                <w:color w:val="auto"/>
              </w:rPr>
            </w:pPr>
          </w:p>
        </w:tc>
        <w:tc>
          <w:tcPr>
            <w:tcW w:w="240" w:type="dxa"/>
            <w:vAlign w:val="bottom"/>
            <w:shd w:val="clear" w:color="auto" w:fill="DCEBF4"/>
          </w:tcPr>
          <w:p>
            <w:pPr>
              <w:spacing w:after="0"/>
              <w:rPr>
                <w:sz w:val="20"/>
                <w:szCs w:val="20"/>
                <w:color w:val="auto"/>
              </w:rPr>
            </w:pPr>
          </w:p>
        </w:tc>
        <w:tc>
          <w:tcPr>
            <w:tcW w:w="2860" w:type="dxa"/>
            <w:vAlign w:val="bottom"/>
            <w:shd w:val="clear" w:color="auto" w:fill="DCEBF4"/>
          </w:tcPr>
          <w:p>
            <w:pPr>
              <w:spacing w:after="0"/>
              <w:rPr>
                <w:sz w:val="20"/>
                <w:szCs w:val="20"/>
                <w:color w:val="auto"/>
              </w:rPr>
            </w:pPr>
          </w:p>
        </w:tc>
        <w:tc>
          <w:tcPr>
            <w:tcW w:w="260" w:type="dxa"/>
            <w:vAlign w:val="bottom"/>
            <w:shd w:val="clear" w:color="auto" w:fill="DCEBF4"/>
          </w:tcPr>
          <w:p>
            <w:pPr>
              <w:spacing w:after="0"/>
              <w:rPr>
                <w:sz w:val="20"/>
                <w:szCs w:val="20"/>
                <w:color w:val="auto"/>
              </w:rPr>
            </w:pPr>
          </w:p>
        </w:tc>
        <w:tc>
          <w:tcPr>
            <w:tcW w:w="1480" w:type="dxa"/>
            <w:vAlign w:val="bottom"/>
            <w:shd w:val="clear" w:color="auto" w:fill="DCEBF4"/>
          </w:tcPr>
          <w:p>
            <w:pPr>
              <w:spacing w:after="0"/>
              <w:rPr>
                <w:sz w:val="20"/>
                <w:szCs w:val="20"/>
                <w:color w:val="auto"/>
              </w:rPr>
            </w:pPr>
          </w:p>
        </w:tc>
        <w:tc>
          <w:tcPr>
            <w:tcW w:w="220" w:type="dxa"/>
            <w:vAlign w:val="bottom"/>
            <w:shd w:val="clear" w:color="auto" w:fill="DCEBF4"/>
          </w:tcPr>
          <w:p>
            <w:pPr>
              <w:spacing w:after="0"/>
              <w:rPr>
                <w:sz w:val="20"/>
                <w:szCs w:val="20"/>
                <w:color w:val="auto"/>
              </w:rPr>
            </w:pPr>
          </w:p>
        </w:tc>
        <w:tc>
          <w:tcPr>
            <w:tcW w:w="1460" w:type="dxa"/>
            <w:vAlign w:val="bottom"/>
            <w:shd w:val="clear" w:color="auto" w:fill="DCEBF4"/>
          </w:tcPr>
          <w:p>
            <w:pPr>
              <w:spacing w:after="0"/>
              <w:rPr>
                <w:sz w:val="20"/>
                <w:szCs w:val="20"/>
                <w:color w:val="auto"/>
              </w:rPr>
            </w:pPr>
          </w:p>
        </w:tc>
        <w:tc>
          <w:tcPr>
            <w:tcW w:w="220" w:type="dxa"/>
            <w:vAlign w:val="bottom"/>
            <w:shd w:val="clear" w:color="auto" w:fill="DCEBF4"/>
          </w:tcPr>
          <w:p>
            <w:pPr>
              <w:spacing w:after="0"/>
              <w:rPr>
                <w:sz w:val="20"/>
                <w:szCs w:val="20"/>
                <w:color w:val="auto"/>
              </w:rPr>
            </w:pPr>
          </w:p>
        </w:tc>
        <w:tc>
          <w:tcPr>
            <w:tcW w:w="2960" w:type="dxa"/>
            <w:vAlign w:val="bottom"/>
            <w:gridSpan w:val="2"/>
            <w:shd w:val="clear" w:color="auto" w:fill="DCEBF4"/>
          </w:tcPr>
          <w:p>
            <w:pPr>
              <w:spacing w:after="0"/>
              <w:rPr>
                <w:sz w:val="20"/>
                <w:szCs w:val="20"/>
                <w:color w:val="auto"/>
              </w:rPr>
            </w:pPr>
            <w:r>
              <w:rPr>
                <w:rFonts w:ascii="Arial" w:cs="Arial" w:eastAsia="Arial" w:hAnsi="Arial"/>
                <w:sz w:val="18"/>
                <w:szCs w:val="18"/>
                <w:color w:val="auto"/>
              </w:rPr>
              <w:t>results reported Q3 2015</w:t>
            </w:r>
          </w:p>
        </w:tc>
      </w:tr>
      <w:tr>
        <w:trPr>
          <w:trHeight w:val="202"/>
        </w:trPr>
        <w:tc>
          <w:tcPr>
            <w:tcW w:w="1720" w:type="dxa"/>
            <w:vAlign w:val="bottom"/>
            <w:shd w:val="clear" w:color="auto" w:fill="DCEBF4"/>
          </w:tcPr>
          <w:p>
            <w:pPr>
              <w:spacing w:after="0"/>
              <w:rPr>
                <w:sz w:val="17"/>
                <w:szCs w:val="17"/>
                <w:color w:val="auto"/>
              </w:rPr>
            </w:pPr>
          </w:p>
        </w:tc>
        <w:tc>
          <w:tcPr>
            <w:tcW w:w="240" w:type="dxa"/>
            <w:vAlign w:val="bottom"/>
            <w:shd w:val="clear" w:color="auto" w:fill="DCEBF4"/>
          </w:tcPr>
          <w:p>
            <w:pPr>
              <w:spacing w:after="0"/>
              <w:rPr>
                <w:sz w:val="17"/>
                <w:szCs w:val="17"/>
                <w:color w:val="auto"/>
              </w:rPr>
            </w:pPr>
          </w:p>
        </w:tc>
        <w:tc>
          <w:tcPr>
            <w:tcW w:w="2860" w:type="dxa"/>
            <w:vAlign w:val="bottom"/>
            <w:shd w:val="clear" w:color="auto" w:fill="DCEBF4"/>
          </w:tcPr>
          <w:p>
            <w:pPr>
              <w:spacing w:after="0"/>
              <w:rPr>
                <w:sz w:val="17"/>
                <w:szCs w:val="17"/>
                <w:color w:val="auto"/>
              </w:rPr>
            </w:pPr>
          </w:p>
        </w:tc>
        <w:tc>
          <w:tcPr>
            <w:tcW w:w="260" w:type="dxa"/>
            <w:vAlign w:val="bottom"/>
            <w:shd w:val="clear" w:color="auto" w:fill="DCEBF4"/>
          </w:tcPr>
          <w:p>
            <w:pPr>
              <w:spacing w:after="0"/>
              <w:rPr>
                <w:sz w:val="17"/>
                <w:szCs w:val="17"/>
                <w:color w:val="auto"/>
              </w:rPr>
            </w:pPr>
          </w:p>
        </w:tc>
        <w:tc>
          <w:tcPr>
            <w:tcW w:w="1480" w:type="dxa"/>
            <w:vAlign w:val="bottom"/>
            <w:shd w:val="clear" w:color="auto" w:fill="DCEBF4"/>
          </w:tcPr>
          <w:p>
            <w:pPr>
              <w:spacing w:after="0"/>
              <w:rPr>
                <w:sz w:val="17"/>
                <w:szCs w:val="17"/>
                <w:color w:val="auto"/>
              </w:rPr>
            </w:pPr>
          </w:p>
        </w:tc>
        <w:tc>
          <w:tcPr>
            <w:tcW w:w="220" w:type="dxa"/>
            <w:vAlign w:val="bottom"/>
            <w:shd w:val="clear" w:color="auto" w:fill="DCEBF4"/>
          </w:tcPr>
          <w:p>
            <w:pPr>
              <w:spacing w:after="0"/>
              <w:rPr>
                <w:sz w:val="17"/>
                <w:szCs w:val="17"/>
                <w:color w:val="auto"/>
              </w:rPr>
            </w:pPr>
          </w:p>
        </w:tc>
        <w:tc>
          <w:tcPr>
            <w:tcW w:w="1460" w:type="dxa"/>
            <w:vAlign w:val="bottom"/>
            <w:shd w:val="clear" w:color="auto" w:fill="DCEBF4"/>
          </w:tcPr>
          <w:p>
            <w:pPr>
              <w:spacing w:after="0"/>
              <w:rPr>
                <w:sz w:val="17"/>
                <w:szCs w:val="17"/>
                <w:color w:val="auto"/>
              </w:rPr>
            </w:pPr>
          </w:p>
        </w:tc>
        <w:tc>
          <w:tcPr>
            <w:tcW w:w="220" w:type="dxa"/>
            <w:vAlign w:val="bottom"/>
            <w:shd w:val="clear" w:color="auto" w:fill="DCEBF4"/>
          </w:tcPr>
          <w:p>
            <w:pPr>
              <w:spacing w:after="0"/>
              <w:rPr>
                <w:sz w:val="17"/>
                <w:szCs w:val="17"/>
                <w:color w:val="auto"/>
              </w:rPr>
            </w:pPr>
          </w:p>
        </w:tc>
        <w:tc>
          <w:tcPr>
            <w:tcW w:w="2960" w:type="dxa"/>
            <w:vAlign w:val="bottom"/>
            <w:gridSpan w:val="2"/>
            <w:shd w:val="clear" w:color="auto" w:fill="DCEBF4"/>
          </w:tcPr>
          <w:p>
            <w:pPr>
              <w:spacing w:after="0" w:line="201" w:lineRule="exact"/>
              <w:rPr>
                <w:sz w:val="20"/>
                <w:szCs w:val="20"/>
                <w:color w:val="auto"/>
              </w:rPr>
            </w:pPr>
            <w:r>
              <w:rPr>
                <w:rFonts w:ascii="Arial" w:cs="Arial" w:eastAsia="Arial" w:hAnsi="Arial"/>
                <w:sz w:val="18"/>
                <w:szCs w:val="18"/>
                <w:color w:val="auto"/>
              </w:rPr>
              <w:t>PK/PD study head to head with</w:t>
            </w:r>
          </w:p>
        </w:tc>
      </w:tr>
      <w:tr>
        <w:trPr>
          <w:trHeight w:val="216"/>
        </w:trPr>
        <w:tc>
          <w:tcPr>
            <w:tcW w:w="1720" w:type="dxa"/>
            <w:vAlign w:val="bottom"/>
            <w:shd w:val="clear" w:color="auto" w:fill="DCEBF4"/>
          </w:tcPr>
          <w:p>
            <w:pPr>
              <w:spacing w:after="0"/>
              <w:rPr>
                <w:sz w:val="18"/>
                <w:szCs w:val="18"/>
                <w:color w:val="auto"/>
              </w:rPr>
            </w:pPr>
          </w:p>
        </w:tc>
        <w:tc>
          <w:tcPr>
            <w:tcW w:w="240" w:type="dxa"/>
            <w:vAlign w:val="bottom"/>
            <w:shd w:val="clear" w:color="auto" w:fill="DCEBF4"/>
          </w:tcPr>
          <w:p>
            <w:pPr>
              <w:spacing w:after="0"/>
              <w:rPr>
                <w:sz w:val="18"/>
                <w:szCs w:val="18"/>
                <w:color w:val="auto"/>
              </w:rPr>
            </w:pPr>
          </w:p>
        </w:tc>
        <w:tc>
          <w:tcPr>
            <w:tcW w:w="2860" w:type="dxa"/>
            <w:vAlign w:val="bottom"/>
            <w:shd w:val="clear" w:color="auto" w:fill="DCEBF4"/>
          </w:tcPr>
          <w:p>
            <w:pPr>
              <w:spacing w:after="0"/>
              <w:rPr>
                <w:sz w:val="18"/>
                <w:szCs w:val="18"/>
                <w:color w:val="auto"/>
              </w:rPr>
            </w:pPr>
          </w:p>
        </w:tc>
        <w:tc>
          <w:tcPr>
            <w:tcW w:w="260" w:type="dxa"/>
            <w:vAlign w:val="bottom"/>
            <w:shd w:val="clear" w:color="auto" w:fill="DCEBF4"/>
          </w:tcPr>
          <w:p>
            <w:pPr>
              <w:spacing w:after="0"/>
              <w:rPr>
                <w:sz w:val="18"/>
                <w:szCs w:val="18"/>
                <w:color w:val="auto"/>
              </w:rPr>
            </w:pPr>
          </w:p>
        </w:tc>
        <w:tc>
          <w:tcPr>
            <w:tcW w:w="1480" w:type="dxa"/>
            <w:vAlign w:val="bottom"/>
            <w:shd w:val="clear" w:color="auto" w:fill="DCEBF4"/>
          </w:tcPr>
          <w:p>
            <w:pPr>
              <w:spacing w:after="0"/>
              <w:rPr>
                <w:sz w:val="18"/>
                <w:szCs w:val="18"/>
                <w:color w:val="auto"/>
              </w:rPr>
            </w:pPr>
          </w:p>
        </w:tc>
        <w:tc>
          <w:tcPr>
            <w:tcW w:w="220" w:type="dxa"/>
            <w:vAlign w:val="bottom"/>
            <w:shd w:val="clear" w:color="auto" w:fill="DCEBF4"/>
          </w:tcPr>
          <w:p>
            <w:pPr>
              <w:spacing w:after="0"/>
              <w:rPr>
                <w:sz w:val="18"/>
                <w:szCs w:val="18"/>
                <w:color w:val="auto"/>
              </w:rPr>
            </w:pPr>
          </w:p>
        </w:tc>
        <w:tc>
          <w:tcPr>
            <w:tcW w:w="1460" w:type="dxa"/>
            <w:vAlign w:val="bottom"/>
            <w:shd w:val="clear" w:color="auto" w:fill="DCEBF4"/>
          </w:tcPr>
          <w:p>
            <w:pPr>
              <w:spacing w:after="0"/>
              <w:rPr>
                <w:sz w:val="18"/>
                <w:szCs w:val="18"/>
                <w:color w:val="auto"/>
              </w:rPr>
            </w:pPr>
          </w:p>
        </w:tc>
        <w:tc>
          <w:tcPr>
            <w:tcW w:w="220" w:type="dxa"/>
            <w:vAlign w:val="bottom"/>
            <w:shd w:val="clear" w:color="auto" w:fill="DCEBF4"/>
          </w:tcPr>
          <w:p>
            <w:pPr>
              <w:spacing w:after="0"/>
              <w:rPr>
                <w:sz w:val="18"/>
                <w:szCs w:val="18"/>
                <w:color w:val="auto"/>
              </w:rPr>
            </w:pPr>
          </w:p>
        </w:tc>
        <w:tc>
          <w:tcPr>
            <w:tcW w:w="2960" w:type="dxa"/>
            <w:vAlign w:val="bottom"/>
            <w:gridSpan w:val="2"/>
            <w:shd w:val="clear" w:color="auto" w:fill="DCEBF4"/>
          </w:tcPr>
          <w:p>
            <w:pPr>
              <w:spacing w:after="0"/>
              <w:rPr>
                <w:sz w:val="20"/>
                <w:szCs w:val="20"/>
                <w:color w:val="auto"/>
              </w:rPr>
            </w:pPr>
            <w:r>
              <w:rPr>
                <w:rFonts w:ascii="Arial" w:cs="Arial" w:eastAsia="Arial" w:hAnsi="Arial"/>
                <w:sz w:val="18"/>
                <w:szCs w:val="18"/>
                <w:color w:val="auto"/>
              </w:rPr>
              <w:t>Natpara in hypoparathyroid patients</w:t>
            </w:r>
          </w:p>
        </w:tc>
      </w:tr>
      <w:tr>
        <w:trPr>
          <w:trHeight w:val="230"/>
        </w:trPr>
        <w:tc>
          <w:tcPr>
            <w:tcW w:w="1720" w:type="dxa"/>
            <w:vAlign w:val="bottom"/>
            <w:shd w:val="clear" w:color="auto" w:fill="DCEBF4"/>
          </w:tcPr>
          <w:p>
            <w:pPr>
              <w:spacing w:after="0"/>
              <w:rPr>
                <w:sz w:val="20"/>
                <w:szCs w:val="20"/>
                <w:color w:val="auto"/>
              </w:rPr>
            </w:pPr>
          </w:p>
        </w:tc>
        <w:tc>
          <w:tcPr>
            <w:tcW w:w="240" w:type="dxa"/>
            <w:vAlign w:val="bottom"/>
            <w:shd w:val="clear" w:color="auto" w:fill="DCEBF4"/>
          </w:tcPr>
          <w:p>
            <w:pPr>
              <w:spacing w:after="0"/>
              <w:rPr>
                <w:sz w:val="20"/>
                <w:szCs w:val="20"/>
                <w:color w:val="auto"/>
              </w:rPr>
            </w:pPr>
          </w:p>
        </w:tc>
        <w:tc>
          <w:tcPr>
            <w:tcW w:w="2860" w:type="dxa"/>
            <w:vAlign w:val="bottom"/>
            <w:shd w:val="clear" w:color="auto" w:fill="DCEBF4"/>
          </w:tcPr>
          <w:p>
            <w:pPr>
              <w:spacing w:after="0"/>
              <w:rPr>
                <w:sz w:val="20"/>
                <w:szCs w:val="20"/>
                <w:color w:val="auto"/>
              </w:rPr>
            </w:pPr>
          </w:p>
        </w:tc>
        <w:tc>
          <w:tcPr>
            <w:tcW w:w="260" w:type="dxa"/>
            <w:vAlign w:val="bottom"/>
            <w:shd w:val="clear" w:color="auto" w:fill="DCEBF4"/>
          </w:tcPr>
          <w:p>
            <w:pPr>
              <w:spacing w:after="0"/>
              <w:rPr>
                <w:sz w:val="20"/>
                <w:szCs w:val="20"/>
                <w:color w:val="auto"/>
              </w:rPr>
            </w:pPr>
          </w:p>
        </w:tc>
        <w:tc>
          <w:tcPr>
            <w:tcW w:w="1480" w:type="dxa"/>
            <w:vAlign w:val="bottom"/>
            <w:shd w:val="clear" w:color="auto" w:fill="DCEBF4"/>
          </w:tcPr>
          <w:p>
            <w:pPr>
              <w:spacing w:after="0"/>
              <w:rPr>
                <w:sz w:val="20"/>
                <w:szCs w:val="20"/>
                <w:color w:val="auto"/>
              </w:rPr>
            </w:pPr>
          </w:p>
        </w:tc>
        <w:tc>
          <w:tcPr>
            <w:tcW w:w="220" w:type="dxa"/>
            <w:vAlign w:val="bottom"/>
            <w:shd w:val="clear" w:color="auto" w:fill="DCEBF4"/>
          </w:tcPr>
          <w:p>
            <w:pPr>
              <w:spacing w:after="0"/>
              <w:rPr>
                <w:sz w:val="20"/>
                <w:szCs w:val="20"/>
                <w:color w:val="auto"/>
              </w:rPr>
            </w:pPr>
          </w:p>
        </w:tc>
        <w:tc>
          <w:tcPr>
            <w:tcW w:w="1460" w:type="dxa"/>
            <w:vAlign w:val="bottom"/>
            <w:shd w:val="clear" w:color="auto" w:fill="DCEBF4"/>
          </w:tcPr>
          <w:p>
            <w:pPr>
              <w:spacing w:after="0"/>
              <w:rPr>
                <w:sz w:val="20"/>
                <w:szCs w:val="20"/>
                <w:color w:val="auto"/>
              </w:rPr>
            </w:pPr>
          </w:p>
        </w:tc>
        <w:tc>
          <w:tcPr>
            <w:tcW w:w="220" w:type="dxa"/>
            <w:vAlign w:val="bottom"/>
            <w:shd w:val="clear" w:color="auto" w:fill="DCEBF4"/>
          </w:tcPr>
          <w:p>
            <w:pPr>
              <w:spacing w:after="0"/>
              <w:rPr>
                <w:sz w:val="20"/>
                <w:szCs w:val="20"/>
                <w:color w:val="auto"/>
              </w:rPr>
            </w:pPr>
          </w:p>
        </w:tc>
        <w:tc>
          <w:tcPr>
            <w:tcW w:w="2960" w:type="dxa"/>
            <w:vAlign w:val="bottom"/>
            <w:gridSpan w:val="2"/>
            <w:shd w:val="clear" w:color="auto" w:fill="DCEBF4"/>
          </w:tcPr>
          <w:p>
            <w:pPr>
              <w:spacing w:after="0"/>
              <w:rPr>
                <w:sz w:val="20"/>
                <w:szCs w:val="20"/>
                <w:color w:val="auto"/>
              </w:rPr>
            </w:pPr>
            <w:r>
              <w:rPr>
                <w:rFonts w:ascii="Arial" w:cs="Arial" w:eastAsia="Arial" w:hAnsi="Arial"/>
                <w:sz w:val="18"/>
                <w:szCs w:val="18"/>
                <w:color w:val="auto"/>
              </w:rPr>
              <w:t>expected in H2 2018</w:t>
            </w:r>
          </w:p>
        </w:tc>
      </w:tr>
      <w:tr>
        <w:trPr>
          <w:trHeight w:val="324"/>
        </w:trPr>
        <w:tc>
          <w:tcPr>
            <w:tcW w:w="1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-908685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-908685</wp:posOffset>
            </wp:positionV>
            <wp:extent cx="1371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-908685</wp:posOffset>
            </wp:positionV>
            <wp:extent cx="1371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-908685</wp:posOffset>
            </wp:positionV>
            <wp:extent cx="15430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-908685</wp:posOffset>
            </wp:positionV>
            <wp:extent cx="15430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1720" w:type="dxa"/>
            <w:vAlign w:val="bottom"/>
            <w:gridSpan w:val="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2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99"/>
        </w:trPr>
        <w:tc>
          <w:tcPr>
            <w:tcW w:w="110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b w:val="1"/>
                <w:bCs w:val="1"/>
                <w:color w:val="auto"/>
              </w:rPr>
              <w:t>Stage of</w:t>
            </w: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Program</w:t>
            </w:r>
          </w:p>
        </w:tc>
        <w:tc>
          <w:tcPr>
            <w:tcW w:w="3460" w:type="dxa"/>
            <w:vAlign w:val="bottom"/>
            <w:gridSpan w:val="3"/>
          </w:tcPr>
          <w:p>
            <w:pPr>
              <w:ind w:left="240"/>
              <w:spacing w:after="0"/>
              <w:rPr>
                <w:sz w:val="20"/>
                <w:szCs w:val="20"/>
                <w:color w:val="auto"/>
              </w:rPr>
            </w:pPr>
            <w:r>
              <w:rPr>
                <w:rFonts w:ascii="Arial" w:cs="Arial" w:eastAsia="Arial" w:hAnsi="Arial"/>
                <w:sz w:val="18"/>
                <w:szCs w:val="18"/>
                <w:b w:val="1"/>
                <w:bCs w:val="1"/>
                <w:color w:val="auto"/>
              </w:rPr>
              <w:t>Indication</w:t>
            </w:r>
          </w:p>
        </w:tc>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600" w:type="dxa"/>
            <w:vAlign w:val="bottom"/>
          </w:tcPr>
          <w:p>
            <w:pPr>
              <w:spacing w:after="0"/>
              <w:rPr>
                <w:sz w:val="20"/>
                <w:szCs w:val="20"/>
                <w:color w:val="auto"/>
              </w:rPr>
            </w:pPr>
            <w:r>
              <w:rPr>
                <w:rFonts w:ascii="Arial" w:cs="Arial" w:eastAsia="Arial" w:hAnsi="Arial"/>
                <w:sz w:val="18"/>
                <w:szCs w:val="18"/>
                <w:b w:val="1"/>
                <w:bCs w:val="1"/>
                <w:color w:val="auto"/>
              </w:rPr>
              <w:t>Development</w:t>
            </w:r>
          </w:p>
        </w:tc>
        <w:tc>
          <w:tcPr>
            <w:tcW w:w="2820" w:type="dxa"/>
            <w:vAlign w:val="bottom"/>
            <w:gridSpan w:val="3"/>
          </w:tcPr>
          <w:p>
            <w:pPr>
              <w:ind w:left="220"/>
              <w:spacing w:after="0"/>
              <w:rPr>
                <w:sz w:val="20"/>
                <w:szCs w:val="20"/>
                <w:color w:val="auto"/>
              </w:rPr>
            </w:pPr>
            <w:r>
              <w:rPr>
                <w:rFonts w:ascii="Arial" w:cs="Arial" w:eastAsia="Arial" w:hAnsi="Arial"/>
                <w:sz w:val="18"/>
                <w:szCs w:val="18"/>
                <w:b w:val="1"/>
                <w:bCs w:val="1"/>
                <w:color w:val="auto"/>
              </w:rPr>
              <w:t>Status</w:t>
            </w:r>
          </w:p>
        </w:tc>
      </w:tr>
      <w:tr>
        <w:trPr>
          <w:trHeight w:val="195"/>
        </w:trPr>
        <w:tc>
          <w:tcPr>
            <w:tcW w:w="1720" w:type="dxa"/>
            <w:vAlign w:val="bottom"/>
            <w:tcBorders>
              <w:top w:val="single" w:sz="8" w:color="auto"/>
            </w:tcBorders>
            <w:gridSpan w:val="2"/>
            <w:shd w:val="clear" w:color="auto" w:fill="DCEBF4"/>
          </w:tcPr>
          <w:p>
            <w:pPr>
              <w:spacing w:after="0" w:line="195" w:lineRule="exact"/>
              <w:rPr>
                <w:sz w:val="20"/>
                <w:szCs w:val="20"/>
                <w:color w:val="auto"/>
              </w:rPr>
            </w:pPr>
            <w:r>
              <w:rPr>
                <w:rFonts w:ascii="Arial" w:cs="Arial" w:eastAsia="Arial" w:hAnsi="Arial"/>
                <w:sz w:val="18"/>
                <w:szCs w:val="18"/>
                <w:b w:val="1"/>
                <w:bCs w:val="1"/>
                <w:color w:val="auto"/>
              </w:rPr>
              <w:t>EB613</w:t>
            </w:r>
          </w:p>
        </w:tc>
        <w:tc>
          <w:tcPr>
            <w:tcW w:w="240" w:type="dxa"/>
            <w:vAlign w:val="bottom"/>
            <w:tcBorders>
              <w:top w:val="single" w:sz="8" w:color="DCEBF4"/>
            </w:tcBorders>
            <w:shd w:val="clear" w:color="auto" w:fill="DCEBF4"/>
          </w:tcPr>
          <w:p>
            <w:pPr>
              <w:spacing w:after="0"/>
              <w:rPr>
                <w:sz w:val="16"/>
                <w:szCs w:val="16"/>
                <w:color w:val="auto"/>
              </w:rPr>
            </w:pPr>
          </w:p>
        </w:tc>
        <w:tc>
          <w:tcPr>
            <w:tcW w:w="2980" w:type="dxa"/>
            <w:vAlign w:val="bottom"/>
            <w:tcBorders>
              <w:top w:val="single" w:sz="8" w:color="auto"/>
            </w:tcBorders>
            <w:shd w:val="clear" w:color="auto" w:fill="DCEBF4"/>
          </w:tcPr>
          <w:p>
            <w:pPr>
              <w:spacing w:after="0" w:line="195" w:lineRule="exact"/>
              <w:rPr>
                <w:sz w:val="20"/>
                <w:szCs w:val="20"/>
                <w:color w:val="auto"/>
              </w:rPr>
            </w:pPr>
            <w:r>
              <w:rPr>
                <w:rFonts w:ascii="Arial" w:cs="Arial" w:eastAsia="Arial" w:hAnsi="Arial"/>
                <w:sz w:val="18"/>
                <w:szCs w:val="18"/>
                <w:color w:val="auto"/>
              </w:rPr>
              <w:t>Osteoporosis</w:t>
            </w:r>
          </w:p>
        </w:tc>
        <w:tc>
          <w:tcPr>
            <w:tcW w:w="240" w:type="dxa"/>
            <w:vAlign w:val="bottom"/>
            <w:tcBorders>
              <w:top w:val="single" w:sz="8" w:color="DCEBF4"/>
            </w:tcBorders>
            <w:shd w:val="clear" w:color="auto" w:fill="DCEBF4"/>
          </w:tcPr>
          <w:p>
            <w:pPr>
              <w:spacing w:after="0"/>
              <w:rPr>
                <w:sz w:val="16"/>
                <w:szCs w:val="16"/>
                <w:color w:val="auto"/>
              </w:rPr>
            </w:pPr>
          </w:p>
        </w:tc>
        <w:tc>
          <w:tcPr>
            <w:tcW w:w="1600" w:type="dxa"/>
            <w:vAlign w:val="bottom"/>
            <w:tcBorders>
              <w:top w:val="single" w:sz="8" w:color="auto"/>
            </w:tcBorders>
            <w:shd w:val="clear" w:color="auto" w:fill="DCEBF4"/>
          </w:tcPr>
          <w:p>
            <w:pPr>
              <w:spacing w:after="0" w:line="195" w:lineRule="exact"/>
              <w:rPr>
                <w:sz w:val="20"/>
                <w:szCs w:val="20"/>
                <w:color w:val="auto"/>
              </w:rPr>
            </w:pPr>
            <w:r>
              <w:rPr>
                <w:rFonts w:ascii="Arial" w:cs="Arial" w:eastAsia="Arial" w:hAnsi="Arial"/>
                <w:sz w:val="18"/>
                <w:szCs w:val="18"/>
                <w:color w:val="auto"/>
              </w:rPr>
              <w:t>Oral PTH (1-34)</w:t>
            </w:r>
          </w:p>
        </w:tc>
        <w:tc>
          <w:tcPr>
            <w:tcW w:w="220" w:type="dxa"/>
            <w:vAlign w:val="bottom"/>
            <w:tcBorders>
              <w:top w:val="single" w:sz="8" w:color="DCEBF4"/>
            </w:tcBorders>
            <w:shd w:val="clear" w:color="auto" w:fill="DCEBF4"/>
          </w:tcPr>
          <w:p>
            <w:pPr>
              <w:spacing w:after="0"/>
              <w:rPr>
                <w:sz w:val="16"/>
                <w:szCs w:val="16"/>
                <w:color w:val="auto"/>
              </w:rPr>
            </w:pPr>
          </w:p>
        </w:tc>
        <w:tc>
          <w:tcPr>
            <w:tcW w:w="1600" w:type="dxa"/>
            <w:vAlign w:val="bottom"/>
            <w:tcBorders>
              <w:top w:val="single" w:sz="8" w:color="auto"/>
            </w:tcBorders>
            <w:shd w:val="clear" w:color="auto" w:fill="DCEBF4"/>
          </w:tcPr>
          <w:p>
            <w:pPr>
              <w:spacing w:after="0" w:line="195" w:lineRule="exact"/>
              <w:rPr>
                <w:sz w:val="20"/>
                <w:szCs w:val="20"/>
                <w:color w:val="auto"/>
              </w:rPr>
            </w:pPr>
            <w:r>
              <w:rPr>
                <w:rFonts w:ascii="Arial" w:cs="Arial" w:eastAsia="Arial" w:hAnsi="Arial"/>
                <w:sz w:val="18"/>
                <w:szCs w:val="18"/>
                <w:color w:val="auto"/>
              </w:rPr>
              <w:t>Phase 1</w:t>
            </w:r>
          </w:p>
        </w:tc>
        <w:tc>
          <w:tcPr>
            <w:tcW w:w="220" w:type="dxa"/>
            <w:vAlign w:val="bottom"/>
            <w:tcBorders>
              <w:top w:val="single" w:sz="8" w:color="DCEBF4"/>
            </w:tcBorders>
            <w:shd w:val="clear" w:color="auto" w:fill="DCEBF4"/>
          </w:tcPr>
          <w:p>
            <w:pPr>
              <w:spacing w:after="0"/>
              <w:rPr>
                <w:sz w:val="16"/>
                <w:szCs w:val="16"/>
                <w:color w:val="auto"/>
              </w:rPr>
            </w:pPr>
          </w:p>
        </w:tc>
        <w:tc>
          <w:tcPr>
            <w:tcW w:w="2500" w:type="dxa"/>
            <w:vAlign w:val="bottom"/>
            <w:tcBorders>
              <w:top w:val="single" w:sz="8" w:color="auto"/>
            </w:tcBorders>
            <w:shd w:val="clear" w:color="auto" w:fill="DCEBF4"/>
          </w:tcPr>
          <w:p>
            <w:pPr>
              <w:spacing w:after="0" w:line="195" w:lineRule="exact"/>
              <w:rPr>
                <w:sz w:val="20"/>
                <w:szCs w:val="20"/>
                <w:color w:val="auto"/>
              </w:rPr>
            </w:pPr>
            <w:r>
              <w:rPr>
                <w:rFonts w:ascii="Arial" w:cs="Arial" w:eastAsia="Arial" w:hAnsi="Arial"/>
                <w:sz w:val="18"/>
                <w:szCs w:val="18"/>
                <w:color w:val="auto"/>
                <w:w w:val="93"/>
              </w:rPr>
              <w:t>Pre-IND submission expected H2</w:t>
            </w:r>
          </w:p>
        </w:tc>
        <w:tc>
          <w:tcPr>
            <w:tcW w:w="100" w:type="dxa"/>
            <w:vAlign w:val="bottom"/>
            <w:tcBorders>
              <w:top w:val="single" w:sz="8" w:color="DCEBF4"/>
            </w:tcBorders>
            <w:shd w:val="clear" w:color="auto" w:fill="DCEBF4"/>
          </w:tcPr>
          <w:p>
            <w:pPr>
              <w:spacing w:after="0"/>
              <w:rPr>
                <w:sz w:val="16"/>
                <w:szCs w:val="16"/>
                <w:color w:val="auto"/>
              </w:rPr>
            </w:pPr>
          </w:p>
        </w:tc>
      </w:tr>
      <w:tr>
        <w:trPr>
          <w:trHeight w:val="230"/>
        </w:trPr>
        <w:tc>
          <w:tcPr>
            <w:tcW w:w="1100" w:type="dxa"/>
            <w:vAlign w:val="bottom"/>
            <w:shd w:val="clear" w:color="auto" w:fill="DCEBF4"/>
          </w:tcPr>
          <w:p>
            <w:pPr>
              <w:spacing w:after="0"/>
              <w:rPr>
                <w:sz w:val="20"/>
                <w:szCs w:val="20"/>
                <w:color w:val="auto"/>
              </w:rPr>
            </w:pPr>
          </w:p>
        </w:tc>
        <w:tc>
          <w:tcPr>
            <w:tcW w:w="620" w:type="dxa"/>
            <w:vAlign w:val="bottom"/>
            <w:shd w:val="clear" w:color="auto" w:fill="DCEBF4"/>
          </w:tcPr>
          <w:p>
            <w:pPr>
              <w:spacing w:after="0"/>
              <w:rPr>
                <w:sz w:val="20"/>
                <w:szCs w:val="20"/>
                <w:color w:val="auto"/>
              </w:rPr>
            </w:pPr>
          </w:p>
        </w:tc>
        <w:tc>
          <w:tcPr>
            <w:tcW w:w="240" w:type="dxa"/>
            <w:vAlign w:val="bottom"/>
            <w:shd w:val="clear" w:color="auto" w:fill="DCEBF4"/>
          </w:tcPr>
          <w:p>
            <w:pPr>
              <w:spacing w:after="0"/>
              <w:rPr>
                <w:sz w:val="20"/>
                <w:szCs w:val="20"/>
                <w:color w:val="auto"/>
              </w:rPr>
            </w:pPr>
          </w:p>
        </w:tc>
        <w:tc>
          <w:tcPr>
            <w:tcW w:w="2980" w:type="dxa"/>
            <w:vAlign w:val="bottom"/>
            <w:shd w:val="clear" w:color="auto" w:fill="DCEBF4"/>
          </w:tcPr>
          <w:p>
            <w:pPr>
              <w:spacing w:after="0"/>
              <w:rPr>
                <w:sz w:val="20"/>
                <w:szCs w:val="20"/>
                <w:color w:val="auto"/>
              </w:rPr>
            </w:pPr>
          </w:p>
        </w:tc>
        <w:tc>
          <w:tcPr>
            <w:tcW w:w="240" w:type="dxa"/>
            <w:vAlign w:val="bottom"/>
            <w:shd w:val="clear" w:color="auto" w:fill="DCEBF4"/>
          </w:tcPr>
          <w:p>
            <w:pPr>
              <w:spacing w:after="0"/>
              <w:rPr>
                <w:sz w:val="20"/>
                <w:szCs w:val="20"/>
                <w:color w:val="auto"/>
              </w:rPr>
            </w:pPr>
          </w:p>
        </w:tc>
        <w:tc>
          <w:tcPr>
            <w:tcW w:w="1600" w:type="dxa"/>
            <w:vAlign w:val="bottom"/>
            <w:shd w:val="clear" w:color="auto" w:fill="DCEBF4"/>
          </w:tcPr>
          <w:p>
            <w:pPr>
              <w:spacing w:after="0"/>
              <w:rPr>
                <w:sz w:val="20"/>
                <w:szCs w:val="20"/>
                <w:color w:val="auto"/>
              </w:rPr>
            </w:pPr>
          </w:p>
        </w:tc>
        <w:tc>
          <w:tcPr>
            <w:tcW w:w="220" w:type="dxa"/>
            <w:vAlign w:val="bottom"/>
            <w:shd w:val="clear" w:color="auto" w:fill="DCEBF4"/>
          </w:tcPr>
          <w:p>
            <w:pPr>
              <w:spacing w:after="0"/>
              <w:rPr>
                <w:sz w:val="20"/>
                <w:szCs w:val="20"/>
                <w:color w:val="auto"/>
              </w:rPr>
            </w:pPr>
          </w:p>
        </w:tc>
        <w:tc>
          <w:tcPr>
            <w:tcW w:w="1600" w:type="dxa"/>
            <w:vAlign w:val="bottom"/>
            <w:shd w:val="clear" w:color="auto" w:fill="DCEBF4"/>
          </w:tcPr>
          <w:p>
            <w:pPr>
              <w:spacing w:after="0"/>
              <w:rPr>
                <w:sz w:val="20"/>
                <w:szCs w:val="20"/>
                <w:color w:val="auto"/>
              </w:rPr>
            </w:pPr>
          </w:p>
        </w:tc>
        <w:tc>
          <w:tcPr>
            <w:tcW w:w="2720" w:type="dxa"/>
            <w:vAlign w:val="bottom"/>
            <w:gridSpan w:val="2"/>
            <w:shd w:val="clear" w:color="auto" w:fill="DCEBF4"/>
          </w:tcPr>
          <w:p>
            <w:pPr>
              <w:ind w:left="22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DCEBF4"/>
          </w:tcPr>
          <w:p>
            <w:pPr>
              <w:spacing w:after="0"/>
              <w:rPr>
                <w:sz w:val="20"/>
                <w:szCs w:val="20"/>
                <w:color w:val="auto"/>
              </w:rPr>
            </w:pPr>
          </w:p>
        </w:tc>
      </w:tr>
      <w:tr>
        <w:trPr>
          <w:trHeight w:val="216"/>
        </w:trPr>
        <w:tc>
          <w:tcPr>
            <w:tcW w:w="1100" w:type="dxa"/>
            <w:vAlign w:val="bottom"/>
            <w:shd w:val="clear" w:color="auto" w:fill="DCEBF4"/>
          </w:tcPr>
          <w:p>
            <w:pPr>
              <w:spacing w:after="0"/>
              <w:rPr>
                <w:sz w:val="18"/>
                <w:szCs w:val="18"/>
                <w:color w:val="auto"/>
              </w:rPr>
            </w:pPr>
          </w:p>
        </w:tc>
        <w:tc>
          <w:tcPr>
            <w:tcW w:w="620" w:type="dxa"/>
            <w:vAlign w:val="bottom"/>
            <w:shd w:val="clear" w:color="auto" w:fill="DCEBF4"/>
          </w:tcPr>
          <w:p>
            <w:pPr>
              <w:spacing w:after="0"/>
              <w:rPr>
                <w:sz w:val="18"/>
                <w:szCs w:val="18"/>
                <w:color w:val="auto"/>
              </w:rPr>
            </w:pPr>
          </w:p>
        </w:tc>
        <w:tc>
          <w:tcPr>
            <w:tcW w:w="240" w:type="dxa"/>
            <w:vAlign w:val="bottom"/>
            <w:shd w:val="clear" w:color="auto" w:fill="DCEBF4"/>
          </w:tcPr>
          <w:p>
            <w:pPr>
              <w:spacing w:after="0"/>
              <w:rPr>
                <w:sz w:val="18"/>
                <w:szCs w:val="18"/>
                <w:color w:val="auto"/>
              </w:rPr>
            </w:pPr>
          </w:p>
        </w:tc>
        <w:tc>
          <w:tcPr>
            <w:tcW w:w="2980" w:type="dxa"/>
            <w:vAlign w:val="bottom"/>
            <w:shd w:val="clear" w:color="auto" w:fill="DCEBF4"/>
          </w:tcPr>
          <w:p>
            <w:pPr>
              <w:spacing w:after="0"/>
              <w:rPr>
                <w:sz w:val="18"/>
                <w:szCs w:val="18"/>
                <w:color w:val="auto"/>
              </w:rPr>
            </w:pPr>
          </w:p>
        </w:tc>
        <w:tc>
          <w:tcPr>
            <w:tcW w:w="240" w:type="dxa"/>
            <w:vAlign w:val="bottom"/>
            <w:shd w:val="clear" w:color="auto" w:fill="DCEBF4"/>
          </w:tcPr>
          <w:p>
            <w:pPr>
              <w:spacing w:after="0"/>
              <w:rPr>
                <w:sz w:val="18"/>
                <w:szCs w:val="18"/>
                <w:color w:val="auto"/>
              </w:rPr>
            </w:pPr>
          </w:p>
        </w:tc>
        <w:tc>
          <w:tcPr>
            <w:tcW w:w="1600" w:type="dxa"/>
            <w:vAlign w:val="bottom"/>
            <w:shd w:val="clear" w:color="auto" w:fill="DCEBF4"/>
          </w:tcPr>
          <w:p>
            <w:pPr>
              <w:spacing w:after="0"/>
              <w:rPr>
                <w:sz w:val="18"/>
                <w:szCs w:val="18"/>
                <w:color w:val="auto"/>
              </w:rPr>
            </w:pPr>
          </w:p>
        </w:tc>
        <w:tc>
          <w:tcPr>
            <w:tcW w:w="220" w:type="dxa"/>
            <w:vAlign w:val="bottom"/>
            <w:shd w:val="clear" w:color="auto" w:fill="DCEBF4"/>
          </w:tcPr>
          <w:p>
            <w:pPr>
              <w:spacing w:after="0"/>
              <w:rPr>
                <w:sz w:val="18"/>
                <w:szCs w:val="18"/>
                <w:color w:val="auto"/>
              </w:rPr>
            </w:pPr>
          </w:p>
        </w:tc>
        <w:tc>
          <w:tcPr>
            <w:tcW w:w="1600" w:type="dxa"/>
            <w:vAlign w:val="bottom"/>
            <w:shd w:val="clear" w:color="auto" w:fill="DCEBF4"/>
          </w:tcPr>
          <w:p>
            <w:pPr>
              <w:spacing w:after="0"/>
              <w:rPr>
                <w:sz w:val="18"/>
                <w:szCs w:val="18"/>
                <w:color w:val="auto"/>
              </w:rPr>
            </w:pPr>
          </w:p>
        </w:tc>
        <w:tc>
          <w:tcPr>
            <w:tcW w:w="2820" w:type="dxa"/>
            <w:vAlign w:val="bottom"/>
            <w:gridSpan w:val="3"/>
            <w:shd w:val="clear" w:color="auto" w:fill="DCEBF4"/>
          </w:tcPr>
          <w:p>
            <w:pPr>
              <w:ind w:left="220"/>
              <w:spacing w:after="0"/>
              <w:rPr>
                <w:sz w:val="20"/>
                <w:szCs w:val="20"/>
                <w:color w:val="auto"/>
              </w:rPr>
            </w:pPr>
            <w:r>
              <w:rPr>
                <w:rFonts w:ascii="Arial" w:cs="Arial" w:eastAsia="Arial" w:hAnsi="Arial"/>
                <w:sz w:val="18"/>
                <w:szCs w:val="18"/>
                <w:color w:val="auto"/>
                <w:w w:val="95"/>
              </w:rPr>
              <w:t>Phase 2a initiation expected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-419735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-419735</wp:posOffset>
            </wp:positionV>
            <wp:extent cx="1371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-419735</wp:posOffset>
            </wp:positionV>
            <wp:extent cx="1371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3134995</wp:posOffset>
            </wp:positionH>
            <wp:positionV relativeFrom="paragraph">
              <wp:posOffset>-419735</wp:posOffset>
            </wp:positionV>
            <wp:extent cx="1543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-419735</wp:posOffset>
            </wp:positionV>
            <wp:extent cx="1543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18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Oral PTH Therapeutics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PTH is a hormone that regulates the levels of calcium and phosphorus in the blood. The naturally occurring form of PTH that is found in the human body is composed of 84 amino acids, although only the first 34 amino acids are believed to be responsible for its biological effects. A recombinant form of PTH that is comprised of only the first 34 amino acids, or PTH (1-34), can be used as a treatment for a number of indications, including hypoparathyroidism, osteoporosis and non-union fractures. An injectable form of PTH (1-34), marketed under the name Forteo, has been approved in the United States for more than 10 years and has been used by millions of patients for the treatment of osteoporosis. An injectable form of full length PTH (1-84), marketed under the name Natpara, has also recently been approved for the treatment of hypoparathyroidism. We are developing a number of oral PTH (1-34) tablet programs that can be used for a number of proposed indications. We believe that our oral PTH product candidates, if approved, have the potential to become the standard of care for patients with hypoparathyroidism, osteoporosis and non-union fractures.</w:t>
      </w:r>
    </w:p>
    <w:p>
      <w:pPr>
        <w:spacing w:after="0" w:line="17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PTH regulates calcium and phosphate homeostasis and bone metabolism in the body. In normal healthy individuals, PTH is generally produced at a very low basal level of 15 – 25 pg/ml (pg = 10-12 g). On top of the basal PTH levels, there are physiological pulses two to three times per day presented as transient increases in PTH levels reaching up to 35 pg/ml. While the basal level helps maintain calcium and phosphate homeostasis, the pulses help encourage bone turnover through activation of both osteoblasts and osteoclasts, the two main types of cells that are responsible for the process through which bones are constantly being remodeled. Absent these pulses, it is difficult for the body to regulate normal homeostatic processes.</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EB612 for Hypoparathyroidism</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Hypoparathyroidism</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are focused on the development of oral PTH (1-34) for hypoparathyroidism, which, if approved, we believe has the potential to become the standard of care for hypoparathyroidism. Hypoparathyroidism is a rare condition in which the parathyroid glands fail to produce sufficient amounts of PTH or the PTH produced lacks biologic activity. Individuals with a deficiency of parathyroid hormone may exhibit hypocalcemia and hyperphosphatemia. Hypocalcemia can cause one or more of a variety of symptoms, including weakness, muscle cramps, excessive nervousness, headaches and uncontrollable twitching and cramping spasms of muscles such as those of the hands, feet, arms, legs and face, which is known as tetany. Numbness and tingling around the mouth and in the fingers and toes can also occur. Acute hypocalcemia can result in cardiac failure, failure of nervous system functions and death. Hyperphosphatemia can result in soft tissue calcium deposition, which may lead to severe issues, including damage to the circulatory system and central nervous system. The most common cause of hypoparathyroidism is damage to, or removal of, the parathyroid glands due to surgery for another condition. Hypoparathyroidism can also be caused by an autoimmune process, or idiopathic reasons or occur in association with a number of different underlying disorders. In rare cases, hypoparathyroidism may occur as a genetic disorder.</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prevalence of hypoparathyroidism is estimated to be 37 per 100,000 in the United States, with 78% of cases caused by surgery, 7% due to genetic disorder and 6% due to idiopathic origin. Although incidence rates have been difficult to quantify, it is estimated that chronic hypoparathyroidism, which affects patients for more than six months, affects approximately 58,700 insured individuals in the United States, with an estimated 43% of these chronic cases characterized as mild, 39% characterized as moderate, and 18% characterized as severe. The FDA has granted orphan drug designation to our oral PTH for the treatment of hypoparathyroidism.</w:t>
      </w:r>
    </w:p>
    <w:p>
      <w:pPr>
        <w:spacing w:after="0" w:line="188"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Historically, the treatments for hypoparathyroidism have been calcium supplements, vitamin D supplements and phosphate binders. Although calcium and vitamin D can help alleviate hypocalcemia, their chronic use results in many serious side effects with significant costs to the healthcare system. Hypoparathyroid patients often need to take large doses of calcium throughout the day in order to maintain calcium homeostasis in the serum, or blood plasma, throughout the day for normal body functioning. It then falls upon the kidneys to dispose of excess calcium and maintain precise control of serum calcium levels. Over potentially years of treatment, kidney stones may develop, and ultimately kidney failure may occur. Even with the use of calcium and vitamin D supplements and other medications, the majority of patients with hypoparathyroidism continue to experience multiple severe physical and cognitive symptoms.</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Until recently, hypoparathyroidism was the only hormonal insufficiency state that did not have an approved hormone replacement therapy. NPS Pharmaceuticals, Inc., a biopharmaceutical company that was acquired by Shire plc in February 2015, developed Natpara, a recombinant form of human PTH (1-84), as an injectable hormone replacement therapy for the underlying cause of hypoparathyroidism, lack of PTH. Natpara is administered once daily with a pre-set injection pen. Natpara was approved by the FDA in January 2015 launched commercially in the United States later in 2015.</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September 2014, an advisory committee of the FDA reviewed the Natpara BLA. This advisory committee review of Natpara highlighted a number of observations. In its briefing to the advisory committee, the FDA noted that Natpara had limited clinical benefit in controlling excessive calcium in the urine, or hypercalciuria, a condition commonly associated with hypoparathyroidism and the most commonly identifiable cause of calcium kidney stone disease. Additional analysis by the FDA also noted that, due to a change in trial protocol that was made after the initiation of the trial, the responder rate for the pivotal single-dose trial’s primary efficacy endpoint was 32.1% under the original trial protocol versus the 54.8% that was ultimately reported. The FDA stated in its briefing report that the results of this alternate analysis may be more clinically relevant, particularly if a clinician’s goal is to keep a patient’s serum calcium in the lower half of the normal range.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believe EB612 is differentiated from Natpara for the following reasons:</w:t>
      </w:r>
    </w:p>
    <w:p>
      <w:pPr>
        <w:spacing w:after="0" w:line="225" w:lineRule="exact"/>
        <w:rPr>
          <w:sz w:val="20"/>
          <w:szCs w:val="20"/>
          <w:color w:val="auto"/>
        </w:rPr>
      </w:pPr>
    </w:p>
    <w:p>
      <w:pPr>
        <w:ind w:left="340" w:right="40" w:hanging="170"/>
        <w:spacing w:after="0" w:line="279" w:lineRule="auto"/>
        <w:tabs>
          <w:tab w:leader="none" w:pos="34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EB612 is designed to be dosed multiple times a day</w:t>
      </w:r>
      <w:r>
        <w:rPr>
          <w:rFonts w:ascii="Arial" w:cs="Arial" w:eastAsia="Arial" w:hAnsi="Arial"/>
          <w:sz w:val="17"/>
          <w:szCs w:val="17"/>
          <w:color w:val="auto"/>
        </w:rPr>
        <w:t>. Studies performed by the NIH have shown that dosing PTH multiple times per day significantly</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increases the efficacy of therapy and would be more effective for treating hypoparathyroidism. These studies found that the total daily PTH dose required to maintain serum calcium in the normal or near-normal range was reduced by 50% with twice-daily PTH (1-34) and also demonstrated that twice-daily dosing achieved better control over serum calcium and urinary calcium excretion as compared to once-daily dosing.</w:t>
      </w:r>
    </w:p>
    <w:p>
      <w:pPr>
        <w:spacing w:after="0" w:line="171" w:lineRule="exact"/>
        <w:rPr>
          <w:rFonts w:ascii="Arial" w:cs="Arial" w:eastAsia="Arial" w:hAnsi="Arial"/>
          <w:sz w:val="17"/>
          <w:szCs w:val="17"/>
          <w:color w:val="auto"/>
        </w:rPr>
      </w:pPr>
    </w:p>
    <w:p>
      <w:pPr>
        <w:ind w:left="340" w:right="280" w:hanging="170"/>
        <w:spacing w:after="0" w:line="264"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EB612 is designed to be dosed according to patient needs</w:t>
      </w:r>
      <w:r>
        <w:rPr>
          <w:rFonts w:ascii="Arial" w:cs="Arial" w:eastAsia="Arial" w:hAnsi="Arial"/>
          <w:sz w:val="18"/>
          <w:szCs w:val="18"/>
          <w:color w:val="auto"/>
        </w:rPr>
        <w:t>. The hypoparathyroid population is heterogeneous and patients have highly variable</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responsiveness to PTH. Therefore, the ability to customize PTH dosing throughout the day with an oral tablet is an advantage over a once-daily preset injection pen.</w:t>
      </w:r>
    </w:p>
    <w:p>
      <w:pPr>
        <w:spacing w:after="0" w:line="181" w:lineRule="exact"/>
        <w:rPr>
          <w:rFonts w:ascii="Arial" w:cs="Arial" w:eastAsia="Arial" w:hAnsi="Arial"/>
          <w:sz w:val="18"/>
          <w:szCs w:val="18"/>
          <w:color w:val="auto"/>
        </w:rPr>
      </w:pPr>
    </w:p>
    <w:p>
      <w:pPr>
        <w:ind w:left="340" w:right="140" w:hanging="170"/>
        <w:spacing w:after="0" w:line="25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EB612 is expected to have less adverse events of hypercalcemia</w:t>
      </w:r>
      <w:r>
        <w:rPr>
          <w:rFonts w:ascii="Arial" w:cs="Arial" w:eastAsia="Arial" w:hAnsi="Arial"/>
          <w:sz w:val="18"/>
          <w:szCs w:val="18"/>
          <w:color w:val="auto"/>
        </w:rPr>
        <w:t>. Our planned treatment regimen would be increased gradually and in parallel as serum</w:t>
      </w:r>
      <w:r>
        <w:rPr>
          <w:rFonts w:ascii="Arial" w:cs="Arial" w:eastAsia="Arial" w:hAnsi="Arial"/>
          <w:sz w:val="18"/>
          <w:szCs w:val="18"/>
          <w:i w:val="1"/>
          <w:iCs w:val="1"/>
          <w:color w:val="auto"/>
        </w:rPr>
        <w:t xml:space="preserve"> </w:t>
      </w:r>
      <w:r>
        <w:rPr>
          <w:rFonts w:ascii="Arial" w:cs="Arial" w:eastAsia="Arial" w:hAnsi="Arial"/>
          <w:sz w:val="18"/>
          <w:szCs w:val="18"/>
          <w:color w:val="auto"/>
        </w:rPr>
        <w:t>calcium increases slightly. As a result, calcium and vitamin D supplements would be reduced gradually, while maintaining a relatively stable level of serum calcium. This is in contrast with Natpara’s initial high dose, which requires an immediate reduction in supplements in anticipation of a rapid increase in serum calcium levels. Furthermore, this immediate and prolonged increase in serum calcium increases risk of prolonged hypercalcemia compared to EB612.</w:t>
      </w:r>
    </w:p>
    <w:p>
      <w:pPr>
        <w:spacing w:after="0" w:line="188" w:lineRule="exact"/>
        <w:rPr>
          <w:rFonts w:ascii="Arial" w:cs="Arial" w:eastAsia="Arial" w:hAnsi="Arial"/>
          <w:sz w:val="18"/>
          <w:szCs w:val="18"/>
          <w:color w:val="auto"/>
        </w:rPr>
      </w:pPr>
    </w:p>
    <w:p>
      <w:pPr>
        <w:jc w:val="both"/>
        <w:ind w:left="340" w:right="200" w:hanging="170"/>
        <w:spacing w:after="0" w:line="264"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EB612 can be administered in a more convenient manner</w:t>
      </w:r>
      <w:r>
        <w:rPr>
          <w:rFonts w:ascii="Arial" w:cs="Arial" w:eastAsia="Arial" w:hAnsi="Arial"/>
          <w:sz w:val="18"/>
          <w:szCs w:val="18"/>
          <w:color w:val="auto"/>
        </w:rPr>
        <w:t>. Natpara must be stored under restrictive conditions (refrigeration requiring no freezing and</w:t>
      </w:r>
      <w:r>
        <w:rPr>
          <w:rFonts w:ascii="Arial" w:cs="Arial" w:eastAsia="Arial" w:hAnsi="Arial"/>
          <w:sz w:val="18"/>
          <w:szCs w:val="18"/>
          <w:i w:val="1"/>
          <w:iCs w:val="1"/>
          <w:color w:val="auto"/>
        </w:rPr>
        <w:t xml:space="preserve"> </w:t>
      </w:r>
      <w:r>
        <w:rPr>
          <w:rFonts w:ascii="Arial" w:cs="Arial" w:eastAsia="Arial" w:hAnsi="Arial"/>
          <w:sz w:val="18"/>
          <w:szCs w:val="18"/>
          <w:color w:val="auto"/>
        </w:rPr>
        <w:t>no shaking), and a multiple step preparation must be performed every two weeks. EB612 will not require such additional preparations and will have no significant storage restrictions, except potentially for refrigeration.</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EB612, if approved, could be administered several times a day in customized doses and could therefore more specifically regulate calcium and phosphate levels throughout the day without the side effects associated with a highly concentrated once-daily injection. We believe this would alleviate the symptoms of hypoparathyroidism while reducing the need for calcium and vitamin D supplements, thus also lessening the side effects of supplement treatment. As a result of its dose flexibility and the greater patient acceptance of oral formulations, we believe EB612, if approved, will address a larger segment of the hypoparathyroid population than Natpara. For these reasons, we believe that EB612, if approved, has the potential to become the standard of care for hypoparathyroidism.</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Overview of EB612</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lead product candidate, EB612, is an oral formulation of PTH (1-34). To date, no oral PTH formulation has been successfully developed because PTH, like many other hormonally active peptides, degrades rapidly in the intestinal tract when taken orally. EB612 is a synthetic form of the first 34 amino acids of human PTH to which we have applied our proprietary technology for the oral delivery of large molecule therapeutics. This technology permits oral administration, enabling more frequent dosing throughout the day and greater sensitivity and flexibility in dosing than injectable formulations of PTH. The carrier molecule and selection of protease inhibitors that are used in our technology are well-characterized and have been used in large clinical trials. We have attempted to optimize EB612 to enable the most cost effective and safe formulation while maintaining the required effect. These components, when used separately, have been shown to be safe in doses significantly higher than those used in the clinical trials for our current product candidates.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Our oral PTH (1-34) also displayed positive PK profiles and PD properties, in particular compared to commercially available injectable PTH (1-34) (Forteo).</w:t>
      </w:r>
    </w:p>
    <w:p>
      <w:pPr>
        <w:spacing w:after="0" w:line="200" w:lineRule="exact"/>
        <w:rPr>
          <w:sz w:val="20"/>
          <w:szCs w:val="20"/>
          <w:color w:val="auto"/>
        </w:rPr>
      </w:pPr>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clinical development of EB612 to date: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have conducted a Phase 1a clinical trial with multiple formulations of our oral PTH to evaluate safety and collect bioavailability, PK and PD data in 42 healthy volunteers.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conducted an extended Phase 1b clinical trial in an additional 30 subjects to test a variety of manufacturing technologies with multiple formulations, administration parameters and dosing regimens of our oral PTH.</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completed a Phase 2a trial. The end points in the trial were met, and 17 subjects completed the four-month trial and reported no confirmed related serious or significant adverse events as defined by the study protocol.</w:t>
      </w:r>
    </w:p>
    <w:p>
      <w:pPr>
        <w:spacing w:after="0" w:line="17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Throughout the above clinical trials, various formulations were evaluated to achieve an optimal formulation with minimal variability and maximal bioavailability. The various formulations were based on the same basic components and presented a similar pharmacokinetic profile. We believe that the optimal formulation is more likely to attain regulatory approval.</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believe that EB612 will have inherent advantages compared to injectable forms, including convenience of application, that no special preparation is required and that it can be stored under convenient storage conditions (room temperature or refrigeration for long term storage). Additionally, based on the results of our preliminary studies, we believe that EB612 will have an enhanced clinical profile as compared to Natpara, with an additional positive effect on elevated urinary calcium, as well as reduced side effects. If our preliminary results are borne out in additional trials, we believe this combination of advantages and long term clinical benefits will be very compelling to both patients and physicians.</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Phase 2a Clinical Trial</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2015, we successfully completed a Phase 2a clinical trial of EB612 in hypoparathyroidism patients. The end points in the trial were met, and 17 subjects completed the four-month trial and reported no related serious adverse events.</w:t>
      </w:r>
    </w:p>
    <w:p>
      <w:pPr>
        <w:spacing w:after="0" w:line="17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While we have not conducted direct head-to-head studies comparing EB612 to Natpara, based on a review of the clinical data presented in Natpara’s REPLACE study and our Phase 2a results, we believe EB612 potentially provides a more favorable therapy for hypoparathyroidism patients. Although our Phase 2a study involved a smaller number of subjects (N=17 vs. N=84 + 40 placebo), lasted for a shorter duration (four months vs. six months) and did not include an optimization period of ~2 – 16 weeks prior to treatment initiation, our results showed a greater absolute reduction in calcium supplements (1278 ±880mg vs. 1152 ±1219mg) while the patients’ albumin adjusted serum calcium increased slightly as opposed to a slight decrease in the REPLACE study (baseline vs. end of treatment). In addition, serum phosphate levels were significantly reduced into their normal range an hour after the first study drug was taken (11% reduction, p&lt;0.01), and lower serum phosphate levels were maintained for the duration of the study and until the final treatment day (14% reduction, p&lt; 0.01). Furthermore, based on our preliminary results from our Phase 2a trial, as compared to Natpara injection, we believe that EB612 may carry a lower risk of adverse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Primary endpoints:  Calcium intake reduced while serum levels were maintained or improved during Phase 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151765</wp:posOffset>
            </wp:positionV>
            <wp:extent cx="5222875" cy="26498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222875"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Secondary endpoints:  decrease in phosphate levels observed during Phase 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152400</wp:posOffset>
            </wp:positionV>
            <wp:extent cx="5385435" cy="27101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385435"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the Phase 2a trial there were no confirmed related serious or significant adverse events as defined by the study protocol. There was one unrelated serious adverse event of hypercalcemia which occurred in one patient prior to the administration of the study drug for the first time. One other subject, who withdrew from the trial in the first day, complained of multiple general symptoms including nausea and pain prior to commencing the trial and experienced four adverse events (mild nausea, moderate back pain, moderate headache and moderate upper abdominal pain). These four adverse events could not be confirmed as related following the patient’s withdrawal from the study. They were recorded as ‘possibly related.’</w:t>
      </w:r>
    </w:p>
    <w:p>
      <w:pPr>
        <w:spacing w:after="0" w:line="15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Based on consultations with key opinion leaders in the hypoparathyroidism field who have reviewed our Phase 2a results and are familiar with the REPLACE study, we are planning for a Phase 2b/3 trial, designed to possibly be a pivotal study for registration. We expect that this Phase 2b/3 study, when initiated, will be designed to replicate the REPLACE study in many aspects and to achieve a significant reduction in urinary calcium. The planned primary endpoints will be a reduction in calcium intake, reduction in active vitamin D and a serum calcium level of 7.5 – 9.5 mg/dL. A key secondary endpoint, which is relevant for the subset of patients with hypercalcemia, will be a reduction in urinary calcium. Finally, other secondary endpoints include a reduction in serum phosphate.</w:t>
      </w: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Phase 1b Clinical Trial</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order to continually improve our formulations and evaluate different manufacturing technologies, we undertook an extended Phase 1b clinical trial. This clinical trial was designed to emulate multiple Phase 1b clinical trials, in that it evaluated production methods, and multiple formulations and administration regimens of our oral PTH (1-34) for safety, bioavailability, PK and PD data. This open-label clinical trial was designed to compare our various oral formulations of PTH (1-34) to injectable PTH (1-34) in 30 healthy male volunteers. Each subject was administered a 20 μg dose of injectable PTH (1-34) during the first visit to establish a baseline for comparison.</w:t>
      </w:r>
    </w:p>
    <w:p>
      <w:pPr>
        <w:spacing w:after="0" w:line="188"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Subsequently, different formulations of our oral PTH were administered during eight to 14 successive visits, each separated by at least a 48-hour washout period. The different formulations include modifications in PTH dose (0.5mg – 3.0mg) and ratios of PTH to excipients, as well as changes in production method and administration parameters. The primary purpose of this clinical trial is to allow us to test a variety of manufacturing technologies. As a result of this clinical trial we have been able to further optimize the formulation and achieve an increased bioavailability and reduced variability. The optimized formulation and the various formulations evaluated throughout the clinical trial were all based on the same components and within a predefined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109220</wp:posOffset>
            </wp:positionV>
            <wp:extent cx="7031990" cy="23926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31990"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Formulation</w:t>
            </w: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Participants</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Cmax (pg/ml)</w:t>
            </w:r>
          </w:p>
        </w:tc>
        <w:tc>
          <w:tcPr>
            <w:tcW w:w="1580" w:type="dxa"/>
            <w:vAlign w:val="bottom"/>
            <w:gridSpan w:val="2"/>
          </w:tcPr>
          <w:p>
            <w:pPr>
              <w:ind w:left="240"/>
              <w:spacing w:after="0"/>
              <w:rPr>
                <w:sz w:val="20"/>
                <w:szCs w:val="20"/>
                <w:color w:val="auto"/>
              </w:rPr>
            </w:pPr>
            <w:r>
              <w:rPr>
                <w:rFonts w:ascii="Arial" w:cs="Arial" w:eastAsia="Arial" w:hAnsi="Arial"/>
                <w:sz w:val="18"/>
                <w:szCs w:val="18"/>
                <w:b w:val="1"/>
                <w:bCs w:val="1"/>
                <w:color w:val="auto"/>
              </w:rPr>
              <w:t>Tmax (min)</w:t>
            </w: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Coefficient of Variation (%)</w:t>
            </w:r>
          </w:p>
        </w:tc>
      </w:tr>
      <w:tr>
        <w:trPr>
          <w:trHeight w:val="210"/>
        </w:trPr>
        <w:tc>
          <w:tcPr>
            <w:tcW w:w="264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EB612 Oral PTH</w:t>
            </w:r>
          </w:p>
        </w:tc>
        <w:tc>
          <w:tcPr>
            <w:tcW w:w="24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center"/>
              <w:spacing w:after="0"/>
              <w:rPr>
                <w:sz w:val="20"/>
                <w:szCs w:val="20"/>
                <w:color w:val="auto"/>
              </w:rPr>
            </w:pPr>
            <w:r>
              <w:rPr>
                <w:rFonts w:ascii="Arial" w:cs="Arial" w:eastAsia="Arial" w:hAnsi="Arial"/>
                <w:sz w:val="18"/>
                <w:szCs w:val="18"/>
                <w:color w:val="auto"/>
                <w:w w:val="89"/>
              </w:rPr>
              <w:t>10</w:t>
            </w:r>
          </w:p>
        </w:tc>
        <w:tc>
          <w:tcPr>
            <w:tcW w:w="240" w:type="dxa"/>
            <w:vAlign w:val="bottom"/>
            <w:tcBorders>
              <w:top w:val="single" w:sz="8" w:color="D5EAEA"/>
            </w:tcBorders>
            <w:shd w:val="clear" w:color="auto" w:fill="D5EAEA"/>
          </w:tcPr>
          <w:p>
            <w:pPr>
              <w:spacing w:after="0"/>
              <w:rPr>
                <w:sz w:val="18"/>
                <w:szCs w:val="18"/>
                <w:color w:val="auto"/>
              </w:rPr>
            </w:pPr>
          </w:p>
        </w:tc>
        <w:tc>
          <w:tcPr>
            <w:tcW w:w="1500" w:type="dxa"/>
            <w:vAlign w:val="bottom"/>
            <w:tcBorders>
              <w:top w:val="single" w:sz="8" w:color="auto"/>
            </w:tcBorders>
            <w:shd w:val="clear" w:color="auto" w:fill="D5EAEA"/>
          </w:tcPr>
          <w:p>
            <w:pPr>
              <w:jc w:val="center"/>
              <w:spacing w:after="0"/>
              <w:rPr>
                <w:sz w:val="20"/>
                <w:szCs w:val="20"/>
                <w:color w:val="auto"/>
              </w:rPr>
            </w:pPr>
            <w:r>
              <w:rPr>
                <w:rFonts w:ascii="Arial" w:cs="Arial" w:eastAsia="Arial" w:hAnsi="Arial"/>
                <w:sz w:val="18"/>
                <w:szCs w:val="18"/>
                <w:color w:val="auto"/>
                <w:w w:val="91"/>
              </w:rPr>
              <w:t>235.6 ± 36</w:t>
            </w:r>
          </w:p>
        </w:tc>
        <w:tc>
          <w:tcPr>
            <w:tcW w:w="20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230"/>
              <w:spacing w:after="0"/>
              <w:rPr>
                <w:sz w:val="20"/>
                <w:szCs w:val="20"/>
                <w:color w:val="auto"/>
              </w:rPr>
            </w:pPr>
            <w:r>
              <w:rPr>
                <w:rFonts w:ascii="Arial" w:cs="Arial" w:eastAsia="Arial" w:hAnsi="Arial"/>
                <w:sz w:val="18"/>
                <w:szCs w:val="18"/>
                <w:color w:val="auto"/>
              </w:rPr>
              <w:t>16.5 ± 1.2</w:t>
            </w:r>
          </w:p>
        </w:tc>
        <w:tc>
          <w:tcPr>
            <w:tcW w:w="200" w:type="dxa"/>
            <w:vAlign w:val="bottom"/>
            <w:tcBorders>
              <w:top w:val="single" w:sz="8" w:color="D5EAEA"/>
            </w:tcBorders>
            <w:shd w:val="clear" w:color="auto" w:fill="D5EAEA"/>
          </w:tcPr>
          <w:p>
            <w:pPr>
              <w:spacing w:after="0"/>
              <w:rPr>
                <w:sz w:val="18"/>
                <w:szCs w:val="18"/>
                <w:color w:val="auto"/>
              </w:rPr>
            </w:pPr>
          </w:p>
        </w:tc>
        <w:tc>
          <w:tcPr>
            <w:tcW w:w="3540" w:type="dxa"/>
            <w:vAlign w:val="bottom"/>
            <w:tcBorders>
              <w:top w:val="single" w:sz="8" w:color="auto"/>
            </w:tcBorders>
            <w:shd w:val="clear" w:color="auto" w:fill="D5EAEA"/>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Borders>
              <w:top w:val="single" w:sz="8" w:color="D5EAEA"/>
            </w:tcBorders>
            <w:shd w:val="clear" w:color="auto" w:fill="D5EAEA"/>
          </w:tcPr>
          <w:p>
            <w:pPr>
              <w:spacing w:after="0"/>
              <w:rPr>
                <w:sz w:val="18"/>
                <w:szCs w:val="18"/>
                <w:color w:val="auto"/>
              </w:rPr>
            </w:pPr>
          </w:p>
        </w:tc>
      </w:tr>
      <w:tr>
        <w:trPr>
          <w:trHeight w:val="234"/>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Injectable PTH</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184.2 ± 26</w:t>
            </w:r>
          </w:p>
        </w:tc>
        <w:tc>
          <w:tcPr>
            <w:tcW w:w="200" w:type="dxa"/>
            <w:vAlign w:val="bottom"/>
          </w:tcPr>
          <w:p>
            <w:pPr>
              <w:spacing w:after="0"/>
              <w:rPr>
                <w:sz w:val="20"/>
                <w:szCs w:val="20"/>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16 ± 1.8</w:t>
            </w:r>
          </w:p>
        </w:tc>
        <w:tc>
          <w:tcPr>
            <w:tcW w:w="2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-294005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-294005</wp:posOffset>
            </wp:positionV>
            <wp:extent cx="1371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-294005</wp:posOffset>
            </wp:positionV>
            <wp:extent cx="1371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-294005</wp:posOffset>
            </wp:positionV>
            <wp:extent cx="15430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-294005</wp:posOffset>
            </wp:positionV>
            <wp:extent cx="15430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16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Low inter- and intra-patient variability observed in EB612 Phase 1b</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Phase 1a Clinical Trial</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Following proof-of-concept and safety studies in various animal models, we conducted a Phase 1a clinical trial to assess the safety and pharmacokinetic profile of our oral PTH. The clinical trial was designed as a three-stage study in 42 healthy volunteers. The first stage, in which 24 subjects participated, was blinded and placebo-controlled for the study drug and placebo, and open label for subcutaneous injection of PTH (1-34). In the second, dose-escalation stage, six new subjects were administered different formulations with modifications in PTH dose and ratios of PTH to excipients, with doses up to 1.5 mg. The various formulations evaluated throughout the clinical trial were all based on the same components and within a predefined range. In the third stage, the best formulation of our oral PTH, selected based on data from the second stage, was compared to placebo and subcutaneous injection of PTH (1-34) in 12 healthy subjects. The primary endpoint of the clinical trial was safety. Bioavailability was also evaluated, and in the second and third stages PK and PD data were also collected.</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clinical trial began in August 2011 and was completed in early 2013. This clinical trial was conducted over an extended period of time as multiple formulations of oral PTH (1-34) were tested. In typical Phase 1 clinical trials, one formulation is tested for safety and, perhaps, PK and PD profile. Therefore, the results from our Phase 1a clinical trial effectively represent the equivalent of nine separate Phase 1 clinical trials. By combining these nine clinical trials into one protocol, we were able to achieve significant economies of scale and time.</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No serious adverse events were reported in any of the 72 subjects participating in the Phase 1 clinical trials (including the Phase 1b clinical trial detailed above). In total across our Phase 1 clinical trials in which these 72 subjects received various oral PTH doses over 350 times, there were 11 expected, transient and minor drug-related adverse events associated with oral PTH administration. In our Phase 1b trial, there were minor drug-related adverse events such as minor hypercalcemia in two subjects, minor tachycardia in three subjects, headache in two subjects and hypothermia in one subject. There were also two possibly related mild adverse events in our Phase 1a trial: anemia in one subject and nausea in one subject. In addition, one subject in the Phase 1a trial experienced a drug-related musculoskeletal and connective tissue event of knee cramps.</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PK and PD data indicated that our oral PTH (1-34) can successfully mimic injectable PTH (1-34)’s peak serum concentration levels after drug administration and prior to the administration of a second dose, or Cmax, as well as time to maximal concentration, or Tmax. The PK profile of the absorbed PTH (1-34) was characterized by a sharp increase in concentration, forming a peak concentration within 60 minutes post-drug administration, followed by a rapid decrease, which leads to the anabolic, or bone-building effect of PTH. In the optimized formulations the average Cmax achieved by our oral PTH (1-34) was similar to the Cmax following the subcutaneous injection of the commercial PTH (1-34) or greater. There was a significant inter-patient and intra-patient variability, which is believed to be associated with the variability of the gastric state of the volunteers and on the various treatment visit days. In later visits of the clinical trial we were able to decrease the variability through optimization of our formulation.</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Analysis of the PD profile of our oral PTH (1-34) indicated that a biomarker of PTH activity, cyclic AMP, was activated in a similar manner to that of injectable PTH (1-34) Furthermore, analysis of serum calcium indicated that an increase can be obtained by a single dose of our oral PTH (1-34) as indicated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124460</wp:posOffset>
            </wp:positionV>
            <wp:extent cx="4622165" cy="23323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622165"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i w:val="1"/>
          <w:iCs w:val="1"/>
          <w:color w:val="auto"/>
        </w:rPr>
        <w:t>Change in serum concentrations of albumin corrected calcium (green line) and the plasma concentrations of PTH (1-34) (blue line) following the administration of oral PTH (1-34) (0.75mg) in ten healthy volunteers.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data effectively show that oral PTH (1-34) reaches the circulation, remains intact and has biological potency similar to that observed with injectable PTH (1-34). At present, we estimate that there are at least four million patient years’ experience with injectable PTH (1-34). We believe that reaching a similar peak plasma concentration and PD profile as with the injectable PTH (1-34) significantly decreases the risk that our oral PTH (1-34) will not have the desired clinical effect.</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graph below shows a linear dose/response relationship of oral PTH. An increase in absorption variability was observed with the dose increase in Phase 1 studies.</w:t>
      </w:r>
    </w:p>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212090</wp:posOffset>
            </wp:positionV>
            <wp:extent cx="4313555" cy="25984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3555" cy="259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Dose — response relationship of oral PTH (1-34) in healthy volunteers.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then focused our efforts, along with the increase in bioavailability, on the reduction of the variability. An optimized formulation showed an approximately three-fold increase in bioavailability (from 0.5% to about 1.5%) and two-fold decrease in variability of the maximal plasma levels of PTH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87630</wp:posOffset>
            </wp:positionV>
            <wp:extent cx="4356735" cy="22726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356735"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Optimization of oral PTH (1-34) product. A fixed dose of 1.5mg was administered using different formulations (N= 9-10). Along with the significant increase in bioavailability (blue bars) the variability (green line) of the maximal plasma levels was markedly decreased.</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Preclinical and Clinical Development of EB612</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preclinical, Phase 1 and Phase 2 clinical development, EB612 exhibited no serious related adverse events and displayed compelling PK and PD properties, in particular compared to commercially available injectable PTH (1-84) Natpara and PTH (1-34) (Forteo). There were no related serious or significant adverse events reported in earlier trials; however, in our Phase 2a trial, there was one unrelated serious adverse event of hypercalcemia which occurred in one patient prior to the administration of the study drug for the first time. There was also one unrelated serious adverse event of hypercalcemia which occurred in one patient prior to the administration of the study drug for the first time. One subject in the Phase 2a trial, who withdrew from the trial after the first day, complained of multiple general symptoms including nausea and pain prior to commencing the trial and experienced four adverse events (mild nausea, moderate back pain, moderate headache and moderate upper abdominal pain) on the first day. These four adverse events could not be confirmed as related following the patient’s withdrawal from the study. They were recorded as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‘possibly related.’ In our Phase 1b trial there were minor drug related adverse events such as minor hypercalcemia in two subjects, minor tachycardia in three subjects, headache in two subjects and hypothermia in one subject. There were also two possibly related mild adverse events in our Phase 1a trial: anemia in one subject and nausea in one subject. We believe these two adverse events were likely unrelated. For example, the anemia event occurred 12 days after a placebo treatment. In addition, one subject in the Phase 1a trial experienced a drug related musculoskeletal and connective tissue event of knee cramps. We have refined our formulation of EB612 and tested the new formulation in a Phase 2a clinical trial in hypoparathyroid patients. In a triple cohort Phase 1b study, we continued to further optimize our production methods and formulation of EB612 following the Phase 2a and in anticipation of a larger Phase 2b that we expect will result in further improvements and reduction in the variability. These improvements were based on the same basic components and present a similar pharmacokinetic profile. We believe that the optimal formulation is more likely to attain regulatory approval. Once EB612 enters a Phase 2b/3 clinical trial, no further optimization would be done.</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Planned Additional Clinical Development and Regulatory Pathway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our regulatory pathway to conducting the Phase 2b/3 and based on initial feedback from the FDA and regulatory consultants, we intend to conduct a short PK/PD study comparing various dose regimens with Natpara. This PK/PD study will include 16 to 20 hypoparathyroidism patients for a treatment and monitoring duration of around 60 hours per treatment arm. This study is designed to provide a bridge from our completed Phase 2a trial, which was conducted prior to the marketing approval of Natpara and our planned Phase 2b/3 study and will allow us to better understand the relative strength and dose of our product as compared to the marketed product, Natpara. This study may also provide valuable “head to head” data that will further inform our Phase 2b/3 study design. The relevant endpoints for the PK/PD study will include levels of PTH (1-34), PTH (1-84) (Natpara), serum calcium, serum phosphate, urinary calcium and urinary phosphate.</w:t>
      </w:r>
    </w:p>
    <w:p>
      <w:pPr>
        <w:spacing w:after="0" w:line="189"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 April 2014, we received orphan drug designation from the FDA for our oral PTH in hypoparathyroidism. If a product receives the first FDA approval for the indication for which it has orphan designation, the product is entitled to orphan drug exclusivity, which means that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January 2015, the FDA approved Natpara, an injectable form of PTH, for hypoparathyroidism, and awarded Natpara orphan drug exclusivity until January 23, 2022. While Natpara has orphan drug exclusivity for hypoparathyroidism, we believe that we will be able to demonstrate that our oral formulation of PTH is clinically superior to Natpara in that it demonstrates greater effectiveness or safety than Natpara or that it otherwise makes a major contribution to patient care. Therefore, we believe that Natpara’s orphan drug exclusivity will not prevent the FDA from approving our BLA for EB612 prior to the expiration of Natpara’s exclusivity period. In June 2016, we received approval from the European Commission granting orphan status to our oral PTH in Europe.</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EB613 for Osteoporosis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Osteoporosis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also developing an additional oral PTH program, EB613, for the treatment of osteoporosis. Osteoporosis is a systemic skeletal disease characterized by low bone mass, deterioration of bone tissue and increased bone fragility and susceptibility to fracture. It most commonly affects older populations, primarily postmenopausal women. All bones are subject to an ongoing process of formation and degradation, whereby bone tissue is removed from the skeleton and new bone tissue is formed. Two main types of cells are responsible for this process: osteoclasts, which break down bone tissue, and osteoblasts, which secrete new bone tissue. Osteoporosis develops as the delicate balance between bone resorption by osteoclasts and bone formation by osteoblasts is not maintained, and not enough bone tissue is formed, leading to frail and fracture-prone bones. These weak and brittle bones become susceptible to fractures caused by fall, mild stress or even a cough. The condition can even be fatal, as 25% of those who fracture a hip will die within six months of injury.</w:t>
      </w:r>
    </w:p>
    <w:p>
      <w:pPr>
        <w:spacing w:after="0" w:line="16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Osteoporosis often leads to loss of mobility, admission to nursing homes and dependence on caregivers. These debilitating effects of osteoporosis have substantial costs. The prevalence of osteoporosis is growing and, according to the National Osteoporosis Foundation, or NOF, is significantly under-recognized and under-treated in the population. While the aging of the population is a primary driver of an increase in cases, osteoporosis is also increasing from the use of drugs that induce bone loss, such as chronic use of glucocorticoids and aromatase inhibitors that are increasingly used for breast cancer and the hormone therapies used for prostate cancer.</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NOF has estimated that 10 million people in the United States already have osteoporosis, and another approximately 43 million have low bone mass placing them at increased risk for osteoporosis. In addition, the NOF has estimated that osteoporosis is</w:t>
      </w:r>
    </w:p>
    <w:p>
      <w:pPr>
        <w:spacing w:after="0" w:line="200" w:lineRule="exact"/>
        <w:rPr>
          <w:sz w:val="20"/>
          <w:szCs w:val="20"/>
          <w:color w:val="auto"/>
        </w:rPr>
      </w:pP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responsible for more than two million fractures in the United States each year resulting in an estimated $19 billion in costs annually. The NOF expects that the number of fractures in the United States due to osteoporosis will rise to three million by 2025, resulting in an estimated $25.3 billion in costs each year. Worldwide, osteoporosis affects an estimated 200 million women according to the International Osteoporosis Foundation, or IOF, and causes more than 8.9 million fractures annually, which is equivalent to an osteoporotic fracture occurring approximately every three seconds. The IOF has estimated that</w:t>
      </w:r>
    </w:p>
    <w:p>
      <w:pPr>
        <w:spacing w:after="0" w:line="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1.6 million hip fractures occur worldwide each year, and by 2050 this number could reach between 4.5 million and 6.3 million. The IOF estimates that in Europe alone, the annual cost of osteoporotic fractures could surpass €76 billion by 2050.</w:t>
      </w:r>
    </w:p>
    <w:p>
      <w:pPr>
        <w:spacing w:after="0" w:line="18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goal of pharmacological treatment of osteoporosis is to maintain or increase bone strength, to prevent factures throughout the patient’s life and to minimize osteoporosis-related morbidity and mortality by reducing the risk of fracture. Current treatments for osteoporosis generally fall into two categories: antiresorptive medications to slow bone loss and anabolic medications to increase the rate of bone formation. The global osteoporosis drug market was dominated for many years by bisphosphonates, which slow bone loss, although bisphosphonates’ market share has declined over recent years due to the occurrence of serious side effects, as well as the introduction of newly developed pharmacological treatments.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primary current treatments for osteoporosis are summarized in the table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Branded</w:t>
            </w:r>
          </w:p>
        </w:tc>
      </w:tr>
      <w:tr>
        <w:trPr>
          <w:trHeight w:val="216"/>
        </w:trPr>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ind w:left="620"/>
              <w:spacing w:after="0"/>
              <w:rPr>
                <w:sz w:val="20"/>
                <w:szCs w:val="20"/>
                <w:color w:val="auto"/>
              </w:rPr>
            </w:pPr>
            <w:r>
              <w:rPr>
                <w:rFonts w:ascii="Arial" w:cs="Arial" w:eastAsia="Arial" w:hAnsi="Arial"/>
                <w:sz w:val="18"/>
                <w:szCs w:val="18"/>
                <w:b w:val="1"/>
                <w:bCs w:val="1"/>
                <w:color w:val="auto"/>
              </w:rPr>
              <w:t>Name</w:t>
            </w: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Sales</w:t>
            </w:r>
          </w:p>
        </w:tc>
      </w:tr>
      <w:tr>
        <w:trPr>
          <w:trHeight w:val="234"/>
        </w:trPr>
        <w:tc>
          <w:tcPr>
            <w:tcW w:w="2280" w:type="dxa"/>
            <w:vAlign w:val="bottom"/>
            <w:gridSpan w:val="2"/>
          </w:tcPr>
          <w:p>
            <w:pPr>
              <w:ind w:left="40"/>
              <w:spacing w:after="0"/>
              <w:rPr>
                <w:sz w:val="20"/>
                <w:szCs w:val="20"/>
                <w:color w:val="auto"/>
              </w:rPr>
            </w:pPr>
            <w:r>
              <w:rPr>
                <w:rFonts w:ascii="Arial" w:cs="Arial" w:eastAsia="Arial" w:hAnsi="Arial"/>
                <w:sz w:val="18"/>
                <w:szCs w:val="18"/>
                <w:b w:val="1"/>
                <w:bCs w:val="1"/>
                <w:color w:val="auto"/>
              </w:rPr>
              <w:t>Class of Drug</w:t>
            </w:r>
          </w:p>
        </w:tc>
        <w:tc>
          <w:tcPr>
            <w:tcW w:w="19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(Producer)</w:t>
            </w:r>
          </w:p>
        </w:tc>
        <w:tc>
          <w:tcPr>
            <w:tcW w:w="2520" w:type="dxa"/>
            <w:vAlign w:val="bottom"/>
            <w:gridSpan w:val="2"/>
          </w:tcPr>
          <w:p>
            <w:pPr>
              <w:ind w:left="460"/>
              <w:spacing w:after="0"/>
              <w:rPr>
                <w:sz w:val="20"/>
                <w:szCs w:val="20"/>
                <w:color w:val="auto"/>
              </w:rPr>
            </w:pPr>
            <w:r>
              <w:rPr>
                <w:rFonts w:ascii="Arial" w:cs="Arial" w:eastAsia="Arial" w:hAnsi="Arial"/>
                <w:sz w:val="18"/>
                <w:szCs w:val="18"/>
                <w:b w:val="1"/>
                <w:bCs w:val="1"/>
                <w:color w:val="auto"/>
              </w:rPr>
              <w:t>Method of Action</w:t>
            </w:r>
          </w:p>
        </w:tc>
        <w:tc>
          <w:tcPr>
            <w:tcW w:w="3200" w:type="dxa"/>
            <w:vAlign w:val="bottom"/>
            <w:gridSpan w:val="2"/>
          </w:tcPr>
          <w:p>
            <w:pPr>
              <w:ind w:left="720"/>
              <w:spacing w:after="0"/>
              <w:rPr>
                <w:sz w:val="20"/>
                <w:szCs w:val="20"/>
                <w:color w:val="auto"/>
              </w:rPr>
            </w:pPr>
            <w:r>
              <w:rPr>
                <w:rFonts w:ascii="Arial" w:cs="Arial" w:eastAsia="Arial" w:hAnsi="Arial"/>
                <w:sz w:val="18"/>
                <w:szCs w:val="18"/>
                <w:b w:val="1"/>
                <w:bCs w:val="1"/>
                <w:color w:val="auto"/>
              </w:rPr>
              <w:t>Known Side Effects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 millions)</w:t>
            </w:r>
          </w:p>
        </w:tc>
      </w:tr>
      <w:tr>
        <w:trPr>
          <w:trHeight w:val="27"/>
        </w:trPr>
        <w:tc>
          <w:tcPr>
            <w:tcW w:w="2040" w:type="dxa"/>
            <w:vAlign w:val="bottom"/>
            <w:tcBorders>
              <w:bottom w:val="single" w:sz="8" w:color="auto"/>
            </w:tcBorders>
          </w:tcPr>
          <w:p>
            <w:pPr>
              <w:spacing w:after="0"/>
              <w:rPr>
                <w:sz w:val="2"/>
                <w:szCs w:val="2"/>
                <w:color w:val="auto"/>
              </w:rPr>
            </w:pPr>
          </w:p>
        </w:tc>
        <w:tc>
          <w:tcPr>
            <w:tcW w:w="240" w:type="dxa"/>
            <w:vAlign w:val="bottom"/>
            <w:tcBorders>
              <w:bottom w:val="single" w:sz="8" w:color="D5EAEA"/>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D5EAEA"/>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40" w:type="dxa"/>
            <w:vAlign w:val="bottom"/>
            <w:tcBorders>
              <w:bottom w:val="single" w:sz="8" w:color="D5EAEA"/>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240" w:type="dxa"/>
            <w:vAlign w:val="bottom"/>
            <w:tcBorders>
              <w:bottom w:val="single" w:sz="8" w:color="D5EAEA"/>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D5EAEA"/>
            </w:tcBorders>
          </w:tcPr>
          <w:p>
            <w:pPr>
              <w:spacing w:after="0"/>
              <w:rPr>
                <w:sz w:val="2"/>
                <w:szCs w:val="2"/>
                <w:color w:val="auto"/>
              </w:rPr>
            </w:pPr>
          </w:p>
        </w:tc>
      </w:tr>
      <w:tr>
        <w:trPr>
          <w:trHeight w:val="222"/>
        </w:trPr>
        <w:tc>
          <w:tcPr>
            <w:tcW w:w="2280" w:type="dxa"/>
            <w:vAlign w:val="bottom"/>
            <w:gridSpan w:val="2"/>
            <w:shd w:val="clear" w:color="auto" w:fill="D5EAEA"/>
          </w:tcPr>
          <w:p>
            <w:pPr>
              <w:ind w:left="40"/>
              <w:spacing w:after="0"/>
              <w:rPr>
                <w:sz w:val="20"/>
                <w:szCs w:val="20"/>
                <w:color w:val="auto"/>
              </w:rPr>
            </w:pPr>
            <w:r>
              <w:rPr>
                <w:rFonts w:ascii="Arial" w:cs="Arial" w:eastAsia="Arial" w:hAnsi="Arial"/>
                <w:sz w:val="18"/>
                <w:szCs w:val="18"/>
                <w:color w:val="auto"/>
              </w:rPr>
              <w:t>Injectable PTH</w:t>
            </w:r>
          </w:p>
        </w:tc>
        <w:tc>
          <w:tcPr>
            <w:tcW w:w="1940" w:type="dxa"/>
            <w:vAlign w:val="bottom"/>
            <w:gridSpan w:val="2"/>
            <w:shd w:val="clear" w:color="auto" w:fill="D5EAEA"/>
          </w:tcPr>
          <w:p>
            <w:pPr>
              <w:jc w:val="right"/>
              <w:ind w:right="660"/>
              <w:spacing w:after="0"/>
              <w:rPr>
                <w:sz w:val="20"/>
                <w:szCs w:val="20"/>
                <w:color w:val="auto"/>
              </w:rPr>
            </w:pPr>
            <w:r>
              <w:rPr>
                <w:rFonts w:ascii="Arial" w:cs="Arial" w:eastAsia="Arial" w:hAnsi="Arial"/>
                <w:sz w:val="18"/>
                <w:szCs w:val="18"/>
                <w:color w:val="auto"/>
              </w:rPr>
              <w:t>Forteo (Eli Lilly)</w:t>
            </w:r>
          </w:p>
        </w:tc>
        <w:tc>
          <w:tcPr>
            <w:tcW w:w="2520" w:type="dxa"/>
            <w:vAlign w:val="bottom"/>
            <w:gridSpan w:val="2"/>
            <w:shd w:val="clear" w:color="auto" w:fill="D5EAEA"/>
          </w:tcPr>
          <w:p>
            <w:pPr>
              <w:ind w:left="40"/>
              <w:spacing w:after="0"/>
              <w:rPr>
                <w:sz w:val="20"/>
                <w:szCs w:val="20"/>
                <w:color w:val="auto"/>
              </w:rPr>
            </w:pPr>
            <w:r>
              <w:rPr>
                <w:rFonts w:ascii="Arial" w:cs="Arial" w:eastAsia="Arial" w:hAnsi="Arial"/>
                <w:sz w:val="18"/>
                <w:szCs w:val="18"/>
                <w:color w:val="auto"/>
              </w:rPr>
              <w:t>Increases bone mineral</w:t>
            </w:r>
          </w:p>
        </w:tc>
        <w:tc>
          <w:tcPr>
            <w:tcW w:w="3200" w:type="dxa"/>
            <w:vAlign w:val="bottom"/>
            <w:gridSpan w:val="2"/>
            <w:shd w:val="clear" w:color="auto" w:fill="D5EAEA"/>
          </w:tcPr>
          <w:p>
            <w:pPr>
              <w:ind w:left="20"/>
              <w:spacing w:after="0"/>
              <w:rPr>
                <w:sz w:val="20"/>
                <w:szCs w:val="20"/>
                <w:color w:val="auto"/>
              </w:rPr>
            </w:pPr>
            <w:r>
              <w:rPr>
                <w:rFonts w:ascii="Arial" w:cs="Arial" w:eastAsia="Arial" w:hAnsi="Arial"/>
                <w:sz w:val="18"/>
                <w:szCs w:val="18"/>
                <w:color w:val="auto"/>
                <w:w w:val="99"/>
              </w:rPr>
              <w:t>Decrease in blood pressure, increase in</w:t>
            </w:r>
          </w:p>
        </w:tc>
        <w:tc>
          <w:tcPr>
            <w:tcW w:w="1360" w:type="dxa"/>
            <w:vAlign w:val="bottom"/>
            <w:shd w:val="clear" w:color="auto" w:fill="D5EAEA"/>
          </w:tcPr>
          <w:p>
            <w:pPr>
              <w:jc w:val="right"/>
              <w:ind w:right="35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D5EAEA"/>
          </w:tcPr>
          <w:p>
            <w:pPr>
              <w:spacing w:after="0"/>
              <w:rPr>
                <w:sz w:val="19"/>
                <w:szCs w:val="19"/>
                <w:color w:val="auto"/>
              </w:rPr>
            </w:pPr>
          </w:p>
        </w:tc>
      </w:tr>
      <w:tr>
        <w:trPr>
          <w:trHeight w:val="216"/>
        </w:trPr>
        <w:tc>
          <w:tcPr>
            <w:tcW w:w="204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170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2520" w:type="dxa"/>
            <w:vAlign w:val="bottom"/>
            <w:gridSpan w:val="2"/>
            <w:shd w:val="clear" w:color="auto" w:fill="D5EAEA"/>
          </w:tcPr>
          <w:p>
            <w:pPr>
              <w:ind w:left="40"/>
              <w:spacing w:after="0"/>
              <w:rPr>
                <w:sz w:val="20"/>
                <w:szCs w:val="20"/>
                <w:color w:val="auto"/>
              </w:rPr>
            </w:pPr>
            <w:r>
              <w:rPr>
                <w:rFonts w:ascii="Arial" w:cs="Arial" w:eastAsia="Arial" w:hAnsi="Arial"/>
                <w:sz w:val="18"/>
                <w:szCs w:val="18"/>
                <w:color w:val="auto"/>
              </w:rPr>
              <w:t>density by inhibiting the</w:t>
            </w:r>
          </w:p>
        </w:tc>
        <w:tc>
          <w:tcPr>
            <w:tcW w:w="3200" w:type="dxa"/>
            <w:vAlign w:val="bottom"/>
            <w:gridSpan w:val="2"/>
            <w:shd w:val="clear" w:color="auto" w:fill="D5EAEA"/>
          </w:tcPr>
          <w:p>
            <w:pPr>
              <w:ind w:left="20"/>
              <w:spacing w:after="0"/>
              <w:rPr>
                <w:sz w:val="20"/>
                <w:szCs w:val="20"/>
                <w:color w:val="auto"/>
              </w:rPr>
            </w:pPr>
            <w:r>
              <w:rPr>
                <w:rFonts w:ascii="Arial" w:cs="Arial" w:eastAsia="Arial" w:hAnsi="Arial"/>
                <w:sz w:val="18"/>
                <w:szCs w:val="18"/>
                <w:color w:val="auto"/>
              </w:rPr>
              <w:t>serum calcium in the blood; nausea,</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r>
      <w:tr>
        <w:trPr>
          <w:trHeight w:val="216"/>
        </w:trPr>
        <w:tc>
          <w:tcPr>
            <w:tcW w:w="204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170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2520" w:type="dxa"/>
            <w:vAlign w:val="bottom"/>
            <w:gridSpan w:val="2"/>
            <w:shd w:val="clear" w:color="auto" w:fill="D5EAEA"/>
          </w:tcPr>
          <w:p>
            <w:pPr>
              <w:ind w:left="40"/>
              <w:spacing w:after="0"/>
              <w:rPr>
                <w:sz w:val="20"/>
                <w:szCs w:val="20"/>
                <w:color w:val="auto"/>
              </w:rPr>
            </w:pPr>
            <w:r>
              <w:rPr>
                <w:rFonts w:ascii="Arial" w:cs="Arial" w:eastAsia="Arial" w:hAnsi="Arial"/>
                <w:sz w:val="18"/>
                <w:szCs w:val="18"/>
                <w:color w:val="auto"/>
              </w:rPr>
              <w:t>resorption of bone, promotes</w:t>
            </w:r>
          </w:p>
        </w:tc>
        <w:tc>
          <w:tcPr>
            <w:tcW w:w="3200" w:type="dxa"/>
            <w:vAlign w:val="bottom"/>
            <w:gridSpan w:val="2"/>
            <w:shd w:val="clear" w:color="auto" w:fill="D5EAEA"/>
          </w:tcPr>
          <w:p>
            <w:pPr>
              <w:ind w:left="20"/>
              <w:spacing w:after="0"/>
              <w:rPr>
                <w:sz w:val="20"/>
                <w:szCs w:val="20"/>
                <w:color w:val="auto"/>
              </w:rPr>
            </w:pPr>
            <w:r>
              <w:rPr>
                <w:rFonts w:ascii="Arial" w:cs="Arial" w:eastAsia="Arial" w:hAnsi="Arial"/>
                <w:sz w:val="18"/>
                <w:szCs w:val="18"/>
                <w:color w:val="auto"/>
              </w:rPr>
              <w:t>joint aches, pain, leg cramps, injection</w:t>
            </w:r>
          </w:p>
        </w:tc>
        <w:tc>
          <w:tcPr>
            <w:tcW w:w="13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r>
      <w:tr>
        <w:trPr>
          <w:trHeight w:val="230"/>
        </w:trPr>
        <w:tc>
          <w:tcPr>
            <w:tcW w:w="2040" w:type="dxa"/>
            <w:vAlign w:val="bottom"/>
            <w:shd w:val="clear" w:color="auto" w:fill="D5EAEA"/>
          </w:tcPr>
          <w:p>
            <w:pPr>
              <w:spacing w:after="0"/>
              <w:rPr>
                <w:sz w:val="20"/>
                <w:szCs w:val="20"/>
                <w:color w:val="auto"/>
              </w:rPr>
            </w:pPr>
          </w:p>
        </w:tc>
        <w:tc>
          <w:tcPr>
            <w:tcW w:w="240" w:type="dxa"/>
            <w:vAlign w:val="bottom"/>
            <w:shd w:val="clear" w:color="auto" w:fill="D5EAEA"/>
          </w:tcPr>
          <w:p>
            <w:pPr>
              <w:spacing w:after="0"/>
              <w:rPr>
                <w:sz w:val="20"/>
                <w:szCs w:val="20"/>
                <w:color w:val="auto"/>
              </w:rPr>
            </w:pPr>
          </w:p>
        </w:tc>
        <w:tc>
          <w:tcPr>
            <w:tcW w:w="1700" w:type="dxa"/>
            <w:vAlign w:val="bottom"/>
            <w:shd w:val="clear" w:color="auto" w:fill="D5EAEA"/>
          </w:tcPr>
          <w:p>
            <w:pPr>
              <w:spacing w:after="0"/>
              <w:rPr>
                <w:sz w:val="20"/>
                <w:szCs w:val="20"/>
                <w:color w:val="auto"/>
              </w:rPr>
            </w:pPr>
          </w:p>
        </w:tc>
        <w:tc>
          <w:tcPr>
            <w:tcW w:w="240" w:type="dxa"/>
            <w:vAlign w:val="bottom"/>
            <w:shd w:val="clear" w:color="auto" w:fill="D5EAEA"/>
          </w:tcPr>
          <w:p>
            <w:pPr>
              <w:spacing w:after="0"/>
              <w:rPr>
                <w:sz w:val="20"/>
                <w:szCs w:val="20"/>
                <w:color w:val="auto"/>
              </w:rPr>
            </w:pPr>
          </w:p>
        </w:tc>
        <w:tc>
          <w:tcPr>
            <w:tcW w:w="2520" w:type="dxa"/>
            <w:vAlign w:val="bottom"/>
            <w:gridSpan w:val="2"/>
            <w:shd w:val="clear" w:color="auto" w:fill="D5EAEA"/>
          </w:tcPr>
          <w:p>
            <w:pPr>
              <w:ind w:left="40"/>
              <w:spacing w:after="0"/>
              <w:rPr>
                <w:sz w:val="20"/>
                <w:szCs w:val="20"/>
                <w:color w:val="auto"/>
              </w:rPr>
            </w:pPr>
            <w:r>
              <w:rPr>
                <w:rFonts w:ascii="Arial" w:cs="Arial" w:eastAsia="Arial" w:hAnsi="Arial"/>
                <w:sz w:val="18"/>
                <w:szCs w:val="18"/>
                <w:color w:val="auto"/>
              </w:rPr>
              <w:t>new bone formation</w:t>
            </w:r>
          </w:p>
        </w:tc>
        <w:tc>
          <w:tcPr>
            <w:tcW w:w="3200" w:type="dxa"/>
            <w:vAlign w:val="bottom"/>
            <w:gridSpan w:val="2"/>
            <w:shd w:val="clear" w:color="auto" w:fill="D5EAEA"/>
          </w:tcPr>
          <w:p>
            <w:pPr>
              <w:ind w:left="20"/>
              <w:spacing w:after="0"/>
              <w:rPr>
                <w:sz w:val="20"/>
                <w:szCs w:val="20"/>
                <w:color w:val="auto"/>
              </w:rPr>
            </w:pPr>
            <w:r>
              <w:rPr>
                <w:rFonts w:ascii="Arial" w:cs="Arial" w:eastAsia="Arial" w:hAnsi="Arial"/>
                <w:sz w:val="18"/>
                <w:szCs w:val="18"/>
                <w:color w:val="auto"/>
              </w:rPr>
              <w:t>site reactions</w:t>
            </w:r>
          </w:p>
        </w:tc>
        <w:tc>
          <w:tcPr>
            <w:tcW w:w="136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r>
      <w:tr>
        <w:trPr>
          <w:trHeight w:val="27"/>
        </w:trPr>
        <w:tc>
          <w:tcPr>
            <w:tcW w:w="2040" w:type="dxa"/>
            <w:vAlign w:val="bottom"/>
            <w:shd w:val="clear" w:color="auto" w:fill="D5EAEA"/>
          </w:tcPr>
          <w:p>
            <w:pPr>
              <w:spacing w:after="0"/>
              <w:rPr>
                <w:sz w:val="2"/>
                <w:szCs w:val="2"/>
                <w:color w:val="auto"/>
              </w:rPr>
            </w:pPr>
          </w:p>
        </w:tc>
        <w:tc>
          <w:tcPr>
            <w:tcW w:w="240" w:type="dxa"/>
            <w:vAlign w:val="bottom"/>
            <w:shd w:val="clear" w:color="auto" w:fill="D5EAEA"/>
          </w:tcPr>
          <w:p>
            <w:pPr>
              <w:spacing w:after="0"/>
              <w:rPr>
                <w:sz w:val="2"/>
                <w:szCs w:val="2"/>
                <w:color w:val="auto"/>
              </w:rPr>
            </w:pPr>
          </w:p>
        </w:tc>
        <w:tc>
          <w:tcPr>
            <w:tcW w:w="1700" w:type="dxa"/>
            <w:vAlign w:val="bottom"/>
            <w:shd w:val="clear" w:color="auto" w:fill="D5EAEA"/>
          </w:tcPr>
          <w:p>
            <w:pPr>
              <w:spacing w:after="0"/>
              <w:rPr>
                <w:sz w:val="2"/>
                <w:szCs w:val="2"/>
                <w:color w:val="auto"/>
              </w:rPr>
            </w:pPr>
          </w:p>
        </w:tc>
        <w:tc>
          <w:tcPr>
            <w:tcW w:w="240" w:type="dxa"/>
            <w:vAlign w:val="bottom"/>
            <w:shd w:val="clear" w:color="auto" w:fill="D5EAEA"/>
          </w:tcPr>
          <w:p>
            <w:pPr>
              <w:spacing w:after="0"/>
              <w:rPr>
                <w:sz w:val="2"/>
                <w:szCs w:val="2"/>
                <w:color w:val="auto"/>
              </w:rPr>
            </w:pPr>
          </w:p>
        </w:tc>
        <w:tc>
          <w:tcPr>
            <w:tcW w:w="2280" w:type="dxa"/>
            <w:vAlign w:val="bottom"/>
            <w:shd w:val="clear" w:color="auto" w:fill="D5EAEA"/>
          </w:tcPr>
          <w:p>
            <w:pPr>
              <w:spacing w:after="0"/>
              <w:rPr>
                <w:sz w:val="2"/>
                <w:szCs w:val="2"/>
                <w:color w:val="auto"/>
              </w:rPr>
            </w:pPr>
          </w:p>
        </w:tc>
        <w:tc>
          <w:tcPr>
            <w:tcW w:w="240" w:type="dxa"/>
            <w:vAlign w:val="bottom"/>
            <w:shd w:val="clear" w:color="auto" w:fill="D5EAEA"/>
          </w:tcPr>
          <w:p>
            <w:pPr>
              <w:spacing w:after="0"/>
              <w:rPr>
                <w:sz w:val="2"/>
                <w:szCs w:val="2"/>
                <w:color w:val="auto"/>
              </w:rPr>
            </w:pPr>
          </w:p>
        </w:tc>
        <w:tc>
          <w:tcPr>
            <w:tcW w:w="2960" w:type="dxa"/>
            <w:vAlign w:val="bottom"/>
            <w:shd w:val="clear" w:color="auto" w:fill="D5EAEA"/>
          </w:tcPr>
          <w:p>
            <w:pPr>
              <w:spacing w:after="0"/>
              <w:rPr>
                <w:sz w:val="2"/>
                <w:szCs w:val="2"/>
                <w:color w:val="auto"/>
              </w:rPr>
            </w:pPr>
          </w:p>
        </w:tc>
        <w:tc>
          <w:tcPr>
            <w:tcW w:w="240" w:type="dxa"/>
            <w:vAlign w:val="bottom"/>
            <w:shd w:val="clear" w:color="auto" w:fill="D5EAEA"/>
          </w:tcPr>
          <w:p>
            <w:pPr>
              <w:spacing w:after="0"/>
              <w:rPr>
                <w:sz w:val="2"/>
                <w:szCs w:val="2"/>
                <w:color w:val="auto"/>
              </w:rPr>
            </w:pPr>
          </w:p>
        </w:tc>
        <w:tc>
          <w:tcPr>
            <w:tcW w:w="1360" w:type="dxa"/>
            <w:vAlign w:val="bottom"/>
            <w:shd w:val="clear" w:color="auto" w:fill="D5EAEA"/>
          </w:tcPr>
          <w:p>
            <w:pPr>
              <w:spacing w:after="0"/>
              <w:rPr>
                <w:sz w:val="2"/>
                <w:szCs w:val="2"/>
                <w:color w:val="auto"/>
              </w:rPr>
            </w:pPr>
          </w:p>
        </w:tc>
        <w:tc>
          <w:tcPr>
            <w:tcW w:w="120" w:type="dxa"/>
            <w:vAlign w:val="bottom"/>
            <w:shd w:val="clear" w:color="auto" w:fill="D5EAEA"/>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7174230</wp:posOffset>
            </wp:positionH>
            <wp:positionV relativeFrom="paragraph">
              <wp:posOffset>-591185</wp:posOffset>
            </wp:positionV>
            <wp:extent cx="77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6153785</wp:posOffset>
            </wp:positionH>
            <wp:positionV relativeFrom="paragraph">
              <wp:posOffset>-591185</wp:posOffset>
            </wp:positionV>
            <wp:extent cx="15430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-591185</wp:posOffset>
            </wp:positionV>
            <wp:extent cx="15430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-591185</wp:posOffset>
            </wp:positionV>
            <wp:extent cx="15430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-591185</wp:posOffset>
            </wp:positionV>
            <wp:extent cx="15430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p>
      <w:pPr>
        <w:spacing w:after="0" w:line="13" w:lineRule="exact"/>
        <w:rPr>
          <w:sz w:val="20"/>
          <w:szCs w:val="20"/>
          <w:color w:val="auto"/>
        </w:rPr>
      </w:pPr>
    </w:p>
    <w:p>
      <w:pPr>
        <w:ind w:left="40"/>
        <w:spacing w:after="0"/>
        <w:tabs>
          <w:tab w:leader="none" w:pos="2300" w:val="left"/>
          <w:tab w:leader="none" w:pos="4240" w:val="left"/>
        </w:tabs>
        <w:rPr>
          <w:sz w:val="20"/>
          <w:szCs w:val="20"/>
          <w:color w:val="auto"/>
        </w:rPr>
      </w:pPr>
      <w:r>
        <w:rPr>
          <w:rFonts w:ascii="Arial" w:cs="Arial" w:eastAsia="Arial" w:hAnsi="Arial"/>
          <w:sz w:val="18"/>
          <w:szCs w:val="18"/>
          <w:color w:val="auto"/>
        </w:rPr>
        <w:t>Monoclonal antibody</w:t>
      </w:r>
      <w:r>
        <w:rPr>
          <w:sz w:val="20"/>
          <w:szCs w:val="20"/>
          <w:color w:val="auto"/>
        </w:rPr>
        <w:tab/>
      </w:r>
      <w:r>
        <w:rPr>
          <w:rFonts w:ascii="Arial" w:cs="Arial" w:eastAsia="Arial" w:hAnsi="Arial"/>
          <w:sz w:val="18"/>
          <w:szCs w:val="18"/>
          <w:color w:val="auto"/>
        </w:rPr>
        <w:t>Prolia (Amgen)</w:t>
      </w:r>
      <w:r>
        <w:rPr>
          <w:sz w:val="20"/>
          <w:szCs w:val="20"/>
          <w:color w:val="auto"/>
        </w:rPr>
        <w:tab/>
      </w:r>
      <w:r>
        <w:rPr>
          <w:rFonts w:ascii="Arial" w:cs="Arial" w:eastAsia="Arial" w:hAnsi="Arial"/>
          <w:sz w:val="16"/>
          <w:szCs w:val="16"/>
          <w:color w:val="auto"/>
        </w:rPr>
        <w:t>Blocks the breakdown of</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bones by binding to RANKL</w:t>
      </w:r>
    </w:p>
    <w:p>
      <w:pPr>
        <w:spacing w:after="0" w:line="32"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protein that is essential to</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activate osteoclasts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Hypocalcemia, serious infections,</w:t>
            </w:r>
          </w:p>
        </w:tc>
        <w:tc>
          <w:tcPr>
            <w:tcW w:w="1080" w:type="dxa"/>
            <w:vAlign w:val="bottom"/>
          </w:tcPr>
          <w:p>
            <w:pPr>
              <w:jc w:val="right"/>
              <w:spacing w:after="0"/>
              <w:rPr>
                <w:sz w:val="20"/>
                <w:szCs w:val="20"/>
                <w:color w:val="auto"/>
              </w:rPr>
            </w:pPr>
            <w:r>
              <w:rPr>
                <w:rFonts w:ascii="Arial" w:cs="Arial" w:eastAsia="Arial" w:hAnsi="Arial"/>
                <w:sz w:val="18"/>
                <w:szCs w:val="18"/>
                <w:color w:val="auto"/>
              </w:rPr>
              <w:t>$1,635</w:t>
            </w:r>
          </w:p>
        </w:tc>
      </w:tr>
    </w:tbl>
    <w:p>
      <w:pPr>
        <w:ind w:right="1780"/>
        <w:spacing w:after="0" w:line="290" w:lineRule="auto"/>
        <w:rPr>
          <w:sz w:val="20"/>
          <w:szCs w:val="20"/>
          <w:color w:val="auto"/>
        </w:rPr>
      </w:pPr>
      <w:r>
        <w:rPr>
          <w:rFonts w:ascii="Arial" w:cs="Arial" w:eastAsia="Arial" w:hAnsi="Arial"/>
          <w:sz w:val="16"/>
          <w:szCs w:val="16"/>
          <w:color w:val="auto"/>
        </w:rPr>
        <w:t>dermatologic adverse reactions, osteonecrosis of the jaw, back pain, pain in extremity, musculoskeletal pain, hypercholesterolemia, and cystitis</w:t>
      </w:r>
    </w:p>
    <w:p>
      <w:pPr>
        <w:spacing w:after="0" w:line="2" w:lineRule="exact"/>
        <w:rPr>
          <w:sz w:val="20"/>
          <w:szCs w:val="20"/>
          <w:color w:val="auto"/>
        </w:rPr>
      </w:pPr>
    </w:p>
    <w:p>
      <w:pPr>
        <w:sectPr>
          <w:pgSz w:w="11900" w:h="16838" w:orient="portrait"/>
          <w:cols w:equalWidth="0" w:num="2">
            <w:col w:w="6340" w:space="420"/>
            <w:col w:w="4660"/>
          </w:cols>
          <w:pgMar w:left="240" w:top="225"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2160" w:type="dxa"/>
            <w:vAlign w:val="bottom"/>
            <w:shd w:val="clear" w:color="auto" w:fill="D5EAEA"/>
          </w:tcPr>
          <w:p>
            <w:pPr>
              <w:ind w:left="40"/>
              <w:spacing w:after="0"/>
              <w:rPr>
                <w:sz w:val="20"/>
                <w:szCs w:val="20"/>
                <w:color w:val="auto"/>
              </w:rPr>
            </w:pPr>
            <w:r>
              <w:rPr>
                <w:rFonts w:ascii="Arial" w:cs="Arial" w:eastAsia="Arial" w:hAnsi="Arial"/>
                <w:sz w:val="18"/>
                <w:szCs w:val="18"/>
                <w:color w:val="auto"/>
                <w:w w:val="95"/>
              </w:rPr>
              <w:t>Selective estrogen receptor</w:t>
            </w:r>
          </w:p>
        </w:tc>
        <w:tc>
          <w:tcPr>
            <w:tcW w:w="1740" w:type="dxa"/>
            <w:vAlign w:val="bottom"/>
            <w:shd w:val="clear" w:color="auto" w:fill="D5EAEA"/>
          </w:tcPr>
          <w:p>
            <w:pPr>
              <w:ind w:left="160"/>
              <w:spacing w:after="0"/>
              <w:rPr>
                <w:sz w:val="20"/>
                <w:szCs w:val="20"/>
                <w:color w:val="auto"/>
              </w:rPr>
            </w:pPr>
            <w:r>
              <w:rPr>
                <w:rFonts w:ascii="Arial" w:cs="Arial" w:eastAsia="Arial" w:hAnsi="Arial"/>
                <w:sz w:val="18"/>
                <w:szCs w:val="18"/>
                <w:color w:val="auto"/>
              </w:rPr>
              <w:t>Evista (Eli Lilly)</w:t>
            </w:r>
          </w:p>
        </w:tc>
        <w:tc>
          <w:tcPr>
            <w:tcW w:w="2680" w:type="dxa"/>
            <w:vAlign w:val="bottom"/>
            <w:shd w:val="clear" w:color="auto" w:fill="D5EAEA"/>
          </w:tcPr>
          <w:p>
            <w:pPr>
              <w:ind w:left="360"/>
              <w:spacing w:after="0"/>
              <w:rPr>
                <w:sz w:val="20"/>
                <w:szCs w:val="20"/>
                <w:color w:val="auto"/>
              </w:rPr>
            </w:pPr>
            <w:r>
              <w:rPr>
                <w:rFonts w:ascii="Arial" w:cs="Arial" w:eastAsia="Arial" w:hAnsi="Arial"/>
                <w:sz w:val="18"/>
                <w:szCs w:val="18"/>
                <w:color w:val="auto"/>
                <w:w w:val="95"/>
              </w:rPr>
              <w:t>Binds to estrogen receptors at</w:t>
            </w:r>
          </w:p>
        </w:tc>
        <w:tc>
          <w:tcPr>
            <w:tcW w:w="3340" w:type="dxa"/>
            <w:vAlign w:val="bottom"/>
            <w:shd w:val="clear" w:color="auto" w:fill="D5EAEA"/>
          </w:tcPr>
          <w:p>
            <w:pPr>
              <w:ind w:left="180"/>
              <w:spacing w:after="0"/>
              <w:rPr>
                <w:sz w:val="20"/>
                <w:szCs w:val="20"/>
                <w:color w:val="auto"/>
              </w:rPr>
            </w:pPr>
            <w:r>
              <w:rPr>
                <w:rFonts w:ascii="Arial" w:cs="Arial" w:eastAsia="Arial" w:hAnsi="Arial"/>
                <w:sz w:val="18"/>
                <w:szCs w:val="18"/>
                <w:color w:val="auto"/>
              </w:rPr>
              <w:t>Deep vein thrombosis, pulmonary</w:t>
            </w:r>
          </w:p>
        </w:tc>
        <w:tc>
          <w:tcPr>
            <w:tcW w:w="1500" w:type="dxa"/>
            <w:vAlign w:val="bottom"/>
            <w:shd w:val="clear" w:color="auto" w:fill="D5EAEA"/>
          </w:tcPr>
          <w:p>
            <w:pPr>
              <w:jc w:val="right"/>
              <w:ind w:right="530"/>
              <w:spacing w:after="0"/>
              <w:rPr>
                <w:sz w:val="20"/>
                <w:szCs w:val="20"/>
                <w:color w:val="auto"/>
              </w:rPr>
            </w:pPr>
            <w:r>
              <w:rPr>
                <w:rFonts w:ascii="Arial" w:cs="Arial" w:eastAsia="Arial" w:hAnsi="Arial"/>
                <w:sz w:val="18"/>
                <w:szCs w:val="18"/>
                <w:color w:val="auto"/>
              </w:rPr>
              <w:t>$172</w:t>
            </w:r>
          </w:p>
        </w:tc>
      </w:tr>
      <w:tr>
        <w:trPr>
          <w:trHeight w:val="216"/>
        </w:trPr>
        <w:tc>
          <w:tcPr>
            <w:tcW w:w="2160" w:type="dxa"/>
            <w:vAlign w:val="bottom"/>
            <w:shd w:val="clear" w:color="auto" w:fill="D5EAEA"/>
          </w:tcPr>
          <w:p>
            <w:pPr>
              <w:ind w:left="40"/>
              <w:spacing w:after="0"/>
              <w:rPr>
                <w:sz w:val="20"/>
                <w:szCs w:val="20"/>
                <w:color w:val="auto"/>
              </w:rPr>
            </w:pPr>
            <w:r>
              <w:rPr>
                <w:rFonts w:ascii="Arial" w:cs="Arial" w:eastAsia="Arial" w:hAnsi="Arial"/>
                <w:sz w:val="18"/>
                <w:szCs w:val="18"/>
                <w:color w:val="auto"/>
              </w:rPr>
              <w:t>modulators (SERMs)</w:t>
            </w:r>
          </w:p>
        </w:tc>
        <w:tc>
          <w:tcPr>
            <w:tcW w:w="1740" w:type="dxa"/>
            <w:vAlign w:val="bottom"/>
            <w:shd w:val="clear" w:color="auto" w:fill="D5EAEA"/>
          </w:tcPr>
          <w:p>
            <w:pPr>
              <w:spacing w:after="0"/>
              <w:rPr>
                <w:sz w:val="18"/>
                <w:szCs w:val="18"/>
                <w:color w:val="auto"/>
              </w:rPr>
            </w:pPr>
          </w:p>
        </w:tc>
        <w:tc>
          <w:tcPr>
            <w:tcW w:w="2680" w:type="dxa"/>
            <w:vAlign w:val="bottom"/>
            <w:shd w:val="clear" w:color="auto" w:fill="D5EAEA"/>
          </w:tcPr>
          <w:p>
            <w:pPr>
              <w:ind w:left="360"/>
              <w:spacing w:after="0"/>
              <w:rPr>
                <w:sz w:val="20"/>
                <w:szCs w:val="20"/>
                <w:color w:val="auto"/>
              </w:rPr>
            </w:pPr>
            <w:r>
              <w:rPr>
                <w:rFonts w:ascii="Arial" w:cs="Arial" w:eastAsia="Arial" w:hAnsi="Arial"/>
                <w:sz w:val="18"/>
                <w:szCs w:val="18"/>
                <w:color w:val="auto"/>
              </w:rPr>
              <w:t>a selective tissue, with an</w:t>
            </w:r>
          </w:p>
        </w:tc>
        <w:tc>
          <w:tcPr>
            <w:tcW w:w="3340" w:type="dxa"/>
            <w:vAlign w:val="bottom"/>
            <w:shd w:val="clear" w:color="auto" w:fill="D5EAEA"/>
          </w:tcPr>
          <w:p>
            <w:pPr>
              <w:ind w:left="180"/>
              <w:spacing w:after="0"/>
              <w:rPr>
                <w:sz w:val="20"/>
                <w:szCs w:val="20"/>
                <w:color w:val="auto"/>
              </w:rPr>
            </w:pPr>
            <w:r>
              <w:rPr>
                <w:rFonts w:ascii="Arial" w:cs="Arial" w:eastAsia="Arial" w:hAnsi="Arial"/>
                <w:sz w:val="18"/>
                <w:szCs w:val="18"/>
                <w:color w:val="auto"/>
              </w:rPr>
              <w:t>embolism, retinal vein thrombosis,</w:t>
            </w:r>
          </w:p>
        </w:tc>
        <w:tc>
          <w:tcPr>
            <w:tcW w:w="1500" w:type="dxa"/>
            <w:vAlign w:val="bottom"/>
            <w:shd w:val="clear" w:color="auto" w:fill="D5EAEA"/>
          </w:tcPr>
          <w:p>
            <w:pPr>
              <w:spacing w:after="0"/>
              <w:rPr>
                <w:sz w:val="18"/>
                <w:szCs w:val="18"/>
                <w:color w:val="auto"/>
              </w:rPr>
            </w:pPr>
          </w:p>
        </w:tc>
      </w:tr>
      <w:tr>
        <w:trPr>
          <w:trHeight w:val="216"/>
        </w:trPr>
        <w:tc>
          <w:tcPr>
            <w:tcW w:w="2160" w:type="dxa"/>
            <w:vAlign w:val="bottom"/>
            <w:shd w:val="clear" w:color="auto" w:fill="D5EAEA"/>
          </w:tcPr>
          <w:p>
            <w:pPr>
              <w:spacing w:after="0"/>
              <w:rPr>
                <w:sz w:val="18"/>
                <w:szCs w:val="18"/>
                <w:color w:val="auto"/>
              </w:rPr>
            </w:pPr>
          </w:p>
        </w:tc>
        <w:tc>
          <w:tcPr>
            <w:tcW w:w="1740" w:type="dxa"/>
            <w:vAlign w:val="bottom"/>
            <w:shd w:val="clear" w:color="auto" w:fill="D5EAEA"/>
          </w:tcPr>
          <w:p>
            <w:pPr>
              <w:spacing w:after="0"/>
              <w:rPr>
                <w:sz w:val="18"/>
                <w:szCs w:val="18"/>
                <w:color w:val="auto"/>
              </w:rPr>
            </w:pPr>
          </w:p>
        </w:tc>
        <w:tc>
          <w:tcPr>
            <w:tcW w:w="2680" w:type="dxa"/>
            <w:vAlign w:val="bottom"/>
            <w:shd w:val="clear" w:color="auto" w:fill="D5EAEA"/>
          </w:tcPr>
          <w:p>
            <w:pPr>
              <w:ind w:left="360"/>
              <w:spacing w:after="0"/>
              <w:rPr>
                <w:sz w:val="20"/>
                <w:szCs w:val="20"/>
                <w:color w:val="auto"/>
              </w:rPr>
            </w:pPr>
            <w:r>
              <w:rPr>
                <w:rFonts w:ascii="Arial" w:cs="Arial" w:eastAsia="Arial" w:hAnsi="Arial"/>
                <w:sz w:val="18"/>
                <w:szCs w:val="18"/>
                <w:color w:val="auto"/>
              </w:rPr>
              <w:t>agonist effect on bone tissue</w:t>
            </w:r>
          </w:p>
        </w:tc>
        <w:tc>
          <w:tcPr>
            <w:tcW w:w="3340" w:type="dxa"/>
            <w:vAlign w:val="bottom"/>
            <w:shd w:val="clear" w:color="auto" w:fill="D5EAEA"/>
          </w:tcPr>
          <w:p>
            <w:pPr>
              <w:ind w:left="180"/>
              <w:spacing w:after="0"/>
              <w:rPr>
                <w:sz w:val="20"/>
                <w:szCs w:val="20"/>
                <w:color w:val="auto"/>
              </w:rPr>
            </w:pPr>
            <w:r>
              <w:rPr>
                <w:rFonts w:ascii="Arial" w:cs="Arial" w:eastAsia="Arial" w:hAnsi="Arial"/>
                <w:sz w:val="18"/>
                <w:szCs w:val="18"/>
                <w:color w:val="auto"/>
              </w:rPr>
              <w:t>increased risk of death due to stroke,</w:t>
            </w:r>
          </w:p>
        </w:tc>
        <w:tc>
          <w:tcPr>
            <w:tcW w:w="1500" w:type="dxa"/>
            <w:vAlign w:val="bottom"/>
            <w:shd w:val="clear" w:color="auto" w:fill="D5EAEA"/>
          </w:tcPr>
          <w:p>
            <w:pPr>
              <w:spacing w:after="0"/>
              <w:rPr>
                <w:sz w:val="18"/>
                <w:szCs w:val="18"/>
                <w:color w:val="auto"/>
              </w:rPr>
            </w:pPr>
          </w:p>
        </w:tc>
      </w:tr>
      <w:tr>
        <w:trPr>
          <w:trHeight w:val="216"/>
        </w:trPr>
        <w:tc>
          <w:tcPr>
            <w:tcW w:w="2160" w:type="dxa"/>
            <w:vAlign w:val="bottom"/>
            <w:shd w:val="clear" w:color="auto" w:fill="D5EAEA"/>
          </w:tcPr>
          <w:p>
            <w:pPr>
              <w:spacing w:after="0"/>
              <w:rPr>
                <w:sz w:val="18"/>
                <w:szCs w:val="18"/>
                <w:color w:val="auto"/>
              </w:rPr>
            </w:pPr>
          </w:p>
        </w:tc>
        <w:tc>
          <w:tcPr>
            <w:tcW w:w="1740" w:type="dxa"/>
            <w:vAlign w:val="bottom"/>
            <w:shd w:val="clear" w:color="auto" w:fill="D5EAEA"/>
          </w:tcPr>
          <w:p>
            <w:pPr>
              <w:spacing w:after="0"/>
              <w:rPr>
                <w:sz w:val="18"/>
                <w:szCs w:val="18"/>
                <w:color w:val="auto"/>
              </w:rPr>
            </w:pPr>
          </w:p>
        </w:tc>
        <w:tc>
          <w:tcPr>
            <w:tcW w:w="2680" w:type="dxa"/>
            <w:vAlign w:val="bottom"/>
            <w:shd w:val="clear" w:color="auto" w:fill="D5EAEA"/>
          </w:tcPr>
          <w:p>
            <w:pPr>
              <w:spacing w:after="0"/>
              <w:rPr>
                <w:sz w:val="18"/>
                <w:szCs w:val="18"/>
                <w:color w:val="auto"/>
              </w:rPr>
            </w:pPr>
          </w:p>
        </w:tc>
        <w:tc>
          <w:tcPr>
            <w:tcW w:w="3340" w:type="dxa"/>
            <w:vAlign w:val="bottom"/>
            <w:shd w:val="clear" w:color="auto" w:fill="D5EAEA"/>
          </w:tcPr>
          <w:p>
            <w:pPr>
              <w:ind w:left="180"/>
              <w:spacing w:after="0"/>
              <w:rPr>
                <w:sz w:val="20"/>
                <w:szCs w:val="20"/>
                <w:color w:val="auto"/>
              </w:rPr>
            </w:pPr>
            <w:r>
              <w:rPr>
                <w:rFonts w:ascii="Arial" w:cs="Arial" w:eastAsia="Arial" w:hAnsi="Arial"/>
                <w:sz w:val="18"/>
                <w:szCs w:val="18"/>
                <w:color w:val="auto"/>
              </w:rPr>
              <w:t>endometrial cancer, cardiovascular</w:t>
            </w:r>
          </w:p>
        </w:tc>
        <w:tc>
          <w:tcPr>
            <w:tcW w:w="1500" w:type="dxa"/>
            <w:vAlign w:val="bottom"/>
            <w:shd w:val="clear" w:color="auto" w:fill="D5EAEA"/>
          </w:tcPr>
          <w:p>
            <w:pPr>
              <w:spacing w:after="0"/>
              <w:rPr>
                <w:sz w:val="18"/>
                <w:szCs w:val="18"/>
                <w:color w:val="auto"/>
              </w:rPr>
            </w:pPr>
          </w:p>
        </w:tc>
      </w:tr>
      <w:tr>
        <w:trPr>
          <w:trHeight w:val="230"/>
        </w:trPr>
        <w:tc>
          <w:tcPr>
            <w:tcW w:w="2160" w:type="dxa"/>
            <w:vAlign w:val="bottom"/>
            <w:shd w:val="clear" w:color="auto" w:fill="D5EAEA"/>
          </w:tcPr>
          <w:p>
            <w:pPr>
              <w:spacing w:after="0"/>
              <w:rPr>
                <w:sz w:val="20"/>
                <w:szCs w:val="20"/>
                <w:color w:val="auto"/>
              </w:rPr>
            </w:pPr>
          </w:p>
        </w:tc>
        <w:tc>
          <w:tcPr>
            <w:tcW w:w="1740" w:type="dxa"/>
            <w:vAlign w:val="bottom"/>
            <w:shd w:val="clear" w:color="auto" w:fill="D5EAEA"/>
          </w:tcPr>
          <w:p>
            <w:pPr>
              <w:spacing w:after="0"/>
              <w:rPr>
                <w:sz w:val="20"/>
                <w:szCs w:val="20"/>
                <w:color w:val="auto"/>
              </w:rPr>
            </w:pPr>
          </w:p>
        </w:tc>
        <w:tc>
          <w:tcPr>
            <w:tcW w:w="2680" w:type="dxa"/>
            <w:vAlign w:val="bottom"/>
            <w:shd w:val="clear" w:color="auto" w:fill="D5EAEA"/>
          </w:tcPr>
          <w:p>
            <w:pPr>
              <w:spacing w:after="0"/>
              <w:rPr>
                <w:sz w:val="20"/>
                <w:szCs w:val="20"/>
                <w:color w:val="auto"/>
              </w:rPr>
            </w:pPr>
          </w:p>
        </w:tc>
        <w:tc>
          <w:tcPr>
            <w:tcW w:w="3340" w:type="dxa"/>
            <w:vAlign w:val="bottom"/>
            <w:shd w:val="clear" w:color="auto" w:fill="D5EAEA"/>
          </w:tcPr>
          <w:p>
            <w:pPr>
              <w:ind w:left="180"/>
              <w:spacing w:after="0"/>
              <w:rPr>
                <w:sz w:val="20"/>
                <w:szCs w:val="20"/>
                <w:color w:val="auto"/>
              </w:rPr>
            </w:pPr>
            <w:r>
              <w:rPr>
                <w:rFonts w:ascii="Arial" w:cs="Arial" w:eastAsia="Arial" w:hAnsi="Arial"/>
                <w:sz w:val="18"/>
                <w:szCs w:val="18"/>
                <w:color w:val="auto"/>
              </w:rPr>
              <w:t>disease</w:t>
            </w:r>
          </w:p>
        </w:tc>
        <w:tc>
          <w:tcPr>
            <w:tcW w:w="1500" w:type="dxa"/>
            <w:vAlign w:val="bottom"/>
            <w:shd w:val="clear" w:color="auto" w:fill="D5EAEA"/>
          </w:tcPr>
          <w:p>
            <w:pPr>
              <w:spacing w:after="0"/>
              <w:rPr>
                <w:sz w:val="20"/>
                <w:szCs w:val="20"/>
                <w:color w:val="auto"/>
              </w:rPr>
            </w:pPr>
          </w:p>
        </w:tc>
      </w:tr>
      <w:tr>
        <w:trPr>
          <w:trHeight w:val="27"/>
        </w:trPr>
        <w:tc>
          <w:tcPr>
            <w:tcW w:w="2160" w:type="dxa"/>
            <w:vAlign w:val="bottom"/>
            <w:shd w:val="clear" w:color="auto" w:fill="D5EAEA"/>
          </w:tcPr>
          <w:p>
            <w:pPr>
              <w:spacing w:after="0"/>
              <w:rPr>
                <w:sz w:val="2"/>
                <w:szCs w:val="2"/>
                <w:color w:val="auto"/>
              </w:rPr>
            </w:pPr>
          </w:p>
        </w:tc>
        <w:tc>
          <w:tcPr>
            <w:tcW w:w="1740" w:type="dxa"/>
            <w:vAlign w:val="bottom"/>
            <w:shd w:val="clear" w:color="auto" w:fill="D5EAEA"/>
          </w:tcPr>
          <w:p>
            <w:pPr>
              <w:spacing w:after="0"/>
              <w:rPr>
                <w:sz w:val="2"/>
                <w:szCs w:val="2"/>
                <w:color w:val="auto"/>
              </w:rPr>
            </w:pPr>
          </w:p>
        </w:tc>
        <w:tc>
          <w:tcPr>
            <w:tcW w:w="2680" w:type="dxa"/>
            <w:vAlign w:val="bottom"/>
            <w:shd w:val="clear" w:color="auto" w:fill="D5EAEA"/>
          </w:tcPr>
          <w:p>
            <w:pPr>
              <w:spacing w:after="0"/>
              <w:rPr>
                <w:sz w:val="2"/>
                <w:szCs w:val="2"/>
                <w:color w:val="auto"/>
              </w:rPr>
            </w:pPr>
          </w:p>
        </w:tc>
        <w:tc>
          <w:tcPr>
            <w:tcW w:w="3340" w:type="dxa"/>
            <w:vAlign w:val="bottom"/>
            <w:shd w:val="clear" w:color="auto" w:fill="D5EAEA"/>
          </w:tcPr>
          <w:p>
            <w:pPr>
              <w:spacing w:after="0"/>
              <w:rPr>
                <w:sz w:val="2"/>
                <w:szCs w:val="2"/>
                <w:color w:val="auto"/>
              </w:rPr>
            </w:pPr>
          </w:p>
        </w:tc>
        <w:tc>
          <w:tcPr>
            <w:tcW w:w="1500" w:type="dxa"/>
            <w:vAlign w:val="bottom"/>
            <w:shd w:val="clear" w:color="auto" w:fill="D5EAEA"/>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225" w:right="239" w:bottom="1440" w:gutter="0" w:footer="0" w:header="0"/>
          <w:type w:val="continuous"/>
        </w:sectPr>
      </w:pPr>
    </w:p>
    <w:p>
      <w:pPr>
        <w:ind w:left="40"/>
        <w:spacing w:after="0"/>
        <w:tabs>
          <w:tab w:leader="none" w:pos="2300" w:val="left"/>
          <w:tab w:leader="none" w:pos="4240" w:val="left"/>
        </w:tabs>
        <w:rPr>
          <w:sz w:val="20"/>
          <w:szCs w:val="20"/>
          <w:color w:val="auto"/>
        </w:rPr>
      </w:pPr>
      <w:r>
        <w:rPr>
          <w:rFonts w:ascii="Arial" w:cs="Arial" w:eastAsia="Arial" w:hAnsi="Arial"/>
          <w:sz w:val="18"/>
          <w:szCs w:val="18"/>
          <w:color w:val="auto"/>
        </w:rPr>
        <w:t>Injectable abaloparatide</w:t>
      </w:r>
      <w:r>
        <w:rPr>
          <w:sz w:val="20"/>
          <w:szCs w:val="20"/>
          <w:color w:val="auto"/>
        </w:rPr>
        <w:tab/>
      </w:r>
      <w:r>
        <w:rPr>
          <w:rFonts w:ascii="Arial" w:cs="Arial" w:eastAsia="Arial" w:hAnsi="Arial"/>
          <w:sz w:val="18"/>
          <w:szCs w:val="18"/>
          <w:color w:val="auto"/>
        </w:rPr>
        <w:t>TYMLOS (Radius</w:t>
      </w:r>
      <w:r>
        <w:rPr>
          <w:sz w:val="20"/>
          <w:szCs w:val="20"/>
          <w:color w:val="auto"/>
        </w:rPr>
        <w:tab/>
      </w:r>
      <w:r>
        <w:rPr>
          <w:rFonts w:ascii="Arial" w:cs="Arial" w:eastAsia="Arial" w:hAnsi="Arial"/>
          <w:sz w:val="16"/>
          <w:szCs w:val="16"/>
          <w:color w:val="auto"/>
        </w:rPr>
        <w:t>Similar to PTH, binds to PTH</w:t>
      </w:r>
    </w:p>
    <w:p>
      <w:pPr>
        <w:spacing w:after="0" w:line="23" w:lineRule="exact"/>
        <w:rPr>
          <w:sz w:val="20"/>
          <w:szCs w:val="20"/>
          <w:color w:val="auto"/>
        </w:rPr>
      </w:pPr>
    </w:p>
    <w:p>
      <w:pPr>
        <w:ind w:left="2320"/>
        <w:spacing w:after="0"/>
        <w:tabs>
          <w:tab w:leader="none" w:pos="4240" w:val="left"/>
        </w:tabs>
        <w:rPr>
          <w:sz w:val="20"/>
          <w:szCs w:val="20"/>
          <w:color w:val="auto"/>
        </w:rPr>
      </w:pPr>
      <w:r>
        <w:rPr>
          <w:rFonts w:ascii="Arial" w:cs="Arial" w:eastAsia="Arial" w:hAnsi="Arial"/>
          <w:sz w:val="18"/>
          <w:szCs w:val="18"/>
          <w:color w:val="auto"/>
        </w:rPr>
        <w:t>Health)</w:t>
      </w:r>
      <w:r>
        <w:rPr>
          <w:sz w:val="20"/>
          <w:szCs w:val="20"/>
          <w:color w:val="auto"/>
        </w:rPr>
        <w:tab/>
      </w:r>
      <w:r>
        <w:rPr>
          <w:rFonts w:ascii="Arial" w:cs="Arial" w:eastAsia="Arial" w:hAnsi="Arial"/>
          <w:sz w:val="18"/>
          <w:szCs w:val="18"/>
          <w:color w:val="auto"/>
        </w:rPr>
        <w:t>receptors with a higher</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affinity to bone formation</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receptors, increasing bone</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mineral density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20"/>
                <w:szCs w:val="20"/>
                <w:color w:val="auto"/>
              </w:rPr>
            </w:pPr>
            <w:r>
              <w:rPr>
                <w:rFonts w:ascii="Arial" w:cs="Arial" w:eastAsia="Arial" w:hAnsi="Arial"/>
                <w:sz w:val="18"/>
                <w:szCs w:val="18"/>
                <w:color w:val="auto"/>
                <w:w w:val="95"/>
              </w:rPr>
              <w:t>Osteosarcoma, orthostatic hypotension,</w:t>
            </w:r>
          </w:p>
        </w:tc>
        <w:tc>
          <w:tcPr>
            <w:tcW w:w="1440" w:type="dxa"/>
            <w:vAlign w:val="bottom"/>
          </w:tcPr>
          <w:p>
            <w:pPr>
              <w:jc w:val="center"/>
              <w:ind w:left="110"/>
              <w:spacing w:after="0"/>
              <w:rPr>
                <w:sz w:val="20"/>
                <w:szCs w:val="20"/>
                <w:color w:val="auto"/>
              </w:rPr>
            </w:pPr>
            <w:r>
              <w:rPr>
                <w:rFonts w:ascii="Arial" w:cs="Arial" w:eastAsia="Arial" w:hAnsi="Arial"/>
                <w:sz w:val="18"/>
                <w:szCs w:val="18"/>
                <w:color w:val="auto"/>
                <w:w w:val="93"/>
              </w:rPr>
              <w:t>N/A (launched in</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hypercalcemia, hypercalciuria,</w:t>
            </w:r>
          </w:p>
        </w:tc>
        <w:tc>
          <w:tcPr>
            <w:tcW w:w="1440" w:type="dxa"/>
            <w:vAlign w:val="bottom"/>
          </w:tcPr>
          <w:p>
            <w:pPr>
              <w:jc w:val="center"/>
              <w:ind w:left="110"/>
              <w:spacing w:after="0"/>
              <w:rPr>
                <w:sz w:val="20"/>
                <w:szCs w:val="20"/>
                <w:color w:val="auto"/>
              </w:rPr>
            </w:pPr>
            <w:r>
              <w:rPr>
                <w:rFonts w:ascii="Arial" w:cs="Arial" w:eastAsia="Arial" w:hAnsi="Arial"/>
                <w:sz w:val="18"/>
                <w:szCs w:val="18"/>
                <w:color w:val="auto"/>
                <w:w w:val="96"/>
              </w:rPr>
              <w:t>April 2017)</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dizziness, nausea, headache,</w:t>
            </w:r>
          </w:p>
        </w:tc>
        <w:tc>
          <w:tcPr>
            <w:tcW w:w="1440" w:type="dxa"/>
            <w:vAlign w:val="bottom"/>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palpitations, fatigue, upper abdominal</w:t>
            </w:r>
          </w:p>
        </w:tc>
        <w:tc>
          <w:tcPr>
            <w:tcW w:w="144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pain and vertigo</w:t>
            </w:r>
          </w:p>
        </w:tc>
        <w:tc>
          <w:tcPr>
            <w:tcW w:w="1440" w:type="dxa"/>
            <w:vAlign w:val="bottom"/>
          </w:tcPr>
          <w:p>
            <w:pPr>
              <w:spacing w:after="0"/>
              <w:rPr>
                <w:sz w:val="20"/>
                <w:szCs w:val="20"/>
                <w:color w:val="auto"/>
              </w:rPr>
            </w:pPr>
          </w:p>
        </w:tc>
      </w:tr>
    </w:tbl>
    <w:p>
      <w:pPr>
        <w:spacing w:after="0" w:line="27" w:lineRule="exact"/>
        <w:rPr>
          <w:sz w:val="20"/>
          <w:szCs w:val="20"/>
          <w:color w:val="auto"/>
        </w:rPr>
      </w:pPr>
    </w:p>
    <w:p>
      <w:pPr>
        <w:sectPr>
          <w:pgSz w:w="11900" w:h="16838" w:orient="portrait"/>
          <w:cols w:equalWidth="0" w:num="2">
            <w:col w:w="6400" w:space="360"/>
            <w:col w:w="4660"/>
          </w:cols>
          <w:pgMar w:left="240" w:top="225"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1760" w:type="dxa"/>
            <w:vAlign w:val="bottom"/>
            <w:shd w:val="clear" w:color="auto" w:fill="D5EAEA"/>
          </w:tcPr>
          <w:p>
            <w:pPr>
              <w:ind w:left="40"/>
              <w:spacing w:after="0"/>
              <w:rPr>
                <w:sz w:val="20"/>
                <w:szCs w:val="20"/>
                <w:color w:val="auto"/>
              </w:rPr>
            </w:pPr>
            <w:r>
              <w:rPr>
                <w:rFonts w:ascii="Arial" w:cs="Arial" w:eastAsia="Arial" w:hAnsi="Arial"/>
                <w:sz w:val="18"/>
                <w:szCs w:val="18"/>
                <w:color w:val="auto"/>
              </w:rPr>
              <w:t>Bisphosphonate</w:t>
            </w:r>
          </w:p>
        </w:tc>
        <w:tc>
          <w:tcPr>
            <w:tcW w:w="2200" w:type="dxa"/>
            <w:vAlign w:val="bottom"/>
            <w:shd w:val="clear" w:color="auto" w:fill="D5EAEA"/>
          </w:tcPr>
          <w:p>
            <w:pPr>
              <w:ind w:left="560"/>
              <w:spacing w:after="0"/>
              <w:rPr>
                <w:sz w:val="20"/>
                <w:szCs w:val="20"/>
                <w:color w:val="auto"/>
              </w:rPr>
            </w:pPr>
            <w:r>
              <w:rPr>
                <w:rFonts w:ascii="Arial" w:cs="Arial" w:eastAsia="Arial" w:hAnsi="Arial"/>
                <w:sz w:val="18"/>
                <w:szCs w:val="18"/>
                <w:color w:val="auto"/>
              </w:rPr>
              <w:t>Fosamax (Merck)</w:t>
            </w:r>
          </w:p>
        </w:tc>
        <w:tc>
          <w:tcPr>
            <w:tcW w:w="2640" w:type="dxa"/>
            <w:vAlign w:val="bottom"/>
            <w:shd w:val="clear" w:color="auto" w:fill="D5EAEA"/>
          </w:tcPr>
          <w:p>
            <w:pPr>
              <w:ind w:left="300"/>
              <w:spacing w:after="0"/>
              <w:rPr>
                <w:sz w:val="20"/>
                <w:szCs w:val="20"/>
                <w:color w:val="auto"/>
              </w:rPr>
            </w:pPr>
            <w:r>
              <w:rPr>
                <w:rFonts w:ascii="Arial" w:cs="Arial" w:eastAsia="Arial" w:hAnsi="Arial"/>
                <w:sz w:val="18"/>
                <w:szCs w:val="18"/>
                <w:color w:val="auto"/>
                <w:w w:val="96"/>
              </w:rPr>
              <w:t>Prevent bone loss by inducing</w:t>
            </w:r>
          </w:p>
        </w:tc>
        <w:tc>
          <w:tcPr>
            <w:tcW w:w="3280" w:type="dxa"/>
            <w:vAlign w:val="bottom"/>
            <w:shd w:val="clear" w:color="auto" w:fill="D5EAEA"/>
          </w:tcPr>
          <w:p>
            <w:pPr>
              <w:ind w:left="160"/>
              <w:spacing w:after="0"/>
              <w:rPr>
                <w:sz w:val="20"/>
                <w:szCs w:val="20"/>
                <w:color w:val="auto"/>
              </w:rPr>
            </w:pPr>
            <w:r>
              <w:rPr>
                <w:rFonts w:ascii="Arial" w:cs="Arial" w:eastAsia="Arial" w:hAnsi="Arial"/>
                <w:sz w:val="18"/>
                <w:szCs w:val="18"/>
                <w:color w:val="auto"/>
                <w:w w:val="98"/>
              </w:rPr>
              <w:t>Irritation of the gastrointestinal mucosa,</w:t>
            </w:r>
          </w:p>
        </w:tc>
        <w:tc>
          <w:tcPr>
            <w:tcW w:w="1540" w:type="dxa"/>
            <w:vAlign w:val="bottom"/>
            <w:shd w:val="clear" w:color="auto" w:fill="D5EAEA"/>
          </w:tcPr>
          <w:p>
            <w:pPr>
              <w:ind w:left="220"/>
              <w:spacing w:after="0"/>
              <w:rPr>
                <w:sz w:val="20"/>
                <w:szCs w:val="20"/>
                <w:color w:val="auto"/>
              </w:rPr>
            </w:pPr>
            <w:r>
              <w:rPr>
                <w:rFonts w:ascii="Arial" w:cs="Arial" w:eastAsia="Arial" w:hAnsi="Arial"/>
                <w:sz w:val="18"/>
                <w:szCs w:val="18"/>
                <w:color w:val="auto"/>
              </w:rPr>
              <w:t>N/A (Generic)</w:t>
            </w:r>
          </w:p>
        </w:tc>
      </w:tr>
      <w:tr>
        <w:trPr>
          <w:trHeight w:val="216"/>
        </w:trPr>
        <w:tc>
          <w:tcPr>
            <w:tcW w:w="1760" w:type="dxa"/>
            <w:vAlign w:val="bottom"/>
            <w:shd w:val="clear" w:color="auto" w:fill="D5EAEA"/>
          </w:tcPr>
          <w:p>
            <w:pPr>
              <w:spacing w:after="0"/>
              <w:rPr>
                <w:sz w:val="18"/>
                <w:szCs w:val="18"/>
                <w:color w:val="auto"/>
              </w:rPr>
            </w:pPr>
          </w:p>
        </w:tc>
        <w:tc>
          <w:tcPr>
            <w:tcW w:w="2200" w:type="dxa"/>
            <w:vAlign w:val="bottom"/>
            <w:shd w:val="clear" w:color="auto" w:fill="D5EAEA"/>
          </w:tcPr>
          <w:p>
            <w:pPr>
              <w:ind w:left="560"/>
              <w:spacing w:after="0"/>
              <w:rPr>
                <w:sz w:val="20"/>
                <w:szCs w:val="20"/>
                <w:color w:val="auto"/>
              </w:rPr>
            </w:pPr>
            <w:r>
              <w:rPr>
                <w:rFonts w:ascii="Arial" w:cs="Arial" w:eastAsia="Arial" w:hAnsi="Arial"/>
                <w:sz w:val="18"/>
                <w:szCs w:val="18"/>
                <w:color w:val="auto"/>
              </w:rPr>
              <w:t>Zometa (Novartis)</w:t>
            </w:r>
          </w:p>
        </w:tc>
        <w:tc>
          <w:tcPr>
            <w:tcW w:w="2640" w:type="dxa"/>
            <w:vAlign w:val="bottom"/>
            <w:shd w:val="clear" w:color="auto" w:fill="D5EAEA"/>
          </w:tcPr>
          <w:p>
            <w:pPr>
              <w:ind w:left="300"/>
              <w:spacing w:after="0"/>
              <w:rPr>
                <w:sz w:val="20"/>
                <w:szCs w:val="20"/>
                <w:color w:val="auto"/>
              </w:rPr>
            </w:pPr>
            <w:r>
              <w:rPr>
                <w:rFonts w:ascii="Arial" w:cs="Arial" w:eastAsia="Arial" w:hAnsi="Arial"/>
                <w:sz w:val="18"/>
                <w:szCs w:val="18"/>
                <w:color w:val="auto"/>
              </w:rPr>
              <w:t>cell death (apoptosis) in the</w:t>
            </w:r>
          </w:p>
        </w:tc>
        <w:tc>
          <w:tcPr>
            <w:tcW w:w="32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hypocalcemia, severe musculoskeletal</w:t>
            </w:r>
          </w:p>
        </w:tc>
        <w:tc>
          <w:tcPr>
            <w:tcW w:w="1540" w:type="dxa"/>
            <w:vAlign w:val="bottom"/>
            <w:shd w:val="clear" w:color="auto" w:fill="D5EAEA"/>
          </w:tcPr>
          <w:p>
            <w:pPr>
              <w:ind w:left="220"/>
              <w:spacing w:after="0"/>
              <w:rPr>
                <w:sz w:val="20"/>
                <w:szCs w:val="20"/>
                <w:color w:val="auto"/>
              </w:rPr>
            </w:pPr>
            <w:r>
              <w:rPr>
                <w:rFonts w:ascii="Arial" w:cs="Arial" w:eastAsia="Arial" w:hAnsi="Arial"/>
                <w:sz w:val="18"/>
                <w:szCs w:val="18"/>
                <w:color w:val="auto"/>
              </w:rPr>
              <w:t>N/A (Generic)</w:t>
            </w:r>
          </w:p>
        </w:tc>
      </w:tr>
      <w:tr>
        <w:trPr>
          <w:trHeight w:val="230"/>
        </w:trPr>
        <w:tc>
          <w:tcPr>
            <w:tcW w:w="1760" w:type="dxa"/>
            <w:vAlign w:val="bottom"/>
            <w:shd w:val="clear" w:color="auto" w:fill="D5EAEA"/>
          </w:tcPr>
          <w:p>
            <w:pPr>
              <w:spacing w:after="0"/>
              <w:rPr>
                <w:sz w:val="20"/>
                <w:szCs w:val="20"/>
                <w:color w:val="auto"/>
              </w:rPr>
            </w:pPr>
          </w:p>
        </w:tc>
        <w:tc>
          <w:tcPr>
            <w:tcW w:w="2200" w:type="dxa"/>
            <w:vAlign w:val="bottom"/>
            <w:shd w:val="clear" w:color="auto" w:fill="D5EAEA"/>
          </w:tcPr>
          <w:p>
            <w:pPr>
              <w:spacing w:after="0"/>
              <w:rPr>
                <w:sz w:val="20"/>
                <w:szCs w:val="20"/>
                <w:color w:val="auto"/>
              </w:rPr>
            </w:pPr>
          </w:p>
        </w:tc>
        <w:tc>
          <w:tcPr>
            <w:tcW w:w="2640" w:type="dxa"/>
            <w:vAlign w:val="bottom"/>
            <w:shd w:val="clear" w:color="auto" w:fill="D5EAEA"/>
          </w:tcPr>
          <w:p>
            <w:pPr>
              <w:ind w:left="300"/>
              <w:spacing w:after="0"/>
              <w:rPr>
                <w:sz w:val="20"/>
                <w:szCs w:val="20"/>
                <w:color w:val="auto"/>
              </w:rPr>
            </w:pPr>
            <w:r>
              <w:rPr>
                <w:rFonts w:ascii="Arial" w:cs="Arial" w:eastAsia="Arial" w:hAnsi="Arial"/>
                <w:sz w:val="18"/>
                <w:szCs w:val="18"/>
                <w:color w:val="auto"/>
              </w:rPr>
              <w:t>osteoclast cells</w:t>
            </w:r>
          </w:p>
        </w:tc>
        <w:tc>
          <w:tcPr>
            <w:tcW w:w="32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pain, osteonecrosis of the jaw</w:t>
            </w:r>
          </w:p>
        </w:tc>
        <w:tc>
          <w:tcPr>
            <w:tcW w:w="1540" w:type="dxa"/>
            <w:vAlign w:val="bottom"/>
            <w:shd w:val="clear" w:color="auto" w:fill="D5EAEA"/>
          </w:tcPr>
          <w:p>
            <w:pPr>
              <w:spacing w:after="0"/>
              <w:rPr>
                <w:sz w:val="20"/>
                <w:szCs w:val="20"/>
                <w:color w:val="auto"/>
              </w:rPr>
            </w:pPr>
          </w:p>
        </w:tc>
      </w:tr>
      <w:tr>
        <w:trPr>
          <w:trHeight w:val="27"/>
        </w:trPr>
        <w:tc>
          <w:tcPr>
            <w:tcW w:w="1760" w:type="dxa"/>
            <w:vAlign w:val="bottom"/>
            <w:shd w:val="clear" w:color="auto" w:fill="D5EAEA"/>
          </w:tcPr>
          <w:p>
            <w:pPr>
              <w:spacing w:after="0"/>
              <w:rPr>
                <w:sz w:val="2"/>
                <w:szCs w:val="2"/>
                <w:color w:val="auto"/>
              </w:rPr>
            </w:pPr>
          </w:p>
        </w:tc>
        <w:tc>
          <w:tcPr>
            <w:tcW w:w="2200" w:type="dxa"/>
            <w:vAlign w:val="bottom"/>
            <w:shd w:val="clear" w:color="auto" w:fill="D5EAEA"/>
          </w:tcPr>
          <w:p>
            <w:pPr>
              <w:spacing w:after="0"/>
              <w:rPr>
                <w:sz w:val="2"/>
                <w:szCs w:val="2"/>
                <w:color w:val="auto"/>
              </w:rPr>
            </w:pPr>
          </w:p>
        </w:tc>
        <w:tc>
          <w:tcPr>
            <w:tcW w:w="2640" w:type="dxa"/>
            <w:vAlign w:val="bottom"/>
            <w:shd w:val="clear" w:color="auto" w:fill="D5EAEA"/>
          </w:tcPr>
          <w:p>
            <w:pPr>
              <w:spacing w:after="0"/>
              <w:rPr>
                <w:sz w:val="2"/>
                <w:szCs w:val="2"/>
                <w:color w:val="auto"/>
              </w:rPr>
            </w:pPr>
          </w:p>
        </w:tc>
        <w:tc>
          <w:tcPr>
            <w:tcW w:w="3280" w:type="dxa"/>
            <w:vAlign w:val="bottom"/>
            <w:shd w:val="clear" w:color="auto" w:fill="D5EAEA"/>
          </w:tcPr>
          <w:p>
            <w:pPr>
              <w:spacing w:after="0"/>
              <w:rPr>
                <w:sz w:val="2"/>
                <w:szCs w:val="2"/>
                <w:color w:val="auto"/>
              </w:rPr>
            </w:pPr>
          </w:p>
        </w:tc>
        <w:tc>
          <w:tcPr>
            <w:tcW w:w="1540" w:type="dxa"/>
            <w:vAlign w:val="bottom"/>
            <w:shd w:val="clear" w:color="auto" w:fill="D5EAEA"/>
          </w:tcPr>
          <w:p>
            <w:pPr>
              <w:spacing w:after="0"/>
              <w:rPr>
                <w:sz w:val="2"/>
                <w:szCs w:val="2"/>
                <w:color w:val="auto"/>
              </w:rPr>
            </w:pP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osteoporosis patients, who have normal basal levels of PTH, therapeutic administration of PTH activates osteoclasts and osteoblasts. While both types of cells are activated when PTH is administered, osteoblasts are activated for a longer period, increasing bone formation and bone mass. Injectable PTH (1-34), in the form of Eli Lilly’s Forteo, is therefore one of the most effective osteoporosis medications on the market today and demonstrably more efficacious than bisphosphonates. A study published in the New England Journal of Medicine found that over a period of 18 months bone mineral density at the lumbar spine in a group of patients with steroid-induced osteoporosis treated with Forteo increased twice as much as that in the group treated with a form of bisphosphonate.</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Unlike our oral delivery system, Forteo is administered by injection, which has significant drawbacks. Patients may reject this treatment due to the discomfort and local irritation usually associated with a daily injectable regimen. Additionally, subcutaneous injection of PTH (1-34) has been shown to induce immunological reactions in approximately 3% of the patient population, often leading to discontinuance of therapy. We believe an oral form of PTH (1-34) would significantly improve patient and physician acceptance. Eli Lilly has attempted numerous collaborations with alternative delivery systems, including a micro needle patch system,</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94" w:name="page95"/>
    <w:bookmarkEnd w:id="9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which eventually did not reach fruition. An attempt with Zosano Pharma’s patch terminated in 2015, as did another collaboration with Transpharma, also a patch, which was terminated in 2011. In 2005 Eli Lilly attempted a nasal delivery system with Alkermes only to be terminated in 2007. While the patch technology may reduce the discomfort associated with an injection, we believe patients will prefer an oral form of PTH (1-34) over a patch form of delivery.</w:t>
      </w:r>
    </w:p>
    <w:p>
      <w:pPr>
        <w:spacing w:after="0" w:line="14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Several pharmaceutical companies have previously attempted to develop an orally administered form of PTH. GlaxoSmithKline had partnered with Unigene Laboratories to develop a form of oral PTH but terminated the collaboration in 2011 following the release of Phase 2 clinical trial data, potentially due to poor control of kinetics and variability and the need for as much as 10 mg of PTH per tablet. Eli Lilly attempted to develop an oral PTH in collaboration with Emisphere, which Emisphere terminated following patent infringement claims in 2004. Emisphere then went on to develop their own oral PTH in collaboration with Novartis but suspended development in 2011 at the same time that they suspended their oral calcitonin program, which was subject to EMA safety restrictions. We believe Novartis discontinued the product for reasons that were unrelated to the product itself, and that our formulation of EB613 achieves the maximum concentration necessary for therapeutic effect with three times less active pharmaceutical ingredient, and lower variability, than that observed with Novartis’ suspended product.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We also believe that our oral delivery technology is superior to other oral technologies that were and still may be in development for osteoporosis patients.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comparison and integration of available clinical trial results to date: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Company/Technology</w:t>
            </w: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Molecule</w:t>
            </w:r>
          </w:p>
        </w:tc>
        <w:tc>
          <w:tcPr>
            <w:tcW w:w="2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API MW (g/mole)</w:t>
            </w: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Bioavailability (F)</w:t>
            </w:r>
          </w:p>
        </w:tc>
      </w:tr>
      <w:tr>
        <w:trPr>
          <w:trHeight w:val="27"/>
        </w:trPr>
        <w:tc>
          <w:tcPr>
            <w:tcW w:w="4920" w:type="dxa"/>
            <w:vAlign w:val="bottom"/>
            <w:tcBorders>
              <w:bottom w:val="single" w:sz="8" w:color="auto"/>
            </w:tcBorders>
          </w:tcPr>
          <w:p>
            <w:pPr>
              <w:spacing w:after="0"/>
              <w:rPr>
                <w:sz w:val="2"/>
                <w:szCs w:val="2"/>
                <w:color w:val="auto"/>
              </w:rPr>
            </w:pPr>
          </w:p>
        </w:tc>
        <w:tc>
          <w:tcPr>
            <w:tcW w:w="240" w:type="dxa"/>
            <w:vAlign w:val="bottom"/>
            <w:tcBorders>
              <w:bottom w:val="single" w:sz="8" w:color="D5EAEA"/>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D5EAEA"/>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20" w:type="dxa"/>
            <w:vAlign w:val="bottom"/>
            <w:tcBorders>
              <w:bottom w:val="single" w:sz="8" w:color="D5EAEA"/>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D5EAEA"/>
            </w:tcBorders>
          </w:tcPr>
          <w:p>
            <w:pPr>
              <w:spacing w:after="0"/>
              <w:rPr>
                <w:sz w:val="2"/>
                <w:szCs w:val="2"/>
                <w:color w:val="auto"/>
              </w:rPr>
            </w:pPr>
          </w:p>
        </w:tc>
      </w:tr>
      <w:tr>
        <w:trPr>
          <w:trHeight w:val="244"/>
        </w:trPr>
        <w:tc>
          <w:tcPr>
            <w:tcW w:w="516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Entera Bio</w:t>
            </w:r>
          </w:p>
        </w:tc>
        <w:tc>
          <w:tcPr>
            <w:tcW w:w="1840" w:type="dxa"/>
            <w:vAlign w:val="bottom"/>
            <w:tcBorders>
              <w:bottom w:val="single" w:sz="8" w:color="D5EAEA"/>
            </w:tcBorders>
            <w:gridSpan w:val="2"/>
            <w:shd w:val="clear" w:color="auto" w:fill="D5EAEA"/>
          </w:tcPr>
          <w:p>
            <w:pPr>
              <w:jc w:val="center"/>
              <w:ind w:right="220"/>
              <w:spacing w:after="0"/>
              <w:rPr>
                <w:sz w:val="20"/>
                <w:szCs w:val="20"/>
                <w:color w:val="auto"/>
              </w:rPr>
            </w:pPr>
            <w:r>
              <w:rPr>
                <w:rFonts w:ascii="Arial" w:cs="Arial" w:eastAsia="Arial" w:hAnsi="Arial"/>
                <w:sz w:val="18"/>
                <w:szCs w:val="18"/>
                <w:color w:val="auto"/>
                <w:w w:val="92"/>
              </w:rPr>
              <w:t>PTH (1-34)</w:t>
            </w:r>
          </w:p>
        </w:tc>
        <w:tc>
          <w:tcPr>
            <w:tcW w:w="2500" w:type="dxa"/>
            <w:vAlign w:val="bottom"/>
            <w:tcBorders>
              <w:bottom w:val="single" w:sz="8" w:color="D5EAEA"/>
            </w:tcBorders>
            <w:shd w:val="clear" w:color="auto" w:fill="D5EAEA"/>
          </w:tcPr>
          <w:p>
            <w:pPr>
              <w:jc w:val="center"/>
              <w:spacing w:after="0"/>
              <w:rPr>
                <w:sz w:val="20"/>
                <w:szCs w:val="20"/>
                <w:color w:val="auto"/>
              </w:rPr>
            </w:pPr>
            <w:r>
              <w:rPr>
                <w:rFonts w:ascii="Arial" w:cs="Arial" w:eastAsia="Arial" w:hAnsi="Arial"/>
                <w:sz w:val="18"/>
                <w:szCs w:val="18"/>
                <w:color w:val="auto"/>
                <w:w w:val="84"/>
              </w:rPr>
              <w:t>4118</w:t>
            </w:r>
          </w:p>
        </w:tc>
        <w:tc>
          <w:tcPr>
            <w:tcW w:w="220" w:type="dxa"/>
            <w:vAlign w:val="bottom"/>
            <w:tcBorders>
              <w:bottom w:val="single" w:sz="8" w:color="D5EAEA"/>
            </w:tcBorders>
            <w:shd w:val="clear" w:color="auto" w:fill="D5EAEA"/>
          </w:tcPr>
          <w:p>
            <w:pPr>
              <w:spacing w:after="0"/>
              <w:rPr>
                <w:sz w:val="21"/>
                <w:szCs w:val="21"/>
                <w:color w:val="auto"/>
              </w:rPr>
            </w:pPr>
          </w:p>
        </w:tc>
        <w:tc>
          <w:tcPr>
            <w:tcW w:w="1600" w:type="dxa"/>
            <w:vAlign w:val="bottom"/>
            <w:tcBorders>
              <w:bottom w:val="single" w:sz="8" w:color="D5EAEA"/>
            </w:tcBorders>
            <w:shd w:val="clear" w:color="auto" w:fill="D5EAEA"/>
          </w:tcPr>
          <w:p>
            <w:pPr>
              <w:jc w:val="center"/>
              <w:spacing w:after="0"/>
              <w:rPr>
                <w:sz w:val="20"/>
                <w:szCs w:val="20"/>
                <w:color w:val="auto"/>
              </w:rPr>
            </w:pPr>
            <w:r>
              <w:rPr>
                <w:rFonts w:ascii="Arial" w:cs="Arial" w:eastAsia="Arial" w:hAnsi="Arial"/>
                <w:sz w:val="18"/>
                <w:szCs w:val="18"/>
                <w:color w:val="auto"/>
                <w:w w:val="92"/>
              </w:rPr>
              <w:t>1.5%</w:t>
            </w:r>
          </w:p>
        </w:tc>
        <w:tc>
          <w:tcPr>
            <w:tcW w:w="100" w:type="dxa"/>
            <w:vAlign w:val="bottom"/>
            <w:tcBorders>
              <w:bottom w:val="single" w:sz="8" w:color="D5EAEA"/>
            </w:tcBorders>
            <w:shd w:val="clear" w:color="auto" w:fill="D5EAEA"/>
          </w:tcPr>
          <w:p>
            <w:pPr>
              <w:spacing w:after="0"/>
              <w:rPr>
                <w:sz w:val="21"/>
                <w:szCs w:val="2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Novartis/Emisphere (Eligen – CNAC)(1)</w:t>
            </w: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PTH (1-34)</w:t>
            </w:r>
          </w:p>
        </w:tc>
        <w:tc>
          <w:tcPr>
            <w:tcW w:w="2500" w:type="dxa"/>
            <w:vAlign w:val="bottom"/>
          </w:tcPr>
          <w:p>
            <w:pPr>
              <w:jc w:val="center"/>
              <w:spacing w:after="0"/>
              <w:rPr>
                <w:sz w:val="20"/>
                <w:szCs w:val="20"/>
                <w:color w:val="auto"/>
              </w:rPr>
            </w:pPr>
            <w:r>
              <w:rPr>
                <w:rFonts w:ascii="Arial" w:cs="Arial" w:eastAsia="Arial" w:hAnsi="Arial"/>
                <w:sz w:val="18"/>
                <w:szCs w:val="18"/>
                <w:color w:val="auto"/>
                <w:w w:val="84"/>
              </w:rPr>
              <w:t>4118</w:t>
            </w:r>
          </w:p>
        </w:tc>
        <w:tc>
          <w:tcPr>
            <w:tcW w:w="22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0.2 – 0.5%</w:t>
            </w: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16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Enteris Biopharma – Unigen (Peptelligence)(2)</w:t>
            </w:r>
          </w:p>
        </w:tc>
        <w:tc>
          <w:tcPr>
            <w:tcW w:w="1840" w:type="dxa"/>
            <w:vAlign w:val="bottom"/>
            <w:tcBorders>
              <w:bottom w:val="single" w:sz="8" w:color="D5EAEA"/>
            </w:tcBorders>
            <w:gridSpan w:val="2"/>
            <w:shd w:val="clear" w:color="auto" w:fill="D5EAEA"/>
          </w:tcPr>
          <w:p>
            <w:pPr>
              <w:jc w:val="center"/>
              <w:ind w:right="220"/>
              <w:spacing w:after="0"/>
              <w:rPr>
                <w:sz w:val="20"/>
                <w:szCs w:val="20"/>
                <w:color w:val="auto"/>
              </w:rPr>
            </w:pPr>
            <w:r>
              <w:rPr>
                <w:rFonts w:ascii="Arial" w:cs="Arial" w:eastAsia="Arial" w:hAnsi="Arial"/>
                <w:sz w:val="18"/>
                <w:szCs w:val="18"/>
                <w:color w:val="auto"/>
                <w:w w:val="92"/>
              </w:rPr>
              <w:t>PTH (1-31)</w:t>
            </w:r>
          </w:p>
        </w:tc>
        <w:tc>
          <w:tcPr>
            <w:tcW w:w="2500" w:type="dxa"/>
            <w:vAlign w:val="bottom"/>
            <w:tcBorders>
              <w:bottom w:val="single" w:sz="8" w:color="D5EAEA"/>
            </w:tcBorders>
            <w:shd w:val="clear" w:color="auto" w:fill="D5EAEA"/>
          </w:tcPr>
          <w:p>
            <w:pPr>
              <w:jc w:val="center"/>
              <w:spacing w:after="0"/>
              <w:rPr>
                <w:sz w:val="20"/>
                <w:szCs w:val="20"/>
                <w:color w:val="auto"/>
              </w:rPr>
            </w:pPr>
            <w:r>
              <w:rPr>
                <w:rFonts w:ascii="Arial" w:cs="Arial" w:eastAsia="Arial" w:hAnsi="Arial"/>
                <w:sz w:val="18"/>
                <w:szCs w:val="18"/>
                <w:color w:val="auto"/>
                <w:w w:val="89"/>
              </w:rPr>
              <w:t>3719</w:t>
            </w:r>
          </w:p>
        </w:tc>
        <w:tc>
          <w:tcPr>
            <w:tcW w:w="220" w:type="dxa"/>
            <w:vAlign w:val="bottom"/>
            <w:tcBorders>
              <w:bottom w:val="single" w:sz="8" w:color="D5EAEA"/>
            </w:tcBorders>
            <w:shd w:val="clear" w:color="auto" w:fill="D5EAEA"/>
          </w:tcPr>
          <w:p>
            <w:pPr>
              <w:spacing w:after="0"/>
              <w:rPr>
                <w:sz w:val="21"/>
                <w:szCs w:val="21"/>
                <w:color w:val="auto"/>
              </w:rPr>
            </w:pPr>
          </w:p>
        </w:tc>
        <w:tc>
          <w:tcPr>
            <w:tcW w:w="1600" w:type="dxa"/>
            <w:vAlign w:val="bottom"/>
            <w:tcBorders>
              <w:bottom w:val="single" w:sz="8" w:color="D5EAEA"/>
            </w:tcBorders>
            <w:shd w:val="clear" w:color="auto" w:fill="D5EAEA"/>
          </w:tcPr>
          <w:p>
            <w:pPr>
              <w:jc w:val="center"/>
              <w:spacing w:after="0"/>
              <w:rPr>
                <w:sz w:val="20"/>
                <w:szCs w:val="20"/>
                <w:color w:val="auto"/>
              </w:rPr>
            </w:pPr>
            <w:r>
              <w:rPr>
                <w:rFonts w:ascii="Arial" w:cs="Arial" w:eastAsia="Arial" w:hAnsi="Arial"/>
                <w:sz w:val="18"/>
                <w:szCs w:val="18"/>
                <w:color w:val="auto"/>
                <w:w w:val="90"/>
              </w:rPr>
              <w:t>0.52%</w:t>
            </w:r>
          </w:p>
        </w:tc>
        <w:tc>
          <w:tcPr>
            <w:tcW w:w="100" w:type="dxa"/>
            <w:vAlign w:val="bottom"/>
            <w:tcBorders>
              <w:bottom w:val="single" w:sz="8" w:color="D5EAEA"/>
            </w:tcBorders>
            <w:shd w:val="clear" w:color="auto" w:fill="D5EAEA"/>
          </w:tcPr>
          <w:p>
            <w:pPr>
              <w:spacing w:after="0"/>
              <w:rPr>
                <w:sz w:val="21"/>
                <w:szCs w:val="2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Multiple manufacturers(3)</w:t>
            </w: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Desmopressin</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1069</w:t>
            </w:r>
          </w:p>
        </w:tc>
        <w:tc>
          <w:tcPr>
            <w:tcW w:w="22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0.16%</w:t>
            </w:r>
          </w:p>
        </w:tc>
        <w:tc>
          <w:tcPr>
            <w:tcW w:w="10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16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b w:val="1"/>
                <w:bCs w:val="1"/>
                <w:color w:val="auto"/>
              </w:rPr>
              <w:t>Chiasma (TPE)(4)</w:t>
            </w:r>
          </w:p>
        </w:tc>
        <w:tc>
          <w:tcPr>
            <w:tcW w:w="1840" w:type="dxa"/>
            <w:vAlign w:val="bottom"/>
            <w:tcBorders>
              <w:bottom w:val="single" w:sz="8" w:color="D5EAEA"/>
            </w:tcBorders>
            <w:gridSpan w:val="2"/>
            <w:shd w:val="clear" w:color="auto" w:fill="D5EAEA"/>
          </w:tcPr>
          <w:p>
            <w:pPr>
              <w:jc w:val="center"/>
              <w:ind w:right="200"/>
              <w:spacing w:after="0"/>
              <w:rPr>
                <w:sz w:val="20"/>
                <w:szCs w:val="20"/>
                <w:color w:val="auto"/>
              </w:rPr>
            </w:pPr>
            <w:r>
              <w:rPr>
                <w:rFonts w:ascii="Arial" w:cs="Arial" w:eastAsia="Arial" w:hAnsi="Arial"/>
                <w:sz w:val="18"/>
                <w:szCs w:val="18"/>
                <w:color w:val="auto"/>
                <w:w w:val="91"/>
              </w:rPr>
              <w:t>Octreotide</w:t>
            </w:r>
          </w:p>
        </w:tc>
        <w:tc>
          <w:tcPr>
            <w:tcW w:w="2720" w:type="dxa"/>
            <w:vAlign w:val="bottom"/>
            <w:tcBorders>
              <w:bottom w:val="single" w:sz="8" w:color="D5EAEA"/>
            </w:tcBorders>
            <w:gridSpan w:val="2"/>
            <w:shd w:val="clear" w:color="auto" w:fill="D5EAEA"/>
          </w:tcPr>
          <w:p>
            <w:pPr>
              <w:jc w:val="center"/>
              <w:ind w:right="220"/>
              <w:spacing w:after="0"/>
              <w:rPr>
                <w:sz w:val="20"/>
                <w:szCs w:val="20"/>
                <w:color w:val="auto"/>
              </w:rPr>
            </w:pPr>
            <w:r>
              <w:rPr>
                <w:rFonts w:ascii="Arial" w:cs="Arial" w:eastAsia="Arial" w:hAnsi="Arial"/>
                <w:sz w:val="18"/>
                <w:szCs w:val="18"/>
                <w:color w:val="auto"/>
                <w:w w:val="93"/>
              </w:rPr>
              <w:t>1019 (Cyclic peptide)</w:t>
            </w:r>
          </w:p>
        </w:tc>
        <w:tc>
          <w:tcPr>
            <w:tcW w:w="1600" w:type="dxa"/>
            <w:vAlign w:val="bottom"/>
            <w:tcBorders>
              <w:bottom w:val="single" w:sz="8" w:color="D5EAEA"/>
            </w:tcBorders>
            <w:shd w:val="clear" w:color="auto" w:fill="D5EAEA"/>
          </w:tcPr>
          <w:p>
            <w:pPr>
              <w:jc w:val="center"/>
              <w:spacing w:after="0"/>
              <w:rPr>
                <w:sz w:val="20"/>
                <w:szCs w:val="20"/>
                <w:color w:val="auto"/>
              </w:rPr>
            </w:pPr>
            <w:r>
              <w:rPr>
                <w:rFonts w:ascii="Arial" w:cs="Arial" w:eastAsia="Arial" w:hAnsi="Arial"/>
                <w:sz w:val="18"/>
                <w:szCs w:val="18"/>
                <w:color w:val="auto"/>
                <w:w w:val="90"/>
              </w:rPr>
              <w:t>0.67%</w:t>
            </w:r>
          </w:p>
        </w:tc>
        <w:tc>
          <w:tcPr>
            <w:tcW w:w="100" w:type="dxa"/>
            <w:vAlign w:val="bottom"/>
            <w:tcBorders>
              <w:bottom w:val="single" w:sz="8" w:color="D5EAEA"/>
            </w:tcBorders>
            <w:shd w:val="clear" w:color="auto" w:fill="D5EAEA"/>
          </w:tcPr>
          <w:p>
            <w:pPr>
              <w:spacing w:after="0"/>
              <w:rPr>
                <w:sz w:val="21"/>
                <w:szCs w:val="2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Proxima Concepts (AXCESS)(5)</w:t>
            </w:r>
          </w:p>
        </w:tc>
        <w:tc>
          <w:tcPr>
            <w:tcW w:w="18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Insulin</w:t>
            </w: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5733</w:t>
            </w:r>
          </w:p>
        </w:tc>
        <w:tc>
          <w:tcPr>
            <w:tcW w:w="22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0.7%</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-1019810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6033770</wp:posOffset>
            </wp:positionH>
            <wp:positionV relativeFrom="paragraph">
              <wp:posOffset>-1019810</wp:posOffset>
            </wp:positionV>
            <wp:extent cx="1371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-1019810</wp:posOffset>
            </wp:positionV>
            <wp:extent cx="14605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-1019810</wp:posOffset>
            </wp:positionV>
            <wp:extent cx="15430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10890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Source: The single dose pharmacokinetic profile of a novel oral human parathyroid hormone formulation in healthy postmenopausal women Sibylle P.</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Hämmerle, et al. Bone. 2012 Apr;50(4):965-73. doi: 10.1016/j.bone.2012.01.009. Epub 2012 Jan 25.</w:t>
      </w:r>
    </w:p>
    <w:p>
      <w:pPr>
        <w:spacing w:after="0" w:line="210" w:lineRule="exact"/>
        <w:rPr>
          <w:rFonts w:ascii="Arial" w:cs="Arial" w:eastAsia="Arial" w:hAnsi="Arial"/>
          <w:sz w:val="16"/>
          <w:szCs w:val="16"/>
          <w:color w:val="auto"/>
        </w:rPr>
      </w:pPr>
    </w:p>
    <w:p>
      <w:pPr>
        <w:ind w:left="340" w:hanging="332"/>
        <w:spacing w:after="0"/>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Source: Pharmacokinetics of oral recombinant human parathyroid hormone rhPTH (1-31)NH2 in postmenopausal women with osteoporosis. Sturmer A1</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et el. Clin Pharmacokinet. 2013 Nov;52(11):995-1004. doi: 10.1007/s40262-013-0083-4.</w:t>
      </w:r>
    </w:p>
    <w:p>
      <w:pPr>
        <w:spacing w:after="0" w:line="210" w:lineRule="exact"/>
        <w:rPr>
          <w:rFonts w:ascii="Arial" w:cs="Arial" w:eastAsia="Arial" w:hAnsi="Arial"/>
          <w:sz w:val="16"/>
          <w:szCs w:val="16"/>
          <w:color w:val="auto"/>
        </w:rPr>
      </w:pPr>
    </w:p>
    <w:p>
      <w:pPr>
        <w:ind w:left="340" w:right="200" w:hanging="332"/>
        <w:spacing w:after="0" w:line="277"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Source: Public Assessment Report, Desmopressin Acetate 100 Microgram Tablet PL 24668/0177 and Desmopressin Acetate 200 Microgram Tablet PL 24668/0178. Medicines and Healthcare Products Regulatory Agency.</w:t>
      </w:r>
    </w:p>
    <w:p>
      <w:pPr>
        <w:spacing w:after="0" w:line="170"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Source: Pharmacokinetic Modeling of Oral Octreotide (Octreolin™) in Healthy Volunteers and Dosing Regimen Optimization for Acromegaly Patients. Shmuel Tuvia et al. Endocrine Society’s 94th Annual Meeting June 2012, OR29-6-OR29-6.</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Source: The glucose lowering effect of an oral insulin (Capsulin) during an isoglycaemic clamp study in persons with type 2 diabetes S. D. Luzio et al.</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Diabetes Obes Metab. 2010 Jan;12(1):82-7. doi: 10.1111/j.1463-1326.2009.01146.x. Epub 2009 Sep 25.</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Preclinical and Clinical Development of EB613</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EB613 is PTH (1-34) combined with our proprietary technology for the oral delivery of large molecule therapeutics. We are optimizing the PK profile of EB613 specifically for the treatment of osteoporosis, and we expect that our dose and formulation will be significantly modified from that of EB612. Our development combines the proven efficacy of PTH in increasing bone formation in osteoporosis patients with the additional benefit of permitting oral administration, which reduces the treatment burden on patients, leading to higher patient and physician acceptance. We believe each dose of oral PTH would trigger a Cmax peak, stimulating osteoclasts and osteoblasts, thereby increasing overall bone formation.</w:t>
      </w:r>
    </w:p>
    <w:p>
      <w:pPr>
        <w:spacing w:after="0" w:line="1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preclinical and Phase 1 clinical development, EB613 exhibited no serious related adverse events and displayed compelling PK and PD properties, in particular compared to commercially available injectable PTH (1-34) (Forteo). There were no related serious or significant adverse events reported in earlier trials. In our Phase 1b trial, there were minor drug related adverse events such as minor hypercalcemia in two subjects, minor tachycardia in three subjects, headache in two subjects and hypothermia in one subject. There were also two possibly related mild adverse events in our Phase 1a trial: anemia in one subject and nausea in one subject. We believe these two adverse events were likely unrelated. For example, the anemia event occurred 12 days after a placebo treatment. In addition, one subject in the Phase 1a trial experienced a drug related musculoskeletal and connective tissue event of knee cramps.</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EB613: Favorable Pharmacodynamic Profile</w:t>
      </w:r>
    </w:p>
    <w:p>
      <w:pPr>
        <w:sectPr>
          <w:pgSz w:w="11900" w:h="16838" w:orient="portrait"/>
          <w:cols w:equalWidth="0" w:num="1">
            <w:col w:w="11420"/>
          </w:cols>
          <w:pgMar w:left="240" w:top="225" w:right="239" w:bottom="1440" w:gutter="0" w:footer="0" w:header="0"/>
        </w:sectPr>
      </w:pP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95" w:name="page96"/>
    <w:bookmarkEnd w:id="9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Cyclic AMP, or cAMP, is a known indicator of PTH activity. It is part of the signaling pathway activated by the PTH binding to its cellular receptors. cAMP can be measured in the plasma and used as a biological marker of PTH activity. The graph below shows a similar activation profile following dosing of both commercial Forteo and EB613.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124460</wp:posOffset>
            </wp:positionV>
            <wp:extent cx="4648200" cy="15779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648200" cy="157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graph below shows the PK profile of a subcutaneous injection with injectable PTH (1-34), EB613 and placebo from our Phase 1 clinical trial. Both the injectable PTH (1-34) and the oral PTH (1-34) have a rapid increase in plasma concentrations followed by a fast elimination phase. This is significant for attaining the desired anabolic effect by transiently activating the biological pathways and possibly even more so with our oral PTH as its profile is sharper than the injection with a more rapid return to baseline. It is believed that the prolonged increase in PTH levels may reduce the desired anabolic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107315</wp:posOffset>
            </wp:positionV>
            <wp:extent cx="5240020" cy="22212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40020"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Planned Clinical Development</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intent is to seek FDA guidance on our proposed clinical trial design as part of a Pre-IND meeting in the second half of 2018. After we receive feedback from the FDA, we intend to conduct a Phase 2a dose finding study in osteoporosis patients in 2019.</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Development of Orally Delivered Large Molecule Therapeutics</w:t>
      </w:r>
    </w:p>
    <w:p>
      <w:pPr>
        <w:spacing w:after="0" w:line="222"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We intend to use our technology as a platform for the oral delivery of low-bioavailability therapeutics, which may include small molecules with very low absorption due to their poor permeability properties (BCS class 3 drugs), proteins and other large molecule therapeutics. We have conducted initial feasibility studies with a number of candidates, including human growth hormone, and intend to commence clinical development for our next, non-PTH, product candidate in the future. For example, in initial rodent studies utilizing Entera’s drug delivery technology, an oral formulation of human growth hormone obtained significant concentrations of intact human growth hormone throughout the blood stream. We expect that the key criteria in selecting our next clinical candidate will include: the size of the molecule and other chemical characteristics that would benefit from our technology, whether the molecule is best delivered through the intestinal tract rather than through injection, and the drug’s dosing schedule, more specifically, whether it is prescribed for at least three months and would likely be best administered at least once a day. Additionally, we may target large proteins that are prone to inducing damaging immune responses when injected subcutaneously. In some cases, the immune response to the injection is so severe as to reduce or eliminate all physiological effect of the drug upon the illness. We are also considering</w:t>
      </w:r>
    </w:p>
    <w:p>
      <w:pPr>
        <w:sectPr>
          <w:pgSz w:w="11900" w:h="16838" w:orient="portrait"/>
          <w:cols w:equalWidth="0" w:num="1">
            <w:col w:w="11420"/>
          </w:cols>
          <w:pgMar w:left="240" w:top="225" w:right="239" w:bottom="1440" w:gutter="0" w:footer="0" w:header="0"/>
        </w:sectPr>
      </w:pPr>
    </w:p>
    <w:p>
      <w:pPr>
        <w:spacing w:after="0" w:line="8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96" w:name="page97"/>
    <w:bookmarkEnd w:id="9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7"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whether to partner the development of any such additional product candidates and are in early stage discussions with a number of external parties.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Bone Healing/Non-union Fractures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Currently, no pharmacological treatments are available to stimulate bone healing. A number of studies suggest that PTH could be beneficial in the treatment of fractures and could thus be a potentially new treatment option for the induction of bone healing. Non-union fractures occur when the normal process of bone healing is interrupted and a fracture does not heal properly or does not heal at all. By definition, a non-union fracture will not heal on its own. Most non-union fractures require surgery, which can involve bone grafts or stabilizing the affected bone by affixing rods, plates or screws. Risks of surgery include neurovascular injury, infection and hemorrhage.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In the United States, there are approximately seven million new fractures each year, with approximately 300,000 delayed union or non-union fractures.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Estimates for the average non-union treatment costs vary from approximately $25,000 to $45,000.</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Depending on the nature of the fracture, non-surgical solutions can include electrical stimulation or fitting external braces. Other more experimental techniques exist as well, including ultrasound stimulation, which has been approved by the FDA for treating fresh fracture since the 1990s. Unlike in osteoporosis treatment, a pharmacological solution is not the norm for fractures. The major drawbacks of the more traditional methods are invasiveness and the risks inherent with surgery. In addition, bone grafting is associated with considerable morbidity, including chronic pain, injury to nerves and muscles and blood loss. Surgical cost is another significant concern. Experimental techniques, such as stimulation of the bone with electricity or sound show some promise for healing, but data demonstrating its effectiveness remains limited.</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Entera’s Potential Solution for Non-union Fractures</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Studies have suggested that PTH can accelerate bone healing. PTH increases the activity and number of osteoblasts, which are responsible for bone formation, making it critical for cases where bone healing is delayed.</w:t>
      </w:r>
    </w:p>
    <w:p>
      <w:pPr>
        <w:spacing w:after="0" w:line="17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intend to investigate the efficacy of EB613 for non-union fractures. We may either pursue fracture treatment as an additional use of EB613 or further modify the formulation if studies suggest we could achieve a PK profile that is more efficacious for bone fractures. As non-union fractures and bone healing are non-chronic conditions, generally entailing three to six months of treatment, we believe the acceptance of oral PTH will be higher than other potential pharmacological alternatives. We believe we will be able to use the data generated with EB613 in Phase 1 clinical trials relating to osteoporosis to progress directly to a Phase 2a clinical trial of our oral PTH product candidates for non-union bone fractures.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Strategy</w:t>
      </w:r>
    </w:p>
    <w:p>
      <w:pPr>
        <w:spacing w:after="0" w:line="229"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We are initially focused on developing an oral PTH (1-34), for the treatment of hypoparathyroidism, or EB612. We are also developing an oral PTH (1-34), with a significantly modified formulation for the treatment of osteoporosis, or EB613, and plan to also conduct clinical trials of EB613 for the treatment of non-union fractures. We are also investigating applying our oral drug delivery platform to other FDA-approved proteins or large molecule therapeutics.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not yet established sales, marketing or product distribution operations because our product candidates are in clinical development. Prior to receiving regulatory approval for EB612, if approved, we plan to build a focused sales and marketing organization in the United States and other jurisdictions where we anticipate obtaining approval to sell EB612 once approved. We believe that we can independently commercialize EB612 with a small salesforce by targeting a relatively small prescriber base of primarily endocrinologists in centers of excellence. We would, however, evaluate other opportunities to commercialize EB612 and other products candidates for orphan indications, if attractive. We may seek a partner to develop EB613, and anticipate that any such partner would be responsible for, or substantially support, late stage clinical trials of EB613 as well as submitting applications for regulatory approvals and registrations.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industry is highly competitive and subject to rapid and significant technological change. While we believe that our technology, knowledge, experience and scientific resources provide us with competitive advantages, we face competition from many different sources, including large pharmaceutical, specialty pharmaceutical, biotechnology, and generic drug companies and academic and government institutions. We believe that the key competitive factors that will affect the development and commercial success of our oral PTH product candidates for hypoparathyroidism, osteoporosis and non-union fractures, and any other product candidates that we</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develop, are the efficacy, safety and tolerability profile, convenience in dosing, product labeling, price and availability of reimbursement from the government and other third-parties. Our commercial opportunity could be reduced or eliminated if our competitors have products that are better in one or more of these categories.</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expect that, if approved, our oral PTH product candidates for hypoparathyroidism, osteoporosis and non-union fractures, and other product candidates that we develop, would compete with a number of existing products. Furthermore, we believe that we face competition with regard to our oral drug delivery platform, as we believe that other non-invasive medical drug delivery technologies, including alternative oral delivery systems as well as transdermal patches, are being developed by other parties. Many of our potential competitors have substantially greater financial, technical, commercial and human resources than we do and significantly more experience in the discovery, development and regulatory approvals of product candidates, and the commercialization of those products. Accordingly, our competitors may be more successful than us in obtaining FDA approval for product candidates and achieving widespread market acceptance. See “Risk Factors — Risks Related to Commercialization of Our Product Candidates.”</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EB612 for Hypoparathyroidism</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Historically, the treatments for hypoparathyroidism have been calcium supplements, vitamin D supplements and phosphate binders, however many serious side effects result from this therapy. Our product candidate EB612 is designed to deliver PTH to hypoparathyroid patients to directly address the underlying PTH deficiency. Because our product would be a branded pharmaceutical, in contrast to the over-the-counter supplements currently used by those with the condition, we believe that the market acceptance will be strongest among patients whose disease is not well-controlled by over-the-counter supplements, or in those patients who continue to suffer from side effects associated with therapy or symptoms associated with poor management of their condition.</w:t>
      </w:r>
    </w:p>
    <w:p>
      <w:pPr>
        <w:spacing w:after="0" w:line="158" w:lineRule="exact"/>
        <w:rPr>
          <w:sz w:val="20"/>
          <w:szCs w:val="20"/>
          <w:color w:val="auto"/>
        </w:rPr>
      </w:pPr>
    </w:p>
    <w:p>
      <w:pPr>
        <w:jc w:val="both"/>
        <w:ind w:right="60"/>
        <w:spacing w:after="0" w:line="285" w:lineRule="auto"/>
        <w:rPr>
          <w:sz w:val="20"/>
          <w:szCs w:val="20"/>
          <w:color w:val="auto"/>
        </w:rPr>
      </w:pPr>
      <w:r>
        <w:rPr>
          <w:rFonts w:ascii="Arial" w:cs="Arial" w:eastAsia="Arial" w:hAnsi="Arial"/>
          <w:sz w:val="16"/>
          <w:szCs w:val="16"/>
          <w:color w:val="auto"/>
        </w:rPr>
        <w:t>We believe that our key competitor in hypoparathyroidism treatment is Shire plc, which is marketing Natpara, an injectable bioengineered recombinant form of PTH (1-84) that was approved by the FDA in January 2015. Natpara has been granted orphan drug designation for hypoparathyroidism by the FDA as the first approved product for this indication, has orphan drug market exclusivity for seven years in the United States. Orphan drug market exclusivity means that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Therefore, we will only be able to obtain regulatory approval for EB612, which also has orphan drug designation for hypoparathyroidism, if we demonstrate EB612’s clinical superiority over Natpara in that it demonstrates greater effectiveness or safety than Natpara or that it otherwise makes a major contribution to patient care. We believe that we will be able to demonstrate that our oral formulation of PTH is clinically superior to Natpara in terms of efficacy and safety, and therefore, that Natpara’s orphan drug exclusivity will not prevent the FDA from approving our BLA for oral PTH prior to the expiration of Natpara’s market exclusivity period.</w:t>
      </w:r>
    </w:p>
    <w:p>
      <w:pPr>
        <w:spacing w:after="0" w:line="19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Ascendis Pharma has reported that it is developing a long-acting oral, prodrug formulation of PTH for the treatment of hypoparathyroidism. In September 2017, Ascendis reported that it has initiated a Phase 1 trial with their drug in Australia. Ascendis expects to advance their drug directly into Phase 3 development in the first quarter of 2019</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EB613 for Osteoporosis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Current treatments for osteoporosis generally fall into two categories: antiresorptive medications to slow bone loss and anabolic medications to increase the rate of bone formation. The global osteoporosis drug market has traditionally been dominated by bisphosphonates, which slow bone loss. Although bisphosphonates’ market share has declined due to the occurrence of serious side effects, as well as the introduction of newly developed pharmacological treatments, many of the new drugs have serious side effects of their own. Eli Lilly’s Forteo, is one of the most effective osteoporosis medications. We anticipate that our product candidate EB613 if approved, will compete with Forteo. We believe that EB613 may prove to be superior to Forteo due to its oral administration, potentially leading to greater patient acceptance and its sharper pharmacokinetic profile which is expected to have more potent anabolic effect. However, our competitors in this market are large pharmaceutical companies with greater resources than us and the alternatives therapies have been on the market for many years and have widespread market acceptance.</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Bone Healing</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are currently no approved pharmacological treatments to stimulate bone healing. We anticipate that, if approved, our oral PTH product candidate for the treatment of non-union fractures would compete with non-pharmacological treatments such as electrical stimulation as well as off-label use of Forteo.</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Israeli Innovation Authority Grants</w:t>
      </w: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have received grants of approximately $0.5 million from the IIA to partially fund our research and development. The grants are subject to certain requirements and restrictions in the Encouragement of Research, Development and Technological Innovation in Industry Law, 5744-1984, or the Research Law. In general, until the grants are repaid with interest, royalties are payable to the Israeli government in the amount of 3% on revenues derived from sales of products or services developed in whole or in part using the IIA grants, including EB612, EB613 and any other oral PTH product candidates we may develop. The royalty rate may increase to 5%, with respect to approved applications filed following any year in which we achieve sales of over $70 million.</w:t>
      </w:r>
    </w:p>
    <w:p>
      <w:pPr>
        <w:spacing w:after="0" w:line="15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amount that must be repaid may be increased to three times the amount of the grant received, and the rate of royalties may be accelerated if manufacturing of the products developed with the grant money is transferred outside of the State of Israel. As of December 31, 2017, the total royalty amount payable to the IIA, including accrued interest, was approximately $0.5 million. As of December 31, 2017, we had not paid any royalties to the IIA.</w:t>
      </w:r>
    </w:p>
    <w:p>
      <w:pPr>
        <w:spacing w:after="0" w:line="14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to paying any royalties due, we must abide by other restrictions associated with receiving such grants under the Research Law that continue to apply even following repayment to the IIA. These restrictions may impair our ability to outsource manufacturing, engage in change of control transactions or otherwise transfer our “know-how” (as defined in the Research Law) outside of Israel, and may require us to obtain the approval of the IIA for certain actions and transactions and pay additional royalties and other amounts to the IIA. We may not receive the required approvals for any proposed transfer and, even if received, we may be required to pay the IIA a portion of the consideration that we receive upon any sale of such technology to a non-Israeli entity up to 600% of the grant amounts plus interest. We believe that, because production is not being done for commercial purposes, the entry into the production agreement in the U.K. will not affect the royalty rates to be paid to the IIA. Should it turn out that this position is not acceptable to the IIA, the maximum royalties to be paid to the IIA will be approximately $1.5 million, which is three times the amount of the original grants of $0.5 million. In addition, any change of control and any change of ownership of our ordinary shares (including by way of an initial public offering) that would cause a non-Israeli citizen or resident to become an “interested party,” as defined in the Research Law (which includes any person who holds 5% or more of our outstanding shares), requires written notice to the IIA. Such a non-Israeli interested party is required to sign an undertaking towards the IIA in which it undertakes to comply with the Research Law. If we fail to comply with the Research Law, we may be forced to return the grants and/or be subject to monetary fines and/or criminal charges.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Oramed Patent Transfer Agreement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2010, in connection with our establishment as a joint venture between D.N.A Biomedical and Oramed, a subsidiary of Oramed Pharmaceuticals, Inc., we entered into a patent license agreement with Oramed pursuant to which Oramed granted us a worldwide, royalty-bearing, exclusive, irrevocable, perpetual and sublicensable license under certain Oramed patent rights to develop, manufacture and commercialize products for certain indications to be specified by us and Oramed, other than diabetes, obesity and influenza. In February 2011, D.N.A Biomedical and Oramed entered into a share purchase agreement for the sale by Oramed to D.N.A Biomedical of 47% of our ordinary shares. In connection with this transaction, in February 2011 we entered into a patent transfer agreement with Oramed, or the Patent Transfer Agreement, to replace the original 2010 license agreement. Pursuant to the terms of the Patent Transfer Agreement, Oramed assigned to us all of its right, title and interest in the previously licensed patent rights, and in return we granted to Oramed a worldwide, royalty-free, exclusive, irrevocable, perpetual and sublicensable license under the assigned patent rights to develop, manufacture and commercialize products or otherwise exploit such patent rights in the fields of diabetes and influenza. Additionally, we agreed not to engage, directly or indirectly, in any activities in the fields of diabetes and influenza. In consideration for such assignment, we agreed to pay Oramed royalties equal to 3% of our net revenues generated, directly or indirectly, from exploitation of the assigned patent rights, including the sale, lease or transfer of the assigned patent rights or sales of products or services covered by the assigned patent rights. Either party may terminate the Patent Transfer Agreement for the other party’s uncured material breach upon 45 days’ written notice (and immediately upon written notice in the event of an incurable breach), or if the other party undergoes certain insolvency-related events. The royalty obligations imposed on us will survive termination of the Patent Transfer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success depends in part on our ability to protect the proprietary nature of our product candidates, technology, and know-how; operate without infringing on the proprietary rights of others; and prevent others from infringing on our proprietary rights. We seek to protect our proprietary position by, among other methods, seeking patent protection in the United States and in certain other jurisdictions for our product candidates and other technology that we consider important to the development of our business, where such protection is available. We believe that our success will depend in part on our ability to obtain patent protection for our intellectual property. We also intend to rely on trade secret protection, know-how and the exploitation of in-licensing opportunities to develop our proprietary position.</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Patent Rights</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our global patent portfolio included the following patents and patent applications:</w:t>
      </w:r>
    </w:p>
    <w:p>
      <w:pPr>
        <w:spacing w:after="0" w:line="225" w:lineRule="exact"/>
        <w:rPr>
          <w:sz w:val="20"/>
          <w:szCs w:val="20"/>
          <w:color w:val="auto"/>
        </w:rPr>
      </w:pPr>
    </w:p>
    <w:p>
      <w:pPr>
        <w:ind w:left="340" w:hanging="170"/>
        <w:spacing w:after="0" w:line="270" w:lineRule="auto"/>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Patents claiming compositions comprising a protein, an absorption enhancer and a protease inhibitor as well as methods for oral administration of a protein with an enzymatic activity, which compositions cover EB612 and EB613, have been issued in the United States, Australia, Japan, China, Israel, Canada, New Zealand and Russia. Related patent applications are pending in the United States, the European Union, Hong Kong, Brazil, India, Israel and Russia. Specifically, in the United States Australia, Japan, China, Israel and Russia divisional or continuation patent application have been filed to specifically cover PTH (1-34). Such patents have already been granted in Australia and Japan and a notice of allowance was recently issued for the U.S. application. Applications in the remaining jurisdictions are pending. The current issued patents in the United States and China are limited to insulin. These issued patents and any patents that may issue from the pending patent applications are currently expected to expire in August 2029, assuming all annuity and maintenance payments are paid thereon. Rights to these patents and patent applications were assigned to us pursuant to the Patent Transfer Agreement with Oramed.</w:t>
      </w:r>
    </w:p>
    <w:p>
      <w:pPr>
        <w:spacing w:after="0" w:line="181" w:lineRule="exact"/>
        <w:rPr>
          <w:rFonts w:ascii="Arial" w:cs="Arial" w:eastAsia="Arial" w:hAnsi="Arial"/>
          <w:sz w:val="17"/>
          <w:szCs w:val="17"/>
          <w:color w:val="auto"/>
        </w:rPr>
      </w:pPr>
    </w:p>
    <w:p>
      <w:pPr>
        <w:ind w:left="340" w:right="40" w:hanging="170"/>
        <w:spacing w:after="0" w:line="25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Two patent applications and one Patent Cooperation Treaty (PCT) application, which we believe, if issued as national stage patents containing substantially the same claims as those in the applications, would cover certain oral administration technologies. These technologies include compositions and drug delivery devices which utilize an absorption enhancer to enable the absorption of a therapeutically active agent in a controlled manner. We believe that certain of the pending claims contained in these patent applications, if issued in substantially the same form, would cover the formulations of EB612 and EB613.</w:t>
      </w:r>
    </w:p>
    <w:p>
      <w:pPr>
        <w:spacing w:after="0" w:line="188" w:lineRule="exact"/>
        <w:rPr>
          <w:rFonts w:ascii="Arial" w:cs="Arial" w:eastAsia="Arial" w:hAnsi="Arial"/>
          <w:sz w:val="18"/>
          <w:szCs w:val="18"/>
          <w:color w:val="auto"/>
        </w:rPr>
      </w:pPr>
    </w:p>
    <w:p>
      <w:pPr>
        <w:ind w:left="340" w:right="360" w:hanging="170"/>
        <w:spacing w:after="0" w:line="264"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Three patent applications filed in various jurisdictions, which we believe, if issued as patents containing substantially the same claims as those in the applications, would contain method of treatment claims covering the use of orally administered PTH for the treatment of osteoporosis, hypoparathyroidism, and bone fractures and related conditions.</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U.S. Patent and Trademark Office, or USPTO,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useful patent term lost, if any, during the FDA regulatory review process. However, a patent term extension cannot extend the remaining term of a patent beyond a total of 14 years from the date of the product’s approval by the FDA. The patent term extension period is generally one-half the time between the effective date of the IND and the submission date of the BLA for the product, plus the time between the submission date of the BLA and the approval of the application. Only one patent applicable to an approved drug is eligible for the extension and the application for the extension must be submitted prior to the expiration of the patent. Only those claims covering the approved drug, a method for using it or a method for manufacturing it may be extended. Moreover, we may not receive an extension because of, for example, failing to apply within applicable deadlines, failing to apply prior to expiration of relevant patents or otherwise failing to satisfy applicable requirements. Similar provisions are available in the European Union and certain other foreign jurisdictions to extend the term of a patent that covers an approved drug. However, the length of any extension, if granted, could be less than we request.</w:t>
      </w:r>
    </w:p>
    <w:p>
      <w:pPr>
        <w:spacing w:after="0" w:line="17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Trade Secrets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to patent rights, we also rely on unpatented trade secrets and know-how to protect our proprietary technology. However, trade secrets can be difficult to protect. We seek to protect our proprietary technology, in part, by entering into confidentiality agreements with our employees, consultants, contractors, manufacturers, outside scientific collaborators and sponsored researchers, members of our board of directors, technical review board and other advisors upon their engagement. These agreements generally provide that all confidential information developed or made known to the individual during the course of the individual’s relationship with us is to be kept confidential and not to be disclosed to third parties except in specific limited circumstances. We also generally require signed confidentiality or material transfer agreements from any company that is to receive our confidential information. In the case of employees, consultants, and contractors, the agreements also generally provide that all inventions conceived by the individual while rendering services to us shall be assigned to us as our exclusive property. There can be no assurance, however, that we have entered into agreements with all applicable parties, that all persons who we desire to sign such agreements will sign, or if they do, that these agreements will not be breached, that we would have adequate remedies for any breach, or that our unpatented trade secrets or know-how will not otherwise become known or be independently developed by competitors. Additionally, to the extent that our commercial partners, collaborators, employees, and consultants use intellectual property owned by others in their work for us, disputes may arise as to the rights in related or resulting know-how and inventions. For this and a more comprehensive discussion of risks related to our intellectual property, see “Risk Factors — Risks Related to Our Intellectual Property.”</w:t>
      </w: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do not own or operate facilities for large scale product manufacturing, storage and distribution, or testing, nor do we expect to in the future. Our current facility is limited to small-mid scale product manufacturing, storage and distribution of materials for clinical studies. Our facility has ISO:9001:2008 quality management systems accreditation from The Standards Institution of Israel for the production and development of functional excipients and oral drug formulations to be used in clinical trials. The facility includes a dedicated clean room designed as a Class C/ISO 8 clean room for tablet production and a dedicated chemical synthesis clean room designed as a Class C ISO 8 clean room.</w:t>
      </w:r>
    </w:p>
    <w:p>
      <w:pPr>
        <w:spacing w:after="0" w:line="1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manufacturing activities include the chemical synthesis of one of our non-active but functional drug components as well as the formulation and production of the final drug, packaging, storage and distribution. The testing and release of materials to be used in the manufacturing process as well as the testing and release of the manufactured products is overseen by our QA/QC department and relies on internal and external tests. We have signed a contract with a UK-based contract manufacturing organization, to produce and supply pills for trials performed worldwide. This contract is not exclusive and we may enter into additional contracts as we see fit. Various materials included in the drug formulation and materials procured for the chemical synthesis are commercially available from various accredited suppliers. We do not have supply contracts with all these vendors and are not bound to any specific vendor at this point in time. However, it is our intention to complete such contracts in anticipation of commercial manufacturing activities, so that if approved, we will have such contracts in place.</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March 2017, we contracted with an FDA/EMA inspected- GMP subcontractor in the UK to outsource activities for technical transfer and tablet production for our international clinical trials.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29"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pricing, quality control, approval, packaging, storage, recordkeeping, labeling, advertising, promotion, distribution, marketing, post-approval monitoring and reporting, and import and export of pharmaceutical products. The processes for obtaining regulatory approvals in the United States and in other countries and jurisdictions, along with subsequent compliance with applicable statutes and regulations and other regulatory authorities, require the expenditure of substantial time and financial resources.</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Review and Approval of Biologics in the United States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United States, our product candidates are regulated by the FDA as biologics under the Federal Food, Drug, and Cosmetic Act, or the FDCA, the Public Health Service Act, or the PHSA, and regulations implemented by the agency. The failure to comply with the applicable requirements at any time during the product development process, including preclinical testing, clinical testing, the approval process or post-approval process, may subject an applicant to delays in the conduct of clinical trials, regulatory review and approval, and/or administrative or judicial sanctions. These sanctions may include, but are not limited to, the FDA’s refusal to allow an applicant to proceed with clinical testing, refusal to approve pending applications, license suspension or revocation, withdrawal of an approval, warning letters, adverse publicity, product recalls, product seizures, total or partial suspension of production or distribution, injunctions, fines, and civil or criminal investigations and penalties brought by the FDA or Department of Justice, or other governmental entities.</w:t>
      </w:r>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process required by the FDA before a biologic may be marketed in the United States generally involves satisfactorily completing each of the following steps:</w:t>
      </w:r>
    </w:p>
    <w:p>
      <w:pPr>
        <w:spacing w:after="0" w:line="170" w:lineRule="exact"/>
        <w:rPr>
          <w:sz w:val="20"/>
          <w:szCs w:val="20"/>
          <w:color w:val="auto"/>
        </w:rPr>
      </w:pPr>
    </w:p>
    <w:p>
      <w:pPr>
        <w:ind w:left="340" w:right="480" w:hanging="170"/>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all performed in accordance with the FDA’s Good Laboratory Practice, or GLP, regulations;</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submission to the FDA of an IND application for human clinical testing, which must become effective before human clinical trials may begin;</w:t>
      </w:r>
    </w:p>
    <w:p>
      <w:pPr>
        <w:spacing w:after="0" w:line="236" w:lineRule="exact"/>
        <w:rPr>
          <w:rFonts w:ascii="Arial" w:cs="Arial" w:eastAsia="Arial" w:hAnsi="Arial"/>
          <w:sz w:val="17"/>
          <w:szCs w:val="17"/>
          <w:color w:val="auto"/>
        </w:rPr>
      </w:pPr>
    </w:p>
    <w:p>
      <w:pPr>
        <w:ind w:left="340" w:hanging="170"/>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representing each clinical site before each clinical trial may be initiated;</w:t>
      </w:r>
    </w:p>
    <w:p>
      <w:pPr>
        <w:spacing w:after="0" w:line="225" w:lineRule="exact"/>
        <w:rPr>
          <w:rFonts w:ascii="Arial" w:cs="Arial" w:eastAsia="Arial" w:hAnsi="Arial"/>
          <w:sz w:val="18"/>
          <w:szCs w:val="18"/>
          <w:color w:val="auto"/>
        </w:rPr>
      </w:pPr>
    </w:p>
    <w:p>
      <w:pPr>
        <w:ind w:left="340" w:right="80" w:hanging="170"/>
        <w:spacing w:after="0" w:line="277"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to establish the safety and efficacy of the product candidate for each proposed indication and conducted in accordance with Good Clinical Practice, or GCP, requirements;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right="780" w:hanging="170"/>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submission of data supporting safety and efficacy as well as detailed information on the manufacture and composition of the product in clinical development and proposed labeling;</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preparation and submission to the FDA of a BLA;</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review of the product by an FDA advisory committee, where appropriate or if applicable;</w:t>
      </w:r>
    </w:p>
    <w:p>
      <w:pPr>
        <w:spacing w:after="0" w:line="225" w:lineRule="exact"/>
        <w:rPr>
          <w:rFonts w:ascii="Arial" w:cs="Arial" w:eastAsia="Arial" w:hAnsi="Arial"/>
          <w:sz w:val="18"/>
          <w:szCs w:val="18"/>
          <w:color w:val="auto"/>
        </w:rPr>
      </w:pPr>
    </w:p>
    <w:p>
      <w:pPr>
        <w:ind w:left="340" w:right="160" w:hanging="170"/>
        <w:spacing w:after="0" w:line="286" w:lineRule="auto"/>
        <w:tabs>
          <w:tab w:leader="none" w:pos="3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satisfactory completion of one or more FDA inspections of the manufacturing facility or facilities, including those of third parties, at which the product, or components thereof, are produced to assess compliance with current good manufacturing practice, or cGMP, requirements and to assure that the facilities, methods and controls are adequate to preserve the product’s identity, strength, quality and purity;</w:t>
      </w:r>
    </w:p>
    <w:p>
      <w:pPr>
        <w:spacing w:after="0" w:line="165" w:lineRule="exact"/>
        <w:rPr>
          <w:rFonts w:ascii="Arial" w:cs="Arial" w:eastAsia="Arial" w:hAnsi="Arial"/>
          <w:sz w:val="17"/>
          <w:szCs w:val="17"/>
          <w:color w:val="auto"/>
        </w:rPr>
      </w:pPr>
    </w:p>
    <w:p>
      <w:pPr>
        <w:ind w:left="340" w:right="360" w:hanging="170"/>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satisfactory completion of any FDA audits of the non-clinical and clinical trial sites to assure compliance with GCP requirements and the integrity of clinical data in support of the BLA;</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BLA for the proposed indication; and</w:t>
      </w:r>
    </w:p>
    <w:p>
      <w:pPr>
        <w:spacing w:after="0" w:line="225" w:lineRule="exact"/>
        <w:rPr>
          <w:rFonts w:ascii="Arial" w:cs="Arial" w:eastAsia="Arial" w:hAnsi="Arial"/>
          <w:sz w:val="18"/>
          <w:szCs w:val="18"/>
          <w:color w:val="auto"/>
        </w:rPr>
      </w:pPr>
    </w:p>
    <w:p>
      <w:pPr>
        <w:ind w:left="340" w:right="220" w:hanging="170"/>
        <w:spacing w:after="0" w:line="277"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risk evaluation and mitigation strategies, or REMS, and any post-approval studies required by the FDA.</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Preclinical Studies and Investigational New Drug Application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Preclinical tests include laboratory evaluations of product chemistry, formulation and stability, as well as studies to evaluate the potential for efficacy and toxicity in animals.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 Some preclinical tests may continue even after submission of the IND application.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 can begin.</w:t>
      </w:r>
    </w:p>
    <w:p>
      <w:pPr>
        <w:spacing w:after="0" w:line="18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a result, submission of the IND may result in the FDA not allowing the clinical trials to commence or allowing the clinical trial to commence on the terms originally specified by the sponsor in the IND. If the FDA raises concerns or questions either during this initial 30-day period, or at any time during the IND process, it may choose to impose a partial or complete clinical hold. This order issued by the FDA would delay either a proposed clinical trial or cause suspension of an ongoing clinical trial, until all outstanding concerns have been adequately addressed and the FDA has notified the company that investigations may proceed. This could cause significant delays or difficulties in completing planned clinical trials in a timely manner.</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Clinical Trials</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Clinical trials involve the administration of the investigational product candidate to healthy volunteers or patients with the disease to be treated under the supervision of a qualified principal investigator in accordance with cGCP requirements. Clinical trials are conducted under trial protocols detailing, among other things, the objectives of the clinical trial,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15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 sponsor who wishes to conduct a clinical trial outside the United States may, but need not, obtain FDA authorization to conduct the clinical trial under an IND. If a clinical trial outside the United States is not conducted under an IND, the sponsor may submit data from the clinical trial to the FDA in support of a BLA so long as the clinical trial is conducted consistent with the spirit of GCP and in compliance with an international guideline for the ethical conduct of clinical research known as the Declaration of Helsinki and/or the laws and regulations of the country or countries in which the clinical trial is performed, whichever provides the greater protection to the participants in the clinical trial.</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the FDA regulations. The FDA, IRB or the clinical trial sponsor may suspend or discontinue a clinical trial at any time for various reasons, including a finding that the clinical trial is not being conducted in accordance with FDA requirements or the subjects or patients are being exposed to an unacceptable health risk. Clinical testing also must satisfy extensive GCP rules and the requirements for informed</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consent. Additionally, some clinical trials are overseen by an independent group of qualified experts organized by the clinical trial sponsor, known as a data safety monitoring board or committee. This group may recommend continuing the clinical trial as planned, make changes in clinical trial conduct, or cessation of the clinical trial at designated check points based on access to certain data from the clinical trial.</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Clinical trials typically are conducted in three sequential phases, but the phases may overlap or be combined. Annual progress reports detailing the results of the clinical trials must be submitted to the FDA. Additional studies may be required after approval.</w:t>
      </w:r>
    </w:p>
    <w:p>
      <w:pPr>
        <w:spacing w:after="0" w:line="170" w:lineRule="exact"/>
        <w:rPr>
          <w:sz w:val="20"/>
          <w:szCs w:val="20"/>
          <w:color w:val="auto"/>
        </w:rPr>
      </w:pPr>
    </w:p>
    <w:p>
      <w:pPr>
        <w:ind w:left="340" w:right="360" w:hanging="170"/>
        <w:spacing w:after="0" w:line="264"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clinical trials are initially conducted in a limited population to test the product candidate for safety, including adverse effects, dose tolerance,</w:t>
      </w:r>
      <w:r>
        <w:rPr>
          <w:rFonts w:ascii="Arial" w:cs="Arial" w:eastAsia="Arial" w:hAnsi="Arial"/>
          <w:sz w:val="18"/>
          <w:szCs w:val="18"/>
          <w:i w:val="1"/>
          <w:iCs w:val="1"/>
          <w:color w:val="auto"/>
        </w:rPr>
        <w:t xml:space="preserve"> </w:t>
      </w:r>
      <w:r>
        <w:rPr>
          <w:rFonts w:ascii="Arial" w:cs="Arial" w:eastAsia="Arial" w:hAnsi="Arial"/>
          <w:sz w:val="18"/>
          <w:szCs w:val="18"/>
          <w:color w:val="auto"/>
        </w:rPr>
        <w:t>absorption, metabolism, distribution, metabolism, excretion and pharmacodynamics in healthy humans or, on occasion, in patients, such as cancer patients.</w:t>
      </w:r>
    </w:p>
    <w:p>
      <w:pPr>
        <w:spacing w:after="0" w:line="181" w:lineRule="exact"/>
        <w:rPr>
          <w:rFonts w:ascii="Arial" w:cs="Arial" w:eastAsia="Arial" w:hAnsi="Arial"/>
          <w:sz w:val="18"/>
          <w:szCs w:val="18"/>
          <w:color w:val="auto"/>
        </w:rPr>
      </w:pPr>
    </w:p>
    <w:p>
      <w:pPr>
        <w:ind w:left="340" w:right="80" w:hanging="170"/>
        <w:spacing w:after="0" w:line="264"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clinical trials are generally conducted in a limited patient population to identify possible adverse effects and safety risks, evaluate the efficacy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181" w:lineRule="exact"/>
        <w:rPr>
          <w:rFonts w:ascii="Arial" w:cs="Arial" w:eastAsia="Arial" w:hAnsi="Arial"/>
          <w:sz w:val="18"/>
          <w:szCs w:val="18"/>
          <w:color w:val="auto"/>
        </w:rPr>
      </w:pPr>
    </w:p>
    <w:p>
      <w:pPr>
        <w:ind w:left="340" w:right="100" w:hanging="170"/>
        <w:spacing w:after="0" w:line="276" w:lineRule="auto"/>
        <w:tabs>
          <w:tab w:leader="none" w:pos="34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Phase 3 </w:t>
      </w:r>
      <w:r>
        <w:rPr>
          <w:rFonts w:ascii="Arial" w:cs="Arial" w:eastAsia="Arial" w:hAnsi="Arial"/>
          <w:sz w:val="17"/>
          <w:szCs w:val="17"/>
          <w:color w:val="auto"/>
        </w:rPr>
        <w:t>clinical trials proceed if the Phase 2 clinical trials demonstrate that a dose range of the product candidate is potentially effective and has an</w:t>
      </w:r>
      <w:r>
        <w:rPr>
          <w:rFonts w:ascii="Arial" w:cs="Arial" w:eastAsia="Arial" w:hAnsi="Arial"/>
          <w:sz w:val="17"/>
          <w:szCs w:val="17"/>
          <w:i w:val="1"/>
          <w:iCs w:val="1"/>
          <w:color w:val="auto"/>
        </w:rPr>
        <w:t xml:space="preserve"> </w:t>
      </w:r>
      <w:r>
        <w:rPr>
          <w:rFonts w:ascii="Arial" w:cs="Arial" w:eastAsia="Arial" w:hAnsi="Arial"/>
          <w:sz w:val="17"/>
          <w:szCs w:val="17"/>
          <w:color w:val="auto"/>
        </w:rPr>
        <w:t>acceptable safety profile. Phase 3 clinical trials are undertaken to further evaluate, in a larger number of patients,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drug: such Phase 3 studies are referred to as “pivotal.”</w:t>
      </w:r>
    </w:p>
    <w:p>
      <w:pPr>
        <w:spacing w:after="0" w:line="1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some cases, the FDA may approve a BLA for a product candidate but require the sponsor to conduct additional clinical trials to further assess the drug’s safety and effectiveness after BLA approval. Such post-approval trials are typically referred to as Phase 4 clinical trials. These studies are used to gain additional experience from the treatment of patients in the intended therapeutic indication and to document a clinical benefit in the case of drugs or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Failure to exhibit due diligence with regard to conducting Phase 4 clinical trials could result in withdrawal of approval for products.</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Compliance with Current Good Manufacturing Practice Requirements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Before approving a BLA, the FDA typically will inspect the facility or facilities where the product is manufactured. The FDA will not approve an application unless it determines that the manufacturing processes and facilities are in full compliance with cGMP requirements and adequate to assure consistent production of the product within required specifications. The PHSA emphasizes the importance of manufacturing control for products like biologics whose attributes cannot be precisely defined.</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Manufacturers and others involved in the manufacture and distribution of products must also register their establishments with the FDA and certain state agencies. Both U.S. and non-U.S. manufacturing establishments must register and provide additional information to the FDA upon their initial participation in the manufacturing process. Any product manufactured by or imported from a facility that has not registered, whether U.S. or non-U.S., is deemed misbranded under the FDCA. Establishments may be subject to periodic unannounced inspections by government authorities to ensure compliance with cGMPs and other laws.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Review and Approval of a Biologic License Application</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results of product candidate development, preclinical testing and clinical trials, including negative or ambiguous results as well as positive findings, are submitted to the FDA as part of a BLA requesting approval to market the product. The BLA also must contain extensive manufacturing information and detailed information on the composition of the product and proposed labeling as well as payment of a user fee. According to the FDA’s fee schedule, effective from October 1, 2017 through September 30, 2018, the user fee for an application requiring clinical data, such as a BLA, is $2,421,495.</w:t>
      </w:r>
    </w:p>
    <w:p>
      <w:pPr>
        <w:spacing w:after="0" w:line="15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FDA has 60 days after submission of the application to conduct an initial review to determine whether it is sufficient to accept for filing based on the agency’s threshold determination that it is sufficiently complete to permit substantive review. Once the submission</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has been accepted for filing, the FDA begins an in-depth review of the application. Under the goals and policies under the Prescription Drug User Fee Act, or the PDUFA, the FDA has ten months from the filing date in which to complete its initial review of a standard application and respond to the applicant, and six months for a priority review of the application. The FDA does not always meet its PDUFA goal dates for standard and priority applications. The review process may often be significantly extended by FDA requests for additional information or clarification. The review process and the PDUFA goal date may be extended by three months if the FDA requests, or the applicant otherwise provides additional information or clarification regarding information already provided in the submission within the last three months before the PDUFA goal date.</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Under the FDCA and the PHSA, the FDA may approve a BLA if it determines that the product is safe, pure and potent and the facility where the product will be manufactured meets standards designed to ensure that it continues to be safe, pure and potent.</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If the application is not approved, the FDA will issue a complete response letter, which will contain the conditions that must be met in order to secure final approval of the application, and when possible will outline recommended actions the sponsor might take to obtain approval of the application. Sponsors that receive a complete response letter may submit to the FDA information that represents a complete response to the issues identified by the FDA. Such resubmissions are classified under PDUFA as either Class 1 or Class 2. The classification of a resubmission is based on the information submitted by an applicant in response to an action letter. Under the goals and policies agreed to by the FDA under PDUFA, the FDA has two months to review a Class 1 resubmission and six months to review a Class 2 resubmission from the date of receipt. The FDA will not approve an application until issues identified in the complete response letter have been addressed.</w:t>
      </w:r>
    </w:p>
    <w:p>
      <w:pPr>
        <w:spacing w:after="0" w:line="18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FDA may also refer the application to an advisory committee for review, evaluation and recommendation as to whether the application should be approved.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safety after approval. The agency may also require testing and surveillance programs to monitor the product after commercialization, or impose other conditions, including distribution restrictions or other risk management mechanisms, including a REMS, to help ensure that the benefits of the product outweigh the potential risks. A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Fast Track, Breakthrough Therapy and Priority Review Designations</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FDA is authorized to designate certain products for expedited review if they are intended to address an unmet medical need in the treatment of a serious or life-threatening disease or condition. These programs are fast track designation, breakthrough therapy designation and priority review designation.</w:t>
      </w:r>
    </w:p>
    <w:p>
      <w:pPr>
        <w:spacing w:after="0" w:line="12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Second, in 2012, Congress enacted the Food and Drug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Accelerated Approval Pathway</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irreversible morbidity or mortality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spacing w:after="0" w:line="18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Post-Approval Regulation</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If regulatory approval for marketing of a product or new indication for an existing product is obtained, the sponsor will be required to comply with post-approval regulatory requirements, including any post-approval requirements that the FDA may have imposed as a condition of approval. The sponsor will be required to report certain adverse reactions and production problems to the FDA, provide updated safety and efficacy information and comply with requirements concerning advertising and promotional labeling requirements. Drug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drug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88" w:lineRule="exact"/>
        <w:rPr>
          <w:sz w:val="20"/>
          <w:szCs w:val="20"/>
          <w:color w:val="auto"/>
        </w:rPr>
      </w:pPr>
    </w:p>
    <w:p>
      <w:pPr>
        <w:ind w:left="340" w:hanging="170"/>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refusal of the FDA to approve pending BLAs or supplements to approved BLAs, or suspension or revocation of product license approvals;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Orphan Drug Designation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Orphan drug designation in the United States is designed to encourage sponsors to develop drugs intended for rare diseases or conditions. In the United States, a rare disease or condition is statutorily defined as a condition that affects fewer than 200,000 individuals in the United States or that affects more than 200,000 individuals in the United States and for which there is no reasonable expectation that the cost of developing and making available the drug for the disease or condition will be recovered from sales of the drug in the United States.</w:t>
      </w:r>
    </w:p>
    <w:p>
      <w:pPr>
        <w:spacing w:after="0" w:line="18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Orphan drug designation qualifies a company for tax credits, waiver of the BLA user fee and may confer market exclusivity for seven years following the date of the drug’s marketing approval, if granted by the FDA, if a product that has orphan designation subsequently receives the first FDA approval of that drug for the disease for which it has such designation. This means that the FDA may not approve any other applications, including BLA to market the same biologic even in a different formulation for the same indication for seven years, except in limited circumstances such as a showing of clinical superiority over the product with orphan drug exclusivity or where the manufacturer is unable to assure sufficient product quantity. An application for designation as an orphan product can be made any time prior to the filing of an application for approval to market the product. A product becomes an orphan product when it receives orphan drug designation from the Office of Orphan Products Development, or OOPD, at the FDA based on acceptable confidential requests made under the regulatory provisions. The product must then go through the review and approval process like any other product.</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approved product. More than one sponsor may receive orphan drug designation for the same product for the same rare disease or condition, but each sponsor seeking orphan drug designation must file a complete request for designation, and only the first sponsor that obtains approval for that drug for the orphan indication will obtain market exclusivity, effectively preventing the FDA from approving products under development by competitors for the same drug and same indication, unless the competitor is able to demonstrate that the product under development is clinically superior to the approved product or the approved product is not available in sufficient quantities. To permit the FDA to end another manufacturer’s orphan</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exclusivity period, the FDA must determine that the manufacturer has demonstrated clinical superiority by showing the later drug is safer, more effective, or otherwise makes a major contribution to patient care.</w:t>
      </w:r>
    </w:p>
    <w:p>
      <w:pPr>
        <w:spacing w:after="0" w:line="17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subsequent application for a different drug for the same indication. Orphan drug designation neither shortens the development time or regulatory review time of a drug nor gives the drug any advantage in the regulatory review or approval process.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Biosimilars and Exclusivity</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2010 Patient Protection and Affordable Care Act, as amended by the Health Care and Education Reconciliation Act, or collectively the ACA, which was signed into law on March 23, 2010, included a subtitle called the Biologics Price Competition and Innovation Act of 2009 or BPCIA. The BPCIA established a regulatory scheme authorizing the FDA to approve biosimilars and interchangeable biosimilars. To date, five biosimilars have been licensed under the BPCIA, although numerous biosimilars have been approved in Europe. The FDA has issued several draft guidance documents outlining an approach to review and approval of biosimilars. Complexities associated with the larger, and often more complex, structures of biological products, as well as the processes by which such products are manufactured, pose significant hurdles to implementation, which are still being worked out by the FDA.</w:t>
      </w:r>
    </w:p>
    <w:p>
      <w:pPr>
        <w:spacing w:after="0" w:line="16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6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Patent Term Extension</w:t>
      </w:r>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 patent claiming a new drug or biologic product may be eligible for a limited patent term extension under the Hatch-Waxman Act, which permits a patent extension of up to five years beyond the expiration date of a U.S. patent as partial compensation for the useful patent term lost, if any, during the FDA regulatory review process. However, a patent term extension cannot extend the remaining term of a patent beyond a total of 14 years from the date of the product’s approval by the FDA. The patent term extension period granted is typically one-half the time between the effective date of the first IND and the submission date of the BLA for the product, plus the time between the submission date of the BLA and the approval of that application. Only one patent applicable to an approved product is eligible for the extension, and the application for the extension must be submitted prior to the expiration of the patent in question. A patent that covers multiple products for which approval is sought can only be extended in connection with one of the products. The USPTO reviews and approves the application for any patent term extension or restoration in consultation with the FDA.</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Regulation Outside the United States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drug products. Whether or not it obtains FDA approval for a product, the company would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Regulation and Marketing Authorization in the European Union</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EMA is the scientific agency of the European Union that coordinates the evaluation and monitoring of new and approved medicinal products. It is responsible for the scientific evaluation of applications for EU marketing authorizations, as well as the development of technical guidance and the provision of scientific advice to sponsors. The EMA decentralizes its scientific assessment of medicines by working through a network of about 4,500 experts throughout the European Union, nominated by the member states. The EMA draws on resources of over 40 National Competent Authorities of EU member states.</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process regarding approval of medicinal products in the European Union follows roughly the same lines as in the United States and likewise generally involves satisfactorily completing each of the following:</w:t>
      </w:r>
    </w:p>
    <w:p>
      <w:pPr>
        <w:spacing w:after="0" w:line="170" w:lineRule="exact"/>
        <w:rPr>
          <w:sz w:val="20"/>
          <w:szCs w:val="20"/>
          <w:color w:val="auto"/>
        </w:rPr>
      </w:pPr>
    </w:p>
    <w:p>
      <w:pPr>
        <w:ind w:left="340" w:right="620" w:hanging="170"/>
        <w:spacing w:after="0" w:line="277"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all performed in accordance with the applicable EU Good Laboratory Practice regulations;</w:t>
      </w:r>
    </w:p>
    <w:p>
      <w:pPr>
        <w:spacing w:after="0" w:line="170" w:lineRule="exact"/>
        <w:rPr>
          <w:rFonts w:ascii="Arial" w:cs="Arial" w:eastAsia="Arial" w:hAnsi="Arial"/>
          <w:sz w:val="18"/>
          <w:szCs w:val="18"/>
          <w:color w:val="auto"/>
        </w:rPr>
      </w:pPr>
    </w:p>
    <w:p>
      <w:pPr>
        <w:ind w:left="340" w:hanging="170"/>
        <w:spacing w:after="0" w:line="277"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submission to the relevant national authorities of a clinical trial application, or CTA, for each clinical trial, which must be approved before human clinical trials may begin;</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to establish the safety and efficacy of the product for each proposed indication;</w:t>
      </w:r>
    </w:p>
    <w:p>
      <w:pPr>
        <w:spacing w:after="0" w:line="225" w:lineRule="exact"/>
        <w:rPr>
          <w:rFonts w:ascii="Arial" w:cs="Arial" w:eastAsia="Arial" w:hAnsi="Arial"/>
          <w:sz w:val="18"/>
          <w:szCs w:val="18"/>
          <w:color w:val="auto"/>
        </w:rPr>
      </w:pPr>
    </w:p>
    <w:p>
      <w:pPr>
        <w:ind w:left="340" w:right="560" w:hanging="170"/>
        <w:spacing w:after="0" w:line="342"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submission to the relevant competent authorities of a marketing authorization application, or MAA, which includes the data supporting safety and efficacy as well as detailed information on the manufacture and composition of the product in clinical development and proposed labeling;</w:t>
      </w:r>
    </w:p>
    <w:p>
      <w:pPr>
        <w:spacing w:after="0" w:line="123" w:lineRule="exact"/>
        <w:rPr>
          <w:rFonts w:ascii="Arial" w:cs="Arial" w:eastAsia="Arial" w:hAnsi="Arial"/>
          <w:sz w:val="16"/>
          <w:szCs w:val="16"/>
          <w:color w:val="auto"/>
        </w:rPr>
      </w:pPr>
    </w:p>
    <w:p>
      <w:pPr>
        <w:ind w:left="340" w:right="160" w:hanging="170"/>
        <w:spacing w:after="0" w:line="277"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satisfactory completion of an inspection by the relevant national authorities of the manufacturing facility or facilities, including those of third parties, at which the product is produced to assess compliance with strictly enforced cGMP;</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potential audits of the non-clinical and clinical trial sites that generated the data in support of the MAA; and</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 and approval by the relevant competent authority of the MAA before any commercial marketing, sale or shipment of the product.</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Preclinical tests include laboratory evaluations of product chemistry, formulation and stability, as well as studies to evaluate the potential efficacy and toxicity in animals. The conduct of the preclinical tests and formulation of the compounds for testing must comply with the relevant EU regulations and requirements. The results of the preclinical tests, together with relevant manufacturing information and analytical data, are submitted as part of the CTA when seeking approval to start a clinical trial, and with the MAA when seeking marketing authorization.</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Clinical Trial Approval</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Requirements for the conduct of clinical trials in the European Union including cGCP, are implemented in the currently Clinical Trials Directive 2001/20/EC and the GCP Directive 2005/28/EC. Pursuant to Directive 2001/20/EC and Directive 2005/28/EC, as amended, a system for the approval of clinical trials in the European Union has been implemented through national legislation of the EU member states. Under this system, approval must be obtained from the competent national authority of a EU member state in which a trial is planned to be conducted, or in multiple member states if the clinical trial is to be conducted in a number of member states. To this end, a CTA is submitted, which must be supported by an investigational medicinal product dossier, or IMPD, and further supporting information prescribed by Directive 2001/20/EC and Directive 2005/28/EC and other applicable guidance documents. Furthermore, a clinical trial may only be started after a competent ethics committee has issued a favorable opinion on the clinical trial application in that country.</w:t>
      </w:r>
    </w:p>
    <w:p>
      <w:pPr>
        <w:spacing w:after="0" w:line="16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April 2014, the European Union legislative body passed the new Clinical Trials Regulation (EU) No 536/2014 which is set to replace the current Clinical Trials Directive 2001/20/EC. To ensure that the rules for clinical trials are identical throughout the EU, the new EU clinical trials legislation was passed as a regulation which is directly applicable in all EU member states. All clinical trials performed in the European Union are required to be conducted in accordance with the Clinical Trials Directive 2001/20/EC until the new Clinical Trials Regulation (EU) No 536/2014 will become applicable. According to the current plans of the EMA, the new Clinical Trials Regulation will become applicable in 2019. The Clinical Trials Directive 2001/20/EC will, however, still apply three years from the date of entry into application of the Clinical Trials Regulation to (i) clinical trials applications submitted before the entry into application and (ii) clinical trials applications submitted within one year after the entry into application if the sponsor opts for the old system.</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new Regulation (EU) No 536/2014 aims to simplify and streamline the approval of clinical trial in the European Union. The main characteristics of the regulation include:</w:t>
      </w:r>
    </w:p>
    <w:p>
      <w:pPr>
        <w:spacing w:after="0" w:line="170" w:lineRule="exact"/>
        <w:rPr>
          <w:sz w:val="20"/>
          <w:szCs w:val="20"/>
          <w:color w:val="auto"/>
        </w:rPr>
      </w:pPr>
    </w:p>
    <w:p>
      <w:pPr>
        <w:ind w:left="340" w:hanging="170"/>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streamlined application procedure via a single entry point, the EU portal;</w:t>
      </w:r>
    </w:p>
    <w:p>
      <w:pPr>
        <w:spacing w:after="0" w:line="225" w:lineRule="exact"/>
        <w:rPr>
          <w:rFonts w:ascii="Arial" w:cs="Arial" w:eastAsia="Arial" w:hAnsi="Arial"/>
          <w:sz w:val="18"/>
          <w:szCs w:val="18"/>
          <w:color w:val="auto"/>
        </w:rPr>
      </w:pPr>
    </w:p>
    <w:p>
      <w:pPr>
        <w:ind w:left="340" w:right="360" w:hanging="170"/>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single set of documents to be prepared and submitted for the application as well as simplified reporting procedures which will spare sponsors from submitting broadly identical information separately to various bodies and different Member States;</w:t>
      </w:r>
    </w:p>
    <w:p>
      <w:pPr>
        <w:spacing w:after="0" w:line="170" w:lineRule="exact"/>
        <w:rPr>
          <w:rFonts w:ascii="Arial" w:cs="Arial" w:eastAsia="Arial" w:hAnsi="Arial"/>
          <w:sz w:val="18"/>
          <w:szCs w:val="18"/>
          <w:color w:val="auto"/>
        </w:rPr>
      </w:pPr>
    </w:p>
    <w:p>
      <w:pPr>
        <w:ind w:left="340" w:right="20" w:hanging="170"/>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harmonized procedure for the assessment of applications for clinical trials, which is divided in two parts. Part I is jointly assessed by all Member States concerned. Part II is assessed by each Member State concerned separately;</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Strictly defined deadlines for the assessment of clinical trial application; and</w:t>
      </w:r>
    </w:p>
    <w:p>
      <w:pPr>
        <w:spacing w:after="0" w:line="225" w:lineRule="exact"/>
        <w:rPr>
          <w:rFonts w:ascii="Arial" w:cs="Arial" w:eastAsia="Arial" w:hAnsi="Arial"/>
          <w:sz w:val="18"/>
          <w:szCs w:val="18"/>
          <w:color w:val="auto"/>
        </w:rPr>
      </w:pPr>
    </w:p>
    <w:p>
      <w:pPr>
        <w:ind w:left="340" w:right="60" w:hanging="170"/>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involvement of the ethics committees in the assessment procedure in accordance with the national law of the Member State concerned but within the overall timelines defined by the Regulation (EU) No 536/2014.</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Marketing Authorization</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Authorization to market a product in the member states of the European Union proceeds under one of four procedures: a centralized authorization procedure, a mutual recognition procedure, a decentralized procedure or a national procedure.</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Centralized Authorization Procedure</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centralized procedure enables applicants to obtain a marketing authorization that is valid in all EU member states based on a single application. Certain medicinal products, including products developed by means of biotechnological processes must undergo the centralized authorization procedure for marketing authorization, which, if granted by the European Commission, is automatically valid in all — currently 28 — European Union member states. Sponsors may elect to file an MAA through the centralized procedures for other classes of products. The EMA and the European Commission administer this centralized authorization procedure pursuant to Regulation (EC) No 726/2004. The other European Economic Area member states (namely Norway, Iceland and Liechtenstein) are also obligated to recognize the Commission decision.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Pursuant to Regulation (EC) No 726/2004, this procedure is mandatory for:</w:t>
      </w:r>
    </w:p>
    <w:p>
      <w:pPr>
        <w:spacing w:after="0" w:line="225" w:lineRule="exact"/>
        <w:rPr>
          <w:sz w:val="20"/>
          <w:szCs w:val="20"/>
          <w:color w:val="auto"/>
        </w:rPr>
      </w:pPr>
    </w:p>
    <w:p>
      <w:pPr>
        <w:ind w:left="340" w:hanging="170"/>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medicinal products developed by means of one of the following biotechnological processes: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recombinant DNA technology;</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1"/>
          <w:numId w:val="60"/>
        </w:numPr>
        <w:rPr>
          <w:rFonts w:ascii="Arial" w:cs="Arial" w:eastAsia="Arial" w:hAnsi="Arial"/>
          <w:sz w:val="17"/>
          <w:szCs w:val="17"/>
          <w:color w:val="auto"/>
        </w:rPr>
      </w:pPr>
      <w:r>
        <w:rPr>
          <w:rFonts w:ascii="Arial" w:cs="Arial" w:eastAsia="Arial" w:hAnsi="Arial"/>
          <w:sz w:val="17"/>
          <w:szCs w:val="17"/>
          <w:color w:val="auto"/>
        </w:rPr>
        <w:t>controlled expression of genes coding for biologically active proteins in prokaryotes and eukaryotes including transformed mammalian cells; and</w:t>
      </w:r>
    </w:p>
    <w:p>
      <w:pPr>
        <w:spacing w:after="0" w:line="236" w:lineRule="exact"/>
        <w:rPr>
          <w:rFonts w:ascii="Arial" w:cs="Arial" w:eastAsia="Arial" w:hAnsi="Arial"/>
          <w:sz w:val="17"/>
          <w:szCs w:val="17"/>
          <w:color w:val="auto"/>
        </w:rPr>
      </w:pPr>
    </w:p>
    <w:p>
      <w:pPr>
        <w:ind w:left="500" w:hanging="168"/>
        <w:spacing w:after="0"/>
        <w:tabs>
          <w:tab w:leader="none" w:pos="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hybridoma and monoclonal antibody methods;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advanced therapy medicinal products as defined in Article 2 of Regulation (EC) No 1394/2007 on advanced therapy medicinal products;</w:t>
      </w:r>
    </w:p>
    <w:p>
      <w:pPr>
        <w:spacing w:after="0" w:line="225" w:lineRule="exact"/>
        <w:rPr>
          <w:rFonts w:ascii="Arial" w:cs="Arial" w:eastAsia="Arial" w:hAnsi="Arial"/>
          <w:sz w:val="18"/>
          <w:szCs w:val="18"/>
          <w:color w:val="auto"/>
        </w:rPr>
      </w:pPr>
    </w:p>
    <w:p>
      <w:pPr>
        <w:ind w:left="340" w:right="200" w:hanging="170"/>
        <w:spacing w:after="0" w:line="277"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medicinal products for human use containing a new active substance which, on the date of entry into force of this Regulation, was not authorized in the European Union, for which the therapeutic indication is the treatment of any of the following diseases:</w:t>
      </w:r>
    </w:p>
    <w:p>
      <w:pPr>
        <w:spacing w:after="0" w:line="170" w:lineRule="exact"/>
        <w:rPr>
          <w:rFonts w:ascii="Arial" w:cs="Arial" w:eastAsia="Arial" w:hAnsi="Arial"/>
          <w:sz w:val="18"/>
          <w:szCs w:val="18"/>
          <w:color w:val="auto"/>
        </w:rPr>
      </w:pPr>
    </w:p>
    <w:p>
      <w:pPr>
        <w:ind w:left="500" w:hanging="168"/>
        <w:spacing w:after="0"/>
        <w:tabs>
          <w:tab w:leader="none" w:pos="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acquired immune deficiency syndrome;</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cancer;</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neurodegenerative disorder;</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diabetes;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auto-immune diseases and other immune dysfunctions; and</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viral diseases; and</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medicinal products that are designated as orphan medicinal products pursuant to Regulation (EC) No 141/2000.</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centralized authorization procedure is optional for other medicinal products if they contain a new active substance or if the applicant shows that the medicinal product concerned constitutes a significant therapeutic, scientific or technical innovation or that the granting of authorization is in the interest of patients in the European Union.</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Administrative Procedure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the centralized authorization procedure, the EMA’s Committee for Human Medicinal Products, or CHMP serves as the scientific committee that renders opinions about the safety, efficacy and quality of medicinal products for human use on behalf of the EMA. The CHMP is composed of experts nominated by each member state’s national authority for medicinal products, with one of them appointed to act as Rapporteur for the co-ordination of the evaluation with the possible assistance of a further member of the Committee acting as a Co-Rapporteur. After approval, the Rapporteur(s) continue to monitor the product throughout its life cycle. The CHMP has 210 days, to adopt an opinion as to whether a marketing authorization should be granted. The process usually takes longer in case additional information is requested, which triggers clock-stops in the procedural timelines. The process is complex and involves extensive consultation with the regulatory authorities of member states and a number of experts. When an application is submitted for a marketing authorization in respect of a drug which is of major interest from the point of view of public health and in particular from the viewpoint of therapeutic innovation, the applicant may pursuant to Article 14(9) Regulation (EC) No 726/2004 request an accelerated assessment procedure. If the CHMP accepts such request, the time-limit of 210 days will be reduced to</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150 days but it is possible that the CHMP can revert to the standard time-limit for the centralized procedure if it considers that it is no longer appropriate to conduct an accelerated assessment. Once the procedure is completed, a European Public Assessment Report, or EPAR, is produced. If the opinion is negative, information is given as to the grounds on which this conclusion was reached. After the adoption of the CHMP opinion, a decision on the MAA must be adopted by the European Commission, after consulting the European Union member states, which in total can take more than 60 days. After a drug has been authorized and launched, it is a condition of maintaining the marketing authorization that all aspects relating to its quality, safety and efficacy must be kept under review.</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Conditional Approval</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specific circumstances, EU legislation (Article 14(7) Regulation (EC) No 726/2004 and Regulation (EC) No 507/2006 on Conditional Marketing Authorizations for Medicinal Products for Human Use) enables applicants to obtain a conditional marketing authorization prior to obtaining the comprehensive clinical data required for an application for a full marketing authorization. Such conditional approvals may be granted for products (including medicines designated as orphan medicinal products), if (1) the risk-benefit balance of the product is positive, (2) it is likely that the applicant will be in a position to provide the required comprehensive clinical trial data, (3) the product fulfills unmet medical needs, and (4)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Marketing Authorization Under Exceptional Circumstances</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per Art. 14(8) Regulation (EC) No 726/2004, products for which the applicant can demonstrate that comprehensive data (in line with the requirements laid down in Annex I of Directive 2001/83/EC, as amended) cannot be provided (due to specific reasons foreseen in the legislation) might be eligible for marketing authorization under exceptional circumstances. This type of authorization is reviewed annually to reassess the risk-benefit balance. The fulfillment of any specific procedures/obligations imposed as part of the marketing authorization under exceptional circumstances is aimed at the provision of information on the safe and effective use of the product and will normally not lead to the completion of a full dossier/approval.</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Market Authorizations Granted by Authorities of EU Member States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 general, if the centralized procedure is not followed, there are three alternative procedures to obtain a marketing authorization in (one or several) EU member states as prescribed in Directive 2001/83/EC:</w:t>
      </w:r>
    </w:p>
    <w:p>
      <w:pPr>
        <w:spacing w:after="0" w:line="170" w:lineRule="exact"/>
        <w:rPr>
          <w:sz w:val="20"/>
          <w:szCs w:val="20"/>
          <w:color w:val="auto"/>
        </w:rPr>
      </w:pPr>
    </w:p>
    <w:p>
      <w:pPr>
        <w:ind w:left="340" w:right="360" w:hanging="170"/>
        <w:spacing w:after="0" w:line="277"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decentralized procedure allows applicants to file identical applications to several EU member states and receive simultaneous national approvals based on the recognition by EU member states of an assessment by a reference member state.</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national procedure is only available for products intended to be authorized in a single EU member state.</w:t>
      </w:r>
    </w:p>
    <w:p>
      <w:pPr>
        <w:spacing w:after="0" w:line="225" w:lineRule="exact"/>
        <w:rPr>
          <w:rFonts w:ascii="Arial" w:cs="Arial" w:eastAsia="Arial" w:hAnsi="Arial"/>
          <w:sz w:val="18"/>
          <w:szCs w:val="18"/>
          <w:color w:val="auto"/>
        </w:rPr>
      </w:pPr>
    </w:p>
    <w:p>
      <w:pPr>
        <w:ind w:left="340" w:right="180" w:hanging="170"/>
        <w:spacing w:after="0" w:line="277"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mutual recognition procedure similar to the decentralized procedure is available when a marketing authorization has already been obtained in at least one European Union member state.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marketing authorization may be granted only to an applicant established in the European Union.</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Pediatric Studies</w:t>
      </w:r>
    </w:p>
    <w:p>
      <w:pPr>
        <w:spacing w:after="0" w:line="225"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Prior to obtaining a marketing authorization in the European Union, applicants have to demonstrate compliance with all measures included in an EMA-approved Paediatric Investigation Plan, or PIP, covering all subsets of the paediatric population, unless the EMA has granted (1) a product-specific waiver,</w:t>
      </w:r>
    </w:p>
    <w:p>
      <w:pPr>
        <w:ind w:right="80" w:firstLine="8"/>
        <w:spacing w:after="0" w:line="252" w:lineRule="auto"/>
        <w:tabs>
          <w:tab w:leader="none" w:pos="2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class waiver, or (3) a deferral for one or more of the measures included in the PIP. The respective requirements for all marketing authorization procedures are laid down in Regulation (EC) No 1901/2006, the so called Paediatric Regulation. This requirement also applies when a company wants to add a new indication, pharmaceutical form or route of administration for a medicine that is already authorized. The Paediatric Committee of the EMA, or PDCO, may grant deferrals for some medicines, allowing a company to delay development of the medicine in children until there is enough information to demonstrate its effectiveness and safety in adults. The PDCO may also grant waivers when development of a medicine in children is not needed or is not appropriate, such as for diseases that only affect the elderly population.</w:t>
      </w: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Before a marketing authorization application can be filed, or an existing marketing authorization can be amended, the EMA determines that companies actually comply with the agreed studies and measures listed in each relevant PIP.</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Period of Authorization and Renewals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marketing authorization will be valid for five years in principle, and the marketing authorization may be renewed after five years on the basis of a re-evaluation of the risk-benefit balance by the EMA or by the competent authority of the authorizing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will be valid for an unlimited period, unless the Commission or the competent authority decides, on justified grounds relating to pharmacovigilance, to proceed with one additional five-year renewal. Any authorization that is not followed by the actual placing of the drug on the EU market (in case of centralized procedure) or on the market of the authorizing member state within three years after authorization will cease to be valid (the so-called sunset clause).</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Pursuant to Regulation (EC) No 141/2000 and Regulation (EC) No. 847/2000 the European Commission can grant such orphan medicinal product designation to products for which the sponsor can establish that it is intended for the diagnosis, prevention, or treatment of (1) a life-threatening or chronically debilitating condition affecting not more than five in 10,000 people in the European Union, or (2) a life threatening, seriously debilitating or serious and chronic condition in the European Union and that without incentives it is unlikely that sales of the drug in the European Union would generate a sufficient return to justify the necessary investment. In addition, the sponsor must establish that there is no other satisfactory method approved in the European Union of diagnosing, preventing or treating the condition, or if such a method exists, the proposed orphan drug will be of significant benefit to patients.</w:t>
      </w:r>
    </w:p>
    <w:p>
      <w:pPr>
        <w:spacing w:after="0" w:line="18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Orphan drug designation provides a number of benefits, including fee reductions, regulatory assistance, and the possibility to apply for a centralized EU marketing authorization (see “Centralized Authorization Procedure”), as well as 10 years of market exclusivity following a marketing authorization. During this market exclusivity period, neither the EMA, nor the European Commission nor the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be reduced to six years if, at the end of the fifth year, it is established that the orphan drug designation criteria are no longer met, including where it is shown that the product is sufficiently profitable not to justify maintenance of market exclusivity. In addition, a competing similar medicinal product may be authorized prior to the expiration of the market exclusivity period, including if it is shown to be safer, more effective or otherwise clinically superior to the already approved orphan drug or if the holder of the marketing authorization for the already approved orphan drug is unable to supply sufficient quantities of the product.</w:t>
      </w:r>
    </w:p>
    <w:p>
      <w:pPr>
        <w:spacing w:after="0" w:line="178"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If the MAA of a medicinal product designated as an orphan drug includes the results of all studies conducted in compliance with an agreed PIP, and a corresponding statement is subsequently included in the marketing authorization granted, the ten-year period of market exclusivity will be extended to twelve years.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Regulatory Data Protection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European Union legislation also provides for a system of regulatory data and market exclusivity. According to Article 14(11) of Regulation (EC) No 726/2004, as amended, and Article 10(1) of Directive 2001/83/EC, as amended, upon receiving marketing authorization, new chemical entities approved on the basis of complete independent data package benefit from eight years of data exclusivity and an additional two years of market exclusivity. Data exclusivity prevents regulatory authorities in the European Union from referencing the innovator’s data to assess a generic (abbreviated) application. During the additional two-year period of market exclusivity, a generic marketing authorization can be submitted, and the innovator’s data may be referenced, but no generic medicinal product can be marketed until the expiration of the market exclusivity. The overall ten-year period will be extended to a maximum of eleven years if, during the first eight years of those 10 years, the marketing authorization holder, or MAH,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trials. However, products designated as orphan medicinal products enjoy, upon receiving marketing authorization, a period of 10 years of orphan market exclusivity (see also “</w:t>
      </w:r>
      <w:r>
        <w:rPr>
          <w:rFonts w:ascii="Arial" w:cs="Arial" w:eastAsia="Arial" w:hAnsi="Arial"/>
          <w:sz w:val="16"/>
          <w:szCs w:val="16"/>
          <w:i w:val="1"/>
          <w:iCs w:val="1"/>
          <w:color w:val="auto"/>
        </w:rPr>
        <w:t>Orphan Drug Designation and Exclusivity</w:t>
      </w:r>
      <w:r>
        <w:rPr>
          <w:rFonts w:ascii="Arial" w:cs="Arial" w:eastAsia="Arial" w:hAnsi="Arial"/>
          <w:sz w:val="16"/>
          <w:szCs w:val="16"/>
          <w:color w:val="auto"/>
        </w:rPr>
        <w:t>”). Depending upon the timing and duration of the EU marketing authorization process, products may be eligible for up to</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five years’ supplementary protection certificates, or SPCs, pursuant to Regulation (EC) No 469/2009. Such SPCs extend the rights under the basic patent for the drug.</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Regulatory Requirements After a Marketing Authorization Has Been Obtained</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we obtain authorization for a medicinal product in the European Union, we will be required to comply with a range of requirements applicable to the manufacturing, marketing, promotion and sale of medicinal products: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Pharmacovigilance and Other Requirements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will, for example, have to comply with the EU’s stringent pharmacovigilance or safety reporting rules, pursuant to which post-authorization studies and additional monitoring obligations can be imposed.</w:t>
      </w:r>
    </w:p>
    <w:p>
      <w:pPr>
        <w:spacing w:after="0" w:line="170"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Other requirements relate to, for example, the manufacturing of products and active pharmaceutical ingredients in accordance with good manufacturing practice standards. EU regulators may conduct inspections to verify our compliance with applicable requirements, and we will have to continue to expend time, money and effort to remain compliant. Non-compliance with EU requirements regarding safety monitoring or pharmacovigilance, and with requirements related to the development of products for the pediatric population, can also result in significant financial penalties in the European Union. Similarly, failure to comply with the EU’s requirements regarding the protection of individual personal data can also lead to significant penalties and sanctions. Individual European Union member states may also impose various sanctions and penalties in case we do not comply with locally applicable requirements.</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Manufacturing</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manufacturing of authorized drugs, for which a separate manufacturer’s license is mandatory, must be conducted in strict compliance with the EMA’s cGMP requirements and comparable requirements of other regulatory bodies in the European Union, which mandate the methods, facilities and controls used in manufacturing, processing and packing of drugs to assure their safety and identity. The EMA enforces its cGMP requirements through mandatory registration of facilities and inspections of those facilities. The EMA may have a coordinating role for these inspections while the responsibility for carrying them out rests with the member states competent authority under whose responsibility the manufacturer falls. Failure to comply with these requirements could interrupt supply and result in delays, unanticipated costs and lost revenues, and could subject the applicant to potential legal or regulatory action, including but not limited to warning letters, suspension of manufacturing, seizure of product, injunctive action or possible civil and criminal penalties.</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Marketing and Promotion</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marketing and promotion of authorized drugs, including industry-sponsored continuing medical education and advertising directed toward the prescribers of drugs and/or the general public, are strictly regulated in the European Union notably under Directive 2001/83/EC, as amended. The applicable regulations aim to ensure that information provided by holders of marketing authorizations regarding their products is truthful, balanced and accurately reflects the safety and efficacy claims authorized by the EMA or by the competent authority of the authorizing member state. Failure to comply with these requirements can result in adverse publicity, warning letters, corrective advertising and potential civil and criminal penalties.</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Clinical Testing in Israel</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order to conduct clinical trials on humans in Israel, prior authorization must be obtained (depending on the nature of the trial) from either the medical director of the institution in which the clinical trials are scheduled to be conducted, or from the general manager of the Israeli Ministry of Health, as required under the Guidelines for Clinical Trials in Human Subjects implemented pursuant to the Israeli Public Health Regulations (Clinical Trials in Human Subjects), 5740-1980, as amended from time to time. Pursuant to the Israeli Public Health Regulations, such authorization generally cannot be granted unless, among other things, the relevant institutions ethics committee has provided its prior approval of the testing and that the trial complies with the standards set forth by the Declaration of Helsinki. In certain circumstances, such as in the cases of genetic trials or special fertility trials, a written opinion provided by the Ministry of Health’s ethics committee is also required in order to receive such authorization.</w:t>
      </w:r>
    </w:p>
    <w:p>
      <w:pPr>
        <w:spacing w:after="0" w:line="178"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institutional ethics committee must, among other things, evaluate the anticipated benefits that are likely to be derived from the project to determine if it justifies the risks and inconvenience to be inflicted on the participating human subjects, and it must also ensure that adequate protection exists for the rights and safety of the participants as well as the accuracy of the information gathered in the course of the clinical testing.</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Other Healthcare Laws</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Health care providers, physicians and third-party payors play a primary role in the recommendation and prescription of drug products that are granted marketing approval. Arrangements with third-party payors and customers are subject to broadly applicable fraud and abuse and other health care laws and regulations. In the United States, such restrictions under applicable federal and state healthcare laws and regulations, include the following:</w:t>
      </w:r>
    </w:p>
    <w:p>
      <w:pPr>
        <w:spacing w:after="0" w:line="147" w:lineRule="exact"/>
        <w:rPr>
          <w:sz w:val="20"/>
          <w:szCs w:val="20"/>
          <w:color w:val="auto"/>
        </w:rPr>
      </w:pPr>
    </w:p>
    <w:p>
      <w:pPr>
        <w:ind w:left="340" w:right="40" w:hanging="170"/>
        <w:spacing w:after="0" w:line="255"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193" w:lineRule="exact"/>
        <w:rPr>
          <w:rFonts w:ascii="Arial" w:cs="Arial" w:eastAsia="Arial" w:hAnsi="Arial"/>
          <w:sz w:val="18"/>
          <w:szCs w:val="18"/>
          <w:color w:val="auto"/>
        </w:rPr>
      </w:pPr>
    </w:p>
    <w:p>
      <w:pPr>
        <w:ind w:left="340" w:right="20" w:hanging="170"/>
        <w:spacing w:after="0" w:line="264"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81" w:lineRule="exact"/>
        <w:rPr>
          <w:rFonts w:ascii="Arial" w:cs="Arial" w:eastAsia="Arial" w:hAnsi="Arial"/>
          <w:sz w:val="18"/>
          <w:szCs w:val="18"/>
          <w:color w:val="auto"/>
        </w:rPr>
      </w:pPr>
    </w:p>
    <w:p>
      <w:pPr>
        <w:jc w:val="both"/>
        <w:ind w:left="340" w:hanging="170"/>
        <w:spacing w:after="0" w:line="286" w:lineRule="auto"/>
        <w:tabs>
          <w:tab w:leader="none" w:pos="3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imposes criminal and civil liability for executing a scheme to defraud any health care benefit program or making false statements relating to health care matters. Similar to the federal Anti-Kickback Statute, a person or entity does not need to have actual knowledge of the statute or specific intent to violate it to have committed a violation;</w:t>
      </w:r>
    </w:p>
    <w:p>
      <w:pPr>
        <w:spacing w:after="0" w:line="165" w:lineRule="exact"/>
        <w:rPr>
          <w:rFonts w:ascii="Arial" w:cs="Arial" w:eastAsia="Arial" w:hAnsi="Arial"/>
          <w:sz w:val="17"/>
          <w:szCs w:val="17"/>
          <w:color w:val="auto"/>
        </w:rPr>
      </w:pPr>
    </w:p>
    <w:p>
      <w:pPr>
        <w:ind w:left="340" w:right="120" w:hanging="170"/>
        <w:spacing w:after="0" w:line="277"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 care benefits, items or services;</w:t>
      </w:r>
    </w:p>
    <w:p>
      <w:pPr>
        <w:spacing w:after="0" w:line="170" w:lineRule="exact"/>
        <w:rPr>
          <w:rFonts w:ascii="Arial" w:cs="Arial" w:eastAsia="Arial" w:hAnsi="Arial"/>
          <w:sz w:val="18"/>
          <w:szCs w:val="18"/>
          <w:color w:val="auto"/>
        </w:rPr>
      </w:pPr>
    </w:p>
    <w:p>
      <w:pPr>
        <w:jc w:val="both"/>
        <w:ind w:left="340" w:right="360" w:hanging="170"/>
        <w:spacing w:after="0" w:line="264"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federal transparency requirements under the ACA require certain manufacturers of drugs, devices, biologics and medical supplies to report to the Department of Health and Human Services information related to payments and other transfers of value to physicians and teaching hospitals and the ownership and investment interests of such physicians and their immediate family members;</w:t>
      </w:r>
    </w:p>
    <w:p>
      <w:pPr>
        <w:spacing w:after="0" w:line="181" w:lineRule="exact"/>
        <w:rPr>
          <w:rFonts w:ascii="Arial" w:cs="Arial" w:eastAsia="Arial" w:hAnsi="Arial"/>
          <w:sz w:val="18"/>
          <w:szCs w:val="18"/>
          <w:color w:val="auto"/>
        </w:rPr>
      </w:pPr>
    </w:p>
    <w:p>
      <w:pPr>
        <w:ind w:left="340" w:right="500" w:hanging="170"/>
        <w:spacing w:after="0" w:line="277"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which governs the conduct of certain electronic healthcare transactions and protects the security and privacy of protected health information;</w:t>
      </w:r>
    </w:p>
    <w:p>
      <w:pPr>
        <w:spacing w:after="0" w:line="170" w:lineRule="exact"/>
        <w:rPr>
          <w:rFonts w:ascii="Arial" w:cs="Arial" w:eastAsia="Arial" w:hAnsi="Arial"/>
          <w:sz w:val="18"/>
          <w:szCs w:val="18"/>
          <w:color w:val="auto"/>
        </w:rPr>
      </w:pPr>
    </w:p>
    <w:p>
      <w:pPr>
        <w:ind w:left="340" w:right="120" w:hanging="170"/>
        <w:spacing w:after="0" w:line="259"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Physician Payments Sunshine Act, created under the ACA, and its implementing regulations, which requires specified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All such reported information is publicly available;</w:t>
      </w:r>
    </w:p>
    <w:p>
      <w:pPr>
        <w:spacing w:after="0" w:line="186" w:lineRule="exact"/>
        <w:rPr>
          <w:rFonts w:ascii="Arial" w:cs="Arial" w:eastAsia="Arial" w:hAnsi="Arial"/>
          <w:sz w:val="18"/>
          <w:szCs w:val="18"/>
          <w:color w:val="auto"/>
        </w:rPr>
      </w:pPr>
    </w:p>
    <w:p>
      <w:pPr>
        <w:ind w:left="340" w:hanging="170"/>
        <w:spacing w:after="0" w:line="255"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analogous state and non-U.S. laws and regulations, such as state anti-kickback and false claims laws which may apply to items or services reimbursed by any payor, including commercial insurers; state laws that require pharmaceutical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pharmaceutical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spacing w:after="0" w:line="189" w:lineRule="exact"/>
        <w:rPr>
          <w:rFonts w:ascii="Arial" w:cs="Arial" w:eastAsia="Arial" w:hAnsi="Arial"/>
          <w:sz w:val="18"/>
          <w:szCs w:val="18"/>
          <w:color w:val="auto"/>
        </w:rPr>
      </w:pPr>
    </w:p>
    <w:p>
      <w:pPr>
        <w:ind w:left="340" w:right="580" w:hanging="170"/>
        <w:spacing w:after="0" w:line="277"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regulation by the Centers for Medicare and Medicaid Services and enforcement by the U.S. Department of Health and Human Services (Office of Inspector General) or the U.S. Department of Justice.</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Efforts to ensure that our business arrangements with third parties will comply with applicable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 care programs, such as Medicare and Medicaid, and the curtailment or restructuring of our operations. If any of the physicians or other providers or entities</w:t>
      </w: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with whom we expect to do business are found to be not in compliance with applicable laws, they may be subject to criminal, civil or administrative sanctions, including exclusions from government funded health care programs.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Environmental, Health and Safety</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further subject to various foreign, national, federal, state and local laws and regulations relating to environmental, health and safety matters, including the handling, disposal, release, and use of and maintenance of a registry for hazardous materials, among others. Although we do not believe that we will be required to make material operating or capital expenditures in connection with such laws and regulations, we may be required to incur significant costs to comply with these laws and regulations in the future, and complying with these laws and regulations may result in a material adverse effect upon our business, financial condition and results of operations. Further, our failure to comply with such laws and regulations could have a material adverse effect on our business and reputation, result in an interruption or delay in the development or manufacture of our products, or increase the costs for the development or manufacture of our products.</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Pharmaceutical Pricing and Reimbursement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Significant uncertainty exists as to the coverage and reimbursement status of any drug products for which we plan to seek regulatory approval. Sales of any of our product candidates, if approved, will depend, in part, on the extent to which the costs of the products will be covered by third-party payors, including government health programs such as Medicare and Medicaid, commercial health insurers and managed care organizations. Concerns about drug pricing have been expressed by members of Congress and the new administration. The process for determining whether a payor will provide coverage for a drug product may be separate from the process for setting the price or reimbursement rate that the payor will pay for the drug product once coverage is approved. Third-party payors may limit coverage to specific drug products on an approved list, or formulary, which might not include all of the approved drugs for a particular indication.</w:t>
      </w:r>
    </w:p>
    <w:p>
      <w:pPr>
        <w:spacing w:after="0" w:line="18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order to secure coverage and reimbursement for any product that might be approved for sale, we may need to conduct expensive pharmacoeconomic studies in order to demonstrate the medical necessity and cost-effectiveness of the product, in addition to the costs required to obtain FDA, EMA or other comparable regulatory approvals. Our product candidates may not be considered medically necessary or cost-effective. A payor’s decision to provide coverage for a drug product does not imply that an adequate reimbursement rate will be approved. Third-party reimbursement may not be sufficient to enable us to maintain price levels high enough to realize an appropriate return on our investment in product development.</w:t>
      </w:r>
    </w:p>
    <w:p>
      <w:pPr>
        <w:spacing w:after="0" w:line="15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containment of healthcare costs has become a priority of governments, and the prices of drugs have been a focus in this effort. Third-party payors are increasingly challenging the prices charged for medical products and services and examining the medical necessity and cost effectiveness of medical products and services, in addition to their safety and efficacy. If these third-party payors do not consider our products to be cost-effective compared to other available therapies, they may not cover our products after approval as a benefit under their plans or, if they do, the level of payment may not be sufficient to allow us to sell our products at a profit. The U.S. government, state legislatures and non-U.S.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such controls and measures, and tightening of restrictive policies in jurisdictions with existing controls and measures, could limit payments for pharmaceuticals such as the product candidates that we are developing and could adversely affect our net revenue and results.</w:t>
      </w:r>
    </w:p>
    <w:p>
      <w:pPr>
        <w:spacing w:after="0" w:line="18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The conduct of such studies could be expensive and result in delays in our commercializing efforts.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competitive pressure that may reduce pricing within a country. There can be no assurance that any country that has price controls or reimbursement limitations for drug products will allow favorable reimbursement and pricing arrangements for any of our products.</w:t>
      </w:r>
    </w:p>
    <w:p>
      <w:pPr>
        <w:spacing w:after="0" w:line="18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marketability of any products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drug pricing. Coverage policies, third-party reimbursement rates</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and drug pricing regulation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Health Care Reform</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United States, there have been and continue to be a number of significant legislative initiatives to contain healthcare costs. The ACA was enacted in the United States in March 2010 and contains provisions that may reduce the profitability of drug products, including, for example, increased rebates for drugs subject to the Medicaid Drug Rebate Program, extension of Medicaid rebates to Medicaid managed care plans, mandatory discounts for certain Medicare Part D beneficiaries and annual fees based on pharmaceutical companies’ share of sales to federal health care programs.</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These changes included aggregate reductions to Medicare payments to providers of 2% per fiscal year, effective April 1, 2013 and, due to subsequent legislative amendments to the statute, will stay in effect through 2025,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President Trump and the majorities of both houses of Congress have stated their intention to repeal and replace the ACA. On January 20,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In December 2017, the Tax Cuts and Jobs Act was enacted and signed into law, one part of which repeals the “individual mandate” introduced by the ACA starting in 2019. Considerable uncertainty remains about the ultimate content, timing or effect of any healthcare reform legislation on us, our industry or the market for drug products like ours. Though the full future impact of the new administration and the U.S. Congress on our business remains unclear, legislative and regulatory changes may continue the downward pressure on pharmaceutical pricing, especially under the Medicare and Medicaid programs, and may also increase our regulatory burdens and operating costs.</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expect that additional state and federal healthcare reform measures, as well as legal changes by foreign governments, will be adopted in the future, any of which could limit the amounts that governments will pay for healthcare products and services, which could result in reduced demand for our product candidates or additional pricing pressures.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 and Organization</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were incorporated in September 2009, and commenced operations as a joint venture of D.N.A Biomedical and Oramed in June 2010 to pursue the development of pharmaceutical products for the oral delivery of proteins. In connection with our founding, Oramed licensed to us the use of certain of its patent rights relating to the oral delivery of drugs. In February 2011, Oramed sold the majority of its holdings in us to D.N.A Biomedical and, assigned to us its patent rights that it had previously licensed to us, in exchange for an exclusive license to use the assigned patent rights in the fields of diabetes and influenza and for royalties of 3% of our net revenues generated from the use or other exploitation of the assigned patent rights. In March 2011, D.N.A Biomedical and Oramed terminated the joint venture. We began operations in August 2010, and our operations to date have included developing our drug delivery technology for the oral administration of proteins and large molecules, in particular our oral PTH (1-34) product candidates.</w:t>
      </w: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As of March 31, 2018, we had 19 employees, one consultant who provides consulting services to us on a full-time basis and two consultants who provide services to us on a part-time basis. Four of our employees have either PhDs or MDs. Eighteen of our employees are located in Israel and one in the United States. We believe that we maintain good relations with all of our employees and consultants. We are not a party to any collective labor agreements. In addition, we have entered into service agreements with three of our directors. See “Certain Relationships and Related Party Transactions — Service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corporate headquarters and research facilities are located in Jerusalem, Israel, where we lease office and laboratory space pursuant to a lease agreement that will expire on June 30, 2023, with a one-time option for early termination by us on June 30, 2020. This facility also houses our clinical development, clinical operations, regulatory and management functions.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that our existing facilities are adequate for our current needs. We believe that suitable additional space would be available if required in the future on commercially reasonable terms.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We are not currently a party to any material legal proceedings. Emisphere Technologies, Inc., or Emisphere, has notified us that it believes that it is the exclusive owner of certain U.S. and related foreign patents and patent applications we acquired from Oramed Ltd.; however, Emisphere has not initiated a legal proceeding against us regarding its claim. For more information on the risks related to Emisphere’s claim, see “Risk Factors — Risks Related to Our Intellectual Property — </w:t>
      </w:r>
      <w:r>
        <w:rPr>
          <w:rFonts w:ascii="Arial" w:cs="Arial" w:eastAsia="Arial" w:hAnsi="Arial"/>
          <w:sz w:val="18"/>
          <w:szCs w:val="18"/>
          <w:i w:val="1"/>
          <w:iCs w:val="1"/>
          <w:color w:val="auto"/>
        </w:rPr>
        <w:t>We may become involved in proceedings to protect or enforce our proprietary rights, which could be expensive and time consuming,</w:t>
      </w:r>
      <w:r>
        <w:rPr>
          <w:rFonts w:ascii="Arial" w:cs="Arial" w:eastAsia="Arial" w:hAnsi="Arial"/>
          <w:sz w:val="18"/>
          <w:szCs w:val="18"/>
          <w:color w:val="auto"/>
        </w:rPr>
        <w:t xml:space="preserve"> </w:t>
      </w:r>
      <w:r>
        <w:rPr>
          <w:rFonts w:ascii="Arial" w:cs="Arial" w:eastAsia="Arial" w:hAnsi="Arial"/>
          <w:sz w:val="18"/>
          <w:szCs w:val="18"/>
          <w:i w:val="1"/>
          <w:iCs w:val="1"/>
          <w:color w:val="auto"/>
        </w:rPr>
        <w:t>and may ultimately be unsuccessful</w:t>
      </w:r>
      <w:r>
        <w:rPr>
          <w:rFonts w:ascii="Arial" w:cs="Arial" w:eastAsia="Arial" w:hAnsi="Arial"/>
          <w:sz w:val="18"/>
          <w:szCs w:val="18"/>
          <w:color w:val="auto"/>
        </w:rPr>
        <w:t>.”</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MANAGEMENT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 age and position of each of our executive officers and directors as of the date of this prospectus: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gridSpan w:val="3"/>
          </w:tcPr>
          <w:p>
            <w:pPr>
              <w:ind w:left="1540"/>
              <w:spacing w:after="0"/>
              <w:rPr>
                <w:sz w:val="20"/>
                <w:szCs w:val="20"/>
                <w:color w:val="auto"/>
              </w:rPr>
            </w:pPr>
            <w:r>
              <w:rPr>
                <w:rFonts w:ascii="Arial" w:cs="Arial" w:eastAsia="Arial" w:hAnsi="Arial"/>
                <w:sz w:val="18"/>
                <w:szCs w:val="18"/>
                <w:b w:val="1"/>
                <w:bCs w:val="1"/>
                <w:color w:val="auto"/>
              </w:rPr>
              <w:t>Name</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240" w:type="dxa"/>
            <w:vAlign w:val="bottom"/>
          </w:tcPr>
          <w:p>
            <w:pPr>
              <w:spacing w:after="0"/>
              <w:rPr>
                <w:sz w:val="20"/>
                <w:szCs w:val="20"/>
                <w:color w:val="auto"/>
              </w:rPr>
            </w:pPr>
          </w:p>
        </w:tc>
        <w:tc>
          <w:tcPr>
            <w:tcW w:w="6480" w:type="dxa"/>
            <w:vAlign w:val="bottom"/>
            <w:gridSpan w:val="2"/>
          </w:tcPr>
          <w:p>
            <w:pPr>
              <w:ind w:left="2820"/>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20" w:type="dxa"/>
            <w:vAlign w:val="bottom"/>
          </w:tcPr>
          <w:p>
            <w:pPr>
              <w:spacing w:after="0"/>
              <w:rPr>
                <w:sz w:val="18"/>
                <w:szCs w:val="18"/>
                <w:color w:val="auto"/>
              </w:rPr>
            </w:pPr>
          </w:p>
        </w:tc>
        <w:tc>
          <w:tcPr>
            <w:tcW w:w="352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Executive Officers</w:t>
            </w: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Dr. Phillip Schwartz</w:t>
            </w:r>
          </w:p>
        </w:tc>
        <w:tc>
          <w:tcPr>
            <w:tcW w:w="92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56</w:t>
            </w:r>
          </w:p>
        </w:tc>
        <w:tc>
          <w:tcPr>
            <w:tcW w:w="6720" w:type="dxa"/>
            <w:vAlign w:val="bottom"/>
            <w:gridSpan w:val="3"/>
            <w:shd w:val="clear" w:color="auto" w:fill="D5EAEA"/>
          </w:tcPr>
          <w:p>
            <w:pPr>
              <w:ind w:left="24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Mira Rosenzweig</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672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Dr. Hillel Galitzer</w:t>
            </w:r>
          </w:p>
        </w:tc>
        <w:tc>
          <w:tcPr>
            <w:tcW w:w="92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39</w:t>
            </w:r>
          </w:p>
        </w:tc>
        <w:tc>
          <w:tcPr>
            <w:tcW w:w="6720" w:type="dxa"/>
            <w:vAlign w:val="bottom"/>
            <w:gridSpan w:val="3"/>
            <w:shd w:val="clear" w:color="auto" w:fill="D5EAEA"/>
          </w:tcPr>
          <w:p>
            <w:pPr>
              <w:ind w:left="240"/>
              <w:spacing w:after="0"/>
              <w:rPr>
                <w:sz w:val="20"/>
                <w:szCs w:val="20"/>
                <w:color w:val="auto"/>
              </w:rPr>
            </w:pPr>
            <w:r>
              <w:rPr>
                <w:rFonts w:ascii="Arial" w:cs="Arial" w:eastAsia="Arial" w:hAnsi="Arial"/>
                <w:sz w:val="18"/>
                <w:szCs w:val="18"/>
                <w:color w:val="auto"/>
              </w:rPr>
              <w:t>Chief Operating Officer</w:t>
            </w:r>
          </w:p>
        </w:tc>
      </w:tr>
      <w:tr>
        <w:trPr>
          <w:trHeight w:val="216"/>
        </w:trPr>
        <w:tc>
          <w:tcPr>
            <w:tcW w:w="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Dr. Eric Lang</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6720" w:type="dxa"/>
            <w:vAlign w:val="bottom"/>
            <w:gridSpan w:val="3"/>
          </w:tcPr>
          <w:p>
            <w:pPr>
              <w:ind w:left="240"/>
              <w:spacing w:after="0"/>
              <w:rPr>
                <w:sz w:val="20"/>
                <w:szCs w:val="20"/>
                <w:color w:val="auto"/>
              </w:rPr>
            </w:pPr>
            <w:r>
              <w:rPr>
                <w:rFonts w:ascii="Arial" w:cs="Arial" w:eastAsia="Arial" w:hAnsi="Arial"/>
                <w:sz w:val="18"/>
                <w:szCs w:val="18"/>
                <w:color w:val="auto"/>
              </w:rPr>
              <w:t>Chief Medical Officer</w:t>
            </w: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D5EAEA"/>
          </w:tcPr>
          <w:p>
            <w:pPr>
              <w:spacing w:after="0"/>
              <w:rPr>
                <w:sz w:val="20"/>
                <w:szCs w:val="20"/>
                <w:color w:val="auto"/>
              </w:rPr>
            </w:pPr>
            <w:r>
              <w:rPr>
                <w:rFonts w:ascii="Arial" w:cs="Arial" w:eastAsia="Arial" w:hAnsi="Arial"/>
                <w:sz w:val="18"/>
                <w:szCs w:val="18"/>
                <w:i w:val="1"/>
                <w:iCs w:val="1"/>
                <w:color w:val="auto"/>
              </w:rPr>
              <w:t>Directors</w:t>
            </w:r>
          </w:p>
        </w:tc>
        <w:tc>
          <w:tcPr>
            <w:tcW w:w="9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626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Luke M. Beshar(1)</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6720" w:type="dxa"/>
            <w:vAlign w:val="bottom"/>
            <w:gridSpan w:val="3"/>
          </w:tcPr>
          <w:p>
            <w:pPr>
              <w:ind w:left="240"/>
              <w:spacing w:after="0"/>
              <w:rPr>
                <w:sz w:val="20"/>
                <w:szCs w:val="20"/>
                <w:color w:val="auto"/>
              </w:rPr>
            </w:pPr>
            <w:r>
              <w:rPr>
                <w:rFonts w:ascii="Arial" w:cs="Arial" w:eastAsia="Arial" w:hAnsi="Arial"/>
                <w:sz w:val="18"/>
                <w:szCs w:val="18"/>
                <w:color w:val="auto"/>
              </w:rPr>
              <w:t>Chairman of the Board</w:t>
            </w: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Roger Garceau</w:t>
            </w:r>
          </w:p>
        </w:tc>
        <w:tc>
          <w:tcPr>
            <w:tcW w:w="92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64</w:t>
            </w:r>
          </w:p>
        </w:tc>
        <w:tc>
          <w:tcPr>
            <w:tcW w:w="6720" w:type="dxa"/>
            <w:vAlign w:val="bottom"/>
            <w:gridSpan w:val="3"/>
            <w:shd w:val="clear" w:color="auto" w:fill="D5EAEA"/>
          </w:tcPr>
          <w:p>
            <w:pPr>
              <w:ind w:left="2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Gerald Lieberman(2)(3)(4)</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67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Zeev Bronfeld(2)(3)</w:t>
            </w:r>
          </w:p>
        </w:tc>
        <w:tc>
          <w:tcPr>
            <w:tcW w:w="92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66</w:t>
            </w:r>
          </w:p>
        </w:tc>
        <w:tc>
          <w:tcPr>
            <w:tcW w:w="6720" w:type="dxa"/>
            <w:vAlign w:val="bottom"/>
            <w:gridSpan w:val="3"/>
            <w:shd w:val="clear" w:color="auto" w:fill="D5EAEA"/>
          </w:tcPr>
          <w:p>
            <w:pPr>
              <w:ind w:left="2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David Ben Ami</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67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Chaim Davis</w:t>
            </w:r>
          </w:p>
        </w:tc>
        <w:tc>
          <w:tcPr>
            <w:tcW w:w="920" w:type="dxa"/>
            <w:vAlign w:val="bottom"/>
            <w:shd w:val="clear" w:color="auto" w:fill="D5EAEA"/>
          </w:tcPr>
          <w:p>
            <w:pPr>
              <w:jc w:val="center"/>
              <w:spacing w:after="0"/>
              <w:rPr>
                <w:sz w:val="20"/>
                <w:szCs w:val="20"/>
                <w:color w:val="auto"/>
              </w:rPr>
            </w:pPr>
            <w:r>
              <w:rPr>
                <w:rFonts w:ascii="Arial" w:cs="Arial" w:eastAsia="Arial" w:hAnsi="Arial"/>
                <w:sz w:val="18"/>
                <w:szCs w:val="18"/>
                <w:color w:val="auto"/>
                <w:w w:val="89"/>
              </w:rPr>
              <w:t>40</w:t>
            </w:r>
          </w:p>
        </w:tc>
        <w:tc>
          <w:tcPr>
            <w:tcW w:w="6720" w:type="dxa"/>
            <w:vAlign w:val="bottom"/>
            <w:gridSpan w:val="3"/>
            <w:shd w:val="clear" w:color="auto" w:fill="D5EAEA"/>
          </w:tcPr>
          <w:p>
            <w:pPr>
              <w:ind w:left="2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Yonatan Malca(2)(3)</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67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1700" w:type="dxa"/>
            <w:vAlign w:val="bottom"/>
            <w:shd w:val="clear" w:color="auto" w:fill="D5EAEA"/>
          </w:tcPr>
          <w:p>
            <w:pPr>
              <w:spacing w:after="0"/>
              <w:rPr>
                <w:sz w:val="18"/>
                <w:szCs w:val="18"/>
                <w:color w:val="auto"/>
              </w:rPr>
            </w:pPr>
          </w:p>
        </w:tc>
        <w:tc>
          <w:tcPr>
            <w:tcW w:w="18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92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626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1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242" w:lineRule="exact"/>
        <w:rPr>
          <w:sz w:val="20"/>
          <w:szCs w:val="20"/>
          <w:color w:val="auto"/>
        </w:rPr>
      </w:pPr>
    </w:p>
    <w:p>
      <w:pPr>
        <w:ind w:left="660" w:right="460" w:hanging="652"/>
        <w:spacing w:after="0" w:line="25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Mr. Beshar has notified us that he intends to resign from our board of directors on the earlier of (i) immediately prior to the effectiveness of the registration statement of which this prospectus forms a part or (ii) June 30, 2018.</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be appointed as a member of our Audit Committee.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be appointed as a member of our Compensation Committee.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Independent director under the rules of NASDAQ Capital Market.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i w:val="1"/>
          <w:iCs w:val="1"/>
          <w:color w:val="auto"/>
        </w:rPr>
        <w:t xml:space="preserve">Dr. Phillip Schwartz </w:t>
      </w:r>
      <w:r>
        <w:rPr>
          <w:rFonts w:ascii="Arial" w:cs="Arial" w:eastAsia="Arial" w:hAnsi="Arial"/>
          <w:sz w:val="17"/>
          <w:szCs w:val="17"/>
          <w:color w:val="auto"/>
        </w:rPr>
        <w:t>has served as our Chief Executive Officer and as a Director since our inception in 2010. He previously served as the manager of clinical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affairs at Endo Pharmaceuticals from 2005 to 2010 and at Serono from 2002 to 2005, and held multiple positions in medical affairs, business development and clinical trial development at each of Endo Pharmaceuticals and Serono. He has also worked as an external consultant for a number of venture capital firms. Dr. Schwartz has more than 20 years of biotech and pharmaceutical industry experience. He has also consulted privately and served as an associate of Health Advances, LLC for more than 20 large biotech and pharmaceutical companies from 2000 to 2002. He has multiple publications in peer-reviewed journals and has presented papers at numerous international conferences. Dr. Schwartz completed his B.A. in psychology and architecture at Columbia University in 1987, and during that time he also worked in the neurobiology laboratory of Nobel Laureate Professor Torsten Wiesel of the Rockefeller University. Dr. Schwartz then studied immunology with Professor Irun Cohen at the Weizmann Institute, receiving his M.Sc. in 1991. In 1997, Dr. Schwartz received his Ph.D. in neurobiology/development/oncology from Harvard Medical School. In addition to his scientific training, Dr. Schwartz completed numerous clinical courses as part of his program at Harvard Medical School. After completing his Ph.D., Dr. Schwartz was a fellow in pediatric oncology at the Dana Farber Cancer Institute and an officer of Harvard University Medical School.</w:t>
      </w:r>
    </w:p>
    <w:p>
      <w:pPr>
        <w:spacing w:after="0" w:line="18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 xml:space="preserve">Mira Rosenzweig </w:t>
      </w:r>
      <w:r>
        <w:rPr>
          <w:rFonts w:ascii="Arial" w:cs="Arial" w:eastAsia="Arial" w:hAnsi="Arial"/>
          <w:sz w:val="17"/>
          <w:szCs w:val="17"/>
          <w:color w:val="auto"/>
        </w:rPr>
        <w:t>has served as our Chief Financial Officer since May 2014. Ms. Rosenzweig served as the Chief Financial Officer of Paskal Technologies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Ltd., a company that provides solutions for the agriculture industry, from May 2013 to May 2014. Prior to that, from September 2008 to November 2011, Ms. Rosenzweig served as the vice president and chief financial officer of Camtek Ltd. (NASDAQ: CAMT), a company that provides automated solutions for the semiconductors and printed circuit board industries. From August 2006 to August 2008, Ms. Rosenzweig served as director of finance and from August 2001 to 2006 as a controller and in various other positions for Elron Electronic Industries Ltd., then-traded on NASDAQ. Ms. Rosenzweig is a certified public accountant and holds a B.A. in Accounting and Economics from the University of Haifa, Israel.</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b w:val="1"/>
          <w:bCs w:val="1"/>
          <w:i w:val="1"/>
          <w:iCs w:val="1"/>
          <w:color w:val="auto"/>
        </w:rPr>
        <w:t xml:space="preserve">Dr. Hillel Galitzer </w:t>
      </w:r>
      <w:r>
        <w:rPr>
          <w:rFonts w:ascii="Arial" w:cs="Arial" w:eastAsia="Arial" w:hAnsi="Arial"/>
          <w:sz w:val="17"/>
          <w:szCs w:val="17"/>
          <w:color w:val="auto"/>
        </w:rPr>
        <w:t>has served as our Chief Operating Officer since February 2014, and prior to that served as our Director of Scientific Development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July 2012. Between August 2010 and February 2014, Dr. Galitzer was an analyst and the chief operating officer for Hadasit Bio Holdings Ltd., a publicly traded company on the Tel Aviv Stock Exchange and OTC markets. He has more than 10 years of experience in medical research and molecular biology. He is the co-founder and former chief operating officer of Optivasive Inc. He has written numerous publications in peer-reviewed journals and has lectured and presented in international conferences and universities. Dr. Galitzer received his Ph.D. from the Hebrew University Medical School in Jerusalem, where he was mentored by two world renowned researchers in the areas of parathyroid hormone and calcium regulation, his M.B.A. from Bar Ilan University in Israel and his B.Med.Sc. from the Hebrew University Medical School in Jerusalem.</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Dr. Eric Lang </w:t>
      </w:r>
      <w:r>
        <w:rPr>
          <w:rFonts w:ascii="Arial" w:cs="Arial" w:eastAsia="Arial" w:hAnsi="Arial"/>
          <w:sz w:val="18"/>
          <w:szCs w:val="18"/>
          <w:color w:val="auto"/>
        </w:rPr>
        <w:t>has served as our Chief Medical Officer since January 2018. Dr. Lang has extensive experience in designing drug development programs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early stages through phase III, including the successful filing of several recent INDs and NDAs. From 2012 to 2017, Dr. Lang worked at Covance, Inc., most recently as the Vice President and Global Head of Clinical Drug Development Strategists. From 2010 to 2011, Dr. Lang worked at Grunenthal USA Inc. where he acted as Vice President, US Clinical Development. Prior to these positions, Dr. Lang worked at both Javelin Pharmaceuticals, Novartis Consumer Health and Johnson and Johnson. He received his M.D. from Ben Gurion University of the Negev in Israel, is licensed in both the United States and Israel and is board certified as an Anesthesiologist.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b w:val="1"/>
          <w:bCs w:val="1"/>
          <w:i w:val="1"/>
          <w:iCs w:val="1"/>
          <w:color w:val="auto"/>
        </w:rPr>
        <w:t xml:space="preserve">Luke M. Beshar </w:t>
      </w:r>
      <w:r>
        <w:rPr>
          <w:rFonts w:ascii="Arial" w:cs="Arial" w:eastAsia="Arial" w:hAnsi="Arial"/>
          <w:sz w:val="16"/>
          <w:szCs w:val="16"/>
          <w:color w:val="auto"/>
        </w:rPr>
        <w:t>has served as a director since December 2015, and as the executive chairman of our board of directors since December 2016. Previously,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Beshar served as Chief Financial Officer and Executive Vice President of NPS Pharmaceuticals, Inc. since November 2007 and January 2012, respectively, until February 2015, when NPS Pharmaceuticals was acquired by Shire plc. Prior to that he served in several managerial positions with NPS Pharmaceuticals, Camberx Corporation, Expanets, Inc., PNY Technologies, Inc., Dendrite International, WSR Corporation, the Genlyte Group, Inc. and Bairnco Corporation. Mr. Beshar has been an independent director of Trillium Therapeutics Inc. (NASDAQ: TRIL), since March 2014 and Regenxbio Inc. (NASDAQ: RGNX) since April 2015. He is a Member of the New York Society of Certified Public Accountants. He has a B.A. in Accounting and Finance from Michigan State University and is a graduate of the Executive Program of the Darden Graduate Business School at the University of Virginia.</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Dr. Roger Garceau </w:t>
      </w:r>
      <w:r>
        <w:rPr>
          <w:rFonts w:ascii="Arial" w:cs="Arial" w:eastAsia="Arial" w:hAnsi="Arial"/>
          <w:sz w:val="18"/>
          <w:szCs w:val="18"/>
          <w:color w:val="auto"/>
        </w:rPr>
        <w:t>has served as a member of our board of directors since March 2016. Prior to joining Entera, Dr. Garceau served as Chief Medical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Executive Vice President of NPS Pharmaceuticals, Inc. since December 2008 and January 2013 respectively, until February 2015, when NPS Pharmaceuticals was acquired by Shire plc. Previously, Dr. Garceau served in several managerial positions with NPS Pharmaceuticals, Inc. Sanofi-aventis and Pharmacia Corporation. Dr. Garceau has been a non-executive director of Enterome SA since December 2016. Dr. Garceau is a board-certified pediatrician and is a Fellow of the American Academy of Pediatrics. Dr. Garceau holds a B.S. in Biology from Fairfield University in Fairfield, Connecticut and an M.D. from the University of Massachusetts Medical School.</w:t>
      </w:r>
    </w:p>
    <w:p>
      <w:pPr>
        <w:spacing w:after="0" w:line="193"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b w:val="1"/>
          <w:bCs w:val="1"/>
          <w:i w:val="1"/>
          <w:iCs w:val="1"/>
          <w:color w:val="auto"/>
        </w:rPr>
        <w:t xml:space="preserve">Gerald Lieberman </w:t>
      </w:r>
      <w:r>
        <w:rPr>
          <w:rFonts w:ascii="Arial" w:cs="Arial" w:eastAsia="Arial" w:hAnsi="Arial"/>
          <w:sz w:val="16"/>
          <w:szCs w:val="16"/>
          <w:color w:val="auto"/>
        </w:rPr>
        <w:t>has served as a member of our board of directors since 2014. Mr. Lieberman was the former president and chief operating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AllianceBernstein L.P. until 2009. There, he was elected chief operating officer and a director in November 2003 and added the title of president in November 2004. Prior to that, Mr. Lieberman was senior vice president for finance and administration at Sanford C. Bernstein &amp; Co., Inc. He has also held senior roles at Fidelity Investments and Citicorp. From 2011 to 2014, he served on the board of directors of Forest Laboratories Inc., which was acquired by Actavis plc in 2014. Mr. Lieberman currently serves on the board of Teva Pharmaceutical Industries Ltd. Mr. Lieberman earned a B.S. with honors from the University of Connecticut and attended New York University’s Graduate School of Business Administration. He is a certified public accountant.</w:t>
      </w:r>
    </w:p>
    <w:p>
      <w:pPr>
        <w:spacing w:after="0" w:line="16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b w:val="1"/>
          <w:bCs w:val="1"/>
          <w:i w:val="1"/>
          <w:iCs w:val="1"/>
          <w:color w:val="auto"/>
        </w:rPr>
        <w:t xml:space="preserve">Zeev Bronfeld </w:t>
      </w:r>
      <w:r>
        <w:rPr>
          <w:rFonts w:ascii="Arial" w:cs="Arial" w:eastAsia="Arial" w:hAnsi="Arial"/>
          <w:sz w:val="17"/>
          <w:szCs w:val="17"/>
          <w:color w:val="auto"/>
        </w:rPr>
        <w:t>has served as a member of our board of directors since 2010 and as chairman of our board of directors from September 2014 until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November 2016. Mr. Bronfeld, is a co-founder of Bio-Cell Ltd., an Israeli publicly traded holding company specializing in biotechnology companies, and served as its chief executive officer from 1986 until December 2014. Since 2003, Mr. Bronfeld served as the chief executive</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officer of M.B.R.T Development and Investments Ltd. Mr. Bronfeld has vast experience in the management and value building of biotechnology companies. From 2010 through July 2014, he served as the chairman of the board of Protalix BioTherapeutics, Inc. (NYSE: PLX) and has served as a member of its board of directors since 2006. In addition, Mr. Bronfeld serves on the board of directors of D.N.A Biomedical Solutions Ltd. and of The Trendlines Group Ltd. Until December 2016 he served as a director of D. Medical Industries Ltd. and Nasvax Ltd. Until January 2017, Mr. Bronfeld also served as a director of Macrocure Ltd. Mr. Bronfeld also serves as a director of a number of privately-held companies, including, Contipi Medical Ltd. and as the chairman of the board of TransBiodiesel Ltd. Mr. Bronfeld holds a B.A. in Economics from the Hebrew University of Jerusalem. Mr. Bronfeld serves on our board of directors as a designee of D.N.A Biomedical pursuant to rights granted to D.N.A Biomedical under our articles of association as in effect prior to the closing of this offering.</w:t>
      </w:r>
    </w:p>
    <w:p>
      <w:pPr>
        <w:spacing w:after="0" w:line="192"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David Ben Ami </w:t>
      </w:r>
      <w:r>
        <w:rPr>
          <w:rFonts w:ascii="Arial" w:cs="Arial" w:eastAsia="Arial" w:hAnsi="Arial"/>
          <w:sz w:val="16"/>
          <w:szCs w:val="16"/>
          <w:color w:val="auto"/>
        </w:rPr>
        <w:t>has served as a member of our board of directors since 2014. Mr. Ben Ami is the Managing Partner of Corundum Open Innovation Fund,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life sciences venture capital fund, and the Executive Investment Director of SBI JI Innovation Advisory Ltd. Mr. Ben Ami has more than 25 years of experience with activities in management, business development, corporate strategy and investments in the life sciences industry. He served as chief executive officer of NVR Labs Ltd. from 2005 to 2010, Israeli Country Manager of Boston Scientific, Israel from 2003 to 2005, and director of business development of Teva Israel and Teva Medical from 1999 to 2002. In 2008, he founded Macrocure Ltd., and served as the chairman of the board of directors of Macrocure from 2008 until 2016. Mr. Ben Ami currently serves, and in the past served as a board member in numerous companies including: Immunobrain Checkpoint Inc., Novolog Ltd., Degania Medical Ltd., Biocell Ltd., Meytav Technology Incubator, Hairstetics Ltd., VVT Medical and Contipi Medical Ltd. He received his M.B.A. and B.A. in Economics &amp; Management from Tel-Aviv University. Mr. Ben Ami serves on our board of directors as a designee of the Centillion Fund pursuant to rights granted to Centillion Fund under our articles of association as in effect prior to the closing of this offering. For further information regarding our commitment under certain circumstances to nominate one director nominee designated by Centillion Fund following the closing of this offering, see “— Arrangements for Election of Directors.” Following the consummation of this offering, Mr. Ben Ami intends to resign from our board.</w:t>
      </w:r>
    </w:p>
    <w:p>
      <w:pPr>
        <w:spacing w:after="0" w:line="173"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b w:val="1"/>
          <w:bCs w:val="1"/>
          <w:i w:val="1"/>
          <w:iCs w:val="1"/>
          <w:color w:val="auto"/>
        </w:rPr>
        <w:t xml:space="preserve">Chaim Davis </w:t>
      </w:r>
      <w:r>
        <w:rPr>
          <w:rFonts w:ascii="Arial" w:cs="Arial" w:eastAsia="Arial" w:hAnsi="Arial"/>
          <w:sz w:val="17"/>
          <w:szCs w:val="17"/>
          <w:color w:val="auto"/>
        </w:rPr>
        <w:t>has served as a member of our board of directors since 2013. Mr. Davis is the managing member of the Revach Fund L.P., a sector-specific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lifescience fund focusing on micro to mid-cap companies, which he founded in 2005. He has served on the board of American Bio Medica since June 2017. He has also served as a consultant to other hedge funds including Gem Partners, KOM Capital Management and Maot Group. From 2010 to 2014, he served as a director of AtheroNova Inc. (OTCBQ: AHRO), and from 2001 to 2004, he served as a healthcare analyst at The Garnet Group. Mr. Davis received his B.A. from Columbia University. Mr. Davis serves on our board of directors as a designee of certain of our shareholders who are lenders under certain of our convertible financing agreements, pursuant to rights granted to these lenders under the current Articles, as in effect prior to the closing of this offering. Following the consummation of this offering, Mr. Davis intends to resign from our board.</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Yonatan Malca </w:t>
      </w:r>
      <w:r>
        <w:rPr>
          <w:rFonts w:ascii="Arial" w:cs="Arial" w:eastAsia="Arial" w:hAnsi="Arial"/>
          <w:sz w:val="17"/>
          <w:szCs w:val="17"/>
          <w:color w:val="auto"/>
        </w:rPr>
        <w:t>has served as a member of our board of directors since 2011. Mr. Malca currently serves as a Chief Executive Officer and Director of D.N.A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Biomedical Solutions Ltd., a position he has held since 2010. Mr. Malca also serves as a director of Arko Holdings Ltd. and of Tamda Ltd., both of which are Israeli public companies. Mr. Malca also serves on the board of directors of a number of private companies, including as chairman of the board of directors of Cardioart Technologies Ltd., a medical device company, and Beamed Ltd., a medical device company (a subsidiary of D.N.A Biomedical). Mr. Malca received a B.A. and an M.A. from Bar Ilan University, Israel. Mr. Malca serves on our board of directors as a designee of D.N.A Biomedical pursuant to rights granted to D.N.A Biomedical under our articles of association as in effect prior to the closing of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for Election of Directors</w:t>
      </w:r>
    </w:p>
    <w:p>
      <w:pPr>
        <w:spacing w:after="0" w:line="22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Pursuant to the terms of the amended and restated investors’ rights agreement among us, the Centillion Fund, or Centillion, and the other parties thereto, following the consummation of this offering, for as long as Centillion and its affiliates hold an aggregate of at least 10% of our issued and outstanding ordinary</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shares, we will nominate, if so requested by Centillion and as permitted by applicable law, a designee of Centillion for election by our shareholders as a member of our board of directors and will recommend that our shareholders vote in favor of such election. David Ben Ami, a member of our board of directors, was nominated by Centillion pursuant to its director designation right. Following the consummation of this offering, Centillion will hold approximately % of our issued and outstanding ordinary shares, and in the event that Centillion exercises in full all of the warrants to purchase our ordinary shares that we will have issued to it as of such date, Centillion will hold approximately % of our issued and outstanding ordinary shares.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incorporated in Israel and therefore are subject to various corporate governance practices under the Israeli Companies Law, 5759-1999, or the Companies Law, relating to such matters as external directors, financial experts, our audit committee, our compensation committee and our internal auditor. These matters are in addition to the requirements of the NASDAQ Capital Market and other applicable provisions of U.S. securities laws. As a foreign private issuer whose shares will be listed on the NASDAQ Capital Market, we have the option to follow certain Israeli corporate governance practices rather than those of the NASDAQ Capital Market, except to the extent that such laws would be contrary to U.S. securities laws and provided that we disclose the practices that we are not following and describe the home country practices we follow instead. We intend to rely on this “foreign private issuer exemption” with respect to the following NASDAQ Capital Market requirements:</w:t>
      </w:r>
    </w:p>
    <w:p>
      <w:pPr>
        <w:spacing w:after="0" w:line="178" w:lineRule="exact"/>
        <w:rPr>
          <w:sz w:val="20"/>
          <w:szCs w:val="20"/>
          <w:color w:val="auto"/>
        </w:rPr>
      </w:pPr>
    </w:p>
    <w:p>
      <w:pPr>
        <w:ind w:left="340" w:right="100" w:hanging="170"/>
        <w:spacing w:after="0" w:line="255"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Shareholder Approval. </w:t>
      </w:r>
      <w:r>
        <w:rPr>
          <w:rFonts w:ascii="Arial" w:cs="Arial" w:eastAsia="Arial" w:hAnsi="Arial"/>
          <w:sz w:val="18"/>
          <w:szCs w:val="18"/>
          <w:color w:val="auto"/>
        </w:rPr>
        <w:t>Although the NASDAQ Capital Market listing requirements generally require shareholder approval of equity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plans and material amendments thereto, we intend to follow Israeli practice, which is to have such plans and amendments approved only by the board of directors, unless such arrangements are for the compensation of chief executive officer or directors, in which case they also require the approval of the compensation committee and the shareholders. In addition, rather than follow the NASDAQ Capital Market listing requirements requiring shareholder approval for the issuance of securities in certain circumstances, we intend to follow Israeli law applicable to us, which requires shareholder approval in the event of issuances to certain related parties, as described below under “Fiduciary Duties and Approval of Related Party Transactions — Approval of Related Party Transactions”.</w:t>
      </w:r>
    </w:p>
    <w:p>
      <w:pPr>
        <w:spacing w:after="0" w:line="189" w:lineRule="exact"/>
        <w:rPr>
          <w:rFonts w:ascii="Arial" w:cs="Arial" w:eastAsia="Arial" w:hAnsi="Arial"/>
          <w:sz w:val="18"/>
          <w:szCs w:val="18"/>
          <w:color w:val="auto"/>
        </w:rPr>
      </w:pPr>
    </w:p>
    <w:p>
      <w:pPr>
        <w:ind w:left="340" w:hanging="170"/>
        <w:spacing w:after="0" w:line="276" w:lineRule="auto"/>
        <w:tabs>
          <w:tab w:leader="none" w:pos="34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 xml:space="preserve">Shareholder Quorum. </w:t>
      </w:r>
      <w:r>
        <w:rPr>
          <w:rFonts w:ascii="Arial" w:cs="Arial" w:eastAsia="Arial" w:hAnsi="Arial"/>
          <w:sz w:val="17"/>
          <w:szCs w:val="17"/>
          <w:color w:val="auto"/>
        </w:rPr>
        <w:t>The NASDAQ Capital Market listing requirements require that an issuer have a quorum requirement for shareholders meetings of</w:t>
      </w:r>
      <w:r>
        <w:rPr>
          <w:rFonts w:ascii="Arial" w:cs="Arial" w:eastAsia="Arial" w:hAnsi="Arial"/>
          <w:sz w:val="17"/>
          <w:szCs w:val="17"/>
          <w:i w:val="1"/>
          <w:iCs w:val="1"/>
          <w:color w:val="auto"/>
        </w:rPr>
        <w:t xml:space="preserve"> </w:t>
      </w:r>
      <w:r>
        <w:rPr>
          <w:rFonts w:ascii="Arial" w:cs="Arial" w:eastAsia="Arial" w:hAnsi="Arial"/>
          <w:sz w:val="17"/>
          <w:szCs w:val="17"/>
          <w:color w:val="auto"/>
        </w:rPr>
        <w:t>at least one-third of the outstanding shares of the issuer’s common voting stock. As permitted under the Companies Law, pursuant to our amended Articles to be in effect immediately upon the closing of this offering, the quorum required for an ordinary meeting of shareholders will consist of at least two shareholders present in person or by proxy who hold in the aggregate at least 25% of the voting power of our issued and outstanding shares and, in an adjourned meeting, subject to certain exceptions, any two shareholders.</w:t>
      </w:r>
    </w:p>
    <w:p>
      <w:pPr>
        <w:spacing w:after="0" w:line="172" w:lineRule="exact"/>
        <w:rPr>
          <w:rFonts w:ascii="Arial" w:cs="Arial" w:eastAsia="Arial" w:hAnsi="Arial"/>
          <w:sz w:val="17"/>
          <w:szCs w:val="17"/>
          <w:color w:val="auto"/>
        </w:rPr>
      </w:pPr>
    </w:p>
    <w:p>
      <w:pPr>
        <w:ind w:left="340" w:right="140" w:hanging="170"/>
        <w:spacing w:after="0" w:line="276" w:lineRule="auto"/>
        <w:tabs>
          <w:tab w:leader="none" w:pos="34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Compensation Committee</w:t>
      </w:r>
      <w:r>
        <w:rPr>
          <w:rFonts w:ascii="Arial" w:cs="Arial" w:eastAsia="Arial" w:hAnsi="Arial"/>
          <w:sz w:val="17"/>
          <w:szCs w:val="17"/>
          <w:color w:val="auto"/>
        </w:rPr>
        <w:t>. The NASDAQ Capital Market listing requirements require a listed company to have a compensation committee composed</w:t>
      </w:r>
      <w:r>
        <w:rPr>
          <w:rFonts w:ascii="Arial" w:cs="Arial" w:eastAsia="Arial" w:hAnsi="Arial"/>
          <w:sz w:val="17"/>
          <w:szCs w:val="17"/>
          <w:i w:val="1"/>
          <w:iCs w:val="1"/>
          <w:color w:val="auto"/>
        </w:rPr>
        <w:t xml:space="preserve"> </w:t>
      </w:r>
      <w:r>
        <w:rPr>
          <w:rFonts w:ascii="Arial" w:cs="Arial" w:eastAsia="Arial" w:hAnsi="Arial"/>
          <w:sz w:val="17"/>
          <w:szCs w:val="17"/>
          <w:color w:val="auto"/>
        </w:rPr>
        <w:t>entirely of independent directors that operates pursuant to a written charter addressing its purpose, responsibilities and membership qualifications and may receive counseling from independent consultants, after evaluating their independence. The purpose, responsibilities and membership qualifications of our compensation committee will be governed by the Companies Law, rather than the NASDAQ Capital Market listing requirements. In addition, under the Companies Law, there are no specific independence evaluation requirements for outside consultants.</w:t>
      </w:r>
    </w:p>
    <w:p>
      <w:pPr>
        <w:spacing w:after="0" w:line="172" w:lineRule="exact"/>
        <w:rPr>
          <w:rFonts w:ascii="Arial" w:cs="Arial" w:eastAsia="Arial" w:hAnsi="Arial"/>
          <w:sz w:val="17"/>
          <w:szCs w:val="17"/>
          <w:color w:val="auto"/>
        </w:rPr>
      </w:pPr>
    </w:p>
    <w:p>
      <w:pPr>
        <w:ind w:left="340" w:right="100" w:hanging="170"/>
        <w:spacing w:after="0" w:line="259"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Independent Approval of Board Nominations</w:t>
      </w:r>
      <w:r>
        <w:rPr>
          <w:rFonts w:ascii="Arial" w:cs="Arial" w:eastAsia="Arial" w:hAnsi="Arial"/>
          <w:sz w:val="18"/>
          <w:szCs w:val="18"/>
          <w:color w:val="auto"/>
        </w:rPr>
        <w:t>. The NASDAQ Capital Market listing requirements require a listed company to have independent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approval of board nominations, either through an independent nominating committee or through a vote by a majority of the company’s independent directors. Under the Companies Law, there is no requirement to have a nominating committee or that board nominees be approved by independent directors.</w:t>
      </w:r>
    </w:p>
    <w:p>
      <w:pPr>
        <w:spacing w:after="0" w:line="186" w:lineRule="exact"/>
        <w:rPr>
          <w:rFonts w:ascii="Arial" w:cs="Arial" w:eastAsia="Arial" w:hAnsi="Arial"/>
          <w:sz w:val="18"/>
          <w:szCs w:val="18"/>
          <w:color w:val="auto"/>
        </w:rPr>
      </w:pPr>
    </w:p>
    <w:p>
      <w:pPr>
        <w:ind w:left="340" w:right="200" w:hanging="170"/>
        <w:spacing w:after="0" w:line="286" w:lineRule="auto"/>
        <w:tabs>
          <w:tab w:leader="none" w:pos="34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 xml:space="preserve">Independent Directors. </w:t>
      </w:r>
      <w:r>
        <w:rPr>
          <w:rFonts w:ascii="Arial" w:cs="Arial" w:eastAsia="Arial" w:hAnsi="Arial"/>
          <w:sz w:val="17"/>
          <w:szCs w:val="17"/>
          <w:color w:val="auto"/>
        </w:rPr>
        <w:t>Under the NASDAQ Capital Market listing requirements, a majority of the board of directors must be independent.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Law, there is no requirement that a majority of the board be independent, rather only that at least two directors meet certain independence requirements and be classified as external directors for purposes of the Companies Law. See “— External Directors.”</w:t>
      </w:r>
    </w:p>
    <w:p>
      <w:pPr>
        <w:spacing w:after="0" w:line="165" w:lineRule="exact"/>
        <w:rPr>
          <w:rFonts w:ascii="Arial" w:cs="Arial" w:eastAsia="Arial" w:hAnsi="Arial"/>
          <w:sz w:val="17"/>
          <w:szCs w:val="17"/>
          <w:color w:val="auto"/>
        </w:rPr>
      </w:pPr>
    </w:p>
    <w:p>
      <w:pPr>
        <w:ind w:left="340" w:right="140" w:hanging="170"/>
        <w:spacing w:after="0" w:line="264"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Executive Sessions</w:t>
      </w:r>
      <w:r>
        <w:rPr>
          <w:rFonts w:ascii="Arial" w:cs="Arial" w:eastAsia="Arial" w:hAnsi="Arial"/>
          <w:sz w:val="18"/>
          <w:szCs w:val="18"/>
          <w:color w:val="auto"/>
        </w:rPr>
        <w:t>. The NASDAQ Capital Market listing requirements require that independent directors hold regularly scheduled executive sessions,</w:t>
      </w:r>
      <w:r>
        <w:rPr>
          <w:rFonts w:ascii="Arial" w:cs="Arial" w:eastAsia="Arial" w:hAnsi="Arial"/>
          <w:sz w:val="18"/>
          <w:szCs w:val="18"/>
          <w:i w:val="1"/>
          <w:iCs w:val="1"/>
          <w:color w:val="auto"/>
        </w:rPr>
        <w:t xml:space="preserve"> </w:t>
      </w:r>
      <w:r>
        <w:rPr>
          <w:rFonts w:ascii="Arial" w:cs="Arial" w:eastAsia="Arial" w:hAnsi="Arial"/>
          <w:sz w:val="18"/>
          <w:szCs w:val="18"/>
          <w:color w:val="auto"/>
        </w:rPr>
        <w:t>where only independent directors are present. Under the Companies Law, our independent directors may choose to hold executive sessions at their discretion, but are not required to do so.</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Except as stated above, we intend to substantially comply with the rules applicable to U.S. companies listed on the NASDAQ Capital Market. We may in the future decide to avail ourselves of other foreign private issuer exemptions with respect to some or all of the other NASDAQ Capital Market listing requirements from which exemptions are available to foreign private issuers. Following our</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home country governance practices, as opposed to the requirements that would otherwise apply to a company listed on the NASDAQ Capital Market, may provide less protection than is accorded to investors under the NASDAQ Capital Market listing requirements applicable to domestic issuers.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Companies Law, our board of directors is responsible for setting our general policies and supervising the performance of management.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terms of the employment agreement that we have entered into with him. All other executive officers are also appointed by our board of directors, and are subject to the terms of any applicable employment agreements that we may enter into with them.</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Mr. Beshar intends to resign from our board on the earlier of: (i) immediately prior to the effectiveness of the registration statement or (ii) June 30, 2018. Following the consummation of this offering, Chaim Davis and David Ben-Ami intend to resign from our board. We therefore expect that our board of directors will consist of five directors. Pursuant to the three month transition period permitted under the Companies Law, within three months following our listing on the NASDAQ Capital Market, we intend to nominate two external directors whose appointment would fulfill the requirements of the Companies Law. See “— External Directors.” In addition, we anticipate that these two directors would qualify as independent directors under the corporate governance standards of the NASDAQ Capital Market listing requirements and the audit committee independence requirements of Rule 10A-3 of the Securities Exchange Act of 1934, as amended, or the Exchange Act. Currently, our director Gerald Lieberman is the only member of our board of directors that satisfies these independence requirements of the NASDAQ Capital Market listing requirements and the Exchange Act.</w:t>
      </w:r>
    </w:p>
    <w:p>
      <w:pPr>
        <w:spacing w:after="0" w:line="1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According to our amended Articles, the number of members of our board of directors must be at least three and cannot be more than nine. Our board of directors, other than external directors, will be divided into three classes, with staggered three-year terms and one director class coming up for election each year. The Class I, Class II and Class III directors will serve until our annual meetings of shareholders in 2019, 2020 and 2021, respectively. The members of the classes at the closing of this offering will be divided as follows:</w:t>
      </w:r>
    </w:p>
    <w:p>
      <w:pPr>
        <w:spacing w:after="0" w:line="187" w:lineRule="exact"/>
        <w:rPr>
          <w:sz w:val="20"/>
          <w:szCs w:val="20"/>
          <w:color w:val="auto"/>
        </w:rPr>
      </w:pPr>
    </w:p>
    <w:p>
      <w:pPr>
        <w:ind w:left="340" w:hanging="170"/>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Class I directors are Zeev Bronfeld and Roger Garceau;</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Class II directors are Phillip Schwartz and Yonatan Malca; and</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Class III director is Gerald Lieberman.</w:t>
      </w:r>
    </w:p>
    <w:p>
      <w:pPr>
        <w:spacing w:after="0" w:line="225"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At each annual meeting of shareholders, directors will be elected to succeed the class of directors whose term has expired. This classification of our board of directors could have the effect of increasing the length of time necessary to change the composition of a majority of the board of directors. In general, at least two annual meetings of shareholders will be necessary for shareholders to effect a change in a majority of the members of the board of directors.</w:t>
      </w:r>
    </w:p>
    <w:p>
      <w:pPr>
        <w:spacing w:after="0" w:line="14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board of directors is also authorized to appoint directors in order to fill vacancies, including filling empty board seats if the number of directors is below the maximum number permitted under our amended Articles. Each of our directors, other than our external directors, will serve from the date of election or appointment until the next annual meeting of shareholders for which such director’s class is due for reelection. The approval of at least a majority of the voting power in the Company is generally required to remove any of our directors from office (other than external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Directors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Under the Companies Law, companies incorporated under the laws of the States of Israel that are “public companies,” including companies with shares listed on the NASDAQ Capital Market, are generally required to have at least two external directors who meet certain independence criteria to ensure that they are unaffiliated with the company and its controlling shareholder(s). Pursuant to the applicable transition period rules under the Companies Law, our external directors must be elected by our shareholders no later than three months following the completion of this offering.</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An external director must also have either financial and accounting expertise or professional qualifications, as defined in regulations promulgated under the Companies Law, and at least one of the external directors is required to have financial and accounting expertise. An external director is entitled to reimbursement of expenses and compensation as provided in regulations promulgated</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under the Companies Law but is otherwise prohibited from receiving any other compensation from us, directly or indirectly, during his term and for two years thereafter.</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the Companies Law, external directors must be elected at a shareholders’ meeting by a simple majority of the votes cast on the matter, provided that such majority includes a majority of the votes cast by non-controlling shareholders and shareholders who do not have a personal interest in the election (excluding a personal interest that did not result from the shareholder’s relationship with the controlling shareholder), unless the votes cast by such shareholders against the election did not exceed 2% of our aggregate voting rights. External directors serve for up to three terms of three years each, and our audit committee and board of directors may nominate them for additional terms under certain circumstances. Even if an external director is not nominated by our board of directors for re-election for a second or third term, shareholders holding at least 1% of our voting rights or the external director may nominate the external director for re-election. In such a case, the re-election can be approved by a majority of the votes cast by non-controlling shareholders and shareholders who do not have a personal interest in the election (excluding a personal interest that did not result from the shareholder’s relationship with the controlling shareholder) and the votes cast by such shareholders approving the election exceed 2% of our aggregate voting rights. A term of an external director may be terminated prior to expiration only by a shareholder vote (by the same threshold required for election), or by a court, but in each case only if the external director ceases to meet the statutory qualifications for election or if the external director violates his duty of loyalty to us.</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Each committee of a company’s board of directors that is authorized to exercise powers of the board of directors is required to include at least one external director, and all external directors must be members of the company’s audit committee and compensation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Experts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board of directors has resolved that at least one of its members must have financial and accounting expertise, as defined in regulations promulgated under the Companies Law. Our board of directors has determined that Gerald Lieberman meets such qualifications.</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addition, our board of directors has determined that Gerald Lieberman, who has been nominated to serve on our audit committee, is financially literate as determined in accordance with the NASDAQ Capital Market listing requirements and that Mr. Lieberman is qualified to serve as an “audit committee financial expert” as defined by SEC rules.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Alternate Directors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Our amended Articles provide that, as permitted under Israeli law, any director may appoint another person who is not a director or an alternate director to serve as his or her alternate director, subject to the approval of a majority of the members of the board of directors excluding such director. The term of an alternate director could be terminated at any time by the appointing director or our board of directors and would automatically terminate upon the termination of the term of the appointing director. The Companies Law stipulates that an external director may not appoint an alternate director except under very limited circumstances. An alternate director has the same rights and responsibilities as a director, except for the right to appoint an alternate director.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Committees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established the following committees: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Under the Companies Law, the board of directors of a public company must establish an audit committee. The audit committee must consist of at least three directors who meet certain independence criteria and must include all of the company’s external directors, one of whom must serve as chairman of the committee. The audit committee may not include the chairman of the board, a controlling shareholder of the company,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 In addition, under the Companies Law, the majority of the directors serving on the audit committee of a publicly traded company must be unaffiliated directors. In general, an “unaffiliated director” under the Companies Law for “public companies,” including companies with shares listed on the NASDAQ Capital Market, is defined as either an external director or as a director who meets the following criteria:</w:t>
      </w:r>
    </w:p>
    <w:p>
      <w:pPr>
        <w:spacing w:after="0" w:line="179" w:lineRule="exact"/>
        <w:rPr>
          <w:sz w:val="20"/>
          <w:szCs w:val="20"/>
          <w:color w:val="auto"/>
        </w:rPr>
      </w:pPr>
    </w:p>
    <w:p>
      <w:pPr>
        <w:ind w:left="340" w:hanging="170"/>
        <w:spacing w:after="0" w:line="27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he or she meets the primary qualifications for being appointed as an external director, except for the requirements that the director possess accounting and financial expertise or professional qualifications; and</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left="340" w:right="460" w:hanging="170"/>
        <w:spacing w:after="0" w:line="342"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he or she has not served as a director of the company for a period exceeding nine consecutive years, subject to extension for additional terms under certain circumstances. For this purpose, a break of less than two years in the service shall not be deemed to interrupt the continuation of the service.</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Under the NASDAQ Capital Market listing requirements, we are required to maintain an audit committee consisting of at least three independent directors, each of whom is financially literate and one of whom has accounting or related financial management expertise.</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responsibilities of an audit committee under the Companies Law include identifying and addressing flaws in the management of the company, reviewing and approving interested party transactions, establishing whistleblower procedures, overseeing the company’s internal audit system and the performance of its internal auditor, assessing the scope of work and recommending the fees of the company’s independent accounting firm. In addition, the audit committee is required to determine whether certain related party actions and transactions are “material” or “extraordinary” for the purpose of the requisite approval procedures under the Companies Law and to establish procedures for considering proposed transactions with a controlling shareholder.</w:t>
      </w:r>
    </w:p>
    <w:p>
      <w:pPr>
        <w:spacing w:after="0" w:line="15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audit committee is also responsible for the appointment (subject to ratification by the board of directors and shareholders), compensation and oversight of the work of our independent auditors and for assisting our board of directors in monitoring our financial statements, the effectiveness of our internal controls and our compliance with legal and regulatory requirements.</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Upon completion of this offering, our audit committee will initially consist of Gerald Lieberman (Chairman), Zeev Bronfeld and Yonatan Malca. Pursuant to the applicable transition period rules, we anticipate that our audit committee will satisfy the requirements of the Companies Law (subject to shareholder approval of our external directors within three months following the consummation of the offering), the Exchange Act and the NASDAQ Capital Market listing requirements within a period of three months following our listing on the NASDAQ Capital Market. After the applicable transition period of</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three months, all of the members will be external directors or would be eligible to qualify as independent directors as defined in the Companies Law and all of the members will also be independent as defined in SEC rules and the NASDAQ Capital Market listing requirements.</w:t>
      </w:r>
    </w:p>
    <w:p>
      <w:pPr>
        <w:spacing w:after="0" w:line="18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Under the Companies Law, the board of directors of a public company must establish a compensation committee. The compensation committee must consist of at least three directors who meet certain independence criteria and must include all of the company’s external directors. The responsibilities of a compensation committee under the Companies Law include recommending to the board of directors, for ultimate shareholder approval by a special majority, a policy governing the compensation of officers and directors based on specified criteria, reviewing modifications to the compensation policy from time to time, reviewing its implementation and approving, if required by the Companies Law, the actual compensation terms of officers and directors prior to approval by the board of directors, under circumstances where board approval is required under the Companies Law.</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Upon completion of this offering, we will have a compensation committee consisting Gerald Lieberman (Chairman), Zeev Bronfeld and Yonatan Malca. Pursuant to the applicable transition period of three months, our compensation committee will satisfy the requirements of the Companies Law (subject to shareholder approval of our external directors within three months following the consummation of the offering), but not the NASDAQ Capital Market listing standards applicable to compensation committees, which the Company has chosen to opt out of as a foreign private issuer. See “— Corporate Governance Practices”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Auditor</w:t>
      </w:r>
    </w:p>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Under the Companies Law, the board of directors is required to appoint an internal auditor recommended by the audit committee. The role of the internal auditor is to examine, among other things, whether the company’s actions comply with applicable law and proper business procedures. The internal auditor may not be an interested party, an officer or director of the company, or a relative of any of the foregoing, nor may the internal auditor be our independent accountant or a representative thereof. We intend to appoint an internal auditor following the completion of this offering.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Fiduciary Duties and Approval of Related Party Transactions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Fiduciary Duties of Directors and Officers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Israeli law imposes a duty of care and a duty of loyalty on all directors and officers of a company. The duty of care requires a director or officer to act with the level of care with which a reasonable director or officer in the same position would have acted under the same circumstances. The duty of care includes, among other things, a duty to use reasonable means, under the circumstances, to obtain information on the advisability of a given action brought for his approval or performed by virtue of his position and other important</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information pertaining to such action. The duty of loyalty requires the director or officer to act in good faith and for the benefit of the company. The duty of loyalty includes a duty to:</w:t>
      </w:r>
    </w:p>
    <w:p>
      <w:pPr>
        <w:spacing w:after="0" w:line="170" w:lineRule="exact"/>
        <w:rPr>
          <w:sz w:val="20"/>
          <w:szCs w:val="20"/>
          <w:color w:val="auto"/>
        </w:rPr>
      </w:pPr>
    </w:p>
    <w:p>
      <w:pPr>
        <w:ind w:left="340" w:hanging="170"/>
        <w:spacing w:after="0"/>
        <w:tabs>
          <w:tab w:leader="none" w:pos="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refrain from any conflict of interest between the performance of his or her duties to the company and his or her other duties or personal affairs;</w:t>
      </w:r>
    </w:p>
    <w:p>
      <w:pPr>
        <w:spacing w:after="0" w:line="236" w:lineRule="exact"/>
        <w:rPr>
          <w:rFonts w:ascii="Arial" w:cs="Arial" w:eastAsia="Arial" w:hAnsi="Arial"/>
          <w:sz w:val="17"/>
          <w:szCs w:val="17"/>
          <w:color w:val="auto"/>
        </w:rPr>
      </w:pPr>
    </w:p>
    <w:p>
      <w:pPr>
        <w:ind w:left="340" w:hanging="170"/>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company;</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refrain from exploiting any business opportunity of the company to receive a personal gain for himself or herself or others; and</w:t>
      </w:r>
    </w:p>
    <w:p>
      <w:pPr>
        <w:spacing w:after="0" w:line="225" w:lineRule="exact"/>
        <w:rPr>
          <w:rFonts w:ascii="Arial" w:cs="Arial" w:eastAsia="Arial" w:hAnsi="Arial"/>
          <w:sz w:val="18"/>
          <w:szCs w:val="18"/>
          <w:color w:val="auto"/>
        </w:rPr>
      </w:pPr>
    </w:p>
    <w:p>
      <w:pPr>
        <w:ind w:left="340" w:right="60" w:hanging="170"/>
        <w:spacing w:after="0" w:line="277"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Approval of Related Party Transactions</w:t>
      </w:r>
    </w:p>
    <w:p>
      <w:pPr>
        <w:spacing w:after="0" w:line="22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Under the Companies Law, a related party transaction may be approved only if it is for the benefit of the company. A transaction that is not an extraordinary transaction in which a director or officer has a personal interest requires the approval of the board of directors, unless the articles of association of the company provide otherwise. If the transaction is an extraordinary transaction, it must be approved by the audit committee and the board of directors, and, under certain circumstances, by the shareholders of the company, as well. An “extraordinary transaction” is a transaction other than in the ordinary course of business, other than on market terms or that is likely to have a material impact on the company’s profitability, assets or liabilities.</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Extraordinary transactions in which a controlling shareholder has a personal interest require the approval of the audit committee (or, in the case of compensation, indemnification or insurance of a controlling shareholder, the compensation committee), the board of directors and the shareholders of the company. The shareholder approval must be by a simple majority of all votes cast, provided that (i) such majority includes a simple majority of the votes cast by non-controlling shareholders having no personal interest in the matter or (ii) the total number of votes of shareholders mentioned in clause (i) above who voted against such transaction does not exceed 2% of the total voting rights in the company. To the extent that any such transaction with a controlling shareholder is for a period extending beyond three years and under certain conditions, five years from a company’s initial public offering, approval is required at the end of such period unless, with respect to certain transactions, the audit committee determines that the duration of the transaction is reasonable given the circumstances related thereto.</w:t>
      </w:r>
    </w:p>
    <w:p>
      <w:pPr>
        <w:spacing w:after="0" w:line="19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Companies Law generally prohibits any director who has a personal interest in an extraordinary transaction from being present for the discussion and voting pertaining to such transaction in the audit committee or board of directors, except in circumstances where the majority of the board of directors or the audit committee has a personal interest in the transaction, in which case such transaction also requires shareholder approval.</w:t>
      </w:r>
    </w:p>
    <w:p>
      <w:pPr>
        <w:spacing w:after="0" w:line="166"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Pursuant to regulations promulgated under the Companies Law, certain transactions with a controlling shareholder or his or her relative, or with directors or other office holders, that would otherwise require approval of a company’s shareholders may be exempt from shareholder approval under certain conditions.</w:t>
      </w:r>
    </w:p>
    <w:p>
      <w:pPr>
        <w:spacing w:after="0" w:line="12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Approval of Director and Officer Compensation</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Under the Companies Law, we are required to adopt a compensation policy with respect to our directors and officers once every three years, provided however that a compensation policy adopted within nine months from the closing of this offering is valid for five years. The compensation policy must serve as the basis for decisions concerning the financial terms of employment or engagement of office holders, including compensation, benefits, exculpation, insurance and indemnification. The compensation policy must take into account certain factors, including advancement of the company’s objectives, the company’s business plan and its long-term strategy, and creation of appropriate incentives.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Following the recommendation of our compensation committee, the compensation policy must be approved by our board of directors and shareholders. The shareholder approval must be by a simple majority of all votes cast, provided that (i) such majority includes a simple majority of the votes cast by non-controlling shareholders having no personal interest in the matter or (ii) the total number of votes of shareholders mentioned in clause (i) above who voted against such transaction does not exceed 2% of the total voting rights in the company. Even if shareholders do not approve the compensation policy, the board of directors may resolve to approve the</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compensation policy, subject to certain conditions. We intend to adopt a compensation policy within nine months from the consummation of this offering.</w:t>
      </w:r>
    </w:p>
    <w:p>
      <w:pPr>
        <w:spacing w:after="0" w:line="2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general, the compensation terms of directors, the chief executive officer and any employee or service provider who is considered a controlling shareholder must be approved by the compensation committee, the board of directors and the shareholders. Shareholder approval is not required for director compensation payable in cash up to the maximum amount set forth in the regulations governing the compensation of external directors. The compensation terms of other officers who report directly to the chief executive officer require the approval of the compensation committee and the board of directors, subject to certain exceptions.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Executive Officers</w:t>
      </w:r>
    </w:p>
    <w:p>
      <w:pPr>
        <w:spacing w:after="0" w:line="22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have entered into written employment agreements with all of our executive officers. Each of these agreements contains provisions regarding confidentiality, non-competition/non-solicitation and ownership of intellectual property. The non-competition provision applies for a period that is generally 12 months following termination of employment. The enforceability of covenants not to compete in Israel and the United States is subject to limitations. In addition, we are required to provide notice prior to terminating the employment of our executive officers, other than in the case of a termination under circumstances which deprive the executive officer of severance pay under Israeli law, a breach of trust, or the executive officer’s breach of the terms of confidentiality, non-competition/non-solicitation and ownership of intellectual property provisions of the relevant employment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Officers</w:t>
      </w:r>
    </w:p>
    <w:p>
      <w:pPr>
        <w:spacing w:after="0" w:line="2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External directors may be compensated only in accordance with regulations adopted under the Companies Law. These regulations permit the payment of cash compensation within a specified range, depending on the size of the company, or cash or equity compensation that is consistent with the compensation paid to the other independent directors. We generally do not have any agreement with directors providing for benefits upon termination of their service as directors of our company.</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aggregate compensation paid to all of the members of our directors and senior management was approximately $6.4 million in 2017. This amount includes approximately $4.7 million for share-based compensation and $92,000 set aside or accrued in the aggregate for pension or other retirement benefits for our senior management in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For so long as we qualify as a foreign private issuer, we are not required to comply with the proxy rules applicable to U.S. domestic companies, including the requirement to disclose the compensation of our chief executive officer, chief financial officer and other three most highly compensated executive officers on an individual basis. Nevertheless, pursuant to regulations promulgated under the Companies Law, we will be required to disclose the annual compensation of our five most highly compensated office holders, which includes our directors and officers, on an individual basis. Such disclosure will not be as extensive as that required of a U.S. domestic issuer. The following table presents all compensation we incurred for the year ended December 31, 2017 with respect to our five highest paid office holders, in U.S. dollars. The table does not include any amounts we paid to reimburse any of these persons for costs incurred in providing us with services during this period: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Annual 2017 Compensation</w:t>
            </w:r>
          </w:p>
        </w:tc>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191"/>
        </w:trPr>
        <w:tc>
          <w:tcPr>
            <w:tcW w:w="1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2"/>
              </w:rPr>
              <w:t>Retirement,</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6"/>
        </w:trPr>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Service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2"/>
              </w:rPr>
              <w:t>Fees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Base Salary</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and Other</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and Related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Similar</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 Based</w:t>
            </w:r>
          </w:p>
        </w:tc>
        <w:tc>
          <w:tcPr>
            <w:tcW w:w="1240" w:type="dxa"/>
            <w:vAlign w:val="bottom"/>
          </w:tcPr>
          <w:p>
            <w:pPr>
              <w:spacing w:after="0"/>
              <w:rPr>
                <w:sz w:val="18"/>
                <w:szCs w:val="18"/>
                <w:color w:val="auto"/>
              </w:rPr>
            </w:pPr>
          </w:p>
        </w:tc>
      </w:tr>
      <w:tr>
        <w:trPr>
          <w:trHeight w:val="234"/>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2300" w:type="dxa"/>
            <w:vAlign w:val="bottom"/>
            <w:gridSpan w:val="2"/>
          </w:tcPr>
          <w:p>
            <w:pPr>
              <w:ind w:left="780"/>
              <w:spacing w:after="0"/>
              <w:rPr>
                <w:sz w:val="20"/>
                <w:szCs w:val="20"/>
                <w:color w:val="auto"/>
              </w:rPr>
            </w:pPr>
            <w:r>
              <w:rPr>
                <w:rFonts w:ascii="Arial" w:cs="Arial" w:eastAsia="Arial" w:hAnsi="Arial"/>
                <w:sz w:val="18"/>
                <w:szCs w:val="18"/>
                <w:b w:val="1"/>
                <w:bCs w:val="1"/>
                <w:color w:val="auto"/>
              </w:rPr>
              <w:t>Position</w:t>
            </w:r>
          </w:p>
        </w:tc>
        <w:tc>
          <w:tcPr>
            <w:tcW w:w="1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Benefits(1)</w:t>
            </w:r>
          </w:p>
        </w:tc>
        <w:tc>
          <w:tcPr>
            <w:tcW w:w="1340" w:type="dxa"/>
            <w:vAlign w:val="bottom"/>
            <w:gridSpan w:val="2"/>
          </w:tcPr>
          <w:p>
            <w:pPr>
              <w:ind w:left="380"/>
              <w:spacing w:after="0"/>
              <w:rPr>
                <w:sz w:val="20"/>
                <w:szCs w:val="20"/>
                <w:color w:val="auto"/>
              </w:rPr>
            </w:pPr>
            <w:r>
              <w:rPr>
                <w:rFonts w:ascii="Arial" w:cs="Arial" w:eastAsia="Arial" w:hAnsi="Arial"/>
                <w:sz w:val="18"/>
                <w:szCs w:val="18"/>
                <w:b w:val="1"/>
                <w:bCs w:val="1"/>
                <w:color w:val="auto"/>
              </w:rPr>
              <w:t>Bonus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Benefits</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Compensation(2)</w:t>
            </w: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195"/>
        </w:trPr>
        <w:tc>
          <w:tcPr>
            <w:tcW w:w="1720" w:type="dxa"/>
            <w:vAlign w:val="bottom"/>
            <w:tcBorders>
              <w:top w:val="single" w:sz="8" w:color="auto"/>
            </w:tcBorders>
            <w:shd w:val="clear" w:color="auto" w:fill="D5EAEA"/>
          </w:tcPr>
          <w:p>
            <w:pPr>
              <w:spacing w:after="0"/>
              <w:rPr>
                <w:sz w:val="16"/>
                <w:szCs w:val="16"/>
                <w:color w:val="auto"/>
              </w:rPr>
            </w:pPr>
          </w:p>
        </w:tc>
        <w:tc>
          <w:tcPr>
            <w:tcW w:w="580" w:type="dxa"/>
            <w:vAlign w:val="bottom"/>
            <w:tcBorders>
              <w:top w:val="single" w:sz="8" w:color="auto"/>
            </w:tcBorders>
            <w:shd w:val="clear" w:color="auto" w:fill="D5EAEA"/>
          </w:tcPr>
          <w:p>
            <w:pPr>
              <w:spacing w:after="0"/>
              <w:rPr>
                <w:sz w:val="16"/>
                <w:szCs w:val="16"/>
                <w:color w:val="auto"/>
              </w:rPr>
            </w:pPr>
          </w:p>
        </w:tc>
        <w:tc>
          <w:tcPr>
            <w:tcW w:w="120" w:type="dxa"/>
            <w:vAlign w:val="bottom"/>
            <w:tcBorders>
              <w:top w:val="single" w:sz="8" w:color="D5EAEA"/>
            </w:tcBorders>
            <w:shd w:val="clear" w:color="auto" w:fill="D5EAEA"/>
          </w:tcPr>
          <w:p>
            <w:pPr>
              <w:spacing w:after="0"/>
              <w:rPr>
                <w:sz w:val="16"/>
                <w:szCs w:val="16"/>
                <w:color w:val="auto"/>
              </w:rPr>
            </w:pPr>
          </w:p>
        </w:tc>
        <w:tc>
          <w:tcPr>
            <w:tcW w:w="2180" w:type="dxa"/>
            <w:vAlign w:val="bottom"/>
            <w:tcBorders>
              <w:top w:val="single" w:sz="8" w:color="auto"/>
            </w:tcBorders>
            <w:shd w:val="clear" w:color="auto" w:fill="D5EAEA"/>
          </w:tcPr>
          <w:p>
            <w:pPr>
              <w:spacing w:after="0" w:line="195" w:lineRule="exact"/>
              <w:rPr>
                <w:sz w:val="20"/>
                <w:szCs w:val="20"/>
                <w:color w:val="auto"/>
              </w:rPr>
            </w:pPr>
            <w:r>
              <w:rPr>
                <w:rFonts w:ascii="Arial" w:cs="Arial" w:eastAsia="Arial" w:hAnsi="Arial"/>
                <w:sz w:val="18"/>
                <w:szCs w:val="18"/>
                <w:color w:val="auto"/>
              </w:rPr>
              <w:t>Chairman of the board of</w:t>
            </w:r>
          </w:p>
        </w:tc>
        <w:tc>
          <w:tcPr>
            <w:tcW w:w="120" w:type="dxa"/>
            <w:vAlign w:val="bottom"/>
            <w:tcBorders>
              <w:top w:val="single" w:sz="8" w:color="D5EAEA"/>
            </w:tcBorders>
            <w:shd w:val="clear" w:color="auto" w:fill="D5EAEA"/>
          </w:tcPr>
          <w:p>
            <w:pPr>
              <w:spacing w:after="0"/>
              <w:rPr>
                <w:sz w:val="16"/>
                <w:szCs w:val="16"/>
                <w:color w:val="auto"/>
              </w:rPr>
            </w:pPr>
          </w:p>
        </w:tc>
        <w:tc>
          <w:tcPr>
            <w:tcW w:w="120" w:type="dxa"/>
            <w:vAlign w:val="bottom"/>
            <w:tcBorders>
              <w:top w:val="single" w:sz="8" w:color="auto"/>
            </w:tcBorders>
            <w:shd w:val="clear" w:color="auto" w:fill="D5EAEA"/>
          </w:tcPr>
          <w:p>
            <w:pPr>
              <w:spacing w:after="0"/>
              <w:rPr>
                <w:sz w:val="16"/>
                <w:szCs w:val="16"/>
                <w:color w:val="auto"/>
              </w:rPr>
            </w:pPr>
          </w:p>
        </w:tc>
        <w:tc>
          <w:tcPr>
            <w:tcW w:w="1120" w:type="dxa"/>
            <w:vAlign w:val="bottom"/>
            <w:tcBorders>
              <w:top w:val="single" w:sz="8" w:color="auto"/>
            </w:tcBorders>
            <w:shd w:val="clear" w:color="auto" w:fill="D5EAEA"/>
          </w:tcPr>
          <w:p>
            <w:pPr>
              <w:spacing w:after="0"/>
              <w:rPr>
                <w:sz w:val="16"/>
                <w:szCs w:val="16"/>
                <w:color w:val="auto"/>
              </w:rPr>
            </w:pPr>
          </w:p>
        </w:tc>
        <w:tc>
          <w:tcPr>
            <w:tcW w:w="120" w:type="dxa"/>
            <w:vAlign w:val="bottom"/>
            <w:tcBorders>
              <w:top w:val="single" w:sz="8" w:color="D5EAEA"/>
            </w:tcBorders>
            <w:shd w:val="clear" w:color="auto" w:fill="D5EAEA"/>
          </w:tcPr>
          <w:p>
            <w:pPr>
              <w:spacing w:after="0"/>
              <w:rPr>
                <w:sz w:val="16"/>
                <w:szCs w:val="16"/>
                <w:color w:val="auto"/>
              </w:rPr>
            </w:pPr>
          </w:p>
        </w:tc>
        <w:tc>
          <w:tcPr>
            <w:tcW w:w="1240" w:type="dxa"/>
            <w:vAlign w:val="bottom"/>
            <w:tcBorders>
              <w:top w:val="single" w:sz="8" w:color="auto"/>
            </w:tcBorders>
            <w:shd w:val="clear" w:color="auto" w:fill="D5EAEA"/>
          </w:tcPr>
          <w:p>
            <w:pPr>
              <w:spacing w:after="0"/>
              <w:rPr>
                <w:sz w:val="16"/>
                <w:szCs w:val="16"/>
                <w:color w:val="auto"/>
              </w:rPr>
            </w:pPr>
          </w:p>
        </w:tc>
        <w:tc>
          <w:tcPr>
            <w:tcW w:w="100" w:type="dxa"/>
            <w:vAlign w:val="bottom"/>
            <w:tcBorders>
              <w:top w:val="single" w:sz="8" w:color="D5EAEA"/>
            </w:tcBorders>
            <w:shd w:val="clear" w:color="auto" w:fill="D5EAEA"/>
          </w:tcPr>
          <w:p>
            <w:pPr>
              <w:spacing w:after="0"/>
              <w:rPr>
                <w:sz w:val="16"/>
                <w:szCs w:val="16"/>
                <w:color w:val="auto"/>
              </w:rPr>
            </w:pPr>
          </w:p>
        </w:tc>
        <w:tc>
          <w:tcPr>
            <w:tcW w:w="1240" w:type="dxa"/>
            <w:vAlign w:val="bottom"/>
            <w:tcBorders>
              <w:top w:val="single" w:sz="8" w:color="auto"/>
            </w:tcBorders>
            <w:shd w:val="clear" w:color="auto" w:fill="D5EAEA"/>
          </w:tcPr>
          <w:p>
            <w:pPr>
              <w:spacing w:after="0"/>
              <w:rPr>
                <w:sz w:val="16"/>
                <w:szCs w:val="16"/>
                <w:color w:val="auto"/>
              </w:rPr>
            </w:pPr>
          </w:p>
        </w:tc>
        <w:tc>
          <w:tcPr>
            <w:tcW w:w="120" w:type="dxa"/>
            <w:vAlign w:val="bottom"/>
            <w:tcBorders>
              <w:top w:val="single" w:sz="8" w:color="D5EAEA"/>
            </w:tcBorders>
            <w:shd w:val="clear" w:color="auto" w:fill="D5EAEA"/>
          </w:tcPr>
          <w:p>
            <w:pPr>
              <w:spacing w:after="0"/>
              <w:rPr>
                <w:sz w:val="16"/>
                <w:szCs w:val="16"/>
                <w:color w:val="auto"/>
              </w:rPr>
            </w:pPr>
          </w:p>
        </w:tc>
        <w:tc>
          <w:tcPr>
            <w:tcW w:w="1280" w:type="dxa"/>
            <w:vAlign w:val="bottom"/>
            <w:tcBorders>
              <w:top w:val="single" w:sz="8" w:color="auto"/>
            </w:tcBorders>
            <w:shd w:val="clear" w:color="auto" w:fill="D5EAEA"/>
          </w:tcPr>
          <w:p>
            <w:pPr>
              <w:spacing w:after="0"/>
              <w:rPr>
                <w:sz w:val="16"/>
                <w:szCs w:val="16"/>
                <w:color w:val="auto"/>
              </w:rPr>
            </w:pPr>
          </w:p>
        </w:tc>
        <w:tc>
          <w:tcPr>
            <w:tcW w:w="120" w:type="dxa"/>
            <w:vAlign w:val="bottom"/>
            <w:tcBorders>
              <w:top w:val="single" w:sz="8" w:color="D5EAEA"/>
            </w:tcBorders>
            <w:shd w:val="clear" w:color="auto" w:fill="D5EAEA"/>
          </w:tcPr>
          <w:p>
            <w:pPr>
              <w:spacing w:after="0"/>
              <w:rPr>
                <w:sz w:val="16"/>
                <w:szCs w:val="16"/>
                <w:color w:val="auto"/>
              </w:rPr>
            </w:pPr>
          </w:p>
        </w:tc>
        <w:tc>
          <w:tcPr>
            <w:tcW w:w="1240" w:type="dxa"/>
            <w:vAlign w:val="bottom"/>
            <w:tcBorders>
              <w:top w:val="single" w:sz="8" w:color="auto"/>
            </w:tcBorders>
            <w:shd w:val="clear" w:color="auto" w:fill="D5EAEA"/>
          </w:tcPr>
          <w:p>
            <w:pPr>
              <w:spacing w:after="0"/>
              <w:rPr>
                <w:sz w:val="16"/>
                <w:szCs w:val="16"/>
                <w:color w:val="auto"/>
              </w:rPr>
            </w:pPr>
          </w:p>
        </w:tc>
      </w:tr>
      <w:tr>
        <w:trPr>
          <w:trHeight w:val="230"/>
        </w:trPr>
        <w:tc>
          <w:tcPr>
            <w:tcW w:w="23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Luke M. Beshar</w:t>
            </w:r>
          </w:p>
        </w:tc>
        <w:tc>
          <w:tcPr>
            <w:tcW w:w="2420" w:type="dxa"/>
            <w:vAlign w:val="bottom"/>
            <w:gridSpan w:val="3"/>
            <w:shd w:val="clear" w:color="auto" w:fill="D5EAEA"/>
          </w:tcPr>
          <w:p>
            <w:pPr>
              <w:ind w:left="120"/>
              <w:spacing w:after="0"/>
              <w:rPr>
                <w:sz w:val="20"/>
                <w:szCs w:val="20"/>
                <w:color w:val="auto"/>
              </w:rPr>
            </w:pPr>
            <w:r>
              <w:rPr>
                <w:rFonts w:ascii="Arial" w:cs="Arial" w:eastAsia="Arial" w:hAnsi="Arial"/>
                <w:sz w:val="18"/>
                <w:szCs w:val="18"/>
                <w:color w:val="auto"/>
              </w:rPr>
              <w:t>directors</w:t>
            </w:r>
          </w:p>
        </w:tc>
        <w:tc>
          <w:tcPr>
            <w:tcW w:w="120" w:type="dxa"/>
            <w:vAlign w:val="bottom"/>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20"/>
                <w:szCs w:val="20"/>
                <w:color w:val="auto"/>
              </w:rPr>
            </w:pPr>
          </w:p>
        </w:tc>
        <w:tc>
          <w:tcPr>
            <w:tcW w:w="1240" w:type="dxa"/>
            <w:vAlign w:val="bottom"/>
            <w:shd w:val="clear" w:color="auto" w:fill="D5EAEA"/>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20"/>
                <w:szCs w:val="20"/>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294,469</w:t>
            </w:r>
          </w:p>
        </w:tc>
        <w:tc>
          <w:tcPr>
            <w:tcW w:w="120" w:type="dxa"/>
            <w:vAlign w:val="bottom"/>
            <w:shd w:val="clear" w:color="auto" w:fill="D5EAEA"/>
          </w:tcPr>
          <w:p>
            <w:pPr>
              <w:spacing w:after="0"/>
              <w:rPr>
                <w:sz w:val="20"/>
                <w:szCs w:val="20"/>
                <w:color w:val="auto"/>
              </w:rPr>
            </w:pPr>
          </w:p>
        </w:tc>
        <w:tc>
          <w:tcPr>
            <w:tcW w:w="12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3,054,263</w:t>
            </w:r>
          </w:p>
        </w:tc>
        <w:tc>
          <w:tcPr>
            <w:tcW w:w="120" w:type="dxa"/>
            <w:vAlign w:val="bottom"/>
            <w:shd w:val="clear" w:color="auto" w:fill="D5EAEA"/>
          </w:tcPr>
          <w:p>
            <w:pPr>
              <w:spacing w:after="0"/>
              <w:rPr>
                <w:sz w:val="20"/>
                <w:szCs w:val="20"/>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3,333,185</w:t>
            </w:r>
          </w:p>
        </w:tc>
      </w:tr>
      <w:tr>
        <w:trPr>
          <w:trHeight w:val="202"/>
        </w:trPr>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2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Chief Development</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Dr. Roger Garceau</w:t>
            </w: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Advisor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120,773</w:t>
            </w:r>
          </w:p>
        </w:tc>
        <w:tc>
          <w:tcPr>
            <w:tcW w:w="1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886,925</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1,000,925</w:t>
            </w:r>
          </w:p>
        </w:tc>
      </w:tr>
      <w:tr>
        <w:trPr>
          <w:trHeight w:val="202"/>
        </w:trPr>
        <w:tc>
          <w:tcPr>
            <w:tcW w:w="1720" w:type="dxa"/>
            <w:vAlign w:val="bottom"/>
            <w:shd w:val="clear" w:color="auto" w:fill="D5EAEA"/>
          </w:tcPr>
          <w:p>
            <w:pPr>
              <w:spacing w:after="0"/>
              <w:rPr>
                <w:sz w:val="17"/>
                <w:szCs w:val="17"/>
                <w:color w:val="auto"/>
              </w:rPr>
            </w:pPr>
          </w:p>
        </w:tc>
        <w:tc>
          <w:tcPr>
            <w:tcW w:w="580" w:type="dxa"/>
            <w:vAlign w:val="bottom"/>
            <w:shd w:val="clear" w:color="auto" w:fill="D5EAEA"/>
          </w:tcPr>
          <w:p>
            <w:pPr>
              <w:spacing w:after="0"/>
              <w:rPr>
                <w:sz w:val="17"/>
                <w:szCs w:val="17"/>
                <w:color w:val="auto"/>
              </w:rPr>
            </w:pPr>
          </w:p>
        </w:tc>
        <w:tc>
          <w:tcPr>
            <w:tcW w:w="2420" w:type="dxa"/>
            <w:vAlign w:val="bottom"/>
            <w:gridSpan w:val="3"/>
            <w:shd w:val="clear" w:color="auto" w:fill="D5EAEA"/>
          </w:tcPr>
          <w:p>
            <w:pPr>
              <w:ind w:left="120"/>
              <w:spacing w:after="0" w:line="201" w:lineRule="exact"/>
              <w:rPr>
                <w:sz w:val="20"/>
                <w:szCs w:val="20"/>
                <w:color w:val="auto"/>
              </w:rPr>
            </w:pPr>
            <w:r>
              <w:rPr>
                <w:rFonts w:ascii="Arial" w:cs="Arial" w:eastAsia="Arial" w:hAnsi="Arial"/>
                <w:sz w:val="18"/>
                <w:szCs w:val="18"/>
                <w:color w:val="auto"/>
              </w:rPr>
              <w:t>Chief Executive Officer</w:t>
            </w: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r>
      <w:tr>
        <w:trPr>
          <w:trHeight w:val="230"/>
        </w:trPr>
        <w:tc>
          <w:tcPr>
            <w:tcW w:w="23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Dr. Phillip Schwartz</w:t>
            </w:r>
          </w:p>
        </w:tc>
        <w:tc>
          <w:tcPr>
            <w:tcW w:w="2420" w:type="dxa"/>
            <w:vAlign w:val="bottom"/>
            <w:gridSpan w:val="3"/>
            <w:shd w:val="clear" w:color="auto" w:fill="D5EAEA"/>
          </w:tcPr>
          <w:p>
            <w:pPr>
              <w:ind w:left="120"/>
              <w:spacing w:after="0"/>
              <w:rPr>
                <w:sz w:val="20"/>
                <w:szCs w:val="20"/>
                <w:color w:val="auto"/>
              </w:rPr>
            </w:pPr>
            <w:r>
              <w:rPr>
                <w:rFonts w:ascii="Arial" w:cs="Arial" w:eastAsia="Arial" w:hAnsi="Arial"/>
                <w:sz w:val="18"/>
                <w:szCs w:val="18"/>
                <w:color w:val="auto"/>
              </w:rPr>
              <w:t>and Director</w:t>
            </w:r>
          </w:p>
        </w:tc>
        <w:tc>
          <w:tcPr>
            <w:tcW w:w="120" w:type="dxa"/>
            <w:vAlign w:val="bottom"/>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300,791</w:t>
            </w:r>
          </w:p>
        </w:tc>
        <w:tc>
          <w:tcPr>
            <w:tcW w:w="120" w:type="dxa"/>
            <w:vAlign w:val="bottom"/>
            <w:shd w:val="clear" w:color="auto" w:fill="D5EAEA"/>
          </w:tcPr>
          <w:p>
            <w:pPr>
              <w:spacing w:after="0"/>
              <w:rPr>
                <w:sz w:val="20"/>
                <w:szCs w:val="20"/>
                <w:color w:val="auto"/>
              </w:rPr>
            </w:pP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D5EAEA"/>
          </w:tcPr>
          <w:p>
            <w:pPr>
              <w:spacing w:after="0"/>
              <w:rPr>
                <w:sz w:val="20"/>
                <w:szCs w:val="20"/>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44,497</w:t>
            </w:r>
          </w:p>
        </w:tc>
        <w:tc>
          <w:tcPr>
            <w:tcW w:w="120" w:type="dxa"/>
            <w:vAlign w:val="bottom"/>
            <w:shd w:val="clear" w:color="auto" w:fill="D5EAEA"/>
          </w:tcPr>
          <w:p>
            <w:pPr>
              <w:spacing w:after="0"/>
              <w:rPr>
                <w:sz w:val="20"/>
                <w:szCs w:val="20"/>
                <w:color w:val="auto"/>
              </w:rPr>
            </w:pPr>
          </w:p>
        </w:tc>
        <w:tc>
          <w:tcPr>
            <w:tcW w:w="12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120,240</w:t>
            </w:r>
          </w:p>
        </w:tc>
        <w:tc>
          <w:tcPr>
            <w:tcW w:w="120" w:type="dxa"/>
            <w:vAlign w:val="bottom"/>
            <w:shd w:val="clear" w:color="auto" w:fill="D5EAEA"/>
          </w:tcPr>
          <w:p>
            <w:pPr>
              <w:spacing w:after="0"/>
              <w:rPr>
                <w:sz w:val="20"/>
                <w:szCs w:val="20"/>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615,528</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Gerald Lieberman</w:t>
            </w:r>
          </w:p>
        </w:tc>
        <w:tc>
          <w:tcPr>
            <w:tcW w:w="24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17,940</w:t>
            </w:r>
          </w:p>
        </w:tc>
        <w:tc>
          <w:tcPr>
            <w:tcW w:w="12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482,177</w:t>
            </w: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500,117</w:t>
            </w:r>
          </w:p>
        </w:tc>
      </w:tr>
      <w:tr>
        <w:trPr>
          <w:trHeight w:val="202"/>
        </w:trPr>
        <w:tc>
          <w:tcPr>
            <w:tcW w:w="1720" w:type="dxa"/>
            <w:vAlign w:val="bottom"/>
            <w:shd w:val="clear" w:color="auto" w:fill="D5EAEA"/>
          </w:tcPr>
          <w:p>
            <w:pPr>
              <w:spacing w:after="0"/>
              <w:rPr>
                <w:sz w:val="17"/>
                <w:szCs w:val="17"/>
                <w:color w:val="auto"/>
              </w:rPr>
            </w:pPr>
          </w:p>
        </w:tc>
        <w:tc>
          <w:tcPr>
            <w:tcW w:w="580" w:type="dxa"/>
            <w:vAlign w:val="bottom"/>
            <w:shd w:val="clear" w:color="auto" w:fill="D5EAEA"/>
          </w:tcPr>
          <w:p>
            <w:pPr>
              <w:spacing w:after="0"/>
              <w:rPr>
                <w:sz w:val="17"/>
                <w:szCs w:val="17"/>
                <w:color w:val="auto"/>
              </w:rPr>
            </w:pPr>
          </w:p>
        </w:tc>
        <w:tc>
          <w:tcPr>
            <w:tcW w:w="2420" w:type="dxa"/>
            <w:vAlign w:val="bottom"/>
            <w:gridSpan w:val="3"/>
            <w:shd w:val="clear" w:color="auto" w:fill="D5EAEA"/>
          </w:tcPr>
          <w:p>
            <w:pPr>
              <w:ind w:left="120"/>
              <w:spacing w:after="0" w:line="201" w:lineRule="exact"/>
              <w:rPr>
                <w:sz w:val="20"/>
                <w:szCs w:val="20"/>
                <w:color w:val="auto"/>
              </w:rPr>
            </w:pPr>
            <w:r>
              <w:rPr>
                <w:rFonts w:ascii="Arial" w:cs="Arial" w:eastAsia="Arial" w:hAnsi="Arial"/>
                <w:sz w:val="18"/>
                <w:szCs w:val="18"/>
                <w:color w:val="auto"/>
              </w:rPr>
              <w:t>Chief Operating</w:t>
            </w: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r>
      <w:tr>
        <w:trPr>
          <w:trHeight w:val="230"/>
        </w:trPr>
        <w:tc>
          <w:tcPr>
            <w:tcW w:w="2300" w:type="dxa"/>
            <w:vAlign w:val="bottom"/>
            <w:gridSpan w:val="2"/>
            <w:shd w:val="clear" w:color="auto" w:fill="D5EAEA"/>
          </w:tcPr>
          <w:p>
            <w:pPr>
              <w:spacing w:after="0"/>
              <w:rPr>
                <w:sz w:val="20"/>
                <w:szCs w:val="20"/>
                <w:color w:val="auto"/>
              </w:rPr>
            </w:pPr>
            <w:r>
              <w:rPr>
                <w:rFonts w:ascii="Arial" w:cs="Arial" w:eastAsia="Arial" w:hAnsi="Arial"/>
                <w:sz w:val="18"/>
                <w:szCs w:val="18"/>
                <w:color w:val="auto"/>
              </w:rPr>
              <w:t>Dr. Hillel Galitzer</w:t>
            </w:r>
          </w:p>
        </w:tc>
        <w:tc>
          <w:tcPr>
            <w:tcW w:w="2420" w:type="dxa"/>
            <w:vAlign w:val="bottom"/>
            <w:gridSpan w:val="3"/>
            <w:shd w:val="clear" w:color="auto" w:fill="D5EAEA"/>
          </w:tcPr>
          <w:p>
            <w:pPr>
              <w:ind w:left="120"/>
              <w:spacing w:after="0"/>
              <w:rPr>
                <w:sz w:val="20"/>
                <w:szCs w:val="20"/>
                <w:color w:val="auto"/>
              </w:rPr>
            </w:pPr>
            <w:r>
              <w:rPr>
                <w:rFonts w:ascii="Arial" w:cs="Arial" w:eastAsia="Arial" w:hAnsi="Arial"/>
                <w:sz w:val="18"/>
                <w:szCs w:val="18"/>
                <w:color w:val="auto"/>
              </w:rPr>
              <w:t>Officer</w:t>
            </w:r>
          </w:p>
        </w:tc>
        <w:tc>
          <w:tcPr>
            <w:tcW w:w="120" w:type="dxa"/>
            <w:vAlign w:val="bottom"/>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201,749</w:t>
            </w:r>
          </w:p>
        </w:tc>
        <w:tc>
          <w:tcPr>
            <w:tcW w:w="120" w:type="dxa"/>
            <w:vAlign w:val="bottom"/>
            <w:shd w:val="clear" w:color="auto" w:fill="D5EAEA"/>
          </w:tcPr>
          <w:p>
            <w:pPr>
              <w:spacing w:after="0"/>
              <w:rPr>
                <w:sz w:val="20"/>
                <w:szCs w:val="20"/>
                <w:color w:val="auto"/>
              </w:rPr>
            </w:pPr>
          </w:p>
        </w:tc>
        <w:tc>
          <w:tcPr>
            <w:tcW w:w="12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D5EAEA"/>
          </w:tcPr>
          <w:p>
            <w:pPr>
              <w:spacing w:after="0"/>
              <w:rPr>
                <w:sz w:val="20"/>
                <w:szCs w:val="20"/>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24,808</w:t>
            </w:r>
          </w:p>
        </w:tc>
        <w:tc>
          <w:tcPr>
            <w:tcW w:w="120" w:type="dxa"/>
            <w:vAlign w:val="bottom"/>
            <w:shd w:val="clear" w:color="auto" w:fill="D5EAEA"/>
          </w:tcPr>
          <w:p>
            <w:pPr>
              <w:spacing w:after="0"/>
              <w:rPr>
                <w:sz w:val="20"/>
                <w:szCs w:val="20"/>
                <w:color w:val="auto"/>
              </w:rPr>
            </w:pPr>
          </w:p>
        </w:tc>
        <w:tc>
          <w:tcPr>
            <w:tcW w:w="12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58,211</w:t>
            </w:r>
          </w:p>
        </w:tc>
        <w:tc>
          <w:tcPr>
            <w:tcW w:w="120" w:type="dxa"/>
            <w:vAlign w:val="bottom"/>
            <w:shd w:val="clear" w:color="auto" w:fill="D5EAEA"/>
          </w:tcPr>
          <w:p>
            <w:pPr>
              <w:spacing w:after="0"/>
              <w:rPr>
                <w:sz w:val="20"/>
                <w:szCs w:val="20"/>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344,768</w:t>
            </w:r>
          </w:p>
        </w:tc>
      </w:tr>
      <w:tr>
        <w:trPr>
          <w:trHeight w:val="243"/>
        </w:trPr>
        <w:tc>
          <w:tcPr>
            <w:tcW w:w="1720" w:type="dxa"/>
            <w:vAlign w:val="bottom"/>
            <w:tcBorders>
              <w:bottom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242" w:lineRule="exact"/>
        <w:rPr>
          <w:sz w:val="20"/>
          <w:szCs w:val="20"/>
          <w:color w:val="auto"/>
        </w:rPr>
      </w:pPr>
    </w:p>
    <w:p>
      <w:pPr>
        <w:ind w:left="380" w:right="600" w:hanging="372"/>
        <w:spacing w:after="0" w:line="308" w:lineRule="auto"/>
        <w:tabs>
          <w:tab w:leader="none" w:pos="3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Includes base salary, social benefits and car allowances. The amounts shown in this column represent expenses recorded or to be recorded by the Company, calculated using the average monthly exchange rates of the relevant month in which the salary was recorded.</w:t>
      </w:r>
    </w:p>
    <w:p>
      <w:pPr>
        <w:sectPr>
          <w:pgSz w:w="11900" w:h="16838" w:orient="portrait"/>
          <w:cols w:equalWidth="0" w:num="1">
            <w:col w:w="11420"/>
          </w:cols>
          <w:pgMar w:left="240" w:top="225" w:right="239" w:bottom="1440" w:gutter="0" w:footer="0" w:header="0"/>
        </w:sectPr>
      </w:pP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26" w:name="page127"/>
    <w:bookmarkEnd w:id="12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80" w:right="200" w:hanging="372"/>
        <w:spacing w:after="0" w:line="277" w:lineRule="auto"/>
        <w:tabs>
          <w:tab w:leader="none" w:pos="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amounts shown in this column represents expenses recorded or to be recorded with respect to all options granted to such officers, calculated using the actual exchange rate on the grant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March 17, 2013, our board of directors approved our Share Incentive Plan, or the 2013 Plan, for the granting of stock options, restricted share units, restricted share awards and performance-based awards, in order to provide incentives to our employees, directors, consultants and/or service providers. As of March 31, 2018 and without giving effect to the ordinary share split described in this prospectus, a total of 651 ordinary shares remained available for issuance under the 2013 Plan. As of that date and without giving effect to the ordinary share split described in this prospectus, 24,509 ordinary shares were issuable upon the exercise of outstanding awards under the 2013 Plan, at a weighted-average exercise price of $601.54 per share. Of the foregoing outstanding awards, options to purchase 12,755 ordinary shares, in the aggregate, had vested under the 2013 Plan as of that date, with a weighted-average exercise price of $426.86 per share (and without giving effect to the ordinary share split described in this prospectus).</w:t>
      </w:r>
    </w:p>
    <w:p>
      <w:pPr>
        <w:spacing w:after="0" w:line="16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Awards granted under the 2013 Plan are subject to vesting schedules and generally vest over a four-year period commencing from the applicable grant date, such that 25% of the awards vest on the first anniversary of the applicable grant date and 75% of the awards vest in 12 equal installments upon the lapse of each three-month period following the first anniversary of the applicable grant date. Subject to the discretion of the 2013 Plan administrator, if an award has not been exercised within six years after the date of the grant, the award expires. Any period in which a grantee is not our employee or has taken a leave of absence will not be included in such vesting period.</w:t>
      </w:r>
    </w:p>
    <w:p>
      <w:pPr>
        <w:spacing w:after="0" w:line="18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2013 Plan provides for granting awards in compliance with Section 102 of the Israeli Income Tax Ordinance, 5721-1961, or the Ordinance, which provides to employees, directors and officers, who are not controlling shareholders (as defined in the Ordinance) and are Israeli residents, favorable tax treatment for compensation in the form of shares or equity awards issued or granted, as applicable, to a trustee under the “capital gains track” for the benefit of the relevant employee, director or officer and are, or were, to be held by the trustee for at least two years after the date of grant or issuance. Under the capital gains track, any accounting expense with respect to the grant or issuance of such shares or awards which relates to gain taxed as capital gains is not allowed as a deduction for tax purposes.</w:t>
      </w:r>
    </w:p>
    <w:p>
      <w:pPr>
        <w:spacing w:after="0" w:line="19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2013 Plan addresses the treatment of vested and unvested awards upon the cessation of employment or engagement of the award holder as well as upon consummation of a merger, consolidation or similar transaction, or sale of all or substantially all of our assets or sale of at least 80% of our outstanding securities. The 2013 Plan also provides for certain lock-up arrangements upon consummation of a public offering.</w:t>
      </w:r>
    </w:p>
    <w:p>
      <w:pPr>
        <w:spacing w:after="0" w:line="166"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2013 Plan is administered by our board of directors or by a committee appointed by our board of directors. Upon the completion of this offering, any remaining pool of reserved ordinary shares under the 2013 Plan will be cancelled, and the only reserved ordinary shares available for grants following the completion of this offering will be under the 2018 Plan (as defined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Equity Incentive Plan</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connection with the completion of this offering, we intend to establish a new equity incentive plan, or the 2018 Plan, with the purpose of advancing the interests of our shareholders by enhancing our ability to attract, retain and motivate individuals to perform at the highest level. The 2018 Plan will govern issuances of equity incentive awards from and after the closing of this offering. The maximum number of ordinary shares initially available for issuance under equity incentive awards granted pursuant to the 2018 Plan will not exceed 12% of the total outstanding ordinary shares. On January 1, 2019 and on January 1 of each calendar year thereafter, an additional number of shares equal to 5% of the total outstanding ordinary shares on such date (or any lower number of shares as determined by the board of directors) will become available for issuance under the 2018 Plan.</w:t>
      </w:r>
    </w:p>
    <w:p>
      <w:pPr>
        <w:spacing w:after="0" w:line="17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Equity incentive awards may be granted to our employees, non-employee directors, consultants or other advisors, as well as holders of equity compensation awards granted by a company that may be acquired by us in the future. Awards under the 2018 Plan may be granted in the form of options, share appreciation rights, restricted shares, restricted share units, performance awards or other share-based awards. Options and share appreciation rights will have an exercise price determined by the administrator but that is no less than fair market value of the underlying ordinary shares on the date of grant.</w:t>
      </w:r>
    </w:p>
    <w:p>
      <w:pPr>
        <w:spacing w:after="0" w:line="1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vesting conditions for grants under the 2018 Plan will be determined by the administrator and, in the case of restricted shares and restricted share units, will be set forth in the applicable award documentation.</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the event of a participant’s termination of employment, the administrator may, in its discretion, determine the extent to which an equity incentive award may be exercised, settled, vested, paid or forfeited. In the event of a change in control (as defined in the 2018 Plan) of the Company, the compensation committee may, in its discretion, take a number of actions with respect to awards outstanding</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under the 2018 Plan, including the following: (i) continuing awards or converting such awards into an award or right with respect to shares of the successor or surviving corporation, (ii) immediately vesting and settling awards (or in the case of options and share appreciation rights, providing that such awards will become fully exercisable), (iii) cancelling unvested awards for no consideration, (iv) terminating or cancelling awards in exchange for a cash payment and</w:t>
      </w:r>
    </w:p>
    <w:p>
      <w:pPr>
        <w:ind w:right="80" w:firstLine="8"/>
        <w:spacing w:after="0" w:line="253" w:lineRule="auto"/>
        <w:tabs>
          <w:tab w:leader="none" w:pos="255"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providing that awards may be assumed, exchanged, replaced or continued by the successor or surviving corporation with cash, securities, rights or other property. In the event of a structural change of the Company (i.e., a transaction in which the Company’s shares immediately prior to the transaction are converted into or exchanged for shares that represent at least a majority of the share capital of the surviving corporation, such as a re-domestication of the Company or a share flip), outstanding awards will be exchanged or converted into awards to acquire shares of the company (if it is the surviving corporation) or the successor company in accordance with the applicable exchange ratio.</w:t>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2018 Plan will be administered by the board of directors, provided that the board of directors may delegate its authority to the compensation committee to administer the 2018 Plan.</w:t>
      </w:r>
    </w:p>
    <w:p>
      <w:pPr>
        <w:spacing w:after="0" w:line="17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2018 Plan provides for granting awards in compliance with Section 102 of the Ordinance, which provides to employees, directors and officers of the Company, who are not controlling shareholders (as defined in the Ordinance) of the Company and are Israeli residents, potential favorable tax treatment for compensation in the form of shares or equity awards issued or granted, as applicable, to a trustee under the “capital gains track” for the benefit of the relevant employee, director or officer, subject to compliance with the terms and conditions of such tax track. Under the capital gains track, any accounting expense with respect to the grant or issuance of such shares or awards which relates to gain taxed as capital gains is not allowed as a deduction for tax purposes.</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RELATIONSHIPS AND RELATED PARTY TRANSACTIONS</w:t>
      </w:r>
    </w:p>
    <w:p>
      <w:pPr>
        <w:spacing w:after="0" w:line="246"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The following is a description of related party transactions we have entered into since March 1, 2012 with any of our directors, executive officers and holders of more than 5% of our ordinary shares. Ordinary share amounts referenced in this section do not reflect the ordinary share split described in this prospectus.</w:t>
      </w:r>
    </w:p>
    <w:p>
      <w:pPr>
        <w:spacing w:after="0" w:line="120" w:lineRule="exact"/>
        <w:rPr>
          <w:sz w:val="20"/>
          <w:szCs w:val="20"/>
          <w:color w:val="auto"/>
        </w:rPr>
      </w:pPr>
    </w:p>
    <w:p>
      <w:pPr>
        <w:jc w:val="center"/>
        <w:ind w:right="9280"/>
        <w:spacing w:after="0"/>
        <w:rPr>
          <w:sz w:val="20"/>
          <w:szCs w:val="20"/>
          <w:color w:val="auto"/>
        </w:rPr>
      </w:pPr>
      <w:r>
        <w:rPr>
          <w:rFonts w:ascii="Arial" w:cs="Arial" w:eastAsia="Arial" w:hAnsi="Arial"/>
          <w:sz w:val="16"/>
          <w:szCs w:val="16"/>
          <w:b w:val="1"/>
          <w:bCs w:val="1"/>
          <w:color w:val="auto"/>
        </w:rPr>
        <w:t>Convertible Debt Financing</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2012 Convertible Loans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November 8, 2012 and December 31, 2012, we entered into the 2012 Convertible Loans, with D.N.A Biomedical, and the lenders thereto, including the Revach Fund L.P., or Revach, an entity controlled by our director Chaim Davis, and Europa International Inc., who later transferred its shares to Gakasa Holdings LLC, or Gakasa. The lenders loaned us an aggregate amount of $1.2 million, of which Revach loaned us $100,000, and Gakasa loaned us $550,000. Pursuant to the 2012 Convertible Loans, each of the loans bears interest at a rate of 0.6% per year, payable in five-year intervals, and matures after a term of 20 years, subject to the conversion rights noted below. Each of the lenders has the right during the term to convert all of its respective loan amount into our ordinary shares at a conversion price of $240.26 per ordinary share (subject to adjustment as detailed in the agreements governing the 2012 Convertible Loans). In addition, under the terms of the 2012 Convertible Loans, the outstanding loan amounts will be automatically converted into our ordinary shares upon the occurrence of certain events, including in connection with the closing of this offering. In addition, pursuant to the terms of the 2012 Convertible Loans the lenders were granted piggyback registration rights, which were subsequently set forth in our investors’ rights agreement as described below in “Shares Eligible for Future Sale — Registration Rights.”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2015 Convertible Loan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August 5, 2015, the Company entered into the 2015 Convertible Loan with certain lenders. Pursuant to the loan agreement for the 2015 Convertible Loan, the lenders loaned us an aggregate amount of $2.005 million. The 2015 Convertible Loan bore interest at a rate of 5% per year. The loan would also be automatically converted upon occurrence of a 2015 Triggering Event into the equity securities and/or securities convertible into equity securities of the Company that were issued in such a transaction, at a 25% discount.</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addition, the Company issued to each lender under the 2015 Convertible Loan the 2015 Warrants to purchase, at an exercise price of 125% of the applicable price per share, an additional 40% of the amount of our securities that would have been issued to such lender as a result of the automatic conversion following a 2015 Triggering Event. The 2015 Warrants were exercisable during the earlier of two years from the warrant issuance date or one year from consummation of an initial public offering. As part of the 2016 Convertible Loan, we granted the lenders a right to roll-over the 2015 Convertible Loan into the 2016 Convertible Loan. The lenders elected to roll-over an amount of $1.057 million into the 2016 Convertible Loan and the reminder, in an amount of $1.053 million (including interest and principal), was repaid by the Company in February 2017. There remain no amounts outstanding under the 2015 Convertible Loans, and no 2015 Warrants remain outstanding, and as a result, the 2015 Convertible Loan agreement is no longer in force.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One of our directors, Gerald Lieberman, participated in the 2015 Convertible Loan in an amount of $50,000, which rolled-over to the 2016 Convertible Loan.</w:t>
      </w: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2016 Convertible Loan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June 14, 2016, the Company entered into the 2016 Convertible Loan with certain lenders for an aggregate amount of approximately $7.44 million. In addition, an amount of $1.057 million of the 2015 Convertible Loan rolled over to the 2016 Convertible Loan. The 2016 Convertible Loan provided for a term of 18 months and bore interest at a rate of 5% per year. The 2016 Convertible Loan also granted each lender the right to invest, in the next share issuance by the Company, an amount not to exceed the amount such lender invested in the 2016 Convertible Loan, at a price per share of the shares issued in such issuance.</w:t>
      </w:r>
    </w:p>
    <w:p>
      <w:pPr>
        <w:spacing w:after="0" w:line="18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2016 Convertible Loan was to be automatically converted upon the occurrence of a 2016 Triggering Event. Following the completion of the Series B preferred shares purchase agreement, which constituted a 2016 Triggering Event, the loan amount, together with all accrued interest was converted into Series B-1 preferred shares, under the terms and conditions of the 2016 Convertible Loan. As a result, the 2016 Convertible Loan agreement is no longer in force. In addition, the Series B preferred shares purchase agreement set the price and the amounts for which the holders of the 2016 Warrants are entitled to exercise their 2016 Warrants. In addition, the Company issued to each lender under the 2016 Convertible Loan warrants to purchase an additional 40% of the amount of our securities issued to such lender as a result of the automatic conversion following a 2016 Triggering Event.</w:t>
      </w: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Our directors, Luke Beshar, Roger Garceau and Gerald Lieberman, each participated, in amounts of $50,000, $25,000 and $50,000, respectively, in our 2016 Convertible Loan. In addition, Corundum Open Innovation Fund, L.P., or Corundum, of which David Ben Ami, a member of our board of directors, is the managing partner, invested an amount of $1 million in our 2016 Convertible Loan. Following the conversion of the 2016 Convertible Loans, Luke Beshar, Roger Garceau and Gerald Lieberman were issued 77, 38 and 156 Series B-1 preferred shares, respectively, and their 2016 Warrants relate to 31, 15 and</w:t>
      </w:r>
    </w:p>
    <w:p>
      <w:pPr>
        <w:spacing w:after="0" w:line="2"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62 Series B preferred shares, respectively. In addition, following the conversion of the 2016 Convertible Loans, Corundum was issued 1,563 Series B-1 preferred shares and its 2016 Warrants relate to 625 Series B preferred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 Purchases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November 2012, we issued to D.N.A Biomedical 2,078 ordinary shares in consideration of $500,000, of which $445,000 represented the cancellation of debt we owed to D.N.A Biomedical. The remaining $55,000 was paid to us in cash.</w:t>
      </w:r>
    </w:p>
    <w:p>
      <w:pPr>
        <w:spacing w:after="0" w:line="17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On September 30, 2013, we entered into share purchase agreements, or the ordinary share purchase agreements, with our director Chaim Davis, Revach and Europa International Inc., who later transferred its shares to Gakasa. Pursuant to the ordinary share purchase agreements, Mr. Davis, Revach and Gakasa purchased 91, 365, and 1,369 of our ordinary shares, respectively, for aggregate purchase prices of $25,000, $100,000 and $375,000,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 Purchases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Series A Private Placement</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January 29, 2014, we entered into a Series A preferred share purchase agreement with the Centillion Fund, or Centillion, or the Centillion preferred share purchase agreement, pursuant to which Centillion purchased 4,172 of our Series A preferred shares, for a purchase price of $2.0 million or $479.38 per share, or the per share purchase price, and we issued to Centillion a warrant to purchase up to 1,043 of our applicable shares (as discussed below in “Description of Share Capital — Warrants”) at the per share purchase price. Pursuant to the terms of the Centillion preferred share purchase agreement, upon our filing of a registration statement for an initial public offering with the SEC on or prior to June 29, 2014, or the first milestone, Centillion was required to purchase from us an additional 4,172 Series A preferred shares at the per share purchase price (for additional proceeds to us of $2.0 million), and we were required to issue to Centillion a warrant to purchase an additional 1,043 applicable shares at the per share purchase price. In addition, pursuant to the Centillion preferred share purchase agreement, as amended, upon the closing of an offering of our ordinary shares on or prior to July 20, 2019, pursuant to which our ordinary shares are listed on NASDAQ, or the second milestone, Centillion was given the option to purchase from us, at its sole discretion, an additional 2,086 Series A preferred shares at the per share purchase price (for additional proceeds to us of $1.0 million), and we were required to issue to Centillion a warrant to purchase an additional 522 Series A preferred shares at the per share purchase price. Centillion also had the right to purchase the Series A preferred shares and warrant to be issued upon either of the milestones prior to the applicable milestone date. Pursuant to the Centillion preferred share purchase agreement, Centillion’s obligations at milestone closings are subject to certain conditions, including that a clinical trial not have been terminated on account of safety concerns.</w:t>
      </w:r>
    </w:p>
    <w:p>
      <w:pPr>
        <w:spacing w:after="0" w:line="1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June 18, 2014, Centillion and we entered into the first amendment to the Centillion preferred share purchase agreement, pursuant to which the date for the first milestone was extended from June 29, 2014 to November 1, 2014, and the date for the second milestone was extended from December 29, 2014 to May 1, 2015.</w:t>
      </w:r>
    </w:p>
    <w:p>
      <w:pPr>
        <w:spacing w:after="0" w:line="18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On January 21, 2015, Centillion and we entered into the second amendment to the Centillion preferred share purchase agreement, or the second amendment. Pursuant to the terms of second amendment, Centillion exercised its right to purchase the Series A preferred shares and warrant to be issued upon the first milestone and paid us $2.0 million, although as of such date this milestone had not been achieved. The second milestone was also extended to October 1, 2015, with an option for Centillion to extend it for an additional two years, until October 1, 2017. Such option right was exercised by Centillion. In consideration therefor, we issued to Centillion an additional warrant, or the additional Centillion warrant, as described below in “Description of Share Capital</w:t>
      </w:r>
    </w:p>
    <w:p>
      <w:pPr>
        <w:spacing w:after="0" w:line="2"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 Additional Warrants.” On July 20, 2017, the Centillion Series A preferred share purchase agreement was amended such that (i) the second milestone was extended to July 20, 2019, (ii) the second milestone was deemed to include any transaction pursuant to which our shares will be listed for trading on NASDAQ, and (iii) the investment following the occurrence of the second milestone is optional to the holders of Series A preferred shares.</w:t>
      </w:r>
    </w:p>
    <w:p>
      <w:pPr>
        <w:spacing w:after="0" w:line="15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During the course of 2014 and January 2015, we entered into additional preferred share purchase agreements with other purchasers of our Series A preferred shares. The additional preferred share purchase agreements also provide for the issuance of Series A preferred shares and warrants upon the achievement of those milestones set forth in the Centillion preferred share purchase agreement on terms substantially identical to those contained in the Centillion preferred share purchase agreement. In March 2015, we entered into the first amendment to each of the additional preferred share purchase agreements, which contained terms substantially identical to those</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contained in the second amendment to the Centillion preferred share purchase agreement. We also issued to these additional Series A preferred shareholders warrants upon terms substantially identical to those contained in the additional Centillion warrant, or together with the additional Centillion warrant, the additional warrants. In July 2017, the additional Series A preferred share purchase agreements were amended to terms identical to those contained in the amendment to the Centillion Series A preferred share purchase agreement dated July 20, 2017, and the additional warrants terms were amended to the same terms as the additional warrants of Centillion.</w:t>
      </w:r>
    </w:p>
    <w:p>
      <w:pPr>
        <w:spacing w:after="0" w:line="18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If any Series A investors exercise their option to purchase Series A preferred shares pursuant to the second milestone in connection with this offering, such shares shall be converted into ordinary shares automatically and without any further action on the part of such investors, and any warrants provided in connection therewith shall be exercisable into ordinary shares.</w:t>
      </w:r>
    </w:p>
    <w:p>
      <w:pPr>
        <w:spacing w:after="0" w:line="18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Under the terms of the applicable agreements and pursuant to the IPO Transactions, the Series A preferred shares will be automatically converted into our ordinary shares, and the warrants to purchase Series A preferred shares will be automatically converted into warrants to purchase ordinary shares, upon the closing of this offering.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Private Placement</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From October to December 2017, we entered into the Series B Private Placement, with certain investors, including D.N.A Biomedical and Centillion for the sale of shares of our Series B preferred shares, at a price per share of $908.78, for an aggregate purchase price of $13.0 million. In connection with the Series B Private Placement, the Company issued and sold to the Investors 14,283 Series B preferred shares.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Series B Private Placement constituted a 2016 Triggering Event, as defined in the 2016 Convertible Loan agreement (as discussed further under “Management’s Discussion and Analysis — Contractual Obligations and Commitments — 2016 Convertible Loan”). As a result of the Series B Private Placement, the entire loan amount due to holders under the 2016 Convertible Loan agreement, together with all accrued interest, was converted to 13,229 Series B-1 preferred shares at a price per share of $681.585. The rights of the Series B-1 preferred shares are identical in all respects (other than the price per share) to the Series B preferred shares.</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terms of the applicable agreements and pursuant to the IPO Transactions, the Series B and B-1 preferred shares will be automatically converted into our ordinary shares, and the warrants to purchase Series B preferred shares will be automatically converted into warrants to purchase ordinary shares, upon the closing of this offering.</w:t>
      </w:r>
    </w:p>
    <w:p>
      <w:pPr>
        <w:spacing w:after="0" w:line="18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addition, as a result of the Series B Private Placement, the 2016 Warrants (as discussed in “Description of Share Capital — 2016 Warrants”) that the Company previously issued in connection with the 2016 Convertible Loan became warrants to purchase our Series B preferred shares at an exercise price of $908.78.</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Gerald Lieberman, a member of our board of directors, participated in the Series B Private Placement and purchased 110 Series B preferred shares in 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amount totaling $100,000. Revach, an entity controlled by our director Chaim Davis, participated in the Series B Private Placement and purchased 14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Series B preferred shares in an amount totaling $12,726. Dr. Phillip Schwartz, our Chief Executive Officer, participated in the Series B Private Placement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purchased 6 Series B preferred shares in an amount of $5,542.</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November 10, 2017, the Company’s board of directors approved D.N.A Biomedical’s request to reimburse D.N.A Biomedical for expenses incurred in relation to the Series B private placement in an amount of $300,000. The reimbursement is subject to the approval of the Company’s shareholders and to the receipt of documentation supporting the amounts.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Agreements</w:t>
      </w:r>
    </w:p>
    <w:p>
      <w:pPr>
        <w:spacing w:after="0" w:line="229"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In April 2017, the Company entered into a Service Agreement with our director Luke Beshar, effective as of December 2016, pursuant to which Mr. Beshar will be entitled to a monthly fee in the amount of $21,500 per month, and to reimbursements for certain expenses. In addition, the Company’s Board and shareholders approved the Service Agreement, pursuant to which Mr. Beshar is entitled to options to purchase ordinary shares of the Company representing</w:t>
      </w:r>
    </w:p>
    <w:p>
      <w:pPr>
        <w:spacing w:after="0" w:line="252" w:lineRule="auto"/>
        <w:rPr>
          <w:sz w:val="20"/>
          <w:szCs w:val="20"/>
          <w:color w:val="auto"/>
        </w:rPr>
      </w:pPr>
      <w:r>
        <w:rPr>
          <w:rFonts w:ascii="Arial" w:cs="Arial" w:eastAsia="Arial" w:hAnsi="Arial"/>
          <w:sz w:val="18"/>
          <w:szCs w:val="18"/>
          <w:color w:val="auto"/>
        </w:rPr>
        <w:t>6.5% of the Company’s fully-diluted share capital immediately following a 2016 Triggering Event; provided that if the amount raised in such 2016 Triggering Event exceeds $10 million, then the fully-diluted share capital shall be calculated as if the amount raised in such 2016 Triggering Event was $10 million. Following the Series B Private Placement (which constituted a 2016 Triggering Event), the Company determined that the amount of ordinary shares to be granted to Mr. Beshar upon the exercise of his options will be 6,970 ordinary shares, with an exercise price of $820 per share. Such options vest monthly over a three year period, beginning December 1, 2016, and are subject to certain acceleration provisions detailed within the Service Agreement, including the occurrence of a change of control of the Company, resignation of Mr. Beshar for Good Reason and termination without Cause (as such terms are defined in the Service Agreement).</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In April 2017, effective as of December 2016, the Company entered into a Service Agreement with our director Roger Garceau, pursuant to which</w:t>
      </w:r>
    </w:p>
    <w:p>
      <w:pPr>
        <w:spacing w:after="0" w:line="3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Mr. Garceau will be entitled to a monthly fee in the amount of $6,500 per month, and to reimbursements for certain expenses. In addition, the Company’s Board and shareholders approved the Service Agreement, pursuant to which Mr. Garceau is entitled to options to purchase ordinary shares of the Company representing 1.5% of the Company’s fully-diluted share capital immediately following a 2016 Triggering Event; provided that if the amount raised in such 2016 Triggering Event exceeds $10 million, then the fully-diluted share capital shall be calculated as if the amount raised in such 2016 Triggering Event was $10 million. Following the Series B Private Placement (which constituted a 2016 Triggering Event), the Company determined that the amount of ordinary shares to be granted to Mr. Garceau upon the exercise of his options will be 1,608 ordinary shares, with an exercise price of $820 per share. Such options vest monthly over a three year period, beginning December 1, 2016, and are subject to certain acceleration provisions detailed within the Service Agreement, including the occurrence of a change of control of the Company, resignation of Mr. Garceau for Good Reason and termination without Cause (as such terms are defined in the Service Agreement).</w:t>
      </w:r>
    </w:p>
    <w:p>
      <w:pPr>
        <w:spacing w:after="0" w:line="18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Pursuant to an arrangement between us and Chaim Davis, a member of our board of directors, Mr. Davis provides us with certain services related to corporate business development in consideration for a one-time payment of $25,000 paid in April 2017 and $6,500 per month. In addition, in November 2017, our board of directors and shareholders approved a bonus of $35,000, which was paid to Mr. Davis in December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certain of our shareholders and certain lenders under our 2012 Convertible Loan have entered into an amended and restated investors’ rights agreement dated as of October 4, 2017, or the Investors’ Rights Agreement, pursuant to which these shareholders and lenders will have the right, following the closing of this offering, to demand that we file a registration statement or to request that their shares be covered by a registration statement that we are otherwise filing. See “Shares Eligible for Future Sale — Registration Rights” for a further description of these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Designation Rights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Pursuant to the terms of the Investors’ Rights Agreement among us, Centillion and other parties thereto, following the consummation of this offering, for as long as Centillion and its affiliates hold an aggregate of at least 10% of our issued and outstanding ordinary shares, we will nominate, if so requested by Centillion and as permitted by applicable law, a designee of Centillion for election by our shareholders as a member of our board of directors and will recommend that our shareholders vote in favor of such election. David Ben Ami, a member of our board of directors, was nominated by Centillion pursuant to its director designation right. Following the consummation of this offering, Centillion will hold approximately % of our issued and outstanding ordinary shares, and in the event that Centillion exercises in full all of the warrants to purchase our ordinary shares that we will have issued to it as of such date, Centillion will hold approximately % of our issued and outstanding ordinary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Centillion Special Pre-emptive Rights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Pursuant to the terms of our current Articles, if we issue any equity interests to new investors that are not already our shareholders and subject to certain other conditions, Centillion is entitled to purchase, at any time until the second milestone date, which is defined to include this offering, 18.18% of the number of equity interests issued in such financings, at the same price per equity interest paid by the new shareholders (“Centillion special pre-emptive rights”). The Centillion Special Pre-emptive Right are not exercisable in connection with this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 and Directors’ and Officers’ Liability Insurance</w:t>
      </w:r>
    </w:p>
    <w:p>
      <w:pPr>
        <w:spacing w:after="0" w:line="229"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We have entered into indemnification agreements with each of our executive officers and directors. We also maintain an insurance policy that covers liabilities of our directors and officers arising out of claims based on acts or omissions in their capacities as directors or officers.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Executive Officers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have entered into employment agreements with our executive officers, which provide for, among other things, position, duties and compensation and benefits payable during the terms of employment and include certain restrictive covenants. See “Management — Employment Agreements with Executive Officers.”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 Policy</w:t>
      </w: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See “Management — Fiduciary Duties and Approval of Related Party Transactions” for a discussion of procedures governing the approval of related party transactions.</w:t>
      </w: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225" w:right="519"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PRINCIPAL SHAREHOLDERS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beneficial ownership of our ordinary shares as of March 31, 2018, by:</w:t>
      </w:r>
    </w:p>
    <w:p>
      <w:pPr>
        <w:spacing w:after="0" w:line="225" w:lineRule="exact"/>
        <w:rPr>
          <w:sz w:val="20"/>
          <w:szCs w:val="20"/>
          <w:color w:val="auto"/>
        </w:rPr>
      </w:pPr>
    </w:p>
    <w:p>
      <w:pPr>
        <w:ind w:left="340" w:hanging="170"/>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ordinary shares;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of our directors and executive officers;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and all of our directors and executive officers as a group.</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percentage of shares beneficially owned prior to the offering is based on 77,064 ordinary shares outstanding as of March 31, 2018, including:</w:t>
      </w:r>
    </w:p>
    <w:p>
      <w:pPr>
        <w:spacing w:after="0" w:line="237" w:lineRule="exact"/>
        <w:rPr>
          <w:sz w:val="20"/>
          <w:szCs w:val="20"/>
          <w:color w:val="auto"/>
        </w:rPr>
      </w:pPr>
    </w:p>
    <w:p>
      <w:pPr>
        <w:ind w:left="340" w:hanging="170"/>
        <w:spacing w:after="0"/>
        <w:tabs>
          <w:tab w:leader="none" w:pos="3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37,734 ordinary shares to be issued upon the conversion of all outstanding preferred shares into ordinary shares upon the closing of this offering;</w:t>
      </w:r>
    </w:p>
    <w:p>
      <w:pPr>
        <w:spacing w:after="0" w:line="236" w:lineRule="exact"/>
        <w:rPr>
          <w:rFonts w:ascii="Arial" w:cs="Arial" w:eastAsia="Arial" w:hAnsi="Arial"/>
          <w:sz w:val="17"/>
          <w:szCs w:val="17"/>
          <w:color w:val="auto"/>
        </w:rPr>
      </w:pPr>
    </w:p>
    <w:p>
      <w:pPr>
        <w:ind w:left="340" w:hanging="170"/>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and 4,786 ordinary shares to be issued upon the conversion into ordinary shares of our outstanding convertible loan.</w:t>
      </w:r>
    </w:p>
    <w:p>
      <w:pPr>
        <w:spacing w:after="0" w:line="22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percentage of beneficial ownership of our ordinary shares after the offering is based on ordinary shares outstanding after the offering (which includes the ordinary shares specified above) plus the ordinary shares to be sold by us in the offering, but not including any additional shares issuable upon exercise by Centillion of the Centillion special pre-emptive rights, which rights are not exercisable in connection with this offering.</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All of our shareholders, including the shareholders listed below, have the same voting rights attached to their ordinary shares. Upon the consummation of this offering, outstanding preferred shares shall be converted into ordinary shares on a one-to-one basis automatically and without any further action on the part of such investors, and any warrants that will be outstanding following the closing of this offering shall be exercisable into ordinary shares. See “Description of Share Capital — Articles of Association — Voting.” Neither our principal shareholders nor our directors and executive officers have different or special voting rights.</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Unless otherwise indicated, the address for each listed director and executive officer is c/o Entera Bio Ltd., Kiryat Hadassah, Minrav Building — Fifth Floor, Jerusalem 9112002, Israel. To our knowledge, except as indicated in the footnotes to this table and pursuant to applicable community property laws, the persons named in the table have sole voting and investment power with respect to all ordinary shares.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61"/>
        </w:trPr>
        <w:tc>
          <w:tcPr>
            <w:tcW w:w="4020" w:type="dxa"/>
            <w:vAlign w:val="bottom"/>
            <w:gridSpan w:val="4"/>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99"/>
        </w:trPr>
        <w:tc>
          <w:tcPr>
            <w:tcW w:w="2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Shares Beneficially</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3"/>
              </w:rPr>
              <w:t>Owned After the</w:t>
            </w:r>
          </w:p>
        </w:tc>
        <w:tc>
          <w:tcPr>
            <w:tcW w:w="23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Shares Beneficially</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Offering (Assuming No</w:t>
            </w:r>
          </w:p>
        </w:tc>
        <w:tc>
          <w:tcPr>
            <w:tcW w:w="23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Owned After the Offering</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3"/>
          </w:tcPr>
          <w:p>
            <w:pPr>
              <w:ind w:left="520"/>
              <w:spacing w:after="0"/>
              <w:rPr>
                <w:sz w:val="20"/>
                <w:szCs w:val="20"/>
                <w:color w:val="auto"/>
              </w:rPr>
            </w:pPr>
            <w:r>
              <w:rPr>
                <w:rFonts w:ascii="Arial" w:cs="Arial" w:eastAsia="Arial" w:hAnsi="Arial"/>
                <w:sz w:val="18"/>
                <w:szCs w:val="18"/>
                <w:b w:val="1"/>
                <w:bCs w:val="1"/>
                <w:color w:val="auto"/>
                <w:w w:val="88"/>
              </w:rPr>
              <w:t>Shares Beneficially</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Exercise of the</w:t>
            </w:r>
          </w:p>
        </w:tc>
        <w:tc>
          <w:tcPr>
            <w:tcW w:w="23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(Assuming Full Exercise</w:t>
            </w: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3"/>
          </w:tcPr>
          <w:p>
            <w:pPr>
              <w:ind w:left="500"/>
              <w:spacing w:after="0"/>
              <w:rPr>
                <w:sz w:val="20"/>
                <w:szCs w:val="20"/>
                <w:color w:val="auto"/>
              </w:rPr>
            </w:pPr>
            <w:r>
              <w:rPr>
                <w:rFonts w:ascii="Arial" w:cs="Arial" w:eastAsia="Arial" w:hAnsi="Arial"/>
                <w:sz w:val="18"/>
                <w:szCs w:val="18"/>
                <w:b w:val="1"/>
                <w:bCs w:val="1"/>
                <w:color w:val="auto"/>
                <w:w w:val="91"/>
              </w:rPr>
              <w:t>Owned Prior to the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3"/>
              </w:rPr>
              <w:t>Over-Allotment</w:t>
            </w:r>
          </w:p>
        </w:tc>
        <w:tc>
          <w:tcPr>
            <w:tcW w:w="23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of the Over-Allotment</w:t>
            </w:r>
          </w:p>
        </w:tc>
      </w:t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3"/>
          </w:tcPr>
          <w:p>
            <w:pPr>
              <w:ind w:left="760"/>
              <w:spacing w:after="0"/>
              <w:rPr>
                <w:sz w:val="20"/>
                <w:szCs w:val="20"/>
                <w:color w:val="auto"/>
              </w:rPr>
            </w:pPr>
            <w:r>
              <w:rPr>
                <w:rFonts w:ascii="Arial" w:cs="Arial" w:eastAsia="Arial" w:hAnsi="Arial"/>
                <w:sz w:val="18"/>
                <w:szCs w:val="18"/>
                <w:b w:val="1"/>
                <w:bCs w:val="1"/>
                <w:color w:val="auto"/>
              </w:rPr>
              <w:t>Offering(1)</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5"/>
              </w:rPr>
              <w:t>Option)(1)</w:t>
            </w:r>
          </w:p>
        </w:tc>
        <w:tc>
          <w:tcPr>
            <w:tcW w:w="2340" w:type="dxa"/>
            <w:vAlign w:val="bottom"/>
            <w:gridSpan w:val="3"/>
          </w:tcPr>
          <w:p>
            <w:pPr>
              <w:ind w:left="720"/>
              <w:spacing w:after="0"/>
              <w:rPr>
                <w:sz w:val="20"/>
                <w:szCs w:val="20"/>
                <w:color w:val="auto"/>
              </w:rPr>
            </w:pPr>
            <w:r>
              <w:rPr>
                <w:rFonts w:ascii="Arial" w:cs="Arial" w:eastAsia="Arial" w:hAnsi="Arial"/>
                <w:sz w:val="18"/>
                <w:szCs w:val="18"/>
                <w:b w:val="1"/>
                <w:bCs w:val="1"/>
                <w:color w:val="auto"/>
              </w:rPr>
              <w:t>Option)(1)</w:t>
            </w:r>
          </w:p>
        </w:tc>
      </w:tr>
      <w:tr>
        <w:trPr>
          <w:trHeight w:val="223"/>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Name of Beneficial Owner</w:t>
            </w:r>
          </w:p>
        </w:tc>
        <w:tc>
          <w:tcPr>
            <w:tcW w:w="128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Number</w:t>
            </w:r>
          </w:p>
        </w:tc>
        <w:tc>
          <w:tcPr>
            <w:tcW w:w="120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Percentage</w:t>
            </w:r>
          </w:p>
        </w:tc>
        <w:tc>
          <w:tcPr>
            <w:tcW w:w="120" w:type="dxa"/>
            <w:vAlign w:val="bottom"/>
          </w:tcPr>
          <w:p>
            <w:pPr>
              <w:spacing w:after="0"/>
              <w:rPr>
                <w:sz w:val="19"/>
                <w:szCs w:val="19"/>
                <w:color w:val="auto"/>
              </w:rPr>
            </w:pPr>
          </w:p>
        </w:tc>
        <w:tc>
          <w:tcPr>
            <w:tcW w:w="122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112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w w:val="98"/>
              </w:rPr>
              <w:t>Percentage</w:t>
            </w:r>
          </w:p>
        </w:tc>
        <w:tc>
          <w:tcPr>
            <w:tcW w:w="120" w:type="dxa"/>
            <w:vAlign w:val="bottom"/>
          </w:tcPr>
          <w:p>
            <w:pPr>
              <w:spacing w:after="0"/>
              <w:rPr>
                <w:sz w:val="19"/>
                <w:szCs w:val="19"/>
                <w:color w:val="auto"/>
              </w:rPr>
            </w:pPr>
          </w:p>
        </w:tc>
        <w:tc>
          <w:tcPr>
            <w:tcW w:w="122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Number</w:t>
            </w:r>
          </w:p>
        </w:tc>
        <w:tc>
          <w:tcPr>
            <w:tcW w:w="112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w w:val="98"/>
              </w:rPr>
              <w:t>Percentage</w:t>
            </w:r>
          </w:p>
        </w:tc>
      </w:tr>
      <w:tr>
        <w:trPr>
          <w:trHeight w:val="210"/>
        </w:trPr>
        <w:tc>
          <w:tcPr>
            <w:tcW w:w="20" w:type="dxa"/>
            <w:vAlign w:val="bottom"/>
          </w:tcPr>
          <w:p>
            <w:pPr>
              <w:spacing w:after="0"/>
              <w:rPr>
                <w:sz w:val="18"/>
                <w:szCs w:val="18"/>
                <w:color w:val="auto"/>
              </w:rPr>
            </w:pPr>
          </w:p>
        </w:tc>
        <w:tc>
          <w:tcPr>
            <w:tcW w:w="38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Principal Shareholders:</w:t>
            </w: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D.N.A Biomedical Solutions Ltd(2)</w:t>
            </w:r>
          </w:p>
        </w:tc>
        <w:tc>
          <w:tcPr>
            <w:tcW w:w="11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30,606</w:t>
            </w:r>
          </w:p>
        </w:tc>
        <w:tc>
          <w:tcPr>
            <w:tcW w:w="120" w:type="dxa"/>
            <w:vAlign w:val="bottom"/>
            <w:shd w:val="clear" w:color="auto" w:fill="D5EAEA"/>
          </w:tcPr>
          <w:p>
            <w:pPr>
              <w:spacing w:after="0"/>
              <w:rPr>
                <w:sz w:val="18"/>
                <w:szCs w:val="18"/>
                <w:color w:val="auto"/>
              </w:rPr>
            </w:pPr>
          </w:p>
        </w:tc>
        <w:tc>
          <w:tcPr>
            <w:tcW w:w="720" w:type="dxa"/>
            <w:vAlign w:val="bottom"/>
            <w:shd w:val="clear" w:color="auto" w:fill="D5EAEA"/>
          </w:tcPr>
          <w:p>
            <w:pPr>
              <w:spacing w:after="0"/>
              <w:rPr>
                <w:sz w:val="18"/>
                <w:szCs w:val="18"/>
                <w:color w:val="auto"/>
              </w:rPr>
            </w:pPr>
          </w:p>
        </w:tc>
        <w:tc>
          <w:tcPr>
            <w:tcW w:w="480" w:type="dxa"/>
            <w:vAlign w:val="bottom"/>
            <w:shd w:val="clear" w:color="auto" w:fill="D5EAEA"/>
          </w:tcPr>
          <w:p>
            <w:pPr>
              <w:jc w:val="right"/>
              <w:spacing w:after="0"/>
              <w:rPr>
                <w:sz w:val="20"/>
                <w:szCs w:val="20"/>
                <w:color w:val="auto"/>
              </w:rPr>
            </w:pPr>
            <w:r>
              <w:rPr>
                <w:rFonts w:ascii="Arial" w:cs="Arial" w:eastAsia="Arial" w:hAnsi="Arial"/>
                <w:sz w:val="18"/>
                <w:szCs w:val="18"/>
                <w:color w:val="auto"/>
                <w:w w:val="90"/>
              </w:rPr>
              <w:t>39.7%</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Centillion Fund(3)</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16,862</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0"/>
              </w:rPr>
              <w:t>19.8%</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000" w:type="dxa"/>
            <w:vAlign w:val="bottom"/>
            <w:gridSpan w:val="3"/>
            <w:shd w:val="clear" w:color="auto" w:fill="D5EAEA"/>
          </w:tcPr>
          <w:p>
            <w:pPr>
              <w:spacing w:after="0" w:line="201" w:lineRule="exact"/>
              <w:rPr>
                <w:sz w:val="20"/>
                <w:szCs w:val="20"/>
                <w:color w:val="auto"/>
              </w:rPr>
            </w:pPr>
            <w:r>
              <w:rPr>
                <w:rFonts w:ascii="Arial" w:cs="Arial" w:eastAsia="Arial" w:hAnsi="Arial"/>
                <w:sz w:val="18"/>
                <w:szCs w:val="18"/>
                <w:color w:val="auto"/>
              </w:rPr>
              <w:t>Pontifax (Israel), Pontifax (Cayman) IV L.P. and</w:t>
            </w:r>
          </w:p>
        </w:tc>
        <w:tc>
          <w:tcPr>
            <w:tcW w:w="11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720" w:type="dxa"/>
            <w:vAlign w:val="bottom"/>
            <w:shd w:val="clear" w:color="auto" w:fill="D5EAEA"/>
          </w:tcPr>
          <w:p>
            <w:pPr>
              <w:spacing w:after="0"/>
              <w:rPr>
                <w:sz w:val="17"/>
                <w:szCs w:val="17"/>
                <w:color w:val="auto"/>
              </w:rPr>
            </w:pPr>
          </w:p>
        </w:tc>
        <w:tc>
          <w:tcPr>
            <w:tcW w:w="4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D5EAEA"/>
          </w:tcPr>
          <w:p>
            <w:pPr>
              <w:ind w:left="120"/>
              <w:spacing w:after="0"/>
              <w:rPr>
                <w:sz w:val="20"/>
                <w:szCs w:val="20"/>
                <w:color w:val="auto"/>
              </w:rPr>
            </w:pPr>
            <w:r>
              <w:rPr>
                <w:rFonts w:ascii="Arial" w:cs="Arial" w:eastAsia="Arial" w:hAnsi="Arial"/>
                <w:sz w:val="18"/>
                <w:szCs w:val="18"/>
                <w:color w:val="auto"/>
              </w:rPr>
              <w:t>Pontiax (China) IV Fund L.P. (collectively,</w:t>
            </w:r>
          </w:p>
        </w:tc>
        <w:tc>
          <w:tcPr>
            <w:tcW w:w="11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72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00" w:type="dxa"/>
            <w:vAlign w:val="bottom"/>
            <w:gridSpan w:val="3"/>
            <w:shd w:val="clear" w:color="auto" w:fill="D5EAEA"/>
          </w:tcPr>
          <w:p>
            <w:pPr>
              <w:ind w:left="120"/>
              <w:spacing w:after="0"/>
              <w:rPr>
                <w:sz w:val="20"/>
                <w:szCs w:val="20"/>
                <w:color w:val="auto"/>
              </w:rPr>
            </w:pPr>
            <w:r>
              <w:rPr>
                <w:rFonts w:ascii="Arial" w:cs="Arial" w:eastAsia="Arial" w:hAnsi="Arial"/>
                <w:sz w:val="18"/>
                <w:szCs w:val="18"/>
                <w:color w:val="auto"/>
              </w:rPr>
              <w:t>“Pontifax”)(4)</w:t>
            </w:r>
          </w:p>
        </w:tc>
        <w:tc>
          <w:tcPr>
            <w:tcW w:w="11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6,565</w:t>
            </w:r>
          </w:p>
        </w:tc>
        <w:tc>
          <w:tcPr>
            <w:tcW w:w="120" w:type="dxa"/>
            <w:vAlign w:val="bottom"/>
            <w:shd w:val="clear" w:color="auto" w:fill="D5EAEA"/>
          </w:tcPr>
          <w:p>
            <w:pPr>
              <w:spacing w:after="0"/>
              <w:rPr>
                <w:sz w:val="20"/>
                <w:szCs w:val="20"/>
                <w:color w:val="auto"/>
              </w:rPr>
            </w:pPr>
          </w:p>
        </w:tc>
        <w:tc>
          <w:tcPr>
            <w:tcW w:w="720" w:type="dxa"/>
            <w:vAlign w:val="bottom"/>
            <w:shd w:val="clear" w:color="auto" w:fill="D5EAEA"/>
          </w:tcPr>
          <w:p>
            <w:pPr>
              <w:spacing w:after="0"/>
              <w:rPr>
                <w:sz w:val="20"/>
                <w:szCs w:val="20"/>
                <w:color w:val="auto"/>
              </w:rPr>
            </w:pPr>
          </w:p>
        </w:tc>
        <w:tc>
          <w:tcPr>
            <w:tcW w:w="4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D5EAEA"/>
          </w:tcPr>
          <w:p>
            <w:pPr>
              <w:spacing w:after="0"/>
              <w:rPr>
                <w:sz w:val="20"/>
                <w:szCs w:val="20"/>
                <w:color w:val="auto"/>
              </w:rPr>
            </w:pPr>
          </w:p>
        </w:tc>
        <w:tc>
          <w:tcPr>
            <w:tcW w:w="112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12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112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1120" w:type="dxa"/>
            <w:vAlign w:val="bottom"/>
            <w:shd w:val="clear" w:color="auto" w:fill="D5EAEA"/>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Capital Point Ltd.(5)</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11,704</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0"/>
              </w:rPr>
              <w:t>15.2%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Menachem Raphael(6)</w:t>
            </w:r>
          </w:p>
        </w:tc>
        <w:tc>
          <w:tcPr>
            <w:tcW w:w="11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5,286</w:t>
            </w:r>
          </w:p>
        </w:tc>
        <w:tc>
          <w:tcPr>
            <w:tcW w:w="120" w:type="dxa"/>
            <w:vAlign w:val="bottom"/>
            <w:shd w:val="clear" w:color="auto" w:fill="D5EAEA"/>
          </w:tcPr>
          <w:p>
            <w:pPr>
              <w:spacing w:after="0"/>
              <w:rPr>
                <w:sz w:val="18"/>
                <w:szCs w:val="18"/>
                <w:color w:val="auto"/>
              </w:rPr>
            </w:pPr>
          </w:p>
        </w:tc>
        <w:tc>
          <w:tcPr>
            <w:tcW w:w="720" w:type="dxa"/>
            <w:vAlign w:val="bottom"/>
            <w:shd w:val="clear" w:color="auto" w:fill="D5EAEA"/>
          </w:tcPr>
          <w:p>
            <w:pPr>
              <w:spacing w:after="0"/>
              <w:rPr>
                <w:sz w:val="18"/>
                <w:szCs w:val="18"/>
                <w:color w:val="auto"/>
              </w:rPr>
            </w:pPr>
          </w:p>
        </w:tc>
        <w:tc>
          <w:tcPr>
            <w:tcW w:w="4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Zeev Bronfeld(7)</w:t>
            </w:r>
          </w:p>
        </w:tc>
        <w:tc>
          <w:tcPr>
            <w:tcW w:w="11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30,606</w:t>
            </w:r>
          </w:p>
        </w:tc>
        <w:tc>
          <w:tcPr>
            <w:tcW w:w="120" w:type="dxa"/>
            <w:vAlign w:val="bottom"/>
            <w:shd w:val="clear" w:color="auto" w:fill="D5EAEA"/>
          </w:tcPr>
          <w:p>
            <w:pPr>
              <w:spacing w:after="0"/>
              <w:rPr>
                <w:sz w:val="18"/>
                <w:szCs w:val="18"/>
                <w:color w:val="auto"/>
              </w:rPr>
            </w:pPr>
          </w:p>
        </w:tc>
        <w:tc>
          <w:tcPr>
            <w:tcW w:w="720" w:type="dxa"/>
            <w:vAlign w:val="bottom"/>
            <w:shd w:val="clear" w:color="auto" w:fill="D5EAEA"/>
          </w:tcPr>
          <w:p>
            <w:pPr>
              <w:spacing w:after="0"/>
              <w:rPr>
                <w:sz w:val="18"/>
                <w:szCs w:val="18"/>
                <w:color w:val="auto"/>
              </w:rPr>
            </w:pPr>
          </w:p>
        </w:tc>
        <w:tc>
          <w:tcPr>
            <w:tcW w:w="480" w:type="dxa"/>
            <w:vAlign w:val="bottom"/>
            <w:shd w:val="clear" w:color="auto" w:fill="D5EAEA"/>
          </w:tcPr>
          <w:p>
            <w:pPr>
              <w:jc w:val="right"/>
              <w:spacing w:after="0"/>
              <w:rPr>
                <w:sz w:val="20"/>
                <w:szCs w:val="20"/>
                <w:color w:val="auto"/>
              </w:rPr>
            </w:pPr>
            <w:r>
              <w:rPr>
                <w:rFonts w:ascii="Arial" w:cs="Arial" w:eastAsia="Arial" w:hAnsi="Arial"/>
                <w:sz w:val="18"/>
                <w:szCs w:val="18"/>
                <w:color w:val="auto"/>
                <w:w w:val="90"/>
              </w:rPr>
              <w:t>39.7%</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Yonatan Malca(8)</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30,606</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0"/>
              </w:rPr>
              <w:t>39.7%</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Dr. Phillip Schwartz(9)</w:t>
            </w:r>
          </w:p>
        </w:tc>
        <w:tc>
          <w:tcPr>
            <w:tcW w:w="11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4,801</w:t>
            </w:r>
          </w:p>
        </w:tc>
        <w:tc>
          <w:tcPr>
            <w:tcW w:w="120" w:type="dxa"/>
            <w:vAlign w:val="bottom"/>
            <w:shd w:val="clear" w:color="auto" w:fill="D5EAEA"/>
          </w:tcPr>
          <w:p>
            <w:pPr>
              <w:spacing w:after="0"/>
              <w:rPr>
                <w:sz w:val="18"/>
                <w:szCs w:val="18"/>
                <w:color w:val="auto"/>
              </w:rPr>
            </w:pPr>
          </w:p>
        </w:tc>
        <w:tc>
          <w:tcPr>
            <w:tcW w:w="720" w:type="dxa"/>
            <w:vAlign w:val="bottom"/>
            <w:shd w:val="clear" w:color="auto" w:fill="D5EAEA"/>
          </w:tcPr>
          <w:p>
            <w:pPr>
              <w:spacing w:after="0"/>
              <w:rPr>
                <w:sz w:val="18"/>
                <w:szCs w:val="18"/>
                <w:color w:val="auto"/>
              </w:rPr>
            </w:pPr>
          </w:p>
        </w:tc>
        <w:tc>
          <w:tcPr>
            <w:tcW w:w="4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Dr. Eric Lang(10)</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Luke M. Beshar(11)</w:t>
            </w:r>
          </w:p>
        </w:tc>
        <w:tc>
          <w:tcPr>
            <w:tcW w:w="11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4,726</w:t>
            </w:r>
          </w:p>
        </w:tc>
        <w:tc>
          <w:tcPr>
            <w:tcW w:w="120" w:type="dxa"/>
            <w:vAlign w:val="bottom"/>
            <w:shd w:val="clear" w:color="auto" w:fill="D5EAEA"/>
          </w:tcPr>
          <w:p>
            <w:pPr>
              <w:spacing w:after="0"/>
              <w:rPr>
                <w:sz w:val="18"/>
                <w:szCs w:val="18"/>
                <w:color w:val="auto"/>
              </w:rPr>
            </w:pPr>
          </w:p>
        </w:tc>
        <w:tc>
          <w:tcPr>
            <w:tcW w:w="720" w:type="dxa"/>
            <w:vAlign w:val="bottom"/>
            <w:shd w:val="clear" w:color="auto" w:fill="D5EAEA"/>
          </w:tcPr>
          <w:p>
            <w:pPr>
              <w:spacing w:after="0"/>
              <w:rPr>
                <w:sz w:val="18"/>
                <w:szCs w:val="18"/>
                <w:color w:val="auto"/>
              </w:rPr>
            </w:pPr>
          </w:p>
        </w:tc>
        <w:tc>
          <w:tcPr>
            <w:tcW w:w="4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David Ben Ami(12)</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2,430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Gerald Lieberman(13)</w:t>
            </w:r>
          </w:p>
        </w:tc>
        <w:tc>
          <w:tcPr>
            <w:tcW w:w="11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1,159</w:t>
            </w:r>
          </w:p>
        </w:tc>
        <w:tc>
          <w:tcPr>
            <w:tcW w:w="120" w:type="dxa"/>
            <w:vAlign w:val="bottom"/>
            <w:shd w:val="clear" w:color="auto" w:fill="D5EAEA"/>
          </w:tcPr>
          <w:p>
            <w:pPr>
              <w:spacing w:after="0"/>
              <w:rPr>
                <w:sz w:val="18"/>
                <w:szCs w:val="18"/>
                <w:color w:val="auto"/>
              </w:rPr>
            </w:pPr>
          </w:p>
        </w:tc>
        <w:tc>
          <w:tcPr>
            <w:tcW w:w="720" w:type="dxa"/>
            <w:vAlign w:val="bottom"/>
            <w:shd w:val="clear" w:color="auto" w:fill="D5EAEA"/>
          </w:tcPr>
          <w:p>
            <w:pPr>
              <w:spacing w:after="0"/>
              <w:rPr>
                <w:sz w:val="18"/>
                <w:szCs w:val="18"/>
                <w:color w:val="auto"/>
              </w:rPr>
            </w:pPr>
          </w:p>
        </w:tc>
        <w:tc>
          <w:tcPr>
            <w:tcW w:w="4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Chaim Davis(14)</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Dr. Roger J. Garceau(15)</w:t>
            </w:r>
          </w:p>
        </w:tc>
        <w:tc>
          <w:tcPr>
            <w:tcW w:w="11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1,613</w:t>
            </w:r>
          </w:p>
        </w:tc>
        <w:tc>
          <w:tcPr>
            <w:tcW w:w="120" w:type="dxa"/>
            <w:vAlign w:val="bottom"/>
            <w:shd w:val="clear" w:color="auto" w:fill="D5EAEA"/>
          </w:tcPr>
          <w:p>
            <w:pPr>
              <w:spacing w:after="0"/>
              <w:rPr>
                <w:sz w:val="18"/>
                <w:szCs w:val="18"/>
                <w:color w:val="auto"/>
              </w:rPr>
            </w:pPr>
          </w:p>
        </w:tc>
        <w:tc>
          <w:tcPr>
            <w:tcW w:w="720" w:type="dxa"/>
            <w:vAlign w:val="bottom"/>
            <w:shd w:val="clear" w:color="auto" w:fill="D5EAEA"/>
          </w:tcPr>
          <w:p>
            <w:pPr>
              <w:spacing w:after="0"/>
              <w:rPr>
                <w:sz w:val="18"/>
                <w:szCs w:val="18"/>
                <w:color w:val="auto"/>
              </w:rPr>
            </w:pPr>
          </w:p>
        </w:tc>
        <w:tc>
          <w:tcPr>
            <w:tcW w:w="4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Mira Rosenzweig(16)</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gridSpan w:val="3"/>
            <w:shd w:val="clear" w:color="auto" w:fill="D5EAEA"/>
          </w:tcPr>
          <w:p>
            <w:pPr>
              <w:spacing w:after="0"/>
              <w:rPr>
                <w:sz w:val="20"/>
                <w:szCs w:val="20"/>
                <w:color w:val="auto"/>
              </w:rPr>
            </w:pPr>
            <w:r>
              <w:rPr>
                <w:rFonts w:ascii="Arial" w:cs="Arial" w:eastAsia="Arial" w:hAnsi="Arial"/>
                <w:sz w:val="18"/>
                <w:szCs w:val="18"/>
                <w:color w:val="auto"/>
              </w:rPr>
              <w:t>Dr. Hillel Galitzer(17)</w:t>
            </w:r>
          </w:p>
        </w:tc>
        <w:tc>
          <w:tcPr>
            <w:tcW w:w="11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720" w:type="dxa"/>
            <w:vAlign w:val="bottom"/>
            <w:shd w:val="clear" w:color="auto" w:fill="D5EAEA"/>
          </w:tcPr>
          <w:p>
            <w:pPr>
              <w:spacing w:after="0"/>
              <w:rPr>
                <w:sz w:val="18"/>
                <w:szCs w:val="18"/>
                <w:color w:val="auto"/>
              </w:rPr>
            </w:pPr>
          </w:p>
        </w:tc>
        <w:tc>
          <w:tcPr>
            <w:tcW w:w="48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000" w:type="dxa"/>
            <w:vAlign w:val="bottom"/>
            <w:gridSpan w:val="3"/>
          </w:tcPr>
          <w:p>
            <w:pPr>
              <w:spacing w:after="0" w:line="201" w:lineRule="exact"/>
              <w:rPr>
                <w:sz w:val="20"/>
                <w:szCs w:val="20"/>
                <w:color w:val="auto"/>
              </w:rPr>
            </w:pPr>
            <w:r>
              <w:rPr>
                <w:rFonts w:ascii="Arial" w:cs="Arial" w:eastAsia="Arial" w:hAnsi="Arial"/>
                <w:sz w:val="18"/>
                <w:szCs w:val="18"/>
                <w:color w:val="auto"/>
              </w:rPr>
              <w:t>All executive officers and directors as a group (11</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000" w:type="dxa"/>
            <w:vAlign w:val="bottom"/>
            <w:gridSpan w:val="3"/>
          </w:tcPr>
          <w:p>
            <w:pPr>
              <w:ind w:left="120"/>
              <w:spacing w:after="0"/>
              <w:rPr>
                <w:sz w:val="20"/>
                <w:szCs w:val="20"/>
                <w:color w:val="auto"/>
              </w:rPr>
            </w:pPr>
            <w:r>
              <w:rPr>
                <w:rFonts w:ascii="Arial" w:cs="Arial" w:eastAsia="Arial" w:hAnsi="Arial"/>
                <w:sz w:val="18"/>
                <w:szCs w:val="18"/>
                <w:color w:val="auto"/>
              </w:rPr>
              <w:t>persons)(18)</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47,399</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0"/>
              </w:rPr>
              <w:t>52.1%</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0890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sz w:val="20"/>
          <w:szCs w:val="20"/>
          <w:color w:val="auto"/>
        </w:rPr>
      </w:pPr>
    </w:p>
    <w:p>
      <w:pPr>
        <w:ind w:left="340" w:right="20" w:hanging="332"/>
        <w:spacing w:after="0" w:line="257"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beneficial ownership of ordinary shares is determined in accordance with the rules of the SEC and generally includes any ordinary shares over which a person exercises sole or shared voting or investment power. For purposes of the table above, we deem shares subject to options or warrants that are currently exercisable or exercisable within 60 days of March 31, 2018, to be outstanding and to be beneficially owned by the person holding the options or warrants for the purposes of computing the percentage ownership of that person but we do not treat them as outstanding for the purpose of computing the percentage ownership of any other person.</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Consists of 30,606 ordinary shares. D.N.A Biomedical, whose address is at Shimon Hatarsi 43 St., Tel Aviv, Israel, is controlled by Zeev Bronfeld.</w:t>
      </w:r>
    </w:p>
    <w:p>
      <w:pPr>
        <w:spacing w:after="0" w:line="34" w:lineRule="exact"/>
        <w:rPr>
          <w:rFonts w:ascii="Arial" w:cs="Arial" w:eastAsia="Arial" w:hAnsi="Arial"/>
          <w:sz w:val="17"/>
          <w:szCs w:val="17"/>
          <w:color w:val="auto"/>
        </w:rPr>
      </w:pPr>
    </w:p>
    <w:p>
      <w:pPr>
        <w:ind w:left="340" w:right="20"/>
        <w:spacing w:after="0" w:line="261" w:lineRule="auto"/>
        <w:rPr>
          <w:rFonts w:ascii="Arial" w:cs="Arial" w:eastAsia="Arial" w:hAnsi="Arial"/>
          <w:sz w:val="17"/>
          <w:szCs w:val="17"/>
          <w:color w:val="auto"/>
        </w:rPr>
      </w:pPr>
      <w:r>
        <w:rPr>
          <w:rFonts w:ascii="Arial" w:cs="Arial" w:eastAsia="Arial" w:hAnsi="Arial"/>
          <w:sz w:val="18"/>
          <w:szCs w:val="18"/>
          <w:color w:val="auto"/>
        </w:rPr>
        <w:t>26,234 ordinary shares, or approximately 85.7% of the ordinary shares currently held by D.N.A Biomedical have been pledged to Capital Point, while the remaining 4,372 ordinary shares, or approximately 14.3%, have been pledged to Menachem Raphael.</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jc w:val="right"/>
              <w:spacing w:after="0"/>
              <w:rPr>
                <w:sz w:val="20"/>
                <w:szCs w:val="20"/>
                <w:color w:val="auto"/>
              </w:rPr>
            </w:pPr>
            <w:r>
              <w:rPr>
                <w:rFonts w:ascii="Arial" w:cs="Arial" w:eastAsia="Arial" w:hAnsi="Arial"/>
                <w:sz w:val="18"/>
                <w:szCs w:val="18"/>
                <w:color w:val="auto"/>
                <w:w w:val="90"/>
              </w:rPr>
              <w:t>(3)</w:t>
            </w:r>
          </w:p>
        </w:tc>
        <w:tc>
          <w:tcPr>
            <w:tcW w:w="5640" w:type="dxa"/>
            <w:vAlign w:val="bottom"/>
            <w:gridSpan w:val="3"/>
          </w:tcPr>
          <w:p>
            <w:pPr>
              <w:ind w:left="60"/>
              <w:spacing w:after="0"/>
              <w:rPr>
                <w:sz w:val="20"/>
                <w:szCs w:val="20"/>
                <w:color w:val="auto"/>
              </w:rPr>
            </w:pPr>
            <w:r>
              <w:rPr>
                <w:rFonts w:ascii="Arial" w:cs="Arial" w:eastAsia="Arial" w:hAnsi="Arial"/>
                <w:sz w:val="18"/>
                <w:szCs w:val="18"/>
                <w:color w:val="auto"/>
                <w:w w:val="98"/>
              </w:rPr>
              <w:t>Consists of (i) 8,344 Series A preferred shares that will be converted to</w:t>
            </w:r>
          </w:p>
        </w:tc>
        <w:tc>
          <w:tcPr>
            <w:tcW w:w="5480" w:type="dxa"/>
            <w:vAlign w:val="bottom"/>
            <w:gridSpan w:val="3"/>
          </w:tcPr>
          <w:p>
            <w:pPr>
              <w:ind w:left="280"/>
              <w:spacing w:after="0"/>
              <w:rPr>
                <w:sz w:val="20"/>
                <w:szCs w:val="20"/>
                <w:color w:val="auto"/>
              </w:rPr>
            </w:pPr>
            <w:r>
              <w:rPr>
                <w:rFonts w:ascii="Arial" w:cs="Arial" w:eastAsia="Arial" w:hAnsi="Arial"/>
                <w:sz w:val="18"/>
                <w:szCs w:val="18"/>
                <w:color w:val="auto"/>
                <w:w w:val="97"/>
              </w:rPr>
              <w:t>ordinary shares following the closing of this offering, (ii) warrants to</w:t>
            </w:r>
          </w:p>
        </w:tc>
      </w:tr>
      <w:tr>
        <w:trPr>
          <w:trHeight w:val="216"/>
        </w:trPr>
        <w:tc>
          <w:tcPr>
            <w:tcW w:w="280" w:type="dxa"/>
            <w:vAlign w:val="bottom"/>
          </w:tcPr>
          <w:p>
            <w:pPr>
              <w:spacing w:after="0"/>
              <w:rPr>
                <w:sz w:val="18"/>
                <w:szCs w:val="18"/>
                <w:color w:val="auto"/>
              </w:rPr>
            </w:pPr>
          </w:p>
        </w:tc>
        <w:tc>
          <w:tcPr>
            <w:tcW w:w="11120" w:type="dxa"/>
            <w:vAlign w:val="bottom"/>
            <w:gridSpan w:val="6"/>
          </w:tcPr>
          <w:p>
            <w:pPr>
              <w:ind w:left="60"/>
              <w:spacing w:after="0"/>
              <w:rPr>
                <w:sz w:val="20"/>
                <w:szCs w:val="20"/>
                <w:color w:val="auto"/>
              </w:rPr>
            </w:pPr>
            <w:r>
              <w:rPr>
                <w:rFonts w:ascii="Arial" w:cs="Arial" w:eastAsia="Arial" w:hAnsi="Arial"/>
                <w:sz w:val="18"/>
                <w:szCs w:val="18"/>
                <w:color w:val="auto"/>
                <w:w w:val="91"/>
              </w:rPr>
              <w:t>purchase 2,086 Series A preferred shares that will be converted to warrants to purchase ordinary shares following the closing of this offering, which had</w:t>
            </w:r>
          </w:p>
        </w:tc>
      </w:tr>
      <w:tr>
        <w:trPr>
          <w:trHeight w:val="216"/>
        </w:trPr>
        <w:tc>
          <w:tcPr>
            <w:tcW w:w="280" w:type="dxa"/>
            <w:vAlign w:val="bottom"/>
          </w:tcPr>
          <w:p>
            <w:pPr>
              <w:spacing w:after="0"/>
              <w:rPr>
                <w:sz w:val="18"/>
                <w:szCs w:val="18"/>
                <w:color w:val="auto"/>
              </w:rPr>
            </w:pPr>
          </w:p>
        </w:tc>
        <w:tc>
          <w:tcPr>
            <w:tcW w:w="7880" w:type="dxa"/>
            <w:vAlign w:val="bottom"/>
            <w:gridSpan w:val="5"/>
          </w:tcPr>
          <w:p>
            <w:pPr>
              <w:ind w:left="60"/>
              <w:spacing w:after="0"/>
              <w:rPr>
                <w:sz w:val="20"/>
                <w:szCs w:val="20"/>
                <w:color w:val="auto"/>
              </w:rPr>
            </w:pPr>
            <w:r>
              <w:rPr>
                <w:rFonts w:ascii="Arial" w:cs="Arial" w:eastAsia="Arial" w:hAnsi="Arial"/>
                <w:sz w:val="18"/>
                <w:szCs w:val="18"/>
                <w:color w:val="auto"/>
                <w:w w:val="90"/>
              </w:rPr>
              <w:t>been issued to Centillion as of March 31, 2018, (iii) 2,086 Series A preferred shares that will be converted to</w:t>
            </w:r>
          </w:p>
        </w:tc>
        <w:tc>
          <w:tcPr>
            <w:tcW w:w="3240" w:type="dxa"/>
            <w:vAlign w:val="bottom"/>
          </w:tcPr>
          <w:p>
            <w:pPr>
              <w:ind w:left="760"/>
              <w:spacing w:after="0"/>
              <w:rPr>
                <w:sz w:val="20"/>
                <w:szCs w:val="20"/>
                <w:color w:val="auto"/>
              </w:rPr>
            </w:pPr>
            <w:r>
              <w:rPr>
                <w:rFonts w:ascii="Arial" w:cs="Arial" w:eastAsia="Arial" w:hAnsi="Arial"/>
                <w:sz w:val="18"/>
                <w:szCs w:val="18"/>
                <w:color w:val="auto"/>
              </w:rPr>
              <w:t>ordinary shares following the</w:t>
            </w:r>
          </w:p>
        </w:tc>
      </w:tr>
      <w:tr>
        <w:trPr>
          <w:trHeight w:val="216"/>
        </w:trPr>
        <w:tc>
          <w:tcPr>
            <w:tcW w:w="280" w:type="dxa"/>
            <w:vAlign w:val="bottom"/>
          </w:tcPr>
          <w:p>
            <w:pPr>
              <w:spacing w:after="0"/>
              <w:rPr>
                <w:sz w:val="18"/>
                <w:szCs w:val="18"/>
                <w:color w:val="auto"/>
              </w:rPr>
            </w:pPr>
          </w:p>
        </w:tc>
        <w:tc>
          <w:tcPr>
            <w:tcW w:w="11120" w:type="dxa"/>
            <w:vAlign w:val="bottom"/>
            <w:gridSpan w:val="6"/>
          </w:tcPr>
          <w:p>
            <w:pPr>
              <w:ind w:left="60"/>
              <w:spacing w:after="0"/>
              <w:rPr>
                <w:sz w:val="20"/>
                <w:szCs w:val="20"/>
                <w:color w:val="auto"/>
              </w:rPr>
            </w:pPr>
            <w:r>
              <w:rPr>
                <w:rFonts w:ascii="Arial" w:cs="Arial" w:eastAsia="Arial" w:hAnsi="Arial"/>
                <w:sz w:val="18"/>
                <w:szCs w:val="18"/>
                <w:color w:val="auto"/>
                <w:w w:val="91"/>
              </w:rPr>
              <w:t>closing of this offering and a warrant to purchase 521 Series A preferred shares, that will be converted to warrants to purchase ordinary shares following</w:t>
            </w:r>
          </w:p>
        </w:tc>
      </w:tr>
      <w:tr>
        <w:trPr>
          <w:trHeight w:val="216"/>
        </w:trPr>
        <w:tc>
          <w:tcPr>
            <w:tcW w:w="280" w:type="dxa"/>
            <w:vAlign w:val="bottom"/>
          </w:tcPr>
          <w:p>
            <w:pPr>
              <w:spacing w:after="0"/>
              <w:rPr>
                <w:sz w:val="18"/>
                <w:szCs w:val="18"/>
                <w:color w:val="auto"/>
              </w:rPr>
            </w:pPr>
          </w:p>
        </w:tc>
        <w:tc>
          <w:tcPr>
            <w:tcW w:w="11120" w:type="dxa"/>
            <w:vAlign w:val="bottom"/>
            <w:gridSpan w:val="6"/>
          </w:tcPr>
          <w:p>
            <w:pPr>
              <w:ind w:left="60"/>
              <w:spacing w:after="0"/>
              <w:rPr>
                <w:sz w:val="20"/>
                <w:szCs w:val="20"/>
                <w:color w:val="auto"/>
              </w:rPr>
            </w:pPr>
            <w:r>
              <w:rPr>
                <w:rFonts w:ascii="Arial" w:cs="Arial" w:eastAsia="Arial" w:hAnsi="Arial"/>
                <w:sz w:val="18"/>
                <w:szCs w:val="18"/>
                <w:color w:val="auto"/>
                <w:w w:val="93"/>
              </w:rPr>
              <w:t>the closing of this offering, which shares can be acquired by Centillion at any time until July 20, 2019 pursuant to the terms of our Series A preferred</w:t>
            </w:r>
          </w:p>
        </w:tc>
      </w:tr>
      <w:tr>
        <w:trPr>
          <w:trHeight w:val="216"/>
        </w:trPr>
        <w:tc>
          <w:tcPr>
            <w:tcW w:w="280" w:type="dxa"/>
            <w:vAlign w:val="bottom"/>
          </w:tcPr>
          <w:p>
            <w:pPr>
              <w:spacing w:after="0"/>
              <w:rPr>
                <w:sz w:val="18"/>
                <w:szCs w:val="18"/>
                <w:color w:val="auto"/>
              </w:rPr>
            </w:pPr>
          </w:p>
        </w:tc>
        <w:tc>
          <w:tcPr>
            <w:tcW w:w="6640" w:type="dxa"/>
            <w:vAlign w:val="bottom"/>
            <w:gridSpan w:val="4"/>
          </w:tcPr>
          <w:p>
            <w:pPr>
              <w:ind w:left="60"/>
              <w:spacing w:after="0"/>
              <w:rPr>
                <w:sz w:val="20"/>
                <w:szCs w:val="20"/>
                <w:color w:val="auto"/>
              </w:rPr>
            </w:pPr>
            <w:r>
              <w:rPr>
                <w:rFonts w:ascii="Arial" w:cs="Arial" w:eastAsia="Arial" w:hAnsi="Arial"/>
                <w:sz w:val="18"/>
                <w:szCs w:val="18"/>
                <w:color w:val="auto"/>
                <w:w w:val="93"/>
              </w:rPr>
              <w:t>shares purchase agreement, (iv) 427 Series A preferred shares that will be converted to</w:t>
            </w:r>
          </w:p>
        </w:tc>
        <w:tc>
          <w:tcPr>
            <w:tcW w:w="4480" w:type="dxa"/>
            <w:vAlign w:val="bottom"/>
            <w:gridSpan w:val="2"/>
          </w:tcPr>
          <w:p>
            <w:pPr>
              <w:ind w:left="360"/>
              <w:spacing w:after="0"/>
              <w:rPr>
                <w:sz w:val="20"/>
                <w:szCs w:val="20"/>
                <w:color w:val="auto"/>
              </w:rPr>
            </w:pPr>
            <w:r>
              <w:rPr>
                <w:rFonts w:ascii="Arial" w:cs="Arial" w:eastAsia="Arial" w:hAnsi="Arial"/>
                <w:sz w:val="18"/>
                <w:szCs w:val="18"/>
                <w:color w:val="auto"/>
                <w:w w:val="92"/>
              </w:rPr>
              <w:t>ordinary shares following the closing of this offering and</w:t>
            </w:r>
          </w:p>
        </w:tc>
      </w:tr>
      <w:tr>
        <w:trPr>
          <w:trHeight w:val="216"/>
        </w:trPr>
        <w:tc>
          <w:tcPr>
            <w:tcW w:w="280" w:type="dxa"/>
            <w:vAlign w:val="bottom"/>
          </w:tcPr>
          <w:p>
            <w:pPr>
              <w:spacing w:after="0"/>
              <w:rPr>
                <w:sz w:val="18"/>
                <w:szCs w:val="18"/>
                <w:color w:val="auto"/>
              </w:rPr>
            </w:pPr>
          </w:p>
        </w:tc>
        <w:tc>
          <w:tcPr>
            <w:tcW w:w="11120" w:type="dxa"/>
            <w:vAlign w:val="bottom"/>
            <w:gridSpan w:val="6"/>
          </w:tcPr>
          <w:p>
            <w:pPr>
              <w:ind w:left="60"/>
              <w:spacing w:after="0"/>
              <w:rPr>
                <w:sz w:val="20"/>
                <w:szCs w:val="20"/>
                <w:color w:val="auto"/>
              </w:rPr>
            </w:pPr>
            <w:r>
              <w:rPr>
                <w:rFonts w:ascii="Arial" w:cs="Arial" w:eastAsia="Arial" w:hAnsi="Arial"/>
                <w:sz w:val="18"/>
                <w:szCs w:val="18"/>
                <w:color w:val="auto"/>
                <w:w w:val="91"/>
              </w:rPr>
              <w:t>a warrant to purchase 107 Series A preferred shares, that will be converted to warrants to purchase ordinary shares following the closing of this offering,</w:t>
            </w:r>
          </w:p>
        </w:tc>
      </w:tr>
      <w:tr>
        <w:trPr>
          <w:trHeight w:val="216"/>
        </w:trPr>
        <w:tc>
          <w:tcPr>
            <w:tcW w:w="280" w:type="dxa"/>
            <w:vAlign w:val="bottom"/>
          </w:tcPr>
          <w:p>
            <w:pPr>
              <w:spacing w:after="0"/>
              <w:rPr>
                <w:sz w:val="18"/>
                <w:szCs w:val="18"/>
                <w:color w:val="auto"/>
              </w:rPr>
            </w:pPr>
          </w:p>
        </w:tc>
        <w:tc>
          <w:tcPr>
            <w:tcW w:w="11120" w:type="dxa"/>
            <w:vAlign w:val="bottom"/>
            <w:gridSpan w:val="6"/>
          </w:tcPr>
          <w:p>
            <w:pPr>
              <w:ind w:left="60"/>
              <w:spacing w:after="0"/>
              <w:rPr>
                <w:sz w:val="20"/>
                <w:szCs w:val="20"/>
                <w:color w:val="auto"/>
              </w:rPr>
            </w:pPr>
            <w:r>
              <w:rPr>
                <w:rFonts w:ascii="Arial" w:cs="Arial" w:eastAsia="Arial" w:hAnsi="Arial"/>
                <w:sz w:val="18"/>
                <w:szCs w:val="18"/>
                <w:color w:val="auto"/>
                <w:w w:val="91"/>
              </w:rPr>
              <w:t>which shares can be acquired by Centillion at any time until July 20, 2019 pursuant to our current Articles, (v) 357 Series B preferred shares that will be</w:t>
            </w:r>
          </w:p>
        </w:tc>
      </w:tr>
      <w:tr>
        <w:trPr>
          <w:trHeight w:val="216"/>
        </w:trPr>
        <w:tc>
          <w:tcPr>
            <w:tcW w:w="280" w:type="dxa"/>
            <w:vAlign w:val="bottom"/>
          </w:tcPr>
          <w:p>
            <w:pPr>
              <w:spacing w:after="0"/>
              <w:rPr>
                <w:sz w:val="18"/>
                <w:szCs w:val="18"/>
                <w:color w:val="auto"/>
              </w:rPr>
            </w:pPr>
          </w:p>
        </w:tc>
        <w:tc>
          <w:tcPr>
            <w:tcW w:w="1300" w:type="dxa"/>
            <w:vAlign w:val="bottom"/>
          </w:tcPr>
          <w:p>
            <w:pPr>
              <w:ind w:left="60"/>
              <w:spacing w:after="0"/>
              <w:rPr>
                <w:sz w:val="20"/>
                <w:szCs w:val="20"/>
                <w:color w:val="auto"/>
              </w:rPr>
            </w:pPr>
            <w:r>
              <w:rPr>
                <w:rFonts w:ascii="Arial" w:cs="Arial" w:eastAsia="Arial" w:hAnsi="Arial"/>
                <w:sz w:val="18"/>
                <w:szCs w:val="18"/>
                <w:color w:val="auto"/>
              </w:rPr>
              <w:t>converted to</w:t>
            </w:r>
          </w:p>
        </w:tc>
        <w:tc>
          <w:tcPr>
            <w:tcW w:w="9820" w:type="dxa"/>
            <w:vAlign w:val="bottom"/>
            <w:gridSpan w:val="5"/>
          </w:tcPr>
          <w:p>
            <w:pPr>
              <w:ind w:left="360"/>
              <w:spacing w:after="0"/>
              <w:rPr>
                <w:sz w:val="20"/>
                <w:szCs w:val="20"/>
                <w:color w:val="auto"/>
              </w:rPr>
            </w:pPr>
            <w:r>
              <w:rPr>
                <w:rFonts w:ascii="Arial" w:cs="Arial" w:eastAsia="Arial" w:hAnsi="Arial"/>
                <w:sz w:val="18"/>
                <w:szCs w:val="18"/>
                <w:color w:val="auto"/>
                <w:w w:val="92"/>
              </w:rPr>
              <w:t>ordinary shares following the closing of this offering, and (vi) warrants to purchase 2,934 Series B-1 preferred shares that will be</w:t>
            </w:r>
          </w:p>
        </w:tc>
      </w:tr>
      <w:tr>
        <w:trPr>
          <w:trHeight w:val="216"/>
        </w:trPr>
        <w:tc>
          <w:tcPr>
            <w:tcW w:w="280" w:type="dxa"/>
            <w:vAlign w:val="bottom"/>
          </w:tcPr>
          <w:p>
            <w:pPr>
              <w:spacing w:after="0"/>
              <w:rPr>
                <w:sz w:val="18"/>
                <w:szCs w:val="18"/>
                <w:color w:val="auto"/>
              </w:rPr>
            </w:pPr>
          </w:p>
        </w:tc>
        <w:tc>
          <w:tcPr>
            <w:tcW w:w="2860" w:type="dxa"/>
            <w:vAlign w:val="bottom"/>
            <w:gridSpan w:val="2"/>
          </w:tcPr>
          <w:p>
            <w:pPr>
              <w:ind w:left="60"/>
              <w:spacing w:after="0"/>
              <w:rPr>
                <w:sz w:val="20"/>
                <w:szCs w:val="20"/>
                <w:color w:val="auto"/>
              </w:rPr>
            </w:pPr>
            <w:r>
              <w:rPr>
                <w:rFonts w:ascii="Arial" w:cs="Arial" w:eastAsia="Arial" w:hAnsi="Arial"/>
                <w:sz w:val="18"/>
                <w:szCs w:val="18"/>
                <w:color w:val="auto"/>
              </w:rPr>
              <w:t>converted to warrants to purchase</w:t>
            </w:r>
          </w:p>
        </w:tc>
        <w:tc>
          <w:tcPr>
            <w:tcW w:w="8260" w:type="dxa"/>
            <w:vAlign w:val="bottom"/>
            <w:gridSpan w:val="4"/>
          </w:tcPr>
          <w:p>
            <w:pPr>
              <w:ind w:left="380"/>
              <w:spacing w:after="0"/>
              <w:rPr>
                <w:sz w:val="20"/>
                <w:szCs w:val="20"/>
                <w:color w:val="auto"/>
              </w:rPr>
            </w:pPr>
            <w:r>
              <w:rPr>
                <w:rFonts w:ascii="Arial" w:cs="Arial" w:eastAsia="Arial" w:hAnsi="Arial"/>
                <w:sz w:val="18"/>
                <w:szCs w:val="18"/>
                <w:color w:val="auto"/>
                <w:w w:val="92"/>
              </w:rPr>
              <w:t>ordinary shares following the closing of this offering. Centillion Fund, whose address is c/o Entera Bio Ltd.,</w:t>
            </w:r>
          </w:p>
        </w:tc>
      </w:tr>
      <w:tr>
        <w:trPr>
          <w:trHeight w:val="230"/>
        </w:trPr>
        <w:tc>
          <w:tcPr>
            <w:tcW w:w="280" w:type="dxa"/>
            <w:vAlign w:val="bottom"/>
          </w:tcPr>
          <w:p>
            <w:pPr>
              <w:spacing w:after="0"/>
              <w:rPr>
                <w:sz w:val="20"/>
                <w:szCs w:val="20"/>
                <w:color w:val="auto"/>
              </w:rPr>
            </w:pPr>
          </w:p>
        </w:tc>
        <w:tc>
          <w:tcPr>
            <w:tcW w:w="7880" w:type="dxa"/>
            <w:vAlign w:val="bottom"/>
            <w:gridSpan w:val="5"/>
          </w:tcPr>
          <w:p>
            <w:pPr>
              <w:ind w:left="60"/>
              <w:spacing w:after="0"/>
              <w:rPr>
                <w:sz w:val="20"/>
                <w:szCs w:val="20"/>
                <w:color w:val="auto"/>
              </w:rPr>
            </w:pPr>
            <w:r>
              <w:rPr>
                <w:rFonts w:ascii="Arial" w:cs="Arial" w:eastAsia="Arial" w:hAnsi="Arial"/>
                <w:sz w:val="18"/>
                <w:szCs w:val="18"/>
                <w:color w:val="auto"/>
                <w:w w:val="93"/>
              </w:rPr>
              <w:t>Kiryat Hadassah, Minrav Building — Fifth Floor, Jerusalem 9112002, Israel, is controlled by Ariel Israilov.</w:t>
            </w:r>
          </w:p>
        </w:tc>
        <w:tc>
          <w:tcPr>
            <w:tcW w:w="3240" w:type="dxa"/>
            <w:vAlign w:val="bottom"/>
          </w:tcPr>
          <w:p>
            <w:pPr>
              <w:spacing w:after="0"/>
              <w:rPr>
                <w:sz w:val="20"/>
                <w:szCs w:val="20"/>
                <w:color w:val="auto"/>
              </w:rPr>
            </w:pPr>
          </w:p>
        </w:tc>
      </w:tr>
      <w:tr>
        <w:trPr>
          <w:trHeight w:val="418"/>
        </w:trPr>
        <w:tc>
          <w:tcPr>
            <w:tcW w:w="280" w:type="dxa"/>
            <w:vAlign w:val="bottom"/>
          </w:tcPr>
          <w:p>
            <w:pPr>
              <w:jc w:val="right"/>
              <w:spacing w:after="0"/>
              <w:rPr>
                <w:sz w:val="20"/>
                <w:szCs w:val="20"/>
                <w:color w:val="auto"/>
              </w:rPr>
            </w:pPr>
            <w:r>
              <w:rPr>
                <w:rFonts w:ascii="Arial" w:cs="Arial" w:eastAsia="Arial" w:hAnsi="Arial"/>
                <w:sz w:val="18"/>
                <w:szCs w:val="18"/>
                <w:color w:val="auto"/>
                <w:w w:val="90"/>
              </w:rPr>
              <w:t>(4)</w:t>
            </w:r>
          </w:p>
        </w:tc>
        <w:tc>
          <w:tcPr>
            <w:tcW w:w="5640" w:type="dxa"/>
            <w:vAlign w:val="bottom"/>
            <w:gridSpan w:val="3"/>
          </w:tcPr>
          <w:p>
            <w:pPr>
              <w:ind w:left="60"/>
              <w:spacing w:after="0"/>
              <w:rPr>
                <w:sz w:val="20"/>
                <w:szCs w:val="20"/>
                <w:color w:val="auto"/>
              </w:rPr>
            </w:pPr>
            <w:r>
              <w:rPr>
                <w:rFonts w:ascii="Arial" w:cs="Arial" w:eastAsia="Arial" w:hAnsi="Arial"/>
                <w:sz w:val="18"/>
                <w:szCs w:val="18"/>
                <w:color w:val="auto"/>
                <w:w w:val="95"/>
              </w:rPr>
              <w:t>Consists of (i) 4,689 Series B-1 preferred shares that will be converted to</w:t>
            </w:r>
          </w:p>
        </w:tc>
        <w:tc>
          <w:tcPr>
            <w:tcW w:w="5480" w:type="dxa"/>
            <w:vAlign w:val="bottom"/>
            <w:gridSpan w:val="3"/>
          </w:tcPr>
          <w:p>
            <w:pPr>
              <w:ind w:left="480"/>
              <w:spacing w:after="0"/>
              <w:rPr>
                <w:sz w:val="20"/>
                <w:szCs w:val="20"/>
                <w:color w:val="auto"/>
              </w:rPr>
            </w:pPr>
            <w:r>
              <w:rPr>
                <w:rFonts w:ascii="Arial" w:cs="Arial" w:eastAsia="Arial" w:hAnsi="Arial"/>
                <w:sz w:val="18"/>
                <w:szCs w:val="18"/>
                <w:color w:val="auto"/>
              </w:rPr>
              <w:t>ordinary shares following the closing of this offering, and (ii)</w:t>
            </w:r>
          </w:p>
        </w:tc>
      </w:tr>
      <w:tr>
        <w:trPr>
          <w:trHeight w:val="216"/>
        </w:trPr>
        <w:tc>
          <w:tcPr>
            <w:tcW w:w="280" w:type="dxa"/>
            <w:vAlign w:val="bottom"/>
          </w:tcPr>
          <w:p>
            <w:pPr>
              <w:spacing w:after="0"/>
              <w:rPr>
                <w:sz w:val="18"/>
                <w:szCs w:val="18"/>
                <w:color w:val="auto"/>
              </w:rPr>
            </w:pPr>
          </w:p>
        </w:tc>
        <w:tc>
          <w:tcPr>
            <w:tcW w:w="7880" w:type="dxa"/>
            <w:vAlign w:val="bottom"/>
            <w:gridSpan w:val="5"/>
          </w:tcPr>
          <w:p>
            <w:pPr>
              <w:ind w:left="60"/>
              <w:spacing w:after="0"/>
              <w:rPr>
                <w:sz w:val="20"/>
                <w:szCs w:val="20"/>
                <w:color w:val="auto"/>
              </w:rPr>
            </w:pPr>
            <w:r>
              <w:rPr>
                <w:rFonts w:ascii="Arial" w:cs="Arial" w:eastAsia="Arial" w:hAnsi="Arial"/>
                <w:sz w:val="18"/>
                <w:szCs w:val="18"/>
                <w:color w:val="auto"/>
                <w:w w:val="98"/>
              </w:rPr>
              <w:t>warrants to purchase 1,876 Series B preferred shares that will be converted to warrants to purchase</w:t>
            </w:r>
          </w:p>
        </w:tc>
        <w:tc>
          <w:tcPr>
            <w:tcW w:w="3240" w:type="dxa"/>
            <w:vAlign w:val="bottom"/>
          </w:tcPr>
          <w:p>
            <w:pPr>
              <w:spacing w:after="0"/>
              <w:rPr>
                <w:sz w:val="20"/>
                <w:szCs w:val="20"/>
                <w:color w:val="auto"/>
              </w:rPr>
            </w:pPr>
            <w:r>
              <w:rPr>
                <w:rFonts w:ascii="Arial" w:cs="Arial" w:eastAsia="Arial" w:hAnsi="Arial"/>
                <w:sz w:val="18"/>
                <w:szCs w:val="18"/>
                <w:color w:val="auto"/>
                <w:w w:val="93"/>
              </w:rPr>
              <w:t>ordinary shares following the closing of this</w:t>
            </w:r>
          </w:p>
        </w:tc>
      </w:tr>
      <w:tr>
        <w:trPr>
          <w:trHeight w:val="230"/>
        </w:trPr>
        <w:tc>
          <w:tcPr>
            <w:tcW w:w="280" w:type="dxa"/>
            <w:vAlign w:val="bottom"/>
          </w:tcPr>
          <w:p>
            <w:pPr>
              <w:spacing w:after="0"/>
              <w:rPr>
                <w:sz w:val="20"/>
                <w:szCs w:val="20"/>
                <w:color w:val="auto"/>
              </w:rPr>
            </w:pPr>
          </w:p>
        </w:tc>
        <w:tc>
          <w:tcPr>
            <w:tcW w:w="11120" w:type="dxa"/>
            <w:vAlign w:val="bottom"/>
            <w:gridSpan w:val="6"/>
          </w:tcPr>
          <w:p>
            <w:pPr>
              <w:ind w:left="60"/>
              <w:spacing w:after="0"/>
              <w:rPr>
                <w:sz w:val="20"/>
                <w:szCs w:val="20"/>
                <w:color w:val="auto"/>
              </w:rPr>
            </w:pPr>
            <w:r>
              <w:rPr>
                <w:rFonts w:ascii="Arial" w:cs="Arial" w:eastAsia="Arial" w:hAnsi="Arial"/>
                <w:sz w:val="18"/>
                <w:szCs w:val="18"/>
                <w:color w:val="auto"/>
                <w:w w:val="92"/>
              </w:rPr>
              <w:t>offering. Pontifax 4 GP L.P. (“Pontifax Management”) is the general partner of Pontifax (Israel) 4 LP, Pontifax (Cayman) IV LP and Pontifax (China) IV</w:t>
            </w:r>
          </w:p>
        </w:tc>
      </w:tr>
    </w:tbl>
    <w:p>
      <w:pPr>
        <w:jc w:val="both"/>
        <w:ind w:left="340" w:right="20"/>
        <w:spacing w:after="0" w:line="302" w:lineRule="auto"/>
        <w:rPr>
          <w:sz w:val="20"/>
          <w:szCs w:val="20"/>
          <w:color w:val="auto"/>
        </w:rPr>
      </w:pPr>
      <w:r>
        <w:rPr>
          <w:rFonts w:ascii="Arial" w:cs="Arial" w:eastAsia="Arial" w:hAnsi="Arial"/>
          <w:sz w:val="16"/>
          <w:szCs w:val="16"/>
          <w:color w:val="auto"/>
        </w:rPr>
        <w:t>LP (together, the “Partnerships”). Pontifax Management 4 G.P. (2015) Ltd. (“Pontifax Management GP”) is the general partner of Pontifax Management. Mr. Tomer Kariv and Mr. Ran Nussbaum are directors of Pontifax Management GP and, as such, hold voting and/or dispositive power ver the shares held by the Partnerships. The principal business address of the foregoing entities and individuals is 14 Shenkar Street, Herzeliya 46140, Israel.</w:t>
      </w:r>
    </w:p>
    <w:p>
      <w:pPr>
        <w:sectPr>
          <w:pgSz w:w="11900" w:h="16838" w:orient="portrait"/>
          <w:cols w:equalWidth="0" w:num="1">
            <w:col w:w="11420"/>
          </w:cols>
          <w:pgMar w:left="240" w:top="222" w:right="239" w:bottom="1440" w:gutter="0" w:footer="0" w:header="0"/>
        </w:sect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type w:val="continuous"/>
        </w:sectPr>
      </w:pPr>
    </w:p>
    <w:bookmarkStart w:id="135" w:name="page136"/>
    <w:bookmarkEnd w:id="135"/>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gridSpan w:val="2"/>
          </w:tcPr>
          <w:p>
            <w:pPr>
              <w:spacing w:after="0"/>
              <w:rPr>
                <w:rFonts w:ascii="Arial" w:cs="Arial" w:eastAsia="Arial" w:hAnsi="Arial"/>
                <w:sz w:val="14"/>
                <w:szCs w:val="14"/>
                <w:b w:val="1"/>
                <w:bCs w:val="1"/>
                <w:color w:val="0000EE"/>
                <w:w w:val="91"/>
              </w:rPr>
            </w:pPr>
            <w:hyperlink w:anchor="page5">
              <w:r>
                <w:rPr>
                  <w:rFonts w:ascii="Arial" w:cs="Arial" w:eastAsia="Arial" w:hAnsi="Arial"/>
                  <w:sz w:val="14"/>
                  <w:szCs w:val="14"/>
                  <w:b w:val="1"/>
                  <w:bCs w:val="1"/>
                  <w:color w:val="0000EE"/>
                  <w:w w:val="91"/>
                </w:rPr>
                <w:t>Table of Contents</w:t>
              </w:r>
            </w:hyperlink>
          </w:p>
        </w:tc>
        <w:tc>
          <w:tcPr>
            <w:tcW w:w="4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60" w:type="dxa"/>
            <w:vAlign w:val="bottom"/>
          </w:tcPr>
          <w:p>
            <w:pPr>
              <w:spacing w:after="0"/>
              <w:rPr>
                <w:sz w:val="14"/>
                <w:szCs w:val="14"/>
                <w:color w:val="auto"/>
              </w:rPr>
            </w:pPr>
          </w:p>
        </w:tc>
      </w:tr>
      <w:tr>
        <w:trPr>
          <w:trHeight w:val="303"/>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5500" w:type="dxa"/>
            <w:vAlign w:val="bottom"/>
            <w:gridSpan w:val="2"/>
          </w:tcPr>
          <w:p>
            <w:pPr>
              <w:ind w:left="60"/>
              <w:spacing w:after="0"/>
              <w:rPr>
                <w:sz w:val="20"/>
                <w:szCs w:val="20"/>
                <w:color w:val="auto"/>
              </w:rPr>
            </w:pPr>
            <w:r>
              <w:rPr>
                <w:rFonts w:ascii="Arial" w:cs="Arial" w:eastAsia="Arial" w:hAnsi="Arial"/>
                <w:sz w:val="18"/>
                <w:szCs w:val="18"/>
                <w:color w:val="auto"/>
                <w:w w:val="96"/>
              </w:rPr>
              <w:t>Consists of (i) 5,659 Series B preferred shares that will be converted to</w:t>
            </w:r>
          </w:p>
        </w:tc>
        <w:tc>
          <w:tcPr>
            <w:tcW w:w="5500" w:type="dxa"/>
            <w:vAlign w:val="bottom"/>
            <w:gridSpan w:val="2"/>
          </w:tcPr>
          <w:p>
            <w:pPr>
              <w:ind w:left="460"/>
              <w:spacing w:after="0"/>
              <w:rPr>
                <w:sz w:val="20"/>
                <w:szCs w:val="20"/>
                <w:color w:val="auto"/>
              </w:rPr>
            </w:pPr>
            <w:r>
              <w:rPr>
                <w:rFonts w:ascii="Arial" w:cs="Arial" w:eastAsia="Arial" w:hAnsi="Arial"/>
                <w:sz w:val="18"/>
                <w:szCs w:val="18"/>
                <w:color w:val="auto"/>
                <w:w w:val="93"/>
              </w:rPr>
              <w:t>ordinary shares following the closing of this offering (ii) 490 ordinary</w:t>
            </w:r>
          </w:p>
        </w:tc>
      </w:tr>
      <w:tr>
        <w:trPr>
          <w:trHeight w:val="216"/>
        </w:trPr>
        <w:tc>
          <w:tcPr>
            <w:tcW w:w="280" w:type="dxa"/>
            <w:vAlign w:val="bottom"/>
          </w:tcPr>
          <w:p>
            <w:pPr>
              <w:spacing w:after="0"/>
              <w:rPr>
                <w:sz w:val="18"/>
                <w:szCs w:val="18"/>
                <w:color w:val="auto"/>
              </w:rPr>
            </w:pPr>
          </w:p>
        </w:tc>
        <w:tc>
          <w:tcPr>
            <w:tcW w:w="11000" w:type="dxa"/>
            <w:vAlign w:val="bottom"/>
            <w:gridSpan w:val="4"/>
          </w:tcPr>
          <w:p>
            <w:pPr>
              <w:ind w:left="60"/>
              <w:spacing w:after="0"/>
              <w:rPr>
                <w:sz w:val="20"/>
                <w:szCs w:val="20"/>
                <w:color w:val="auto"/>
              </w:rPr>
            </w:pPr>
            <w:r>
              <w:rPr>
                <w:rFonts w:ascii="Arial" w:cs="Arial" w:eastAsia="Arial" w:hAnsi="Arial"/>
                <w:sz w:val="18"/>
                <w:szCs w:val="18"/>
                <w:color w:val="auto"/>
                <w:w w:val="90"/>
              </w:rPr>
              <w:t>shares, transferred by D.N.A. Biomedical to Capital Point and (iii) 5,555 ordinary shares that Capital Point has the right to acquire pursuant to an option</w:t>
            </w:r>
          </w:p>
        </w:tc>
      </w:tr>
      <w:tr>
        <w:trPr>
          <w:trHeight w:val="230"/>
        </w:trPr>
        <w:tc>
          <w:tcPr>
            <w:tcW w:w="280" w:type="dxa"/>
            <w:vAlign w:val="bottom"/>
          </w:tcPr>
          <w:p>
            <w:pPr>
              <w:spacing w:after="0"/>
              <w:rPr>
                <w:sz w:val="20"/>
                <w:szCs w:val="20"/>
                <w:color w:val="auto"/>
              </w:rPr>
            </w:pPr>
          </w:p>
        </w:tc>
        <w:tc>
          <w:tcPr>
            <w:tcW w:w="11000" w:type="dxa"/>
            <w:vAlign w:val="bottom"/>
            <w:gridSpan w:val="4"/>
          </w:tcPr>
          <w:p>
            <w:pPr>
              <w:ind w:left="60"/>
              <w:spacing w:after="0"/>
              <w:rPr>
                <w:sz w:val="20"/>
                <w:szCs w:val="20"/>
                <w:color w:val="auto"/>
              </w:rPr>
            </w:pPr>
            <w:r>
              <w:rPr>
                <w:rFonts w:ascii="Arial" w:cs="Arial" w:eastAsia="Arial" w:hAnsi="Arial"/>
                <w:sz w:val="18"/>
                <w:szCs w:val="18"/>
                <w:color w:val="auto"/>
              </w:rPr>
              <w:t>granted by D.NA Biomedical. Capital Point’s address is at Derech Menachem Begin 132 (Azrieli Center) Tel Aviv, Israel.</w:t>
            </w:r>
          </w:p>
        </w:tc>
      </w:tr>
      <w:tr>
        <w:trPr>
          <w:trHeight w:val="418"/>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5500" w:type="dxa"/>
            <w:vAlign w:val="bottom"/>
            <w:gridSpan w:val="2"/>
          </w:tcPr>
          <w:p>
            <w:pPr>
              <w:ind w:left="60"/>
              <w:spacing w:after="0"/>
              <w:rPr>
                <w:sz w:val="20"/>
                <w:szCs w:val="20"/>
                <w:color w:val="auto"/>
              </w:rPr>
            </w:pPr>
            <w:r>
              <w:rPr>
                <w:rFonts w:ascii="Arial" w:cs="Arial" w:eastAsia="Arial" w:hAnsi="Arial"/>
                <w:sz w:val="18"/>
                <w:szCs w:val="18"/>
                <w:color w:val="auto"/>
                <w:w w:val="98"/>
              </w:rPr>
              <w:t>Consists of (i) 834 Series A preferred shares that will be converted to</w:t>
            </w:r>
          </w:p>
        </w:tc>
        <w:tc>
          <w:tcPr>
            <w:tcW w:w="5500" w:type="dxa"/>
            <w:vAlign w:val="bottom"/>
            <w:gridSpan w:val="2"/>
          </w:tcPr>
          <w:p>
            <w:pPr>
              <w:ind w:left="280"/>
              <w:spacing w:after="0"/>
              <w:rPr>
                <w:sz w:val="20"/>
                <w:szCs w:val="20"/>
                <w:color w:val="auto"/>
              </w:rPr>
            </w:pPr>
            <w:r>
              <w:rPr>
                <w:rFonts w:ascii="Arial" w:cs="Arial" w:eastAsia="Arial" w:hAnsi="Arial"/>
                <w:sz w:val="18"/>
                <w:szCs w:val="18"/>
                <w:color w:val="auto"/>
                <w:w w:val="97"/>
              </w:rPr>
              <w:t>ordinary shares following the closing of this offering, (ii) warrants to</w:t>
            </w:r>
          </w:p>
        </w:tc>
      </w:tr>
      <w:tr>
        <w:trPr>
          <w:trHeight w:val="230"/>
        </w:trPr>
        <w:tc>
          <w:tcPr>
            <w:tcW w:w="280" w:type="dxa"/>
            <w:vAlign w:val="bottom"/>
          </w:tcPr>
          <w:p>
            <w:pPr>
              <w:spacing w:after="0"/>
              <w:rPr>
                <w:sz w:val="20"/>
                <w:szCs w:val="20"/>
                <w:color w:val="auto"/>
              </w:rPr>
            </w:pPr>
          </w:p>
        </w:tc>
        <w:tc>
          <w:tcPr>
            <w:tcW w:w="6540" w:type="dxa"/>
            <w:vAlign w:val="bottom"/>
            <w:gridSpan w:val="3"/>
          </w:tcPr>
          <w:p>
            <w:pPr>
              <w:ind w:left="60"/>
              <w:spacing w:after="0"/>
              <w:rPr>
                <w:sz w:val="20"/>
                <w:szCs w:val="20"/>
                <w:color w:val="auto"/>
              </w:rPr>
            </w:pPr>
            <w:r>
              <w:rPr>
                <w:rFonts w:ascii="Arial" w:cs="Arial" w:eastAsia="Arial" w:hAnsi="Arial"/>
                <w:sz w:val="18"/>
                <w:szCs w:val="18"/>
                <w:color w:val="auto"/>
                <w:w w:val="94"/>
              </w:rPr>
              <w:t>purchase 208 Series A preferred shares that will be converted to warrants to purchase</w:t>
            </w:r>
          </w:p>
        </w:tc>
        <w:tc>
          <w:tcPr>
            <w:tcW w:w="4460" w:type="dxa"/>
            <w:vAlign w:val="bottom"/>
          </w:tcPr>
          <w:p>
            <w:pPr>
              <w:ind w:left="360"/>
              <w:spacing w:after="0"/>
              <w:rPr>
                <w:sz w:val="20"/>
                <w:szCs w:val="20"/>
                <w:color w:val="auto"/>
              </w:rPr>
            </w:pPr>
            <w:r>
              <w:rPr>
                <w:rFonts w:ascii="Arial" w:cs="Arial" w:eastAsia="Arial" w:hAnsi="Arial"/>
                <w:sz w:val="18"/>
                <w:szCs w:val="18"/>
                <w:color w:val="auto"/>
                <w:w w:val="96"/>
              </w:rPr>
              <w:t>ordinary shares, which had been issued to White Car</w:t>
            </w:r>
          </w:p>
        </w:tc>
      </w:tr>
    </w:tbl>
    <w:p>
      <w:pPr>
        <w:jc w:val="center"/>
        <w:spacing w:after="0"/>
        <w:rPr>
          <w:sz w:val="20"/>
          <w:szCs w:val="20"/>
          <w:color w:val="auto"/>
        </w:rPr>
      </w:pPr>
      <w:r>
        <w:rPr>
          <w:rFonts w:ascii="Arial" w:cs="Arial" w:eastAsia="Arial" w:hAnsi="Arial"/>
          <w:sz w:val="17"/>
          <w:szCs w:val="17"/>
          <w:color w:val="auto"/>
        </w:rPr>
        <w:t>Group, Ltd., who later transferred its shares to Menachem Raphael, as of March 31, 2018, (iii) 208 Series A preferred shares that will be converted to</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ordinary shares following the closing of this offering and warrants to purchase 53 Series A preferred shares that will be converted to warrants to</w:t>
      </w:r>
    </w:p>
    <w:p>
      <w:pPr>
        <w:spacing w:after="0" w:line="32" w:lineRule="exact"/>
        <w:rPr>
          <w:sz w:val="20"/>
          <w:szCs w:val="20"/>
          <w:color w:val="auto"/>
        </w:rPr>
      </w:pPr>
    </w:p>
    <w:p>
      <w:pPr>
        <w:ind w:left="340"/>
        <w:spacing w:after="0"/>
        <w:tabs>
          <w:tab w:leader="none" w:pos="1720" w:val="left"/>
        </w:tabs>
        <w:rPr>
          <w:sz w:val="20"/>
          <w:szCs w:val="20"/>
          <w:color w:val="auto"/>
        </w:rPr>
      </w:pPr>
      <w:r>
        <w:rPr>
          <w:rFonts w:ascii="Arial" w:cs="Arial" w:eastAsia="Arial" w:hAnsi="Arial"/>
          <w:sz w:val="17"/>
          <w:szCs w:val="17"/>
          <w:color w:val="auto"/>
        </w:rPr>
        <w:t>purchase</w:t>
      </w:r>
      <w:r>
        <w:rPr>
          <w:sz w:val="20"/>
          <w:szCs w:val="20"/>
          <w:color w:val="auto"/>
        </w:rPr>
        <w:tab/>
      </w:r>
      <w:r>
        <w:rPr>
          <w:rFonts w:ascii="Arial" w:cs="Arial" w:eastAsia="Arial" w:hAnsi="Arial"/>
          <w:sz w:val="17"/>
          <w:szCs w:val="17"/>
          <w:color w:val="auto"/>
        </w:rPr>
        <w:t>ordinary shares following the closing of this offering, which shares can be acquired by Menachem Raphael until July 20, 2019</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pursuant to the terms of our Series A preferred shares purchase agreement, (iv) 1,099 Series B-1 preferred shares that will be converted to</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ordinary shares following the closing of this offering (v) warrants to purchase 440 Series B preferred shares that will be converted to warrants to</w:t>
      </w:r>
    </w:p>
    <w:p>
      <w:pPr>
        <w:spacing w:after="0" w:line="32" w:lineRule="exact"/>
        <w:rPr>
          <w:sz w:val="20"/>
          <w:szCs w:val="20"/>
          <w:color w:val="auto"/>
        </w:rPr>
      </w:pPr>
    </w:p>
    <w:p>
      <w:pPr>
        <w:ind w:left="340"/>
        <w:spacing w:after="0"/>
        <w:tabs>
          <w:tab w:leader="none" w:pos="1680" w:val="left"/>
        </w:tabs>
        <w:rPr>
          <w:sz w:val="20"/>
          <w:szCs w:val="20"/>
          <w:color w:val="auto"/>
        </w:rPr>
      </w:pPr>
      <w:r>
        <w:rPr>
          <w:rFonts w:ascii="Arial" w:cs="Arial" w:eastAsia="Arial" w:hAnsi="Arial"/>
          <w:sz w:val="16"/>
          <w:szCs w:val="16"/>
          <w:color w:val="auto"/>
        </w:rPr>
        <w:t>purchase</w:t>
      </w:r>
      <w:r>
        <w:rPr>
          <w:sz w:val="20"/>
          <w:szCs w:val="20"/>
          <w:color w:val="auto"/>
        </w:rPr>
        <w:tab/>
      </w:r>
      <w:r>
        <w:rPr>
          <w:rFonts w:ascii="Arial" w:cs="Arial" w:eastAsia="Arial" w:hAnsi="Arial"/>
          <w:sz w:val="16"/>
          <w:szCs w:val="16"/>
          <w:color w:val="auto"/>
        </w:rPr>
        <w:t>ordinary shares following the closing of this offering (vi) warrants to purchase 293 Series B-1 preferred shares that will be converted</w:t>
      </w:r>
    </w:p>
    <w:p>
      <w:pPr>
        <w:spacing w:after="0" w:line="32" w:lineRule="exact"/>
        <w:rPr>
          <w:sz w:val="20"/>
          <w:szCs w:val="20"/>
          <w:color w:val="auto"/>
        </w:rPr>
      </w:pPr>
    </w:p>
    <w:p>
      <w:pPr>
        <w:ind w:left="340"/>
        <w:spacing w:after="0"/>
        <w:tabs>
          <w:tab w:leader="none" w:pos="2700" w:val="left"/>
        </w:tabs>
        <w:rPr>
          <w:sz w:val="20"/>
          <w:szCs w:val="20"/>
          <w:color w:val="auto"/>
        </w:rPr>
      </w:pPr>
      <w:r>
        <w:rPr>
          <w:rFonts w:ascii="Arial" w:cs="Arial" w:eastAsia="Arial" w:hAnsi="Arial"/>
          <w:sz w:val="18"/>
          <w:szCs w:val="18"/>
          <w:color w:val="auto"/>
        </w:rPr>
        <w:t>to warrants to purchase</w:t>
      </w:r>
      <w:r>
        <w:rPr>
          <w:sz w:val="20"/>
          <w:szCs w:val="20"/>
          <w:color w:val="auto"/>
        </w:rPr>
        <w:tab/>
      </w:r>
      <w:r>
        <w:rPr>
          <w:rFonts w:ascii="Arial" w:cs="Arial" w:eastAsia="Arial" w:hAnsi="Arial"/>
          <w:sz w:val="16"/>
          <w:szCs w:val="16"/>
          <w:color w:val="auto"/>
        </w:rPr>
        <w:t>ordinary shares following the closing of this offering, (vii) 1,126 ordinary shares that Menachem Raphael has the right</w:t>
      </w:r>
    </w:p>
    <w:p>
      <w:pPr>
        <w:spacing w:after="0" w:line="9" w:lineRule="exact"/>
        <w:rPr>
          <w:sz w:val="20"/>
          <w:szCs w:val="20"/>
          <w:color w:val="auto"/>
        </w:rPr>
      </w:pPr>
    </w:p>
    <w:p>
      <w:pPr>
        <w:ind w:left="340"/>
        <w:spacing w:after="0"/>
        <w:tabs>
          <w:tab w:leader="none" w:pos="10200" w:val="left"/>
        </w:tabs>
        <w:rPr>
          <w:sz w:val="20"/>
          <w:szCs w:val="20"/>
          <w:color w:val="auto"/>
        </w:rPr>
      </w:pPr>
      <w:r>
        <w:rPr>
          <w:rFonts w:ascii="Arial" w:cs="Arial" w:eastAsia="Arial" w:hAnsi="Arial"/>
          <w:sz w:val="18"/>
          <w:szCs w:val="18"/>
          <w:color w:val="auto"/>
        </w:rPr>
        <w:t>to acquire pursuant to an option granted by D.N.A Biomedical and (viii) 943 Series B preferred shares that will be converted to</w:t>
      </w:r>
      <w:r>
        <w:rPr>
          <w:sz w:val="20"/>
          <w:szCs w:val="20"/>
          <w:color w:val="auto"/>
        </w:rPr>
        <w:tab/>
      </w:r>
      <w:r>
        <w:rPr>
          <w:rFonts w:ascii="Arial" w:cs="Arial" w:eastAsia="Arial" w:hAnsi="Arial"/>
          <w:sz w:val="15"/>
          <w:szCs w:val="15"/>
          <w:color w:val="auto"/>
        </w:rPr>
        <w:t>ordinary shares</w:t>
      </w:r>
    </w:p>
    <w:p>
      <w:pPr>
        <w:spacing w:after="0" w:line="9" w:lineRule="exact"/>
        <w:rPr>
          <w:sz w:val="20"/>
          <w:szCs w:val="20"/>
          <w:color w:val="auto"/>
        </w:rPr>
      </w:pPr>
    </w:p>
    <w:p>
      <w:pPr>
        <w:ind w:left="340" w:right="660"/>
        <w:spacing w:after="0" w:line="261" w:lineRule="auto"/>
        <w:rPr>
          <w:sz w:val="20"/>
          <w:szCs w:val="20"/>
          <w:color w:val="auto"/>
        </w:rPr>
      </w:pPr>
      <w:r>
        <w:rPr>
          <w:rFonts w:ascii="Arial" w:cs="Arial" w:eastAsia="Arial" w:hAnsi="Arial"/>
          <w:sz w:val="18"/>
          <w:szCs w:val="18"/>
          <w:color w:val="auto"/>
        </w:rPr>
        <w:t>following the closing of this offering, issued to D.N.A Biomedical, who later transferred them to Menachem Raphael and (ix) 82 ordinary shares transferred by D.N.A. Biomedical to Menachem Raphael, whose address is at Ha’seora 12, Tel Aviv Israel.</w:t>
      </w:r>
    </w:p>
    <w:p>
      <w:pPr>
        <w:spacing w:after="0" w:line="184" w:lineRule="exact"/>
        <w:rPr>
          <w:sz w:val="20"/>
          <w:szCs w:val="20"/>
          <w:color w:val="auto"/>
        </w:rPr>
      </w:pPr>
    </w:p>
    <w:p>
      <w:pPr>
        <w:ind w:left="340" w:right="200" w:hanging="332"/>
        <w:spacing w:after="0" w:line="277"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Zeev Bronfeld is the Chairman of the Board of Directors of D.N.A Biomedical, and as such may be deemed to have shared voting or investment power over the ordinary shares owned by D.N.A Biomedical.</w:t>
      </w:r>
    </w:p>
    <w:p>
      <w:pPr>
        <w:spacing w:after="0" w:line="170"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Yonatan Malka is the CEO and a director of D.N.A Biomedical, and as such may be deemed to have shared voting or investment power over the ordinary shares owned by D.N.A Biomedical.</w:t>
      </w:r>
    </w:p>
    <w:p>
      <w:pPr>
        <w:spacing w:after="0" w:line="170" w:lineRule="exact"/>
        <w:rPr>
          <w:rFonts w:ascii="Arial" w:cs="Arial" w:eastAsia="Arial" w:hAnsi="Arial"/>
          <w:sz w:val="18"/>
          <w:szCs w:val="18"/>
          <w:color w:val="auto"/>
        </w:rPr>
      </w:pPr>
    </w:p>
    <w:p>
      <w:pPr>
        <w:ind w:left="340" w:right="80" w:hanging="332"/>
        <w:spacing w:after="0" w:line="288" w:lineRule="auto"/>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Consists of (i) 4,795 ordinary shares underlying options to acquire ordinary shares, with an exercise price of NIS 0.01, exercisable within 60 days of March 31, 2018, expire at various periods between May 2019 and January 2020. (ii) options to acquire 344 ordinary shares exercisable within 60 days of March 31, 2018, with an exercise price of $820 per share and expiring on November 23, 2023 and (iii) 6 Series B preferred shares that will be converted</w:t>
      </w:r>
    </w:p>
    <w:p>
      <w:pPr>
        <w:ind w:left="340"/>
        <w:spacing w:after="0"/>
        <w:tabs>
          <w:tab w:leader="none" w:pos="12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ordinary shares following the closing of this offering.</w:t>
      </w:r>
    </w:p>
    <w:p>
      <w:pPr>
        <w:spacing w:after="0" w:line="211" w:lineRule="exact"/>
        <w:rPr>
          <w:sz w:val="20"/>
          <w:szCs w:val="20"/>
          <w:color w:val="auto"/>
        </w:rPr>
      </w:pPr>
    </w:p>
    <w:p>
      <w:pPr>
        <w:ind w:left="340" w:right="380" w:hanging="332"/>
        <w:spacing w:after="0" w:line="277"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Consists of 213 ordinary shares underlying options to acquire ordinary shares exercisable within 60 days of March 31, 2018, expiring on January 15, 2024 with an exercise price of $820 per share.</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Consists of (i) options to acquire 1,133 ordinary shares with an exercise price of $479.38 per share and expiring on December 21, 2021, (ii) 77 Series B-</w:t>
      </w:r>
    </w:p>
    <w:p>
      <w:pPr>
        <w:spacing w:after="0" w:line="200" w:lineRule="exact"/>
        <w:rPr>
          <w:sz w:val="20"/>
          <w:szCs w:val="20"/>
          <w:color w:val="auto"/>
        </w:rPr>
      </w:pPr>
    </w:p>
    <w:p>
      <w:pPr>
        <w:ind w:left="340" w:right="360"/>
        <w:spacing w:after="0" w:line="274" w:lineRule="auto"/>
        <w:rPr>
          <w:sz w:val="20"/>
          <w:szCs w:val="20"/>
          <w:color w:val="auto"/>
        </w:rPr>
      </w:pPr>
      <w:r>
        <w:rPr>
          <w:rFonts w:ascii="Arial" w:cs="Arial" w:eastAsia="Arial" w:hAnsi="Arial"/>
          <w:sz w:val="17"/>
          <w:szCs w:val="17"/>
          <w:color w:val="auto"/>
        </w:rPr>
        <w:t>1 preferred shares that will be converted to ordinary shares following the closing of this offering, (iii) warrants to purchase 31 Series B preferred shares that will be converted to warrants to purchase ordinary shares following the closing of this offering, (iv) options to acquire</w:t>
      </w:r>
    </w:p>
    <w:p>
      <w:pPr>
        <w:ind w:left="340" w:right="20"/>
        <w:spacing w:after="0" w:line="261" w:lineRule="auto"/>
        <w:rPr>
          <w:sz w:val="20"/>
          <w:szCs w:val="20"/>
          <w:color w:val="auto"/>
        </w:rPr>
      </w:pPr>
      <w:r>
        <w:rPr>
          <w:rFonts w:ascii="Arial" w:cs="Arial" w:eastAsia="Arial" w:hAnsi="Arial"/>
          <w:sz w:val="18"/>
          <w:szCs w:val="18"/>
          <w:color w:val="auto"/>
        </w:rPr>
        <w:t>3,485 ordinary shares exercisable within 60 days of March 31, 2018, with an exercise price of $820 per share and expiring on December 1, 2026, granted pursuant to the Service Agreement with Mr. Beshar.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(12) Consists of (i) options to acquire 242 ordinary shares with an exercise price of NIS 0.01, exercisable within 60 days of March 31, 2018, and expiring on</w:t>
      </w:r>
    </w:p>
    <w:p>
      <w:pPr>
        <w:spacing w:after="0" w:line="46" w:lineRule="exact"/>
        <w:rPr>
          <w:sz w:val="20"/>
          <w:szCs w:val="20"/>
          <w:color w:val="auto"/>
        </w:rPr>
      </w:pPr>
    </w:p>
    <w:p>
      <w:pPr>
        <w:ind w:left="340" w:right="160"/>
        <w:spacing w:after="0" w:line="281" w:lineRule="auto"/>
        <w:rPr>
          <w:sz w:val="20"/>
          <w:szCs w:val="20"/>
          <w:color w:val="auto"/>
        </w:rPr>
      </w:pPr>
      <w:r>
        <w:rPr>
          <w:rFonts w:ascii="Arial" w:cs="Arial" w:eastAsia="Arial" w:hAnsi="Arial"/>
          <w:sz w:val="16"/>
          <w:szCs w:val="16"/>
          <w:color w:val="auto"/>
        </w:rPr>
        <w:t>March 19, 2019, (ii) 1,563 Series B-1 preferred shares that will be converted to ordinary shares following the closing of this offering, held by Corundum, of which David Ben Ami, a member of our board of directors, is the managing partner, and (iii) warrants to purchase 625 Series B preferred</w:t>
      </w:r>
    </w:p>
    <w:p>
      <w:pPr>
        <w:spacing w:after="0" w:line="1" w:lineRule="exact"/>
        <w:rPr>
          <w:sz w:val="20"/>
          <w:szCs w:val="20"/>
          <w:color w:val="auto"/>
        </w:rPr>
      </w:pPr>
    </w:p>
    <w:p>
      <w:pPr>
        <w:ind w:left="340"/>
        <w:spacing w:after="0"/>
        <w:tabs>
          <w:tab w:leader="none" w:pos="4820" w:val="left"/>
        </w:tabs>
        <w:rPr>
          <w:sz w:val="20"/>
          <w:szCs w:val="20"/>
          <w:color w:val="auto"/>
        </w:rPr>
      </w:pPr>
      <w:r>
        <w:rPr>
          <w:rFonts w:ascii="Arial" w:cs="Arial" w:eastAsia="Arial" w:hAnsi="Arial"/>
          <w:sz w:val="18"/>
          <w:szCs w:val="18"/>
          <w:color w:val="auto"/>
        </w:rPr>
        <w:t>shares that will be converted to warrants to purchase</w:t>
      </w:r>
      <w:r>
        <w:rPr>
          <w:sz w:val="20"/>
          <w:szCs w:val="20"/>
          <w:color w:val="auto"/>
        </w:rPr>
        <w:tab/>
      </w:r>
      <w:r>
        <w:rPr>
          <w:rFonts w:ascii="Arial" w:cs="Arial" w:eastAsia="Arial" w:hAnsi="Arial"/>
          <w:sz w:val="16"/>
          <w:szCs w:val="16"/>
          <w:color w:val="auto"/>
        </w:rPr>
        <w:t>ordinary shares following the closing of this offering, held by Corundum.</w:t>
      </w:r>
    </w:p>
    <w:p>
      <w:pPr>
        <w:spacing w:after="0" w:line="211"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Consists of (i) options to acquire 756 ordinary shares with an exercise price of $980 per share and expiring on April 6, 2023, exercisable within 60 days</w:t>
      </w:r>
    </w:p>
    <w:p>
      <w:pPr>
        <w:spacing w:after="0" w:line="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of March 31, 2018, (ii) options to acquire 75 ordinary shares with an exercise price of $240 per share and expiring on March 19, 2021, exercisable within</w:t>
      </w:r>
    </w:p>
    <w:p>
      <w:pPr>
        <w:spacing w:after="0" w:line="248" w:lineRule="exact"/>
        <w:rPr>
          <w:sz w:val="20"/>
          <w:szCs w:val="20"/>
          <w:color w:val="auto"/>
        </w:rPr>
      </w:pPr>
    </w:p>
    <w:p>
      <w:pPr>
        <w:ind w:left="340" w:right="60"/>
        <w:spacing w:after="0" w:line="286" w:lineRule="auto"/>
        <w:rPr>
          <w:sz w:val="20"/>
          <w:szCs w:val="20"/>
          <w:color w:val="auto"/>
        </w:rPr>
      </w:pPr>
      <w:r>
        <w:rPr>
          <w:rFonts w:ascii="Arial" w:cs="Arial" w:eastAsia="Arial" w:hAnsi="Arial"/>
          <w:sz w:val="17"/>
          <w:szCs w:val="17"/>
          <w:color w:val="auto"/>
        </w:rPr>
        <w:t>60 days of March 31, 2018, (iii) 156 Series B-1 preferred shares that will be converted to ordinary shares following the closing of this offering, (iv) warrants to purchase 62 Series B preferred shares that will be converted to warrants to purchase ordinary shares following the closing of this offering and (v) 110 Series B preferred shares that will be converted to ordinary shares following the closing of this offering.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(14) Consists of (i) 91 ordinary shares, (ii) options to acquire 85ordinary shares exercisable within 60 days of March 31, 2018, with an exercise price of</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$240.26 per share and expiring on September 1, 2019 and options to acquire 100 ordinary shares exercisable within 60 days of March 31, 2018, with an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exercise price of $820 per share and expiring on November 23, 2023, (iii) 365 ordinary shares owned by Revach Fund, L.P. (“Revach”), (iv) 416</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ordinary shares that will be issued to Revach upon conversion of the 2012 Convertible Loan, which will be automatically converted upon the completion</w:t>
      </w:r>
    </w:p>
    <w:p>
      <w:pPr>
        <w:spacing w:after="0" w:line="32" w:lineRule="exact"/>
        <w:rPr>
          <w:sz w:val="20"/>
          <w:szCs w:val="20"/>
          <w:color w:val="auto"/>
        </w:rPr>
      </w:pPr>
    </w:p>
    <w:p>
      <w:pPr>
        <w:ind w:left="340" w:right="40"/>
        <w:spacing w:after="0" w:line="323" w:lineRule="auto"/>
        <w:rPr>
          <w:sz w:val="20"/>
          <w:szCs w:val="20"/>
          <w:color w:val="auto"/>
        </w:rPr>
      </w:pPr>
      <w:r>
        <w:rPr>
          <w:rFonts w:ascii="Arial" w:cs="Arial" w:eastAsia="Arial" w:hAnsi="Arial"/>
          <w:sz w:val="16"/>
          <w:szCs w:val="16"/>
          <w:color w:val="auto"/>
        </w:rPr>
        <w:t>of this offering, and (v) 14 Series B preferred shares that will be converted to ordinary shares following the closing of this offering. Mr. Davis is the sole managing director and partner of Revach and may be deemed to beneficially own the ordinary shares owned or that can be acquired by Revach.</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(15) Consist of (i) options to acquire 756 ordinary shares with an exercise price of $479.38 per share and expiring on March 29, 2022, (ii) 38 Series B-1</w:t>
      </w:r>
    </w:p>
    <w:p>
      <w:pPr>
        <w:spacing w:after="0" w:line="35" w:lineRule="exact"/>
        <w:rPr>
          <w:sz w:val="20"/>
          <w:szCs w:val="20"/>
          <w:color w:val="auto"/>
        </w:rPr>
      </w:pPr>
    </w:p>
    <w:p>
      <w:pPr>
        <w:jc w:val="both"/>
        <w:ind w:left="340" w:right="100"/>
        <w:spacing w:after="0" w:line="265" w:lineRule="auto"/>
        <w:rPr>
          <w:sz w:val="20"/>
          <w:szCs w:val="20"/>
          <w:color w:val="auto"/>
        </w:rPr>
      </w:pPr>
      <w:r>
        <w:rPr>
          <w:rFonts w:ascii="Arial" w:cs="Arial" w:eastAsia="Arial" w:hAnsi="Arial"/>
          <w:sz w:val="17"/>
          <w:szCs w:val="17"/>
          <w:color w:val="auto"/>
        </w:rPr>
        <w:t>preferred shares that will be converted to ordinary shares following the closing of this offering, (iii) warrants to purchase 15 Series B preferred shares that will be converted to warrants to purchase ordinary shares following the closing of this offering, and (iv) options to acquire 804</w:t>
      </w:r>
    </w:p>
    <w:p>
      <w:pPr>
        <w:ind w:left="340" w:right="420"/>
        <w:spacing w:after="0" w:line="261" w:lineRule="auto"/>
        <w:rPr>
          <w:sz w:val="20"/>
          <w:szCs w:val="20"/>
          <w:color w:val="auto"/>
        </w:rPr>
      </w:pPr>
      <w:r>
        <w:rPr>
          <w:rFonts w:ascii="Arial" w:cs="Arial" w:eastAsia="Arial" w:hAnsi="Arial"/>
          <w:sz w:val="18"/>
          <w:szCs w:val="18"/>
          <w:color w:val="auto"/>
        </w:rPr>
        <w:t>ordinary shares exercisable within 60 days of March 31, 2018, with an exercise price of $ 820 per share and expiring on December 1, 2026, granted pursuant to the Service Agreement with Dr. Garceau.</w:t>
      </w:r>
    </w:p>
    <w:p>
      <w:pPr>
        <w:spacing w:after="0" w:line="184" w:lineRule="exact"/>
        <w:rPr>
          <w:sz w:val="20"/>
          <w:szCs w:val="20"/>
          <w:color w:val="auto"/>
        </w:rPr>
      </w:pPr>
    </w:p>
    <w:p>
      <w:pPr>
        <w:jc w:val="both"/>
        <w:ind w:left="340" w:right="40" w:hanging="332"/>
        <w:spacing w:after="0" w:line="264"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Consists of (i) 277 ordinary shares underlying options to acquire ordinary shares expiring on May 29, 2020 with an exercise price of $316 per share and (ii) options to acquire 88 ordinary shares, with an exercise price of $820 per share and expiring on November 15, 2023. All options are exercisable within 60 days of March 31, 2018.</w:t>
      </w:r>
    </w:p>
    <w:p>
      <w:pPr>
        <w:spacing w:after="0" w:line="181" w:lineRule="exact"/>
        <w:rPr>
          <w:rFonts w:ascii="Arial" w:cs="Arial" w:eastAsia="Arial" w:hAnsi="Arial"/>
          <w:sz w:val="18"/>
          <w:szCs w:val="18"/>
          <w:color w:val="auto"/>
        </w:rPr>
      </w:pPr>
    </w:p>
    <w:p>
      <w:pPr>
        <w:ind w:left="340" w:right="100" w:hanging="332"/>
        <w:spacing w:after="0" w:line="259"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Consists of (i) 277 ordinary shares underlying options to acquire ordinary shares, of which options to acquire 127 ordinary shares have an exercise price of $240.26 per share, and options to acquire 150 ordinary shares have an exercise price of NIS 0.01, all expiring on September 1, 2019, (ii) options to acquire 138 ordinary shares, with an exercise price of $820 per share and expiring on November 15, 2023. All options are exercisable within 60 days of March 31, 2018.</w:t>
      </w:r>
    </w:p>
    <w:p>
      <w:pPr>
        <w:spacing w:after="0" w:line="186" w:lineRule="exact"/>
        <w:rPr>
          <w:rFonts w:ascii="Arial" w:cs="Arial" w:eastAsia="Arial" w:hAnsi="Arial"/>
          <w:sz w:val="18"/>
          <w:szCs w:val="18"/>
          <w:color w:val="auto"/>
        </w:rPr>
      </w:pPr>
    </w:p>
    <w:p>
      <w:pPr>
        <w:ind w:left="340" w:right="180" w:hanging="332"/>
        <w:spacing w:after="0" w:line="286" w:lineRule="auto"/>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Consists of (i) 31,062 ordinary shares, (ii) options to acquire 13,224 ordinary shares (iii) 416 ordinary shares that will be issued upon conversion of the 2012 Convertible Loan, which will be automatically converted upon the completion of this offering, (iv) 1,834 Series B-1 preferred shares that will be converted to ordinary shares following the closing of this offering, (v) warrants to purchase 733 Series B preferred shares that will be converted to warrants to purchase ordinary shares following the closing of this offering, and (vi) 130 Series B preferred Shares that will be converted to</w:t>
      </w:r>
    </w:p>
    <w:p>
      <w:pPr>
        <w:spacing w:after="0" w:line="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ordinary shares following the closing of this offering.</w:t>
      </w:r>
    </w:p>
    <w:p>
      <w:pPr>
        <w:sectPr>
          <w:pgSz w:w="11900" w:h="16902" w:orient="portrait"/>
          <w:cols w:equalWidth="0" w:num="1">
            <w:col w:w="11420"/>
          </w:cols>
          <w:pgMar w:left="240" w:top="222" w:right="239" w:bottom="0" w:gutter="0" w:footer="0" w:header="0"/>
        </w:sectPr>
      </w:pPr>
    </w:p>
    <w:bookmarkStart w:id="136" w:name="page137"/>
    <w:bookmarkEnd w:id="136"/>
    <w:p>
      <w:pPr>
        <w:jc w:val="center"/>
        <w:ind w:right="39"/>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36830</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The following description is a summary of the material provisions of the warrants being offered pursuant to this prospectus (the “warrants”) and does not purport to be complete. This summary is subject to and is qualified by reference to all the provisions of the warrants, including the definitions of certain terms used in the warrants. For the complete terms of the warrants, you should refer to the form of warrant filed as an exhibit to the registration statement of which this prospectus forms a part. We urge you to read this document because it, and not this description, sets forth fully the terms of the warrants and define your rights as a holder of the warrants.</w:t>
      </w:r>
    </w:p>
    <w:p>
      <w:pPr>
        <w:spacing w:after="0" w:line="18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i w:val="1"/>
          <w:iCs w:val="1"/>
          <w:color w:val="auto"/>
        </w:rPr>
        <w:t>Pursuant to a warrant agency agreement between us and American Stock Transfer &amp; Trust Company, LLC, as warrant agent, the warrants will be issued in book-entry form and will initially be represented only by one or more global warrants deposited with the warrant agent, as custodian on behalf of The Depository Trust Company, or DTC, and registered in the name of Cede &amp; Co., a nominee of DTC, or as otherwise directed by DTC.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Exercisability, Exercise Price and Term</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Each warrant represents the right to purchase of an ordinary share. The warrants to be issued in this offering represent the rights to purchase an aggregate of up to ordinary shares (or ordinary shares if the underwriters were to fully exercise their over-allotment option with respect to the warrants) at an initial exercise price of $ per share.</w:t>
      </w:r>
    </w:p>
    <w:p>
      <w:pPr>
        <w:spacing w:after="0" w:line="18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warrants are exercisable beginning on the date of issuance, and at any time up to the five-year anniversary of the original issuance date, which we refer to as the termination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such date is not a business day, the termination date will be the immediately following business day), unless earlier repurchased by us as described below under “— Fundamental Transactions” or subject to early expiration as described below under “— Early Expiration upon Satisfaction of Sale Price Condition”; </w:t>
      </w:r>
      <w:r>
        <w:rPr>
          <w:rFonts w:ascii="Arial" w:cs="Arial" w:eastAsia="Arial" w:hAnsi="Arial"/>
          <w:sz w:val="16"/>
          <w:szCs w:val="16"/>
          <w:i w:val="1"/>
          <w:iCs w:val="1"/>
          <w:color w:val="auto"/>
        </w:rPr>
        <w:t>provided</w:t>
      </w:r>
      <w:r>
        <w:rPr>
          <w:rFonts w:ascii="Arial" w:cs="Arial" w:eastAsia="Arial" w:hAnsi="Arial"/>
          <w:sz w:val="16"/>
          <w:szCs w:val="16"/>
          <w:color w:val="auto"/>
        </w:rPr>
        <w:t>, that any single exercise must be in relation to a whole number of ordinary shares. To exercise warrants prior to the termination date, within one trading day (as defined in the warrants) of delivery of an exercise notice to the warrant agent, a warrant holder must pay to us in cash the exercise price for the aggregate number of ordinary shares to be purchased, unless such warrant holder is utilizing the “cashless” exercise provision of the warrants, which is only available prior to the termination date if, at the time of exercise, there is no effective registration statement registering with the SEC, or no prospectus contained in an effective registration is available for, the issuance of the underlying ordinary shares, or, if required, there is not an effective state law registration or exemption covering the issuance of the ordinary shares underlying the warrants. On the termination date, any warrants not previously exercised, repurchased by us or subject to early expiration will terminate and expire worthless.</w:t>
      </w:r>
    </w:p>
    <w:p>
      <w:pPr>
        <w:spacing w:after="0" w:line="169"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 xml:space="preserve">If a warrant is exercised via the “cashless” exercise provision, following delivery of an exercise notice to us a holder will receive a number of ordinary shares equal to the quotient obtained by dividing (i) the difference between (x) the arithmetic average of the volume-weighted average prices, or VWAPs (as determined pursuant to the terms of the warrants) of the ordinary shares over each of the 10 consecutive trading days during the related calculation period (as defined below), and (y) the exercise price of the warrants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number of ordinary shares issuable per warrant by (ii) the 10-day average VWAP determined under clause (i)(x) above. In lieu of fractional shares, we will, at our option, either (A) pay the holder an amount in cash equal to the fractional amount multiplied by the market value of an ordinary share or (B) round up to the next whole share.</w:t>
      </w:r>
    </w:p>
    <w:p>
      <w:pPr>
        <w:spacing w:after="0" w:line="17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“calculation period” means the 10 consecutive trading day period beginning on, and including, the trading day immediately following the date on which a warrant is exercised (or deemed exercised) pursuant to the terms of the warrants.</w:t>
      </w:r>
    </w:p>
    <w:p>
      <w:pPr>
        <w:spacing w:after="0" w:line="170"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A holder will not have the right to exercise any portion of its warrants if such holder (together with its affiliates, and any other persons acting as a group with the holder or any of its affiliates) would beneficially own in excess of 4.99% of the number of our ordinary shares outstanding immediately after giving effect to the exercise, as such percentage ownership is determined in accordance with the terms of the warrants. A holder may give not less than 61 days’ prior notice to us to increase such beneficial ownership limit, up to 9.99%. To the extent that the limitation under this paragraph applies, the determination of a whether a warrant is exercisable, and of which portion of a warrant is exercisable, will be in the sole discretion of the holder, and the submission of an exercise notice will be deemed to be the holder’s determination of whether a warrant is exercisable (in relation to other securities owned by the holder together with any affiliates, and any other persons acting as a group with the holder or any of its affiliates) and of which portion of the warrant is exercisable, in each case subject to the foregoing beneficial ownership restrictions, and we shall have no obligation to verify</w:t>
      </w:r>
    </w:p>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or confirm the accuracy of such determination and shall have no liability for exercises that are not in compliance with the beneficial ownership restrictions. The foregoing beneficial ownership restrictions will not apply to the extent a holder (together with its affiliates, and any other persons acting as a group with the holder or any of its affiliates) beneficially owned in excess of the foregoing beneficial ownership thresholds prior to the date of original issuance of the warrants.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Timely Deliver Shares</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If we fail to deliver to a holder the ordinary shares otherwise deliverable by the second trading day after the receipt of a duly executed notice of exercise and the corresponding exercise price or, in the case of cashless exercise, by the second trading day after the final day of the applicable calculation period, in each case as required by the warrants (other than any such failure that is solely due to any action or inaction by the holder with respect to such exercise), and if the holder purchases the ordinary shares after that second trading day to deliver in satisfaction of a sale by the holder of the underlying warrant shares that the holder anticipated receiving from us, then, upon the holder’s request, we will (A) pay in cash to the holder the amount, if any, by which (x) the holder’s total purchase price (including brokerage commissions, if any) for the ordinary shares so purchased exceeds (y) the amount obtained by multiplying (1) the number of ordinary shares that we were required to deliver to the holder in connection with the relevant warrant exercise by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ordinary shares that would have been issued had we timely complied with our exercise and delivery obligations under the warrant.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Adjustments</w:t>
      </w:r>
    </w:p>
    <w:p>
      <w:pPr>
        <w:spacing w:after="0" w:line="229"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The exercise price and number of shares issuable upon exercise of each warrant are subject to appropriate adjustment in the event of certain ordinary share dividends and distributions, share splits, stock combinations or similar events affecting our ordinary shares. The exercise price is subject to reduction if, within two years of the date of original issuance of the warrants, we sell or grant any warrant or option to subscribe for or purchase, or otherwise dispose of or</w:t>
      </w:r>
    </w:p>
    <w:p>
      <w:pPr>
        <w:ind w:right="60"/>
        <w:spacing w:after="0" w:line="281" w:lineRule="auto"/>
        <w:rPr>
          <w:sz w:val="20"/>
          <w:szCs w:val="20"/>
          <w:color w:val="auto"/>
        </w:rPr>
      </w:pPr>
      <w:r>
        <w:rPr>
          <w:rFonts w:ascii="Arial" w:cs="Arial" w:eastAsia="Arial" w:hAnsi="Arial"/>
          <w:sz w:val="16"/>
          <w:szCs w:val="16"/>
          <w:color w:val="auto"/>
        </w:rPr>
        <w:t xml:space="preserve">issue, any ordinary shares or ordinary share equivalents (as defined in the warrants) at an effective price per share less than $ per share, which is the initial public offering price per unit in this offering (as adjusted in proportion with any adjustments made from time to time to the exercise price), which reduction will be based on a weighted average taking into account the value of the ordinary shares outstanding immediately prior to such new issuance, determined using the exercise price then in effect, and the value of the ordinary shares to be issued or sold or deemed issued or sold in such new issuance, determined using the effective price of such new 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sentence shall not apply to certain exempt issuances (as defined in the warrants).</w:t>
      </w:r>
    </w:p>
    <w:p>
      <w:pPr>
        <w:spacing w:after="0" w:line="3" w:lineRule="exact"/>
        <w:rPr>
          <w:sz w:val="20"/>
          <w:szCs w:val="20"/>
          <w:color w:val="auto"/>
        </w:rPr>
      </w:pPr>
    </w:p>
    <w:p>
      <w:pPr>
        <w:spacing w:after="0"/>
        <w:tabs>
          <w:tab w:leader="none" w:pos="10740" w:val="left"/>
        </w:tabs>
        <w:rPr>
          <w:sz w:val="20"/>
          <w:szCs w:val="20"/>
          <w:color w:val="auto"/>
        </w:rPr>
      </w:pPr>
      <w:r>
        <w:rPr>
          <w:rFonts w:ascii="Arial" w:cs="Arial" w:eastAsia="Arial" w:hAnsi="Arial"/>
          <w:sz w:val="18"/>
          <w:szCs w:val="18"/>
          <w:color w:val="auto"/>
        </w:rPr>
        <w:t>Notwithstanding the foregoing, in no event will the exercise price per share be lower than the nominal value of an ordinary share, which is NIS</w:t>
      </w:r>
      <w:r>
        <w:rPr>
          <w:sz w:val="20"/>
          <w:szCs w:val="20"/>
          <w:color w:val="auto"/>
        </w:rPr>
        <w:tab/>
      </w:r>
      <w:r>
        <w:rPr>
          <w:rFonts w:ascii="Arial" w:cs="Arial" w:eastAsia="Arial" w:hAnsi="Arial"/>
          <w:sz w:val="16"/>
          <w:szCs w:val="16"/>
          <w:color w:val="auto"/>
        </w:rPr>
        <w:t>as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this prospectus.</w:t>
      </w:r>
    </w:p>
    <w:p>
      <w:pPr>
        <w:spacing w:after="0" w:line="21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During such time as the warrants are outstanding, if we declare or make any dividend or other distribution of our assets (or rights to acquire our assets) to holders of ordinary shares, by way of return of capital or otherwise (including, without limitation, any distribution of cash, stock or other securities, property or options by way of a dividend, spin-off, corporate rearrangement, scheme of arrangement or other similar transaction, other than (x) a reclassification as to which the provisions described below under “— Fundamental Transactions” apply or (y) any issuance, deemed issuance or automatic conversion of securities in the IPO Transactions or the 2018 Plan) (a “Distribution”), a warrant holder shall be entitled to participate to the same extent that the holder would have participated in such Distribution if the holder had held the number of ordinary shares acquirable upon complete exercise of its warrants (without regard to any limitations on exercise thereof, including without limitation, the beneficial ownership restrictions described above under “— Exercisability, Exercise Price and Term”) immediately before the record date for such Distribution (</w:t>
      </w:r>
      <w:r>
        <w:rPr>
          <w:rFonts w:ascii="Arial" w:cs="Arial" w:eastAsia="Arial" w:hAnsi="Arial"/>
          <w:sz w:val="16"/>
          <w:szCs w:val="16"/>
          <w:i w:val="1"/>
          <w:iCs w:val="1"/>
          <w:color w:val="auto"/>
        </w:rPr>
        <w:t>provided, however</w:t>
      </w:r>
      <w:r>
        <w:rPr>
          <w:rFonts w:ascii="Arial" w:cs="Arial" w:eastAsia="Arial" w:hAnsi="Arial"/>
          <w:sz w:val="16"/>
          <w:szCs w:val="16"/>
          <w:color w:val="auto"/>
        </w:rPr>
        <w:t>, to the extent that a holder’s right to participate in any such Distribution would result in the holder exceeding the beneficial ownership restriction, the holder shall not be entitled to participate in such Distribution to such extent (or in the beneficial ownership of any ordinary shares as a result of such Distribution to such extent) and the portion of such Distribution will be held in abeyance for the benefit of such holder until the earlier of (i) such time, if ever, as the delivery to the holder of such position would not result in such holder exceeding the beneficial ownership restriction and (ii) such time as the holder has exercised its warrants.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Fundamental Transactions</w:t>
      </w:r>
    </w:p>
    <w:p>
      <w:pPr>
        <w:spacing w:after="0" w:line="229"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 xml:space="preserve">If (i) we effect any merger or consolidation of the Company with or into another person, (ii) we effect any sale, lease or other disposition of all or substantially all of our assets (other than, for the avoidance of doubt, pursuant to a licensing arrangement so long as, after giving effect to such arrangement, our ordinary shares are listed or quoted on a designated market (as defined below)), (iii) any purchase offer, tender offer or exchange offer (whether by us or another person) is completed pursuant to which holders of ordinary shares are permitted to sell, tender or exchange their shares for other securities, cash or property and has been accepted by the holders of 50% or more of the outstanding ordinary shares, (iv) we effect any reclassification, reorganization or recapitalization of the ordinary shares or any compulsory share exchange pursuant to which the ordinary shares are effectively converted into or exchanged for other securities, cash or property, or (v) we consummate a stock or share purchase agreement or other business combination with another person or group of persons whereby such other person or group acquires more than 50% of the outstanding ordinary shares (each a “Fundamental Transaction”), then following such Fundamental Transaction, the holders of the warrants will be entitled to receive upon exercise thereof the kind and amount of securities, cash or other property that the holders would have received had they exercised the warrants immediately prior to such event. Any successor to us or surviving entity is required to assume the obligations under the warrants. Notwithstanding the foregoing, in the event of a Fundamental Transaction (other than any Fundamental Transaction that is (x) not within our control, including not approved by our board of directors, or (y) a Specified Fundamental Transaction (as defined below), in each case, as to which the right described in this sentence shall not apply), the holders will have the option, which may be exercised within 30 days after the consummation of the Fundamental Transaction (or, if later, the date of the public announcement of the applicable Fundamental Transaction), to require us or the successor entity to purchase the warrants from holders by paying to them an amount of cash equal to the Black Scholes value (determined in accordance with the provisions of the warrants) of the remaining unexercised portion of the warrants on the date of the consummation of the Fundamental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Fundamental Transaction is not within our control, including not approved by our board of directors, within 30 days of the date of consummation of such Fundamental Transaction, a holder will be entitled to receive from us or any successor entity the same type or form of consideration (and in the same proportion), at the Black Scholes value of the unexercised portion of the warrants, that is being offered and paid to our ordinary shareholders in connection with the Fundamental Transaction, whether that consideration be in the form of cash, stock or any combination thereof, or whether the ordinary shareholders are given the choice to receive from among alternative forms of consideration in connection with the Fundamental Transaction.</w:t>
      </w:r>
    </w:p>
    <w:p>
      <w:pPr>
        <w:sectPr>
          <w:pgSz w:w="11900" w:h="16838" w:orient="portrait"/>
          <w:cols w:equalWidth="0" w:num="1">
            <w:col w:w="11420"/>
          </w:cols>
          <w:pgMar w:left="240" w:top="225" w:right="239" w:bottom="593"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593" w:gutter="0" w:footer="0" w:header="0"/>
          <w:type w:val="continuous"/>
        </w:sectPr>
      </w:pPr>
    </w:p>
    <w:bookmarkStart w:id="139" w:name="page140"/>
    <w:bookmarkEnd w:id="13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 “Specified Fundamental Transaction” means a Fundamental Transaction (I) described in clause (i) of the definition thereof where, immediately after giving effect thereto (x) the holders of all of our classes of common equity immediately prior to such transaction own, directly or indirectly, more than 50% of all classes of common equity of the continuing or surviving corporation or transferee or the parent thereof immediately after such transaction in substantially the same proportions as such ownership immediately prior to such transaction, or (y) we will be the surviving entity or (II) for which at least 90% of the consideration received or to be received by holders of ordinary shares (excluding cash payments for fractional shares and cash payments pursuant to dissenters’ or appraisal rights) that are listed or quoted on any of the NYSE American, the NASDAQ Capital Market, the NASDAQ Global Market, the NASDAQ Global Select Market, the New York Stock Exchange, OTCQB or OTCQX (or any of their respective successors) (each, a “designated market”) or will be so listed or quoted when issued or exchange in connection with such Fundamental Transaction.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Expiration upon Satisfaction of Sale Price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accelerate the expiration date of the warrants upon written notice to the holders at any time if the last reported sale price (as defined in the</w:t>
      </w:r>
    </w:p>
    <w:p>
      <w:pPr>
        <w:spacing w:after="0" w:line="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warrants) exceeds $ per share, which is 300% of the initial public offering price per unit in this offering (as adjusted in proportion with any adjustments made from time to time to the exercise price) for a 10 consecutive trading day period. Any warrants not exercised by 5:00 p.m., New York City time, on the 30th calendar day following the date the acceleration notice is given will terminate and expire worthless.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applicable laws, the warrants may be offered for sale, sold, transferred or assigned without our consent.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Exchange Listing</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is no established public trading market for the warrants and we do not expect a market to develop. In addition, we do not intend to apply to list the warrants on the NASDAQ Capital Market, any other securities exchange or any other nationally recognized trading system.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as a Shareholder</w:t>
      </w: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Except as otherwise provided in the warrants or by virtue of such holder’s ownership of our ordinary shares, the holder of a warrant does not have the rights or privileges of a holder of our ordinary shares, including any voting rights, until the holder exercises the warrant and delivers the corresponding executed exercise notice and exercise price, if 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warrants will be governed by, and construed and enforced in accordance with, the laws of the State of New York. Matters involving the rights of shareholders, the issuance of ordinary shares and the validity of ordinary shares are governed by the laws of Israel.</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140" w:name="page141"/>
    <w:bookmarkEnd w:id="14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DESCRIPTION OF SHARE CAPITAL</w:t>
      </w:r>
    </w:p>
    <w:p>
      <w:pPr>
        <w:spacing w:after="0" w:line="246"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i w:val="1"/>
          <w:iCs w:val="1"/>
          <w:color w:val="auto"/>
        </w:rPr>
        <w:t>The following description of our share capital and provisions of our amended Articles are summaries and are qualified by reference to our amended Articles, which have been filed with the SEC as an exhibit to the registration statement of which this prospectus forms a part. Upon the closing of this offering, our current Articles will be replaced by our amended Articles. All references to our Articles of Association in this section refer to our amended Articles.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are an Israeli company incorporated with limited liability, and our affairs are governed by the provisions of our Articles of Association, as amended and restated from time to time, and by the provisions of applicable Israeli law, including the Companies Law. Upon the closing of this offering, our Fifth Amended and Restated Articles of Association currently in effect, or the current Articles, will be further amended and restated and replaced by our Sixth Amended and Restated Articles of Association, or the amended Articles. Other material terms and provisions of our ordinary shares under our amended Articles are described below in “— Ordinary Shares.”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29" w:lineRule="exact"/>
        <w:rPr>
          <w:sz w:val="20"/>
          <w:szCs w:val="20"/>
          <w:color w:val="auto"/>
        </w:rPr>
      </w:pPr>
    </w:p>
    <w:p>
      <w:pPr>
        <w:spacing w:after="0"/>
        <w:tabs>
          <w:tab w:leader="none" w:pos="6200" w:val="left"/>
          <w:tab w:leader="none" w:pos="9120" w:val="left"/>
        </w:tabs>
        <w:rPr>
          <w:sz w:val="20"/>
          <w:szCs w:val="20"/>
          <w:color w:val="auto"/>
        </w:rPr>
      </w:pPr>
      <w:r>
        <w:rPr>
          <w:rFonts w:ascii="Arial" w:cs="Arial" w:eastAsia="Arial" w:hAnsi="Arial"/>
          <w:sz w:val="18"/>
          <w:szCs w:val="18"/>
          <w:color w:val="auto"/>
        </w:rPr>
        <w:t>Upon the closing of this offering, our authorized share capital will consist of</w:t>
      </w:r>
      <w:r>
        <w:rPr>
          <w:sz w:val="20"/>
          <w:szCs w:val="20"/>
          <w:color w:val="auto"/>
        </w:rPr>
        <w:tab/>
      </w:r>
      <w:r>
        <w:rPr>
          <w:rFonts w:ascii="Arial" w:cs="Arial" w:eastAsia="Arial" w:hAnsi="Arial"/>
          <w:sz w:val="18"/>
          <w:szCs w:val="18"/>
          <w:color w:val="auto"/>
        </w:rPr>
        <w:t>ordinary shares, par value NIS</w:t>
      </w:r>
      <w:r>
        <w:rPr>
          <w:sz w:val="20"/>
          <w:szCs w:val="20"/>
          <w:color w:val="auto"/>
        </w:rPr>
        <w:tab/>
      </w:r>
      <w:r>
        <w:rPr>
          <w:rFonts w:ascii="Arial" w:cs="Arial" w:eastAsia="Arial" w:hAnsi="Arial"/>
          <w:sz w:val="16"/>
          <w:szCs w:val="16"/>
          <w:color w:val="auto"/>
        </w:rPr>
        <w:t>per share, of which</w:t>
      </w:r>
    </w:p>
    <w:p>
      <w:pPr>
        <w:spacing w:after="0" w:line="23" w:lineRule="exact"/>
        <w:rPr>
          <w:sz w:val="20"/>
          <w:szCs w:val="20"/>
          <w:color w:val="auto"/>
        </w:rPr>
      </w:pPr>
    </w:p>
    <w:p>
      <w:pPr>
        <w:ind w:left="680"/>
        <w:spacing w:after="0"/>
        <w:tabs>
          <w:tab w:leader="none" w:pos="6800" w:val="left"/>
        </w:tabs>
        <w:rPr>
          <w:sz w:val="20"/>
          <w:szCs w:val="20"/>
          <w:color w:val="auto"/>
        </w:rPr>
      </w:pPr>
      <w:r>
        <w:rPr>
          <w:rFonts w:ascii="Arial" w:cs="Arial" w:eastAsia="Arial" w:hAnsi="Arial"/>
          <w:sz w:val="18"/>
          <w:szCs w:val="18"/>
          <w:color w:val="auto"/>
        </w:rPr>
        <w:t>ordinary shares are issued and outstanding as of date of this prospectus and</w:t>
      </w:r>
      <w:r>
        <w:rPr>
          <w:sz w:val="20"/>
          <w:szCs w:val="20"/>
          <w:color w:val="auto"/>
        </w:rPr>
        <w:tab/>
      </w:r>
      <w:r>
        <w:rPr>
          <w:rFonts w:ascii="Arial" w:cs="Arial" w:eastAsia="Arial" w:hAnsi="Arial"/>
          <w:sz w:val="16"/>
          <w:szCs w:val="16"/>
          <w:color w:val="auto"/>
        </w:rPr>
        <w:t>ordinary shares will be issued and outstanding immediately</w:t>
      </w:r>
    </w:p>
    <w:p>
      <w:pPr>
        <w:spacing w:after="0" w:line="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following the closing of this offering (assuming the underwriters do not exercise their option to purchase additional ordinary shares). All of our ordinary shares have been validly issued, fully paid and are non-assessable.</w:t>
      </w:r>
    </w:p>
    <w:p>
      <w:pPr>
        <w:sectPr>
          <w:pgSz w:w="11900" w:h="16838" w:orient="portrait"/>
          <w:cols w:equalWidth="0" w:num="1">
            <w:col w:w="11380"/>
          </w:cols>
          <w:pgMar w:left="240" w:top="225" w:right="279" w:bottom="1440" w:gutter="0" w:footer="0" w:header="0"/>
        </w:sectPr>
      </w:pP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2018, the number of our ordinary shares outstanding was 77,064, and an additional of outstanding options granted to our officers and employees, at a weighted-average exercise price of for more information about our outstanding option plans.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both"/>
        <w:ind w:right="20" w:firstLine="559"/>
        <w:spacing w:after="0" w:line="342" w:lineRule="auto"/>
        <w:rPr>
          <w:sz w:val="20"/>
          <w:szCs w:val="20"/>
          <w:color w:val="auto"/>
        </w:rPr>
      </w:pPr>
      <w:r>
        <w:rPr>
          <w:rFonts w:ascii="Arial" w:cs="Arial" w:eastAsia="Arial" w:hAnsi="Arial"/>
          <w:sz w:val="16"/>
          <w:szCs w:val="16"/>
          <w:color w:val="auto"/>
        </w:rPr>
        <w:t>ordinary shares were issuable upon the exercise $ per share. See “Management—Share Incentive Plan”</w:t>
      </w:r>
    </w:p>
    <w:p>
      <w:pPr>
        <w:spacing w:after="0" w:line="335" w:lineRule="exact"/>
        <w:rPr>
          <w:sz w:val="20"/>
          <w:szCs w:val="20"/>
          <w:color w:val="auto"/>
        </w:rPr>
      </w:pPr>
    </w:p>
    <w:p>
      <w:pPr>
        <w:sectPr>
          <w:pgSz w:w="11900" w:h="16838" w:orient="portrait"/>
          <w:cols w:equalWidth="0" w:num="2">
            <w:col w:w="7280" w:space="80"/>
            <w:col w:w="4020"/>
          </w:cols>
          <w:pgMar w:left="240" w:top="225" w:right="2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Preferred Shares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Under the terms of our amended Articles that will become effective upon the closing of this offering, we will not be authorized to issue preferred shares, and there will be no preferred shares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Warrants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2018, we had outstanding warrants to purchase 2,554 of our Series A preferred shares, at an exercise price of $479.38, which, upon the</w:t>
      </w:r>
    </w:p>
    <w:p>
      <w:pPr>
        <w:spacing w:after="0" w:line="46"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closing of this offering will automatically convert into warrants to purchase</w:t>
      </w:r>
      <w:r>
        <w:rPr>
          <w:sz w:val="20"/>
          <w:szCs w:val="20"/>
          <w:color w:val="auto"/>
        </w:rPr>
        <w:tab/>
      </w:r>
      <w:r>
        <w:rPr>
          <w:rFonts w:ascii="Arial" w:cs="Arial" w:eastAsia="Arial" w:hAnsi="Arial"/>
          <w:sz w:val="16"/>
          <w:szCs w:val="16"/>
          <w:color w:val="auto"/>
        </w:rPr>
        <w:t>of our ordinary shares, at an exercise price of $ .</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the terms of the preferred share purchase agreements with Centillion and certain other preferred shareholders, upon the closing of this offering, and upon the exercise of the right to invest the second milestone amount, we will issue to Centillion and the other preferred shareholders warrants to purchase</w:t>
      </w:r>
    </w:p>
    <w:p>
      <w:pPr>
        <w:spacing w:after="0"/>
        <w:tabs>
          <w:tab w:leader="none" w:pos="1640" w:val="left"/>
        </w:tabs>
        <w:rPr>
          <w:sz w:val="20"/>
          <w:szCs w:val="20"/>
          <w:color w:val="auto"/>
        </w:rPr>
      </w:pPr>
      <w:r>
        <w:rPr>
          <w:rFonts w:ascii="Arial" w:cs="Arial" w:eastAsia="Arial" w:hAnsi="Arial"/>
          <w:sz w:val="18"/>
          <w:szCs w:val="18"/>
          <w:color w:val="auto"/>
        </w:rPr>
        <w:t>an additional</w:t>
      </w:r>
      <w:r>
        <w:rPr>
          <w:sz w:val="20"/>
          <w:szCs w:val="20"/>
          <w:color w:val="auto"/>
        </w:rPr>
        <w:tab/>
      </w:r>
      <w:r>
        <w:rPr>
          <w:rFonts w:ascii="Arial" w:cs="Arial" w:eastAsia="Arial" w:hAnsi="Arial"/>
          <w:sz w:val="16"/>
          <w:szCs w:val="16"/>
          <w:color w:val="auto"/>
        </w:rPr>
        <w:t>ordinary shares.</w:t>
      </w:r>
    </w:p>
    <w:p>
      <w:pPr>
        <w:spacing w:after="0" w:line="211"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following summary of certain material terms and provisions of such warrants is not complete and is subject to, and qualified in its entirety by the provisions of, the form of the warrant, which is filed as an exhibit to the registration statement of which this prospectus forms a part.</w:t>
      </w:r>
    </w:p>
    <w:p>
      <w:pPr>
        <w:spacing w:after="0" w:line="14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i w:val="1"/>
          <w:iCs w:val="1"/>
          <w:color w:val="auto"/>
        </w:rPr>
        <w:t>Exercisability</w:t>
      </w:r>
      <w:r>
        <w:rPr>
          <w:rFonts w:ascii="Arial" w:cs="Arial" w:eastAsia="Arial" w:hAnsi="Arial"/>
          <w:sz w:val="17"/>
          <w:szCs w:val="17"/>
          <w:color w:val="auto"/>
        </w:rPr>
        <w:t>. The warrants are exercisable immediately upon issuance and at any time up to the date that is the earlier of (i) two years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consummation of this offering or (ii) seven years from the date of issuance. The warrants will be exercisable, at the option of each holder, in whole or in part by delivering to us a duly executed exercise notice accompanied by payment in full for the applicable number of our ordinary shares.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type w:val="continuous"/>
        </w:sectPr>
      </w:pPr>
    </w:p>
    <w:bookmarkStart w:id="141" w:name="page142"/>
    <w:bookmarkEnd w:id="14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Applicable Shares</w:t>
      </w:r>
      <w:r>
        <w:rPr>
          <w:rFonts w:ascii="Arial" w:cs="Arial" w:eastAsia="Arial" w:hAnsi="Arial"/>
          <w:sz w:val="18"/>
          <w:szCs w:val="18"/>
          <w:color w:val="auto"/>
        </w:rPr>
        <w:t>. The class of shares that can be acquired upon exercise of the warrants will be (i) prior to the consummation of this offering, our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(ii) upon and following the consummation of this offering and otherwise after the conversion of all of our preferred shares into ordinary shares, our ordinary shares, and (iii) upon any conversion, exchange, reclassification or change, any security into which our preferred shares or ordinary shares may be converted, exchanged, reclassified or otherwise changed.</w:t>
      </w:r>
    </w:p>
    <w:p>
      <w:pPr>
        <w:spacing w:after="0" w:line="187"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i w:val="1"/>
          <w:iCs w:val="1"/>
          <w:color w:val="auto"/>
        </w:rPr>
        <w:t>Exercise Price</w:t>
      </w:r>
      <w:r>
        <w:rPr>
          <w:rFonts w:ascii="Arial" w:cs="Arial" w:eastAsia="Arial" w:hAnsi="Arial"/>
          <w:sz w:val="17"/>
          <w:szCs w:val="17"/>
          <w:color w:val="auto"/>
        </w:rPr>
        <w:t>. The initial exercise price per applicable share purchasable upon exercise of the warrants is $479.38 per share. The exercise price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shares issuable upon exercise are subject to appropriate adjustment in the event of certain stock dividends and distributions, stock splits, stock subdivisions and combinations, reclassifications or similar events affecting our ordinary shares.</w:t>
      </w:r>
    </w:p>
    <w:p>
      <w:pPr>
        <w:spacing w:after="0" w:line="16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Absent an effective registration statement filed with the SEC covering the disposition or sale of the warrants or the shares issued or issuable</w:t>
      </w:r>
      <w:r>
        <w:rPr>
          <w:rFonts w:ascii="Arial" w:cs="Arial" w:eastAsia="Arial" w:hAnsi="Arial"/>
          <w:sz w:val="16"/>
          <w:szCs w:val="16"/>
          <w:i w:val="1"/>
          <w:iCs w:val="1"/>
          <w:color w:val="auto"/>
        </w:rPr>
        <w:t xml:space="preserve"> </w:t>
      </w:r>
      <w:r>
        <w:rPr>
          <w:rFonts w:ascii="Arial" w:cs="Arial" w:eastAsia="Arial" w:hAnsi="Arial"/>
          <w:sz w:val="16"/>
          <w:szCs w:val="16"/>
          <w:color w:val="auto"/>
        </w:rPr>
        <w:t>upon exercise of the warrants, and registration or qualification under applicable state securities laws, the holder cannot transfer any or all of the warrants or the applicable shares unless such transfer is exempt from the registration requirements of the Securities Act and any applicable state securities laws.</w:t>
      </w:r>
    </w:p>
    <w:p>
      <w:pPr>
        <w:spacing w:after="0" w:line="14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Rights as a Shareholder</w:t>
      </w:r>
      <w:r>
        <w:rPr>
          <w:rFonts w:ascii="Arial" w:cs="Arial" w:eastAsia="Arial" w:hAnsi="Arial"/>
          <w:sz w:val="17"/>
          <w:szCs w:val="17"/>
          <w:color w:val="auto"/>
        </w:rPr>
        <w:t>. Except as otherwise provided in the warrants or by virtue of such holder’s ownership of our ordinary shares, the holder of a warrant</w:t>
      </w:r>
      <w:r>
        <w:rPr>
          <w:rFonts w:ascii="Arial" w:cs="Arial" w:eastAsia="Arial" w:hAnsi="Arial"/>
          <w:sz w:val="17"/>
          <w:szCs w:val="17"/>
          <w:i w:val="1"/>
          <w:iCs w:val="1"/>
          <w:color w:val="auto"/>
        </w:rPr>
        <w:t xml:space="preserve"> </w:t>
      </w:r>
      <w:r>
        <w:rPr>
          <w:rFonts w:ascii="Arial" w:cs="Arial" w:eastAsia="Arial" w:hAnsi="Arial"/>
          <w:sz w:val="17"/>
          <w:szCs w:val="17"/>
          <w:color w:val="auto"/>
        </w:rPr>
        <w:t>does not have the rights or privileges of a holder of ordinary shares, including any voting rights, until the holder exercises the warrant.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Warrants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discussed above under “Certain Relationships and Related Party Transactions,” in connection with the second amendment to the Centillion preferred share purchase agreement and the first amendment to the additional preferred share purchase agreements with the certain other preferred shareholders, we issued additional warrants to such shareholders.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2018, we had outstanding additional warrants to purchase 3,594 Series B-1 preferred shares in an aggregate principal amount of</w:t>
      </w:r>
    </w:p>
    <w:p>
      <w:pPr>
        <w:spacing w:after="0" w:line="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$2.45 million, which upon the closing of this offering will become additional warrants to purchase of our ordinary shares at an exercise price of $ per share, which represents a 25% discount to the Series B preferred share purchase price per share, after giving effect to the conversion of the exercise price due to the ordinary share split described in this prospectus.</w:t>
      </w:r>
    </w:p>
    <w:p>
      <w:pPr>
        <w:spacing w:after="0" w:line="19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summary of certain material terms and provisions of the additional warrants is not complete and is subject to, and qualified in its entirety by the provisions of, the form of the additional warrant, which is filed as an exhibit to the registration statement of which this prospectus forms a part.</w:t>
      </w:r>
    </w:p>
    <w:p>
      <w:pPr>
        <w:spacing w:after="0" w:line="14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color w:val="auto"/>
        </w:rPr>
        <w:t>Exercisability</w:t>
      </w:r>
      <w:r>
        <w:rPr>
          <w:rFonts w:ascii="Arial" w:cs="Arial" w:eastAsia="Arial" w:hAnsi="Arial"/>
          <w:sz w:val="18"/>
          <w:szCs w:val="18"/>
          <w:color w:val="auto"/>
        </w:rPr>
        <w:t>. The additional warrants are exercisable upon, and for a period of two years following, a triggering event, which includes certain 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transactions, certain private placement equity financings of at least $5 million or a public offering on NASDAQ or the New York Stock Exchange. The Series B Private Placement constituted a 2016 Triggering Event as defined in the additional warrants, and as a result, the exercise period for such warrants is two years following October 4,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Applicable Shares</w:t>
      </w:r>
      <w:r>
        <w:rPr>
          <w:rFonts w:ascii="Arial" w:cs="Arial" w:eastAsia="Arial" w:hAnsi="Arial"/>
          <w:sz w:val="18"/>
          <w:szCs w:val="18"/>
          <w:color w:val="auto"/>
        </w:rPr>
        <w:t>.  Series B-1 preferred shares, or ordinary shares if exercised upon or following the closing of this offering.</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The initial exercise price per applicable share purchasable upon exercise of the warrants will be discounted by 25% from the applicable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price of the shares issued in the relevant triggering event. As a result of the Series B Private Placement, the exercise price was set at $681.585, which represents a 25% discount to the Series B preferred share purchase price per share.</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Absent an effective registration statement filed with the SEC covering the disposition or sale of the warrants or the shares issued or issuable</w:t>
      </w:r>
      <w:r>
        <w:rPr>
          <w:rFonts w:ascii="Arial" w:cs="Arial" w:eastAsia="Arial" w:hAnsi="Arial"/>
          <w:sz w:val="18"/>
          <w:szCs w:val="18"/>
          <w:i w:val="1"/>
          <w:iCs w:val="1"/>
          <w:color w:val="auto"/>
        </w:rPr>
        <w:t xml:space="preserve"> </w:t>
      </w:r>
      <w:r>
        <w:rPr>
          <w:rFonts w:ascii="Arial" w:cs="Arial" w:eastAsia="Arial" w:hAnsi="Arial"/>
          <w:sz w:val="18"/>
          <w:szCs w:val="18"/>
          <w:color w:val="auto"/>
        </w:rPr>
        <w:t>upon exercise of the warrants, and registration or qualification under applicable state securities laws, the holder cannot transfer any or all of the warrants or the applicable underlying shares unless such transfer is exempt from the registration requirements of the Securities Act and any applicable state securities laws.</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Rights as a Shareholder</w:t>
      </w:r>
      <w:r>
        <w:rPr>
          <w:rFonts w:ascii="Arial" w:cs="Arial" w:eastAsia="Arial" w:hAnsi="Arial"/>
          <w:sz w:val="17"/>
          <w:szCs w:val="17"/>
          <w:color w:val="auto"/>
        </w:rPr>
        <w:t>. Except as otherwise provided in the warrants or by virtue of such holder’s ownership of our ordinary shares, the holder of a warrant</w:t>
      </w:r>
      <w:r>
        <w:rPr>
          <w:rFonts w:ascii="Arial" w:cs="Arial" w:eastAsia="Arial" w:hAnsi="Arial"/>
          <w:sz w:val="17"/>
          <w:szCs w:val="17"/>
          <w:i w:val="1"/>
          <w:iCs w:val="1"/>
          <w:color w:val="auto"/>
        </w:rPr>
        <w:t xml:space="preserve"> </w:t>
      </w:r>
      <w:r>
        <w:rPr>
          <w:rFonts w:ascii="Arial" w:cs="Arial" w:eastAsia="Arial" w:hAnsi="Arial"/>
          <w:sz w:val="17"/>
          <w:szCs w:val="17"/>
          <w:color w:val="auto"/>
        </w:rPr>
        <w:t>does not have the rights or privileges of a holder of ordinary shares, including any voting rights, until the holder exercises the warrant.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Warrants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2016 Convertible Loan, the Company granted to the lenders warrants, or the 2016 Warrants, in the 2016 Convertible Loan to purchase an additional 40% of the number of the Company’s equity securities issued to such lender following the conversion of the loan in to the Company’s equity securities following a 2016 Triggering Event. As a result of the Series B preferred shares purchase agreement, the price at which the previously issued 2016 Warrants may be exercised was set at $908.78.</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2018, we had 5,292 outstanding 2016 Warrants in an aggregate principal amount of $4.8 million, which upon the closing of this offering will</w:t>
      </w:r>
    </w:p>
    <w:p>
      <w:pPr>
        <w:spacing w:after="0" w:line="46" w:lineRule="exact"/>
        <w:rPr>
          <w:sz w:val="20"/>
          <w:szCs w:val="20"/>
          <w:color w:val="auto"/>
        </w:rPr>
      </w:pPr>
    </w:p>
    <w:p>
      <w:pPr>
        <w:spacing w:after="0"/>
        <w:tabs>
          <w:tab w:leader="none" w:pos="2840" w:val="left"/>
          <w:tab w:leader="none" w:pos="6500" w:val="left"/>
        </w:tabs>
        <w:rPr>
          <w:sz w:val="20"/>
          <w:szCs w:val="20"/>
          <w:color w:val="auto"/>
        </w:rPr>
      </w:pPr>
      <w:r>
        <w:rPr>
          <w:rFonts w:ascii="Arial" w:cs="Arial" w:eastAsia="Arial" w:hAnsi="Arial"/>
          <w:sz w:val="18"/>
          <w:szCs w:val="18"/>
          <w:color w:val="auto"/>
        </w:rPr>
        <w:t>become warrants to purchase</w:t>
      </w:r>
      <w:r>
        <w:rPr>
          <w:sz w:val="20"/>
          <w:szCs w:val="20"/>
          <w:color w:val="auto"/>
        </w:rPr>
        <w:tab/>
      </w:r>
      <w:r>
        <w:rPr>
          <w:rFonts w:ascii="Arial" w:cs="Arial" w:eastAsia="Arial" w:hAnsi="Arial"/>
          <w:sz w:val="18"/>
          <w:szCs w:val="18"/>
          <w:color w:val="auto"/>
        </w:rPr>
        <w:t>of our ordinary shares at an exercise price of $</w:t>
      </w:r>
      <w:r>
        <w:rPr>
          <w:sz w:val="20"/>
          <w:szCs w:val="20"/>
          <w:color w:val="auto"/>
        </w:rPr>
        <w:tab/>
      </w:r>
      <w:r>
        <w:rPr>
          <w:rFonts w:ascii="Arial" w:cs="Arial" w:eastAsia="Arial" w:hAnsi="Arial"/>
          <w:sz w:val="16"/>
          <w:szCs w:val="16"/>
          <w:color w:val="auto"/>
        </w:rPr>
        <w:t>per ordinary share.</w:t>
      </w:r>
    </w:p>
    <w:p>
      <w:pPr>
        <w:spacing w:after="0" w:line="21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following summary of certain material terms and provisions of the 2016 Warrants is not complete and is subject to, and qualified in its entirety by the provisions of, the form of the 2016 Warrants, which is filed as an exhibit to the registration statement of which this prospectus forms a part.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Exercisability</w:t>
      </w:r>
      <w:r>
        <w:rPr>
          <w:rFonts w:ascii="Arial" w:cs="Arial" w:eastAsia="Arial" w:hAnsi="Arial"/>
          <w:sz w:val="17"/>
          <w:szCs w:val="17"/>
          <w:color w:val="auto"/>
        </w:rPr>
        <w:t>.  The 2016 Warrants are exercisable until June 2020, and will be exercisable into ordinary shares following the completion of this offering.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Applicable Securities</w:t>
      </w:r>
      <w:r>
        <w:rPr>
          <w:rFonts w:ascii="Arial" w:cs="Arial" w:eastAsia="Arial" w:hAnsi="Arial"/>
          <w:sz w:val="18"/>
          <w:szCs w:val="18"/>
          <w:color w:val="auto"/>
        </w:rPr>
        <w:t>.  Series B preferred shares, or ordinary shares if exercised upon or following the closing of this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$908.78 per share.</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Absent an effective registration statement filed with the SEC covering the disposition or sale of the warrants or the securities issued or</w:t>
      </w:r>
      <w:r>
        <w:rPr>
          <w:rFonts w:ascii="Arial" w:cs="Arial" w:eastAsia="Arial" w:hAnsi="Arial"/>
          <w:sz w:val="16"/>
          <w:szCs w:val="16"/>
          <w:i w:val="1"/>
          <w:iCs w:val="1"/>
          <w:color w:val="auto"/>
        </w:rPr>
        <w:t xml:space="preserve"> </w:t>
      </w:r>
      <w:r>
        <w:rPr>
          <w:rFonts w:ascii="Arial" w:cs="Arial" w:eastAsia="Arial" w:hAnsi="Arial"/>
          <w:sz w:val="16"/>
          <w:szCs w:val="16"/>
          <w:color w:val="auto"/>
        </w:rPr>
        <w:t>issuable upon exercise of the 2016 Warrants, and registration or qualification under applicable state securities laws, the holder cannot transfer any or all of the warrants or the applicable underlying shares unless such transfer is exempt from the registration requirements of the Securities Act and any applicable state securities laws. In addition, the holder can transfer any or all of the 2016 Warrants to a Permitted Transferee, as defined in the Company’s current Articles.</w:t>
      </w:r>
    </w:p>
    <w:p>
      <w:pPr>
        <w:spacing w:after="0" w:line="15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Rights as a Shareholder</w:t>
      </w:r>
      <w:r>
        <w:rPr>
          <w:rFonts w:ascii="Arial" w:cs="Arial" w:eastAsia="Arial" w:hAnsi="Arial"/>
          <w:sz w:val="16"/>
          <w:szCs w:val="16"/>
          <w:color w:val="auto"/>
        </w:rPr>
        <w:t>. Except as otherwise provided in the warrants or by virtue of such holder’s ownership of our ordinary shares, the holder of a 2016</w:t>
      </w:r>
      <w:r>
        <w:rPr>
          <w:rFonts w:ascii="Arial" w:cs="Arial" w:eastAsia="Arial" w:hAnsi="Arial"/>
          <w:sz w:val="16"/>
          <w:szCs w:val="16"/>
          <w:i w:val="1"/>
          <w:iCs w:val="1"/>
          <w:color w:val="auto"/>
        </w:rPr>
        <w:t xml:space="preserve"> </w:t>
      </w:r>
      <w:r>
        <w:rPr>
          <w:rFonts w:ascii="Arial" w:cs="Arial" w:eastAsia="Arial" w:hAnsi="Arial"/>
          <w:sz w:val="16"/>
          <w:szCs w:val="16"/>
          <w:color w:val="auto"/>
        </w:rPr>
        <w:t>Warrant does not have the rights or privileges of a holder of ordinary shares, including any voting rights, until the holder exercises the 2016 Warrant.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Warrants</w:t>
      </w:r>
    </w:p>
    <w:p>
      <w:pPr>
        <w:spacing w:after="0" w:line="229"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In connection with the Series B Private Placement, the Company issued to GP Nurmenkari Inc., or the placement agent, a warrant to purchase up to 526 Series B preferred shares, or Series B warrants, at a price of $908.78 per share, which upon the closing of this offering will become warrants to purchase</w:t>
      </w:r>
    </w:p>
    <w:p>
      <w:pPr>
        <w:ind w:left="680"/>
        <w:spacing w:after="0"/>
        <w:tabs>
          <w:tab w:leader="none" w:pos="3840" w:val="left"/>
        </w:tabs>
        <w:rPr>
          <w:sz w:val="20"/>
          <w:szCs w:val="20"/>
          <w:color w:val="auto"/>
        </w:rPr>
      </w:pPr>
      <w:r>
        <w:rPr>
          <w:rFonts w:ascii="Arial" w:cs="Arial" w:eastAsia="Arial" w:hAnsi="Arial"/>
          <w:sz w:val="18"/>
          <w:szCs w:val="18"/>
          <w:color w:val="auto"/>
        </w:rPr>
        <w:t>ordinary shares at an exercise price of $</w:t>
      </w:r>
      <w:r>
        <w:rPr>
          <w:sz w:val="20"/>
          <w:szCs w:val="20"/>
          <w:color w:val="auto"/>
        </w:rPr>
        <w:tab/>
      </w:r>
      <w:r>
        <w:rPr>
          <w:rFonts w:ascii="Arial" w:cs="Arial" w:eastAsia="Arial" w:hAnsi="Arial"/>
          <w:sz w:val="15"/>
          <w:szCs w:val="15"/>
          <w:color w:val="auto"/>
        </w:rPr>
        <w:t>per share.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summary of certain material terms and provisions of the Series B Warrants:</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i w:val="1"/>
          <w:iCs w:val="1"/>
          <w:color w:val="auto"/>
        </w:rPr>
        <w:t xml:space="preserve">Exercisability. </w:t>
      </w:r>
      <w:r>
        <w:rPr>
          <w:rFonts w:ascii="Arial" w:cs="Arial" w:eastAsia="Arial" w:hAnsi="Arial"/>
          <w:sz w:val="17"/>
          <w:szCs w:val="17"/>
          <w:color w:val="auto"/>
        </w:rPr>
        <w:t>The Series B warrants are exercisable on or before the earlier of: (i) expiration of five years from the date of the Series B warrant, or (ii) the</w:t>
      </w:r>
      <w:r>
        <w:rPr>
          <w:rFonts w:ascii="Arial" w:cs="Arial" w:eastAsia="Arial" w:hAnsi="Arial"/>
          <w:sz w:val="17"/>
          <w:szCs w:val="17"/>
          <w:i w:val="1"/>
          <w:iCs w:val="1"/>
          <w:color w:val="auto"/>
        </w:rPr>
        <w:t xml:space="preserve"> </w:t>
      </w:r>
      <w:r>
        <w:rPr>
          <w:rFonts w:ascii="Arial" w:cs="Arial" w:eastAsia="Arial" w:hAnsi="Arial"/>
          <w:sz w:val="17"/>
          <w:szCs w:val="17"/>
          <w:color w:val="auto"/>
        </w:rPr>
        <w:t>occurrence of a liquidation, bankruptcy, reorganization, dissolution or winding up of the Company, whether voluntary or involuntary.</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Applicable Securities. </w:t>
      </w:r>
      <w:r>
        <w:rPr>
          <w:rFonts w:ascii="Arial" w:cs="Arial" w:eastAsia="Arial" w:hAnsi="Arial"/>
          <w:sz w:val="18"/>
          <w:szCs w:val="18"/>
          <w:color w:val="auto"/>
        </w:rPr>
        <w:t>The Series B warrants will be exercisable for Series B preferred shares of the Company, par value NIS 0.01 per share, or any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issued or issuable according to the Series B warrants, including but not limited to ordinary shares, if exercised upon or following the closing of this offering.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The initial exercise price will be $908.78 per share, subject to adjustments as provided in the Series B warrants.</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The Series B warrant cannot be transferred to a third party, other than an affiliate of the holder of such Series B warrant (as defined and</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the terms and conditions of the Series B warrants) without (i) a registration under the Securities Act or (ii) an exemption from such registration and, if requested by the Company, a written opinion of legal counsel of the holder of the Series B warrant, addressed to the Company stating that the proposed transfer of the warrant may be effected without registration under the Securities Act, which opinion will be in form reasonably satisfactory to the Company.</w:t>
      </w:r>
    </w:p>
    <w:p>
      <w:pPr>
        <w:spacing w:after="0" w:line="1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Rights as a Shareholder</w:t>
      </w:r>
      <w:r>
        <w:rPr>
          <w:rFonts w:ascii="Arial" w:cs="Arial" w:eastAsia="Arial" w:hAnsi="Arial"/>
          <w:sz w:val="18"/>
          <w:szCs w:val="18"/>
          <w:color w:val="auto"/>
        </w:rPr>
        <w:t>. Except as otherwise provided in the Series B warrants or by virtue of such holder’s ownership of our ordinary shares, the 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a Series B warrant does not have the rights or privileges of a holder of ordinary shares, including any voting rights, until the holder exercises the Series B warrant.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Number, Purpose of the Company and Registered Office</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number with the Israeli Registrar of Companies is 514330604. The purpose of our company appears in Article 3 of our Articles of Association, which is to engage in any lawful activity. In addition, our Articles of Association authorize us to donate reasonable amounts to any charitable cause. Our registered office is at Kiryat Hadassah, Minrav Building — Fifth Floor, Jerusalem 9112002, Israel.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the Companies Law, and Articles of Association, our board of directors may exercise all powers and take all actions that are not required under the Companies Law or under our Articles of Association to be exercised or taken by our shareholders or other corporate body, including the power to borrow money for the purposes of our company. Our directors are not subject to any age limit requirement, nor are they disqualified from serving on our board of directors because of a failure to own a certain amount of our shares. Under our Articles of Association, our board of directors must consist of not less than three but no more than nine directors. Pursuant to our Articles of Association, other than the external directors, for whom special election requirements apply under the Companies Law, the vote required to appoint a director is a simple majority vote of holders of our voting shares participating and voting at the relevant meeting. In addition, our Articles of Association allow our board of directors to appoint new directors to fill vacancies on the board of directors if the number of directors is below the maximum number provided in our Articles of Association. Furthermore, under our Articles of Association, our directors other than external directors are divided into three classes with staggered three-year terms. External directors are elected for an initial term of three years, may be elected for additional terms of three years each under certain circumstances, and may be removed from office pursuant to the terms of the Companies Law. For more information about our board of directors, see “Management.”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Ordinary Shares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Dividends and Liquidation Rights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Subject to the rights of holders of shares with preferential or special rights that may be authorized in the future, holders of our ordinary shares are entitled to participate in the payment of dividends pro rata in accordance with the amounts paid-up or credited as paid-up on the par value of such ordinary shares at the time of payment without taking into account any premium paid thereon. In the event of our liquidation, holders of our ordinary shares are entitled to a pro rata share of surplus assets remaining over liabilities, subject to rights conferred on any class of shares which may be issued in the future, in accordance with the amounts paid-up or credited as paid-up on the par value of such ordinary shares, without taking into account any premium paid thereon.</w:t>
      </w:r>
    </w:p>
    <w:p>
      <w:pPr>
        <w:spacing w:after="0" w:line="15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According to the Companies Law, a company may make a distribution of dividends out of its profits on the condition that there is no reasonable concern that the distribution may prevent the company from meeting its existing and expected obligations when they fall due. The Companies Law defines such profit as retained earnings or profits accrued in the last two years, whichever is greater, according to the last reviewed or audited financial statements of the company, provided that the end of the period to which the financial statements relate is not more than six months before the distribution. Declaration of dividends requires a resolution of our Board and does not require shareholder approval.</w:t>
      </w: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Under Israeli law, holders of ordinary shares are permitted to freely convert dividends and liquidation distributions into non-Israeli currencies. Such amounts may be subject to Israeli withholding tax and certain reporting obligations may apply. Pursuant to Israeli law, currency control measures may be imposed by governmental action at any time.</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Holders of our ordinary shares are entitled to one vote for each ordinary share on all matters submitted to a vote of shareholders, subject to any special rights of any class of shares that may be authorized in the future. Cumulative voting for the election of directors is not permitted.</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Quorum</w:t>
      </w:r>
    </w:p>
    <w:p>
      <w:pPr>
        <w:spacing w:after="0" w:line="2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quorum required for a meeting of shareholders consists of at least two shareholders, present in person or by proxy, holding at least 25% of our issued shares conferring voting rights. A shareholders’ meeting will be adjourned for lack of a quorum, after half an hour from the time set for such meeting, to the same day in the following week at the same time and place, or any time and place as the board of directors designates in a notice to the shareholders. If at such adjourned meeting a quorum as specified above is not present within half an hour from the time designated for holding the meeting, subject to certain exceptions, any two shareholders present in person or by proxy shall constitute a quorum.</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Shareholders’ Meetings and Resolutions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Chairman of our board of directors is entitled to preside as Chairman of each shareholders’ meeting. If he is absent, his deputy or another person elected by the present shareholders will preside.</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 simple majority is sufficient to approve most shareholders’ resolutions, including any amendment to our Articles of Association, unless otherwise required by law or by our Articles of Association. For example, resolutions with respect to certain interested party transactions, or with respect to tender offers may require a special majority.</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are required to hold an annual meeting of our shareholders once every calendar year, but no later than 15 months after the date of the previous annual meeting. All meetings other than the annual meeting of shareholders are referred to as special meetings. Our board of directors may call special meetings whenever it sees fit, at such time and place as it may determine. In addition, the Companies Law provides that the board of directors of a public company is required to convene a special meeting upon the request of:</w:t>
      </w:r>
    </w:p>
    <w:p>
      <w:pPr>
        <w:spacing w:after="0" w:line="187" w:lineRule="exact"/>
        <w:rPr>
          <w:sz w:val="20"/>
          <w:szCs w:val="20"/>
          <w:color w:val="auto"/>
        </w:rPr>
      </w:pPr>
    </w:p>
    <w:p>
      <w:pPr>
        <w:ind w:left="340" w:hanging="170"/>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two directors of the company or one quarter of the board of directors; or</w:t>
      </w:r>
    </w:p>
    <w:p>
      <w:pPr>
        <w:spacing w:after="0" w:line="225" w:lineRule="exact"/>
        <w:rPr>
          <w:rFonts w:ascii="Arial" w:cs="Arial" w:eastAsia="Arial" w:hAnsi="Arial"/>
          <w:sz w:val="18"/>
          <w:szCs w:val="18"/>
          <w:color w:val="auto"/>
        </w:rPr>
      </w:pPr>
    </w:p>
    <w:p>
      <w:pPr>
        <w:ind w:left="340" w:right="140" w:hanging="170"/>
        <w:spacing w:after="0" w:line="277"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one or more shareholders holding, in the aggregate: (i) five percent of the outstanding shares of the company and one percent of the voting power in the company; or (ii) five percent of the voting power in the company.</w:t>
      </w:r>
    </w:p>
    <w:p>
      <w:pPr>
        <w:spacing w:after="0" w:line="17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Companies Law enables our board of directors to fix a record date to allow us to determine the shareholders entitled to notice of, or to vote at, any meeting of our shareholders. Under current regulations, the record date may be not more than forty days and not less than four days prior to the date of the meeting and notice is required to be published at least 21 or 35 days prior to the meeting, depending on the items on the agenda. Under the Companies Law and regulations promulgated thereunder, one or more shareholders holding at least 1% of the voting rights at a general meeting of shareholders may request that the board of directors include a matter in the agenda of a general meeting of shareholders to be convened in the future, provided that such matter is appropriate for discussion at the general meeting.</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Modification of Shareholders’ Rights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rights attached to a class of shares may be altered by the approval of the shareholders of such class holding a majority of the voting rights of such class. The provisions in our Articles of Association pertaining to general meetings also apply to any special meeting of a class of shareholders. The quorum required for such special meeting is at least two persons who are the holders of at least 25% of the</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45" w:name="page146"/>
    <w:bookmarkEnd w:id="14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outstanding shares of that class represented in person or by proxy at such meeting. If such special meeting is adjourned due to a lack of quorum, the quorum required at the subsequent meeting will be at least two persons who are holders of issued shares of that class or their proxies.</w:t>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Preemptive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our Articles of Association, no preemptive rights are attached to our ordinary shares.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Restrictions on Non-Residents of Israel</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ownership or voting of our ordinary shares by non-residents of Israel is not restricted in any way by our Articles of Association or the laws of Israel, except for ownership by nationals of some countries that are, or have been, in a state of war with Israel.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Acquisitions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Mergers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Companies Law permits merger transactions with the approval of each party’s board of directors and shareholders. In accordance with the Companies Law, our Articles of Association provide that a merger may be approved at a shareholders meeting by a majority of the voting power represented at the meeting, in person or by proxy, and voting on that resolution. In determining whether the required majority has approved the merger, shares held by the other party to the merger, any person holding at least 25% of the outstanding voting shares or the means of appointing the board of directors of the other party to the merger, or relatives of or companies controlled by these persons, are excluded from the vote.</w:t>
      </w:r>
    </w:p>
    <w:p>
      <w:pPr>
        <w:spacing w:after="0" w:line="17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Under the Companies Law, a merging company must inform its creditors of the proposed merger. Any creditor of a party to the merger may seek a court order blocking the merger if there is a reasonable concern that the surviving company will not be able to satisfy all of the obligations of the parties to the merger. In addition, a merger may not be completed until at least 50 days have passed from the date that a merger proposal was filed with the Israeli Registrar of Companies by each party and 30 days have passed since the merger was approved by the shareholders of each party.</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Tender Offers</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Companies Law also provides that an acquisition of shares in a public company must be made by means of a special tender offer if, as a result of the acquisition, the purchaser would become a 25% or more shareholder of the company, unless there is already a 25% or more shareholder of the company. Similarly, the Companies Law provides that an acquisition of shares in a public company must be made by means of a special tender offer if as a result of the acquisition the purchaser would become a more than 45% shareholder of the company, unless there is already a more than 45% shareholder of the company. These requirements do not apply if the acquisition (i) occurs in the context of a private placement by the company that received shareholder approval or (ii) was from a 25% or more than 45% shareholder, as the case may be. The tender offer must be extended to all shareholders, but the offeror is not required to purchase more than 5% of the company’s voting rights, regardless of how many shares are tendered by shareholders. The tender offer may be consummated only if (i) at least 5% of the company’s outstanding shares will be acquired by the offeror and (ii) the number of shares tendered in the offer exceeds the number of shares whose holders objected to the offer (excluding the controlling shareholders of the offeror, holders of 25% or more of the voting rights in the company or any person having a personal interest in the acceptance of the tender offer or any of their relatives or any entity controlled by them). 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tender offer rules under the Israeli Companies Law will have no rights and will become dormant shares.</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If as a result of an acquisition of shares the acquirer will hold more than 90% of a company’s outstanding shares, the acquisition must be made by means of a tender offer for all of the outstanding shares. If (i) the shareholders who do not accept the offer hold less than 5% of the issued and outstanding share capital of the company and (ii) more than half of the shareholders who do not have a personal interest in the offer accept the offer, then all the shares that the acquirer offered to purchase will be transferred to it. However, a full tender offer will also be accepted if the shareholders who do not accept the offer holder less than 2% of the issued and outstanding shares of the company. The Companies Law provides for appraisal rights if any shareholder files a request in court within six months following the consummation of a full tender off, but the acquirer is entitled to stipulate that tendering shareholders forfeit their appraisal rights. If</w:t>
      </w:r>
    </w:p>
    <w:p>
      <w:pPr>
        <w:spacing w:after="0" w:line="5" w:lineRule="exact"/>
        <w:rPr>
          <w:sz w:val="20"/>
          <w:szCs w:val="20"/>
          <w:color w:val="auto"/>
        </w:rPr>
      </w:pPr>
    </w:p>
    <w:p>
      <w:pPr>
        <w:ind w:right="140" w:firstLine="8"/>
        <w:spacing w:after="0" w:line="254" w:lineRule="auto"/>
        <w:tabs>
          <w:tab w:leader="none" w:pos="2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shareholders who did not respond or accept the tender offer hold at least 5% of the issued and outstanding shares of the company or the shareholders who accept the offer constitute less than a majority of the offerees that do not have a personal interest in the acceptance of the tender offer, or (ii) the shareholders who do not accept the offer hold 2% or more of the outstanding shares of the company, then the acquirer may not acquire shares that will cause his shareholdings to exceed 90% of the outstanding shares.</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Tax Law</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sales and dispositions of shares of the participating companies are, subject to certain exceptions, restricted. Moreover, with respect to certain share swap transactions, the tax deferral is limited in time, and when the time expires, tax then becomes payable even if no actual disposition of the shares has occurred.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Duties</w:t>
      </w:r>
    </w:p>
    <w:p>
      <w:pPr>
        <w:spacing w:after="0" w:line="22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Under the Companies Law, a shareholder has a duty to act in good faith and customary manner toward the company and other shareholders and to refrain from abusing its power in the company, including, among other things, in voting at a meeting of shareholders on the following matters:</w:t>
      </w:r>
    </w:p>
    <w:p>
      <w:pPr>
        <w:spacing w:after="0" w:line="147" w:lineRule="exact"/>
        <w:rPr>
          <w:sz w:val="20"/>
          <w:szCs w:val="20"/>
          <w:color w:val="auto"/>
        </w:rPr>
      </w:pPr>
    </w:p>
    <w:p>
      <w:pPr>
        <w:ind w:left="340" w:hanging="170"/>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amendment to the company’s articles of association;</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increase of the company’s authorized share capital;</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merger; or</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interested-party transactions that require shareholder approval.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shareholder also has a general duty to refrain from discriminating against other shareholders.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certain shareholders have a duty of fairness toward the company. These shareholders include any controlling shareholder, any shareholder who knows that it possesses the power to determine the outcome of a shareholder vote and any shareholder who, under the company’s articles of association, has the power to appoint or to prevent the appointment of a director or officer of the company or another power with respect to the company. The Companies Law does not define the substance of this duty of fairness. However, a shareholder’s breach of the duty of fairness is subject to laws regarding breaches of contracts, taking into account the position of such shareholder in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Corporate Records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Under the Companies Law, shareholders are provided access to minutes of our general meetings, our shareholders register and principal shareholders register, our articles of association in effect from time to time, our financial statements and any document that we are required by law to file publicly with the Israeli Companies Registrar or the Israel Securities Authority. In addition, shareholders may request to be</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provided with any document related to an action or transaction requiring shareholder approval under the related party transaction provisions of the Companies Law. We may deny this request if we believe it has not been made in good faith or if such denial is necessary to protect our interest or protect a trade secret or patent.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expect to list our ordinary shares on the NASDAQ Capital Market under the symbol “ENTX.”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Upon listing of our ordinary shares for trading on the NASDAQ Capital Market, the transfer agent and registrar for the ordinary shares will be American Stock Transfer &amp; Trust Company, LLC.</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TAXATION AND GOVERNMENT PROGRAMS</w:t>
      </w:r>
    </w:p>
    <w:p>
      <w:pPr>
        <w:spacing w:after="0" w:line="24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description is not intended to constitute a complete analysis of all tax consequences relating to the acquisition, ownership and disposition of our ordinary shares and warrants. You are encouraged to consult your tax advisor concerning the tax consequences of your particular situation, as well as any tax consequences that may arise under the laws of any state, local, foreign or other taxing jurisdiction.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Israeli Tax Considerations</w:t>
      </w:r>
    </w:p>
    <w:p>
      <w:pPr>
        <w:spacing w:after="0" w:line="246"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The following are material Israeli income tax consequences of the ownership and disposition of our ordinary shares and warrants that are purchased in this offering. It does not purport to be a comprehensive description of all the tax considerations that may be relevant to a decision to own or dispose of our ordinary shares or warrants. This discussion does not address all the aspects of Israeli tax laws that may be relevant to an investor in light of its particular circumstances or to certain types of investors subject to special treatment under applicable law. This discussion does not address tax consequences of a Fundamental Transaction. The following discussion also contains an overview of the current tax regime applicable to companies in Israel, with specific reference to its effect on us. This discussion is based upon the tax laws of Israel and regulations promulgated thereunder as of the date hereof, which are subject to change. Some parts of this discussion are based on new tax legislation which has not been subject to judicial or administrative interpretation. The discussion should not be construed as legal or professional tax advice and does not cover all possible tax considerations.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Tax Structure</w:t>
      </w:r>
    </w:p>
    <w:p>
      <w:pPr>
        <w:spacing w:after="0" w:line="229"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Israeli companies are generally subject to corporate tax on their taxable income currently at the rate of 23%. However, the effective tax rate payable by a company that derives income from a Preferred Enterprise, Preferred Technological Enterprise or Preferred Special Technological Enterprise (as discussed below) may be considerably lower. Israeli companies are generally subject to capital gains tax at the regular corporate tax 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Benefits Under the Law for the Encouragement of Industry (Taxes)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According to the Law for the Encouragement of Industry (Taxes), 5729-1969, or the Industry Encouragement Law, an “industrial company” is an Israeli resident company that was incorporated in Israel, of which 90% or more of its income in any tax year, (other than income from certain government loans), is derived from an “Industrial Enterprise” owned by it and located in Israel. An “Industrial Enterprise” is generally defined as an enterprise whose major activity in any tax year is industrial production.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Under the Industry Encouragement Law, industrial companies are entitled to the following tax-related benefits:</w:t>
      </w:r>
    </w:p>
    <w:p>
      <w:pPr>
        <w:spacing w:after="0" w:line="225" w:lineRule="exact"/>
        <w:rPr>
          <w:sz w:val="20"/>
          <w:szCs w:val="20"/>
          <w:color w:val="auto"/>
        </w:rPr>
      </w:pPr>
    </w:p>
    <w:p>
      <w:pPr>
        <w:ind w:left="340" w:right="260" w:hanging="170"/>
        <w:spacing w:after="0" w:line="308" w:lineRule="auto"/>
        <w:tabs>
          <w:tab w:leader="none" w:pos="3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amortization over an eight-year period of the cost of purchased know-how and patents and rights to use a patent and know-how which are used for the development or advancement of the Industrial Enterprise, commencing on the year in which such rights were first exercised;</w:t>
      </w:r>
    </w:p>
    <w:p>
      <w:pPr>
        <w:spacing w:after="0" w:line="146" w:lineRule="exact"/>
        <w:rPr>
          <w:rFonts w:ascii="Arial" w:cs="Arial" w:eastAsia="Arial" w:hAnsi="Arial"/>
          <w:sz w:val="17"/>
          <w:szCs w:val="17"/>
          <w:color w:val="auto"/>
        </w:rPr>
      </w:pPr>
    </w:p>
    <w:p>
      <w:pPr>
        <w:ind w:left="340" w:hanging="170"/>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deductions over a three-year period of expenses incurred in connection with the issuance and listing of shares on a stock market;</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right to elect, under specified conditions, to file a consolidated tax return together with related Israeli industrial companies; and</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accelerated depreciation rates on certain equipment and buildings.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Eligibility for benefits under the Industry Encouragement Law is not subject to receipt of prior approval from any governmental authority.</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we have not generated income yet, there is no assurance that we qualify as an Industrial Company or that the benefits described above will be available to us in the future.</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49" w:name="page150"/>
    <w:bookmarkEnd w:id="14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 for the Encouragement of Capital Investments, 5719-1959</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Tax Benefits for Income from Preferred Enterprise</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 Law for the Encouragement of Capital Investments, 5719-1959, generally referred to as the Investment Law, currently provides certain tax benefits, </w:t>
      </w:r>
      <w:r>
        <w:rPr>
          <w:rFonts w:ascii="Arial" w:cs="Arial" w:eastAsia="Arial" w:hAnsi="Arial"/>
          <w:sz w:val="18"/>
          <w:szCs w:val="18"/>
          <w:i w:val="1"/>
          <w:iCs w:val="1"/>
          <w:color w:val="auto"/>
        </w:rPr>
        <w:t>inter</w:t>
      </w:r>
      <w:r>
        <w:rPr>
          <w:rFonts w:ascii="Arial" w:cs="Arial" w:eastAsia="Arial" w:hAnsi="Arial"/>
          <w:sz w:val="18"/>
          <w:szCs w:val="18"/>
          <w:color w:val="auto"/>
        </w:rPr>
        <w:t xml:space="preserve"> </w:t>
      </w:r>
      <w:r>
        <w:rPr>
          <w:rFonts w:ascii="Arial" w:cs="Arial" w:eastAsia="Arial" w:hAnsi="Arial"/>
          <w:sz w:val="18"/>
          <w:szCs w:val="18"/>
          <w:i w:val="1"/>
          <w:iCs w:val="1"/>
          <w:color w:val="auto"/>
        </w:rPr>
        <w:t>alia</w:t>
      </w:r>
      <w:r>
        <w:rPr>
          <w:rFonts w:ascii="Arial" w:cs="Arial" w:eastAsia="Arial" w:hAnsi="Arial"/>
          <w:sz w:val="18"/>
          <w:szCs w:val="18"/>
          <w:color w:val="auto"/>
        </w:rPr>
        <w:t>, for income generated by “Preferred Companies” from their “Preferred Enterprises.” The definition of a Preferred Company includes, inter alia, a</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incorporated in Israel that (i) is not wholly-owned by a governmental entity; (ii) owns a Preferred Enterprise, which is defined as an “Industrial Enterprise” (as defined under the Investment Law); (iii) is controlled and managed from Israel; and (iv) satisfies further conditions set forth in the Investment Law.</w:t>
      </w:r>
    </w:p>
    <w:p>
      <w:pPr>
        <w:spacing w:after="0" w:line="188"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 Preferred Company is entitled to a reduced corporate tax rate of 16% with respect to income attributable to its Preferred Enterprise, unless the Preferred Enterprise is located in a specified development zone, known as development zone A, in which case the rate is currently 7.5%.</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Dividends paid out of income attributed to a Preferred Enterprise are generally subject to tax at the rate of 20% or such lower rate as may be provided in an applicable tax treaty. However, if such dividends are paid to an Israeli company, no tax is required to be withheld (although, if the funds are subsequently distributed to individuals or non-Israeli residents (individuals and corporations), the withholding tax would apply).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Moreover, an additional tax of 3% will be imposed on individuals whose annual taxable income exceeds a certain threshold (NIS 641,880 for 2018).</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we have not yet generated income, there is no assurance that we qualify as a Preferred Company or that the benefits described above will be available to us in the future.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Tax Benefits for Income from Preferred Technology Enterprise</w:t>
      </w:r>
    </w:p>
    <w:p>
      <w:pPr>
        <w:spacing w:after="0" w:line="225"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An amendment to the Investment Law, or the 2017 Amendment, was enacted as part of the Economic Efficiency Law that was published on December 29, 2016, and became effective as of January 1, 2017. The 2017 Amendment provides new tax benefits to Preferred Companies for two types of “Technology Enterprises,” as described below, and is in addition to the other existing tax beneficial programs under the Investment Law.</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2017 Amendment provides that a technology company satisfying certain conditions will qualify as a “Preferred Technology Enterprise” and may thereby enjoy a reduced corporate tax rate of 12% on income that qualifies as “Preferred Technology Income”, as defined in the Investment Law. The tax rate is further reduced to 7.5% for a Preferred Technology Enterprise located in development zone A. In addition, a Preferred Technology Enterprise may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IIA.</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2017 Amendment further provides that a technology company satisfying certain conditions (including an annual turnover of NIS 10 billion or more of the group that the technology company is a part) will qualify as a “Special Preferred Technology Enterprise” and may thereby enjoy a reduced corporate tax rate of 6% on “Preferred Technology Income” regardless of the company’s geographic location within Israel. In addition, a Special Preferred Technology Enterprise will enjoy a reduced corporate tax rate of 6% on capital gain derived from the sale of certain “Benefitted Intangible Assets” to a related foreign company if the Benefitted Intangible Assets were either developed by an Israeli company or acquired from a foreign company, in each case if the Benefited Intangible Assets were acquired on or after January 1, 2017, and the sale received prior approval from the IIA. A Special Preferred Technology Enterprise that acquires Benefitted Intangible Assets from a foreign company for more than NIS 500 million will be eligible for these benefits for at least 10 years, subject to satisfying certain conditions and obtaining certain approvals as specified in the Investment Law.</w:t>
      </w:r>
    </w:p>
    <w:p>
      <w:pPr>
        <w:spacing w:after="0" w:line="179"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Dividends distributed by a Preferred Technology Enterprise or a Special Preferred Technology Enterprise, paid out of Preferred Technology Income, are subject to tax at the rate of 20%, and if distributed to a foreign company and other conditions are met the tax rate will be 4%.</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50" w:name="page151"/>
    <w:bookmarkEnd w:id="15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we have not yet generated income, there is no assurance that we qualify as a Preferred Technology Enterprise or Special Preferred Technology Enterprise or that the benefits described above will be available to us in the future.</w:t>
      </w:r>
    </w:p>
    <w:p>
      <w:pPr>
        <w:spacing w:after="0" w:line="17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If in the future we generate taxable income, to the extent that we qualify as a “Preferred Company,” the benefits provided under the Investment Law could potentially reduce our corporate tax liabilities. Therefore, the termination or substantial reduction of the benefits available under the Investment Law could materially increase our tax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Tax</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Israeli law generally imposes a capital gains tax on the sale of any capital assets by residents of Israel, as defined for Israeli tax purposes, and on the sale of capital assets located in Israel, including shares or warrants of Israeli companies by non-residents of Israel, unless a specific exemption is available or unless a tax treaty between Israel and the shareholder’s country of residence provides otherwise. Israeli law distinguishes between real capital gain and inflationary surplus. The inflationary surplus is a portion of the total capital gain that is attributable to the increase in the Israeli consumer price index or, in certain circumstances, a foreign currency exchange rate between the date of purchase and the date of sale. The real capital gain is the excess of the total capital gain over the inflationary surplus.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Israeli Resident Shareholders</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Generally, the tax rate applicable to real capital gains derived from the sale of our ordinary shares or warrants acquired pursuant to this offering is 25% for Israeli individuals, unless such shareholder claims a deduction for interest and linkage differences expenses in connection with such shares, in which case the gain will generally be taxed at a rate of 30%. Additionally, if such shareholder is considered a “significant shareholder” at the time of the sale or at any time during the 12-month period preceding such sale, the tax rate will be 30%. A “significant shareholder” is defined as a person who holds, directly or indirectly, including together with others, at least 10% of any means of control in the company (including, among other things, the right to receive profits of the company, voting rights, the right to receive the company’s liquidation proceeds and the right to appoint a director). However, different tax rates will apply to dealers in securities, whose income from the sale of securities is considered “business income”. An additional tax of 3% will be imposed on individuals whose annual taxable income exceeds a certain threshold (NIS 641,880 for 2018). Israeli companies are subject to the corporate tax rate on real capital gains derived from the sale of shares at the rate of 23%. Individual and corporate shareholders dealing in securities in Israel are taxed at the tax rates applicable to “business income”: currently, 23% for corporations and a marginal tax rate of up to 47% for individuals, plus an additional tax of 3%, which is imposed on individuals whose annual taxable income exceeds a certain threshold (NIS 641,880 for 2018).</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Non-Israeli Resident Shareholders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Non-Israeli residents (individuals and corporations) are generally exempt from Israeli capital gains tax on any gains derived from the sale, exchange or disposition of shares of Israeli companies publicly traded on a recognized stock exchange outside of Israel, provided, among other things, that such shareholders did not acquire their shares prior to the company’s initial public offering and the gains were not derived from a permanent establishment of such shareholders in Israel. The sale, exchange or other disposition of our warrants are generally exempt from capital gains tax in Israel by a non-Israeli resident holder provided, among other things, that (i) the gains were not derived from a permanent establishment of such holder in Israel; (ii) the warrants were not purchased from a related party or by way of certain tax-free reorganizations, and (iii) the warrants are not traded on an Israeli stock exchange on the date of sale. However, shareholders and holders of warrants that are non-Israeli entities will not be entitled to such exemption if Israeli residents hold an interest of more than 25% in such non-Israeli entities or are the beneficiaries of or are entitled to 25% or more of the revenues or profits of such non-Israeli entity, whether directly or indirectly. This exemption is not applicable to a person whose gains from selling or otherwise disposing of the shares are deemed to be business income.</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a sale of securities may be exempt from Israeli capital gains tax under the provisions of an applicable tax treaty. For example, pursuant to the Convention between the Government of the United States of America and the Government of Israel with respect to Taxes on Income, as amended, or the U.S.-Israel Tax Treaty, capital gains arising from the sale, exchange or disposition of ordinary shares by a person who qualifies as a resident of the United States within the meaning of the U.S.-Israel Tax Treaty and who holds the shares as a capital asset and is entitled to claim the benefits afforded to such person by</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U.S.-Israel Tax Treaty generally will not be subject to the Israeli capital gains tax unless (i) such person holds, directly or indirectly, shares representing 10% or more of our voting power during any part of the 12-month period preceding such sale, exchange or disposition, subject to particular conditions, (ii) the capital gains from such sale, exchange or disposition can be allocated to a permanent establishment of the shareholder in Israel or (iii) such person is an individual and was present in Israel for a period or periods of 183 days or more in the aggregate during the relevant tax year. In any such case, the sale, exchange or disposition of such shares would be subject to Israeli tax, to the extent applicable. Eligibility to benefit from tax treaties is conditioned upon the shareholder presenting a withholding certificate issued by the Israel Tax Authority prior to the applicable payment.</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Exercise and Lapse of Warrants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discussion relating to our warrants is not applicable to holders of warrants who are deemed “controlling members” as defined in Section 3(i) of the Ordinance, which generally means a holder who holds or is entitled to acquire, directly or indirectly, alone or together with his relative, (i) at least 5% of our issued share capital; (ii) at least 5% of our voting power; (iii) the right to receive at least 5% of our profits or assets upon winding up; or (iv) the right to appoint a director. A relative for this purpose means a spouse, brother, sister, parent, parent’s parent, descendant, the spouse’s descendant and the spouse of any of the foresaid. Such holders should consult with their own tax advisors regarding the potential tax implications to them of the receipt or exercise of our warrants.</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There are no regulations or other published guidelines pertaining to the Israeli tax treatment applicable to the exercise of securities (such as our warrants) that are not publicly traded. It may be concluded, however, by way of inference from other published guidance that holders of our warrants generally will not recognize gain or loss upon the exercise of our warrants for cash. An ordinary share acquired pursuant to the exercise of a warrant for cash generally will have a tax basis equal to the holder’s tax basis in the warrant, increased by the amount paid to exercise the warrant. If a warrant is allowed to lapse unexercised, the holder generally will recognize a capital loss equal to such holder’s tax basis in the warrant.</w:t>
      </w:r>
    </w:p>
    <w:p>
      <w:pPr>
        <w:spacing w:after="0" w:line="1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It is possible that a cashless exercise of a warrant would be treated as a taxable exchange in which gain or loss is recognized. In such event, a holder could be deemed to have surrendered a number of warrants with a fair market value equal to the exercise price for the number of warrants deemed exercised. For this purpose, the number of warrants deemed exercised would be equal to the number of warrants that would entitle the holder to receive upon exercise the number of ordinary shares issued pursuant to the cashless exercise of the warrants. In this situation, the holder would recognize capital gain or loss in an amount equal to the difference between the fair market value of the warrants deemed surrendered to pay the exercise price and the holder’s tax basis in the warrants deemed surrendered.</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Holders of warrants should consult with their own tax advisors regarding the manner in which such holders’ tax basis in each unit purchased in this offering is allocated among ordinary shares and warrants, the calculation of any tax basis adjustments and the calculation of capital gains upon the sale or other disposition of our warrants.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Withholding and Reporting</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Either the purchaser, the Israeli stockbrokers or financial institutions through which the shares and warrants are held is obliged to withhold tax on the amount of consideration paid upon the sale of securities (or, with respect to our ordinary shares, on the capital gain realized on the sale, if known) at the Israeli corporate tax rate for Israeli companies (currently 23%) and 30% from the gross consideration with respect to our warrants. In case the seller is an individual, the applicable withholding tax rate would be 25% of the amount of consideration paid upon the sale of securities (or, with respect to our ordinary shares, on the capital gain realized on the sale, if known) and 30% from the gross consideration with respect to our warrants.</w:t>
      </w:r>
    </w:p>
    <w:p>
      <w:pPr>
        <w:spacing w:after="0" w:line="17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some instances where our shareholders may be liable for Israeli tax on the sale of their ordinary shares or warrants, the payment of the consideration may be subject to the withholding of Israeli tax at source. Shareholders, including non-Israeli resident shareholders, may be required to demonstrate that they are exempt from tax on their capital gains in order to avoid withholding at source at the time of sale. In transactions involving a sale of all of the securities of an Israeli resident company, in the form of a merger or otherwise, the Israel Tax Authority may require non-Israeli resident shareholders who are not liable for Israeli tax to sign a declaration in a form specified by the Israel Tax Authority or obtain a specific exemption from the Israel Tax Authority to confirm their status as a non-resident of Israel, and, in the absence of such declarations or exemptions, may require the purchaser of the securities to withhold taxes at source.</w:t>
      </w:r>
    </w:p>
    <w:p>
      <w:pPr>
        <w:spacing w:after="0" w:line="18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At the sale of securities traded on a stock exchange, a detailed return, including a computation of the tax due, must be filed and an advanced payment must be paid on January 31 and June 30 of every tax year in respect of sales of securities made within the previous six months. However, if all tax due was withheld at source according to applicable provisions of the Ordinance and the regulations promulgated thereunder, then the aforementioned return need not be filed and no advance payment must be made. A capital gains report in connection with the sale of the warrants should be filed with the Israel Tax Authority within 30 days of the sale date of our warrants. Capital gain is also reportable on the annual income tax return.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Dividend Distributions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Israeli Residents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Israeli resident individuals are generally subject to Israeli income tax on the receipt of dividends paid on our ordinary shares (other than bonus shares). The tax rate applicable to such dividends is 25% or 30% for a shareholder that is considered a “significant shareholder” (as defined above) at any time during the 12-month period preceding such distribution. Dividends paid from income attributed to Preferred Enterprises are generally subject to tax at the rate of 20%. Dividends distributed by a Preferred Technology Enterprise or a Special Preferred Technology Enterprise, paid out of Preferred Technology Income, are generally subject to tax at the rate of 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Israeli resident companies are generally exempt from tax on the receipt of dividends paid on our ordinary shares.</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If the dividend is attributable partly to income derived from a Preferred Enterprise or to Preferred Technology Income of a Preferred Technology Enterprise or a Special Preferred Technology Enterprise and partly to other sources of income, the tax rate will be a blended rate reflecting the relative portions of the two types of income. We cannot assure you that we will designate the profits that may be distributed in a way that will reduce shareholders’ tax liability.</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Moreover, an additional tax of 3% will be imposed on individuals whose annual taxable income exceeds a certain threshold (NIS 641,880 for 2018).</w:t>
      </w:r>
    </w:p>
    <w:p>
      <w:pPr>
        <w:sectPr>
          <w:pgSz w:w="11900" w:h="16838" w:orient="portrait"/>
          <w:cols w:equalWidth="0" w:num="1">
            <w:col w:w="11420"/>
          </w:cols>
          <w:pgMar w:left="240" w:top="225" w:right="239" w:bottom="0" w:gutter="0" w:footer="0" w:header="0"/>
        </w:sect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0" w:gutter="0" w:footer="0" w:header="0"/>
          <w:type w:val="continuous"/>
        </w:sectPr>
      </w:pPr>
    </w:p>
    <w:bookmarkStart w:id="152" w:name="page153"/>
    <w:bookmarkEnd w:id="15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Non-Israeli Residents</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Non-residents of Israel (whether individuals or corporations) are generally subject to Israeli income tax on the receipt of dividends paid on ordinary shares at the rate of 25%, or 30% for a shareholder that is considered a “significant shareholder” (as defined above) at any time during the 12-month period preceding such distribution, or 20% if the dividend is distributed from income attributable to a Preferred Enterprise, Preferred Technology Enterprise or Special Preferred Technology Enterprise, which tax is to be withheld at source. Dividends not derived from income attributable to a Preferred Enterprise, Preferred Technology Enterprise or Special Preferred Technology Enterprise, are generally subject to Israeli withholding tax at a rate of 25% so long as the shares of a publicly traded company are registered with a nominee company (regardless of whether the recipient is a significant shareholder), unless a different rate is provided in a treaty between Israel and the shareholder’s country of residence.</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the U.S.-Israel Tax Treaty, the maximum rate of tax withheld in Israel on dividends paid to a holder of ordinary shares who qualifies as a resident of the United States within the meaning of the U.S.-Israel Tax Treaty is 25%. Such tax rate is generally reduced to 12.5% (for distribution of income that is not attributable to a Preferred Enterprise Preferred Technology Enterprise or Special Preferred Technology Enterprise) if the shareholder is a U.S. corporation and holds at least 10% of our issued voting power during the tax year in which the dividend is distributed as well as during the whole of its prior tax year, provided that not more than 25% of the gross income for such preceding year consists of certain types of interest or dividends and a certificate for a reduced withholding tax rate is obtained in advance from the Israeli Tax Authority.</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aforementioned rates under the U.S.-Israel Double Tax Treaty will not apply if the dividend income was derived through a permanent establishment of the U.S. resident in Israel.</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 non-Israeli resident who receives dividend income derived from or accrued from Israel, from which the full amount of tax was withheld at source, is generally exempt from the obligation to file tax returns in Israel with respect to such income, provided that (i) such income was not generated from business conducted in Israel by the taxpayer, and (ii) the taxpayer has no other taxable sources of income in Israel with respect to which a tax return is required to be filed.</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Eligibility to benefit from tax treaties is conditioned upon the shareholder presenting a withholding certificate issued by the Israel Tax Authority prior to the applicable dividend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Distributions on Warrants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discussed above under “Dividend Policy,” we do not currently expect to make distributions on our ordinary shares. However, if we make any distributions on our ordinary shares (including cash distributions), we will be required to make distributions to holders of warrants as described under “Description of Warrants—Certain Adjustments”. The gross amount of any such distributions to holders of warrants may be treated as ordinary income for Israeli income tax purposes and subject to ordinary income tax rates. Under applicable law, we will have withholding obligations and may be required to withhold from the gross amount of such distribution at rates which could be up to the highest tax rates applicable to ordinary income. Holders of our warrants should consult their own tax advisers concerning the Israeli income tax treatment of distributions on our warrants including, with respect to non-Israeli resident holders, the credibility of any Israeli taxes withheld on such distributions.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Excess Tax</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Individuals who are subject to tax in Israel are also subject to an additional tax at a rate of 3% on annual income exceeding a certain threshold (NIS 641,880 for 2018), which amount is linked to the annual change in the Israeli consumer price index, including, but not limited to, dividends, interest and capital gain, subject to the provisions of an applicable tax treaty.</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53" w:name="page154"/>
    <w:bookmarkEnd w:id="15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Material U.S. Federal Income Tax Considerations for U.S. Holders</w:t>
      </w:r>
    </w:p>
    <w:p>
      <w:pPr>
        <w:spacing w:after="0" w:line="24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opinion of Davis Polk &amp; Wardwell LLP, the following are material U.S. federal income tax consequences to the U.S. Holders described below of owning and disposing of our ordinary shares and warrants, but it does not purport to be a comprehensive description of all the tax considerations that may be relevant to a particular person’s decision to acquire the ordinary shares and warrants. This discussion applies only to a U.S. Holder that acquires our ordinary shares and warrants in this offering and holds them as capital assets for U.S. federal income tax purposes. This discussion does not address tax consequences of a Fundamental Transaction to U.S. Holders. In addition, it does not describe all of the tax consequences that may be relevant in light of a U.S. Holder’s particular circumstances, including alternative minimum tax consequences, any aspect of the provisions of the Internal Revenue Code of 1986, as amended, or the Code, commonly known as the Medicare tax and tax consequences applicable to U.S. Holders subject to special rules, such as:</w:t>
      </w:r>
    </w:p>
    <w:p>
      <w:pPr>
        <w:spacing w:after="0" w:line="167" w:lineRule="exact"/>
        <w:rPr>
          <w:sz w:val="20"/>
          <w:szCs w:val="20"/>
          <w:color w:val="auto"/>
        </w:rPr>
      </w:pPr>
    </w:p>
    <w:p>
      <w:pPr>
        <w:ind w:left="340" w:hanging="170"/>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dealers or traders in securities that use a mark-to-market method of tax accounting;</w:t>
      </w:r>
    </w:p>
    <w:p>
      <w:pPr>
        <w:spacing w:after="0" w:line="225" w:lineRule="exact"/>
        <w:rPr>
          <w:rFonts w:ascii="Arial" w:cs="Arial" w:eastAsia="Arial" w:hAnsi="Arial"/>
          <w:sz w:val="18"/>
          <w:szCs w:val="18"/>
          <w:color w:val="auto"/>
        </w:rPr>
      </w:pPr>
    </w:p>
    <w:p>
      <w:pPr>
        <w:ind w:left="340" w:right="40" w:hanging="170"/>
        <w:spacing w:after="0" w:line="277"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holding ordinary shares or warrants as part of a “straddle” or integrated transaction or persons entering into a constructive sale with respect to the ordinary shares or warrants;</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tax exempt entities, “individual retirement accounts” or “Roth IRAs”;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that own or are deemed to own 10% or more of our stock by vote or value; or</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persons holding our ordinary shares in connection with a trade or business conducted outside of the United States.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an entity that is classified as a partnership for U.S. federal income tax purposes owns our ordinary shares or warrants, the U.S. federal income tax treatment of a partner will generally depend on the status of the partner and the activities of the partnership. Partnerships owning our ordinary shares or warrants and partners in such partnerships should consult their tax advisers as to the particular U.S. federal tax consequences of owning and disposing of the ordinary shares or warrants.</w:t>
      </w:r>
    </w:p>
    <w:p>
      <w:pPr>
        <w:spacing w:after="0" w:line="21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This discussion is based on the Code, administrative pronouncements, judicial decisions, and final and proposed Treasury regulations, changes to any of which subsequent to the date of this offering may affect the tax consequences described herein.</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purposes of this discussion, a “U.S. Holder” is a person who, for U.S. federal income tax purposes, is a beneficial owner of ordinary shares and warrants and is:</w:t>
      </w:r>
    </w:p>
    <w:p>
      <w:pPr>
        <w:spacing w:after="0" w:line="170" w:lineRule="exact"/>
        <w:rPr>
          <w:sz w:val="20"/>
          <w:szCs w:val="20"/>
          <w:color w:val="auto"/>
        </w:rPr>
      </w:pPr>
    </w:p>
    <w:p>
      <w:pPr>
        <w:ind w:left="340" w:hanging="170"/>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25" w:lineRule="exact"/>
        <w:rPr>
          <w:rFonts w:ascii="Arial" w:cs="Arial" w:eastAsia="Arial" w:hAnsi="Arial"/>
          <w:sz w:val="18"/>
          <w:szCs w:val="18"/>
          <w:color w:val="auto"/>
        </w:rPr>
      </w:pPr>
    </w:p>
    <w:p>
      <w:pPr>
        <w:ind w:left="340" w:right="260" w:hanging="170"/>
        <w:spacing w:after="0" w:line="277"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U.S. Holders should consult their tax advisers concerning the U.S. federal, state, local and foreign tax consequences of owning and disposing of our ordinary shares and warrants in their particular circumstances.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determining their tax basis for the ordinary shares and warrants purchased together, U.S. Holders should allocate their total purchase price between the ordinary shares and warrants on the basis of their relative fair market values at the time of issuance. We expect, and this discussion assumes, that the price per ordinary share and price per warrant indicated on the cover of this prospectus reflect the relative fair market value of the common stock and the warrants at the time of issuance.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Distributions on Ordinary Shares</w:t>
      </w:r>
    </w:p>
    <w:p>
      <w:pPr>
        <w:spacing w:after="0" w:line="229"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As discussed above under “Dividend Policy,” we currently do not expect to make distributions on our ordinary shares. Subject to the discussion below under “Passive Foreign Investment Company Rules,” any distributions paid on our ordinary shares (other than certain pro-rata distributions of ordinary shares) will be treated as dividends to the extent paid out of our current or accumulated earnings and profits (as determined under U.S. federal income tax principles).</w:t>
      </w:r>
    </w:p>
    <w:p>
      <w:pPr>
        <w:ind w:right="100"/>
        <w:spacing w:after="0" w:line="271" w:lineRule="auto"/>
        <w:rPr>
          <w:sz w:val="20"/>
          <w:szCs w:val="20"/>
          <w:color w:val="auto"/>
        </w:rPr>
      </w:pPr>
      <w:r>
        <w:rPr>
          <w:rFonts w:ascii="Arial" w:cs="Arial" w:eastAsia="Arial" w:hAnsi="Arial"/>
          <w:sz w:val="17"/>
          <w:szCs w:val="17"/>
          <w:color w:val="auto"/>
        </w:rPr>
        <w:t>Because we do not calculate our earnings and profits under U.S. federal income tax principles, it is expected that distributions generally will be reported to U.S. Holders as dividends. Subject to applicable limitations, dividends paid to certain non-corporate U.S. Holders may be taxable at the favorable tax rates applicable to “qualified dividend income”. Non-corporate U.S. Holders should consult their tax advisers regarding the availability of these favorable rates on dividends in their particular circumstances. Dividends will not be eligible for the dividends received deduction generally available to U.S. corporations under the Code and will generally be included in a U.S. Holder’s income on the date of receipt.</w:t>
      </w:r>
    </w:p>
    <w:p>
      <w:pPr>
        <w:sectPr>
          <w:pgSz w:w="11900" w:h="16838" w:orient="portrait"/>
          <w:cols w:equalWidth="0" w:num="1">
            <w:col w:w="11420"/>
          </w:cols>
          <w:pgMar w:left="240" w:top="225" w:right="239" w:bottom="1440" w:gutter="0" w:footer="0" w:header="0"/>
        </w:sectPr>
      </w:pP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54" w:name="page155"/>
    <w:bookmarkEnd w:id="15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Dividend income will include any amounts withheld in respect of Israeli taxes, and will be treated as foreign source income for foreign tax credit purposes. Subject to applicable limitations, some of which vary depending upon the U.S. Holder’s circumstances, Israeli taxes withheld from dividends on our ordinary shares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w:t>
      </w:r>
    </w:p>
    <w:p>
      <w:pPr>
        <w:spacing w:after="0" w:line="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U.S. Holders may elect to deduct foreign taxes (including Israeli taxes) in computing their taxable income, subject to applicable limitations. An election to deduct foreign taxes instead of claiming foreign tax credits applies to all foreign taxes paid or accrued in the taxable year.</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any dividend is paid in foreign currency, the amount of dividend income will be the dividend’s U.S. dollar amount calculated by reference to the exchange rate in effect on the date of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Taxable Disposition of Ordinary Shares</w:t>
      </w:r>
    </w:p>
    <w:p>
      <w:pPr>
        <w:spacing w:after="0" w:line="22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Subject to the discussion below under “Passive Foreign Investment Company Rules,” gain or loss realized on the sale or other taxable disposition of our ordinary shares will be capital gain or loss and will be long-term capital gain or loss if the U.S. Holder held the ordinary shares for more than one year. The amount of the gain or loss will equal the difference between the U.S. Holder’s tax basis in the ordinary shares disposed of and the amount realized on the disposition. See “—Sale or Other Disposition, Exercise or Expiration of Warrants” below for a discussion regarding a U.S. Holder’s tax basis and holding period for ordinary shares acquired pursuant to an exercise of warrants. This gain or loss will generally be U.S. source gain or loss for foreign tax credit purposes. The deductibility of capital losses is subject to limitations.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Taxable Disposition, Exercise or Expiration of Warrants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the discussion below under “Passive Foreign Investment Company Rules,” gain or loss realized on the sale or other disposition of a warrant (other than by way of exercise) will be capital gain or loss and will be long-term capital gain or loss if the U.S. Holder held the warrant for more than one year at the time of the sale or disposition. The amount of the gain or loss will equal the difference between the U.S. Holder’s tax basis in the warrants disposed of and the amount realized on the disposition.</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general, a U.S. Holder will not be required to recognize income, gain or loss upon the exercise of a warrant by payment of the exercise price in cash. A U.S. Holder’s tax basis in ordinary shares received upon exercise of warrants will be equal to the sum of (1) the U.S. Holder’s tax basis in the warrant and (2) the exercise price of the warrant. A U.S. Holder’s holding period in the ordinary shares received upon exercise should commence on the day the warrants are exercised.</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Although there is no direct legal authority as to the U.S. federal income tax treatment of an exercise of a warrant on a cashless basis, we believe that it is reasonable to take the position that such exercise will not be taxable (except with respect to cash received in lieu of a fractional ordinary share), either because the exercise is not a gain realization event or because it qualifies as a tax-free recapitalization. In the former case, subject to the discussion below under “— Passive Foreign Investment Company Rules,” the holding period of the ordinary shares should commence on the day the warrants are exercised. In the latter case, the holding period of the ordinary shares would include the holding period of the exercised warrants. In either case, the U.S. Holder’s tax basis in the ordinary shares (including any fractional ordinary share) received generally would equal the U.S. Holder’s tax basis in the warrants. However, our position regarding the treatment of a cashless exercise is not binding on the Internal Revenue Service, or the IRS, and the IRS may treat a cashless exercise of a warrant as a taxable exchange. U.S. Holders are urged to consult their tax advisers as to the consequences of an exercise of a warrant on a cashless basis. The receipt of cash in lieu of a fractional ordinary share should result in a capital gain or loss equal to the difference between the cash received and the U.S. Holder’s tax basis in the ordinary shares allocable to the fractional share.</w:t>
      </w: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55" w:name="page156"/>
    <w:bookmarkEnd w:id="15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If a warrant expires without being exercised, a U.S. Holder will recognize a capital loss in an amount equal to such U.S. Holder’s tax basis in the warrant. This loss will be long-term capital loss if, at the time of the expiration, the U.S. Holder’s holding period in the warrant is more than one year. The deductibility of capital losses is subject to limitations.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Distributions on Warrants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discussed above under “Dividend Policy,” we do not currently expect to make distributions on our ordinary shares. However, if we make any distributions on our ordinary shares (including cash distributions), we will be required to make distributions to holders of warrants as described under “Description of Warrants—Certain Adjustments”. The gross amount of any such distributions to U.S. Holders of warrants (including any amounts withheld in respect of Israeli taxes) will be treated as ordinary income for U.S. federal income tax purposes. U.S. Holders should expect that any such distributions will not qualify for the preferential tax rates applicable to qualified dividend income of non-corporate shareholders. In addition, if we are a PFIC for any taxable year, under proposed Treasury regulations any such distributions could be subject to the adverse PFIC rules described in “—Passive Foreign Investment Company Rules.” U.S. Holders should consult their tax advisers concerning the U.S. federal income tax treatment of distributions on warrants, including the credibility of any Israeli taxes withheld on such distributions.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 Rules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may be a “passive foreign investment company,” or a PFIC, for our current or any future taxable year. In general, a non-U.S. corporation is a PFIC for any taxable year in which (i) 75% or more of its gross income consists of passive income, the income test or (ii) 50% or more of the average quarterly value of its assets consists of assets that produce, or are held for the production of, passive income, the assets test. Generally, “passive income” includes interest, dividends, rents, royalties and certain gains, and cash (including cash raised in this offering) is a passive asset for PFIC purposes.</w:t>
      </w:r>
    </w:p>
    <w:p>
      <w:pPr>
        <w:spacing w:after="0" w:line="15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assets shown on our balance sheet are expected to consist primarily of cash and cash equivalents for the foreseeable future. Therefore, whether we will satisfy the assets test for the current or any future taxable year will depend largely on the quarterly value of our goodwill, and on how quickly we utilize the cash in our business. Because (i) the value of our goodwill may be determined by reference to the market price of our ordinary shares, which may be volatile given the nature and early stage of our business, (ii) we expect to hold a significant amount of cash following this offering, and (iii) a company’s PFIC status is determined on an annual basis after the end of each taxable year, we cannot express a view as to whether we will be a PFIC for the current or any future taxable year. In addition, it is not clear how to apply the income test to a company such as our company, whose only income for a relevant taxable year is passive interest income but whose overall losses significantly exceed the amount of such passive income. We believe that it is reasonable to take the position that a company like us, whose overall losses exceed its passive income, would not be a PFIC if it otherwise would not be a PFIC under the assets test for the relevant taxable year, but there can be no assurance that the IRS will respect, or a court will uphold, such position.</w:t>
      </w:r>
    </w:p>
    <w:p>
      <w:pPr>
        <w:spacing w:after="0" w:line="16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purposes of the assets test and income test,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56" w:name="page157"/>
    <w:bookmarkEnd w:id="15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attribution rules, if we were a PFIC for any taxable year and had any subsidiaries or other entities in which we held a direct or indirect equity interest that are also PFICs, or Lower-tier PFICs, U.S. Holders would be deemed to own their proportionate share of any such Lower-tier PFICs and would be subject to U.S. federal income tax according to the rules described in the following paragraph on (i) certain distributions by a Lower-tier PFIC and (ii) a disposition of shares of a Lower-tier PFIC, in each case as if the U.S. Holders held such shares or equity interests directly, even if the U.S. Holders do not receive the proceeds of those distributions or dispositions.</w:t>
      </w:r>
    </w:p>
    <w:p>
      <w:pPr>
        <w:spacing w:after="0" w:line="18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If we were a PFIC for any taxable year during which a U.S. Holder held our ordinary shares (and, under proposed Treasury regulations, warrants), an adverse tax regime would apply to the U.S. Holder’s investment in our ordinary shares (and warrants). Generally, gain recognized upon a taxable disposition (including, under certain circumstances, a pledge) of ordinary shares (or, under proposed Treasury regulations, warrants) by the U.S. Holder would be allocated ratably over the U.S. Holder’s holding period for such ordinary shares (or warrants). The amounts allocated to the taxable year of disposition and to taxable years prior to the first taxable year in which we were a PFIC would be taxed as ordinary income. The amount allocated to each other taxable year would be subject to tax at the highest tax rate in effect for that taxable year for individuals or corporations, as appropriate, and an interest charge would be imposed on the resulting tax liability for each such year. Further, to the extent that any distribution received by a U.S. Holder on ordinary shares (or, under proposed Treasury regulations, warrants) exceeded 125% of the average of the annual distributions received on such ordinary shares (or warrants) during the preceding three years or the U.S. Holder’s holding period, whichever is shorter, that distribution would be subject to taxation in the same manner. Under proposed Treasury regulations, if we were a PFIC during any taxable year during which a U.S. Holder held our warrants, the holding period for the ordinary shares received upon exercise of such warrants would include the holding period of the warrants.</w:t>
      </w:r>
    </w:p>
    <w:p>
      <w:pPr>
        <w:spacing w:after="0" w:line="17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Alternatively, if we were a PFIC and if the ordinary shares were “regularly traded” on a “qualified exchange,” a U.S. Holder might be able to make a mark-to-market election with respect to our ordinary shares (but generally not with respect to Lower-tier PFICs, if any) that would result in tax treatment different from the general tax treatment for PFICs described above. The ordinary shares would be treated as “regularly traded” in any calendar year in which more than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quantity of the ordinary shares were traded on a qualified exchange on at least 15 days during each calendar quarter. The NASDAQ Capital Market, where our ordinary shares are expected to be listed, is a qualified exchange for this purpose. If a U.S. Holder makes the mark-to-market election, the U.S. Holder generally will recognize in each year that we are a PFIC as ordinary income any excess of the fair market value of the ordinary shares at the end of the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these income or loss amounts. In addition, if a U.S. Holder makes the mark-to-market election, any gain that the U.S. Holder recognizes on the sale or other disposition of ordinary shares in a year in which we are a PFIC will be treated as ordinary income and any loss will be treated as an ordinary loss (but only to the extent of the net amount of income previously included as a result of the mark-to-market election). Under current law, a mark-to-market election is not available with respect to the warrants. U.S. Holders should consult their tax advisers regarding the availability and advisability of making a mark-to-market election in their particular circumstances.</w:t>
      </w:r>
    </w:p>
    <w:p>
      <w:pPr>
        <w:spacing w:after="0" w:line="1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do not intend to provide information necessary for U.S. Holders to make qualified electing fund elections, which, if available, would result in a further alternative tax treatment.</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we were a PFIC for any year during which a U.S. Holder owns ordinary shares (or, under proposed Treasury regulations, warrants), we generally would continue to be treated as a PFIC with respect to such U.S. Holder’s ordinary shares (or warrants) unless (a) we ceased to be a PFIC and (b) the U.S. Holder has made a “deemed sale” election under the PFIC rules which may result in recognition of gain (but not loss), taxable under the PFIC rules described above, without the receipt of any corresponding cash.</w:t>
      </w:r>
    </w:p>
    <w:p>
      <w:pPr>
        <w:spacing w:after="0" w:line="187" w:lineRule="exact"/>
        <w:rPr>
          <w:sz w:val="20"/>
          <w:szCs w:val="20"/>
          <w:color w:val="auto"/>
        </w:rPr>
      </w:pPr>
    </w:p>
    <w:p>
      <w:pPr>
        <w:jc w:val="both"/>
        <w:ind w:right="260"/>
        <w:spacing w:after="0" w:line="279" w:lineRule="auto"/>
        <w:rPr>
          <w:sz w:val="20"/>
          <w:szCs w:val="20"/>
          <w:color w:val="auto"/>
        </w:rPr>
      </w:pPr>
      <w:r>
        <w:rPr>
          <w:rFonts w:ascii="Arial" w:cs="Arial" w:eastAsia="Arial" w:hAnsi="Arial"/>
          <w:sz w:val="17"/>
          <w:szCs w:val="17"/>
          <w:color w:val="auto"/>
        </w:rPr>
        <w:t>If we were a PFIC or, with respect to a particular U.S. Holder, were treated as a PFIC for the taxable year in which we pay a dividend or the prior taxable year, the preferential rates discussed above with respect to dividends paid to certain non-corporate U.S. Holders of our ordinary shares would not apply. In addition, if we were a PFIC for any taxable year during which a U.S. Holder owns ordinary shares (or, under proposed Treasury regulations, warrants), the U.S. Holder would be required to file annual reports with the IRS, subject to certain exceptions.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U.S. Holders should consult their tax advisers regarding the potential application of the PFIC rules to an investment in our ordinary shares and warrants.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Payments of distributions and sales proceeds that are made within the United States or through certain U.S. 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 Backup withholding is not an additional tax. The amount of any backup withholding from a payment to a U.S. Holder will be allowed as a credit against the U.S. Holder’s U.S. federal</w:t>
      </w: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57" w:name="page158"/>
    <w:bookmarkEnd w:id="15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income tax liability and may entitle it to a refund, provided that the required information is timely furnished to the 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with Respect to Foreign Financial Assets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U.S. Holders who are individuals and certain closely-held entities may be required to report information relating to the ordinary shares and warrants, unless the ordinary shares or warrants are held in an account maintained by a financial institution (in which case the account itself may be reportable if maintained by a non-U.S. financial institution). U.S. Holders should consult their tax advisors regarding their reporting obligations with respect to their ownership and disposition of the ordinary shares and warrants.</w:t>
      </w:r>
    </w:p>
    <w:p>
      <w:pPr>
        <w:spacing w:after="0" w:line="3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5" w:right="379" w:bottom="1440" w:gutter="0" w:footer="0" w:header="0"/>
        </w:sectPr>
      </w:pPr>
    </w:p>
    <w:bookmarkStart w:id="158" w:name="page159"/>
    <w:bookmarkEnd w:id="15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SHARES ELIGIBLE FOR FUTURE SALE</w:t>
      </w:r>
    </w:p>
    <w:p>
      <w:pPr>
        <w:spacing w:after="0" w:line="2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Prior to this offering, there has been no public market for our ordinary shares. Future sales of our ordinary shares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ordinary shares in the public market after such restrictions lapse, or the perception that those sales may occur, could adversely affect the prevailing market price at such time and our ability to raise equity capital in the future.</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Based on the number of ordinary shares outstanding as of March 31, 2018, upon completion of this offering ordinary shares will be outstanding (which includes ordinary shares issuable upon the conversion of our preferred shares that will be outstanding upon the closing of this offering and ordinary shares issuable upon the conversion of our convertible loans that will be outstanding upon the closing of this offering), after giving effect to the 1-for- split of our ordinary shares that is described elsewhere in this prospectus, assuming no exercise of options or outstanding warrants or the underwriters’ option to purchase additional ordinary shares from us.</w:t>
      </w:r>
    </w:p>
    <w:p>
      <w:pPr>
        <w:spacing w:after="0" w:line="18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Of these shares, the ordinary shares sold in this offering will be freely tradable without restriction or further registration under the Securities Act, unless purchased by our “affiliates,” as that term is defined in Rule 144 under the Securities Act. The remaining ordinary shares outstanding after this offering will be “restricted securities” under Rule 144, and substantially all of these restricted securities will be subject to the 180-day lock-up period under the lock-up agreements described below. Following the expiration of these lock-up periods, those shares may be registered or may be eligible for resale in compliance with Rules 144 or 701 under the Securities Act, as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We and our executive officers, directors, and certain of our shareholders and lenders have agreed not to offer, sell, agree to sell, directly or indirectly, or otherwise dispose of any ordinary shares or any securities convertible into or exchangeable for ordinary shares except for the ordinary shares offered in this</w:t>
      </w:r>
    </w:p>
    <w:p>
      <w:pPr>
        <w:ind w:right="80"/>
        <w:spacing w:after="0" w:line="253" w:lineRule="auto"/>
        <w:rPr>
          <w:sz w:val="20"/>
          <w:szCs w:val="20"/>
          <w:color w:val="auto"/>
        </w:rPr>
      </w:pPr>
      <w:r>
        <w:rPr>
          <w:rFonts w:ascii="Arial" w:cs="Arial" w:eastAsia="Arial" w:hAnsi="Arial"/>
          <w:sz w:val="18"/>
          <w:szCs w:val="18"/>
          <w:color w:val="auto"/>
        </w:rPr>
        <w:t>offering without the prior written consent of for a period of 180 days after the date of this prospectus, subject to certain exceptions. After the expiration of the 180-day period, the shares may be sold subject to the restrictions under Rule 144 or 701 under the Securities Act or by means of registered public offerings. Certain securities held by our shareholders shall not be subject to any such lock-up period, other than as required by applicable law, rule or regulation. The underwriters may, in their sole discretion, at any time without prior notice, release all or any portion of the shares from the restrictions in any such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Affiliate Resales of Restricted Securities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an affiliate of ours, or who was an affiliate at any time during the 90 days before a sale, who has beneficially owned part of our shares for at least six months would be entitled to sell in “broker’s transactions” or certain “riskless principal transactions” or to market makers, a number of shares within any three-month period that does not exceed the greater of:</w:t>
      </w:r>
    </w:p>
    <w:p>
      <w:pPr>
        <w:spacing w:after="0" w:line="187" w:lineRule="exact"/>
        <w:rPr>
          <w:sz w:val="20"/>
          <w:szCs w:val="20"/>
          <w:color w:val="auto"/>
        </w:rPr>
      </w:pPr>
    </w:p>
    <w:p>
      <w:pPr>
        <w:ind w:left="340" w:hanging="170"/>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1% of the number of shares of our shares then outstanding, which will equal approximately shares immediately after this offering; or</w:t>
      </w:r>
    </w:p>
    <w:p>
      <w:pPr>
        <w:spacing w:after="0" w:line="225" w:lineRule="exact"/>
        <w:rPr>
          <w:rFonts w:ascii="Arial" w:cs="Arial" w:eastAsia="Arial" w:hAnsi="Arial"/>
          <w:sz w:val="18"/>
          <w:szCs w:val="18"/>
          <w:color w:val="auto"/>
        </w:rPr>
      </w:pPr>
    </w:p>
    <w:p>
      <w:pPr>
        <w:ind w:left="340" w:right="460" w:hanging="170"/>
        <w:spacing w:after="0" w:line="277"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on the NASDAQ Capital Market during the four calendar weeks preceding the filing of a notice on Form 144 with respect to such sale.</w:t>
      </w:r>
    </w:p>
    <w:p>
      <w:pPr>
        <w:spacing w:after="0" w:line="17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Affiliate resales under Rule 144 also are subject to the availability of current public information about us. In addition, if the number of securities being sold under Rule 144 by an affiliate during any three-month period exceeds 5,000 securities or has an aggregate sale price in excess of $50,000, the seller must file a notice on Form 144 with the SEC and concurrently with either the placing of a sale order with the broker or the execution directly with a market maker.</w:t>
      </w:r>
    </w:p>
    <w:p>
      <w:pPr>
        <w:spacing w:after="0" w:line="2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59" w:name="page160"/>
    <w:bookmarkEnd w:id="15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Nonaffiliate Resales of Restricted Securities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shares for at least six months but less than a year, is entitled to sell such securities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 Nonaffiliate resales are not subject to the manner of sale, volume limitation or notice filing provisions of Rule 144.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general, under Rule 701 of the Securities Act, each of our employees, consultants or advisors who acquires our ordinary shares from us in connection with a compensatory share plan or other written agreement executed prior to the closing of this offering is eligible to resell such ordinary shares in reliance on Rule 144, but without compliance with some of the restrictions, including the holding period, contained in Rule 144.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After the completion of this offering, we intend to file one or more registration statements on Form S-8 under the Securities Act covering our shares subject to outstanding options and shares issuable under the Plan, permitting the resale of such shares by nonaffiliates in the public market without restriction under the Securities Act and the sale by affiliates in the public market, subject to compliance with the resale provisions of Rule 144. Accordingly, our shares registered under any such registration statement will be available for sale in the open market upon exercise by the holders, subject to vesting and holding restrictions, as applicable, Rule 144 limitations applicable to our affiliates and the contractual lock-up provisions described above.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Upon completion of this offering, the holders of 6,384,304 ordinary shares will be entitled to various rights with respect to the registration of these shares under the Securities Act. Registration of these shares would result in these shares becoming freely tradable without restriction under the Securities Act immediately upon the registered sale of such securities.</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Demand Registration Rights</w:t>
      </w:r>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Pursuant to the investors’ rights agreement, at any time beginning 180 days after the closing of this offering and for so long as we are eligible to file a registration statement on Form F-3, any shareholder or group of shareholders holding an aggregate of at least 10% of the registrable securities under the investors’ rights agreement that are not held by D.N.A Biomedical, may request in writing that we effect the registration under the Securities Act of the sale or other transfer of such shareholder or shareholders’ ordinary shares, provided that we are not required to effect more than three such registrations.</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Form F-3 Registration Statement</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After we become eligible to file a registration statement on Form F-3, which will not be until at least 12 months after the date of this prospectus, any shareholder or group of shareholders holding an aggregate of at least 10% of the registrable securities under the investors’ rights agreement that are not held by D.N.A Biomedical may request in writing that we effect a registration of the sale or other transfer of such shares, provided that the aggregate anticipated proceeds from the sale of such shares equals at least $1.0 million and that we are not required to effect more than three such registrations.</w:t>
      </w:r>
    </w:p>
    <w:p>
      <w:pPr>
        <w:spacing w:after="0" w:line="154"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We will not be obligated to file a registration statement on Form F-3 in certain cases including if in the good faith judgment of our board of directors (as reflected in a certificate delivered by our chief executive officer), such registration would be seriously detrimental to our company or its shareholders, provided that</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60" w:name="page161"/>
    <w:bookmarkEnd w:id="16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do not use this exemption more than once in any 12-month period. We also have the right not to effect a Form F-3 registration statement during the period from 60 days prior to the filing of, to six months following the effective date of, a previous registration statements.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Piggyback Registration Rights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investors’ rights agreement also provides our shareholders with “piggy back” registration rights in the event that we determine to register the sale of any of our securities following this offering. With respect to such registration rights, we have committed to use our reasonable best efforts to include in a registration statement a prospectus relating to the resale of certain securities held by certain of our shareholders, or to file concurrently with the application of this registration statement a separate registration statement with respect to the resale under the Securities Act of such securities held by such shareholders, so as to permit their disposition (such securities held by such shareholders and the rights attached to such securities are freely transferable by such shareholders).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161" w:name="page162"/>
    <w:bookmarkEnd w:id="16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UNDERWRITING</w:t>
      </w:r>
    </w:p>
    <w:p>
      <w:pPr>
        <w:spacing w:after="0" w:line="24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entered into an underwriting agreement with the underwriters named below on , 2018. Maxim Group LLC is acting as the representative of the underwriters. The underwriting agreement provides for the purchase of a specific number of units by each of the underwriters. The underwriters’ obligations are several, which means that each underwriter is required to purchase a specified number of units, but is not responsible for the commitment of any other underwriter to purchase units. Subject to the terms and conditions of the underwriting agreement, each underwriter has severally agreed to purchase the number of units set forth opposite its name below:</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r>
      <w:tr>
        <w:trPr>
          <w:trHeight w:val="234"/>
        </w:trPr>
        <w:tc>
          <w:tcPr>
            <w:tcW w:w="9040" w:type="dxa"/>
            <w:vAlign w:val="bottom"/>
            <w:gridSpan w:val="3"/>
          </w:tcPr>
          <w:p>
            <w:pPr>
              <w:spacing w:after="0"/>
              <w:rPr>
                <w:sz w:val="20"/>
                <w:szCs w:val="20"/>
                <w:color w:val="auto"/>
              </w:rPr>
            </w:pPr>
            <w:r>
              <w:rPr>
                <w:rFonts w:ascii="Arial" w:cs="Arial" w:eastAsia="Arial" w:hAnsi="Arial"/>
                <w:sz w:val="18"/>
                <w:szCs w:val="18"/>
                <w:b w:val="1"/>
                <w:bCs w:val="1"/>
                <w:color w:val="auto"/>
              </w:rPr>
              <w:t>Underwriter</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Units</w:t>
            </w:r>
          </w:p>
        </w:tc>
      </w:tr>
      <w:tr>
        <w:trPr>
          <w:trHeight w:val="223"/>
        </w:trPr>
        <w:tc>
          <w:tcPr>
            <w:tcW w:w="20" w:type="dxa"/>
            <w:vAlign w:val="bottom"/>
          </w:tcPr>
          <w:p>
            <w:pPr>
              <w:spacing w:after="0"/>
              <w:rPr>
                <w:sz w:val="19"/>
                <w:szCs w:val="19"/>
                <w:color w:val="auto"/>
              </w:rPr>
            </w:pPr>
          </w:p>
        </w:tc>
        <w:tc>
          <w:tcPr>
            <w:tcW w:w="8920" w:type="dxa"/>
            <w:vAlign w:val="bottom"/>
            <w:tcBorders>
              <w:top w:val="single" w:sz="8" w:color="auto"/>
              <w:bottom w:val="single" w:sz="8" w:color="D5EAEA"/>
            </w:tcBorders>
          </w:tcPr>
          <w:p>
            <w:pPr>
              <w:spacing w:after="0"/>
              <w:rPr>
                <w:sz w:val="20"/>
                <w:szCs w:val="20"/>
                <w:color w:val="auto"/>
              </w:rPr>
            </w:pPr>
            <w:r>
              <w:rPr>
                <w:rFonts w:ascii="Arial" w:cs="Arial" w:eastAsia="Arial" w:hAnsi="Arial"/>
                <w:sz w:val="18"/>
                <w:szCs w:val="18"/>
                <w:color w:val="auto"/>
              </w:rPr>
              <w:t>Maxim Group LLC</w:t>
            </w:r>
          </w:p>
        </w:tc>
        <w:tc>
          <w:tcPr>
            <w:tcW w:w="100" w:type="dxa"/>
            <w:vAlign w:val="bottom"/>
            <w:tcBorders>
              <w:bottom w:val="single" w:sz="8" w:color="D5EAEA"/>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9020" w:type="dxa"/>
            <w:vAlign w:val="bottom"/>
            <w:tcBorders>
              <w:bottom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shd w:val="clear" w:color="auto" w:fill="D5EAEA"/>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underwriters have agreed to purchase all of the units offered by this prospectus (other than the additional ordinary shares and/or warrants covered by the over-allotment option described below) if any are purchased.</w:t>
      </w:r>
    </w:p>
    <w:p>
      <w:pPr>
        <w:spacing w:after="0" w:line="170" w:lineRule="exact"/>
        <w:rPr>
          <w:sz w:val="20"/>
          <w:szCs w:val="20"/>
          <w:color w:val="auto"/>
        </w:rPr>
      </w:pPr>
    </w:p>
    <w:p>
      <w:pPr>
        <w:spacing w:after="0"/>
        <w:tabs>
          <w:tab w:leader="none" w:pos="6300" w:val="left"/>
        </w:tabs>
        <w:rPr>
          <w:sz w:val="20"/>
          <w:szCs w:val="20"/>
          <w:color w:val="auto"/>
        </w:rPr>
      </w:pPr>
      <w:r>
        <w:rPr>
          <w:rFonts w:ascii="Arial" w:cs="Arial" w:eastAsia="Arial" w:hAnsi="Arial"/>
          <w:sz w:val="18"/>
          <w:szCs w:val="18"/>
          <w:color w:val="auto"/>
        </w:rPr>
        <w:t>The units offered hereby are expected to be ready for delivery on or about</w:t>
      </w:r>
      <w:r>
        <w:rPr>
          <w:sz w:val="20"/>
          <w:szCs w:val="20"/>
          <w:color w:val="auto"/>
        </w:rPr>
        <w:tab/>
      </w:r>
      <w:r>
        <w:rPr>
          <w:rFonts w:ascii="Arial" w:cs="Arial" w:eastAsia="Arial" w:hAnsi="Arial"/>
          <w:sz w:val="16"/>
          <w:szCs w:val="16"/>
          <w:color w:val="auto"/>
        </w:rPr>
        <w:t>, 2018 against payment in immediately available funds.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underwriters are offering the units subject to various conditions and may reject all or part of any order. The representative of the underwriters has advised us that the underwriters propose initially to offer the units to the public at the public offering price set forth on the cover page of this prospectus and to dealers</w:t>
      </w:r>
    </w:p>
    <w:p>
      <w:pPr>
        <w:ind w:right="740"/>
        <w:spacing w:after="0" w:line="261" w:lineRule="auto"/>
        <w:rPr>
          <w:sz w:val="20"/>
          <w:szCs w:val="20"/>
          <w:color w:val="auto"/>
        </w:rPr>
      </w:pPr>
      <w:r>
        <w:rPr>
          <w:rFonts w:ascii="Arial" w:cs="Arial" w:eastAsia="Arial" w:hAnsi="Arial"/>
          <w:sz w:val="18"/>
          <w:szCs w:val="18"/>
          <w:color w:val="auto"/>
        </w:rPr>
        <w:t>at a price less a concession not in excess of $ per units to brokers and dealers. After the ordinary shares are released for sale to the public, the representative may change the offering price, the concession, and other selling terms at various times.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We have granted the underwriters an over-allotment option. This option, which is exercisable for up to 30 days after the date of this prospectus, permits the</w:t>
      </w:r>
    </w:p>
    <w:p>
      <w:pPr>
        <w:spacing w:after="0" w:line="46" w:lineRule="exact"/>
        <w:rPr>
          <w:sz w:val="20"/>
          <w:szCs w:val="20"/>
          <w:color w:val="auto"/>
        </w:rPr>
      </w:pPr>
    </w:p>
    <w:p>
      <w:pPr>
        <w:jc w:val="both"/>
        <w:ind w:right="200"/>
        <w:spacing w:after="0" w:line="281" w:lineRule="auto"/>
        <w:rPr>
          <w:sz w:val="20"/>
          <w:szCs w:val="20"/>
          <w:color w:val="auto"/>
        </w:rPr>
      </w:pPr>
      <w:r>
        <w:rPr>
          <w:rFonts w:ascii="Arial" w:cs="Arial" w:eastAsia="Arial" w:hAnsi="Arial"/>
          <w:sz w:val="16"/>
          <w:szCs w:val="16"/>
          <w:color w:val="auto"/>
        </w:rPr>
        <w:t>underwriters to purchase a maximum of additional ordinary shares and/or additional warrants to purchase up to ordinary shares from us to cover over-allotments, if any. If the underwriters exercise all or part of this option, they will purchase ordinary shares covered by the option at the public offering price that appears on the cover page of this prospectus, less the underwriting discounts and commissions. If this option is exercised in full, the total price to</w:t>
      </w:r>
    </w:p>
    <w:p>
      <w:pPr>
        <w:spacing w:after="0" w:line="2" w:lineRule="exact"/>
        <w:rPr>
          <w:sz w:val="20"/>
          <w:szCs w:val="20"/>
          <w:color w:val="auto"/>
        </w:rPr>
      </w:pPr>
    </w:p>
    <w:p>
      <w:pPr>
        <w:spacing w:after="0"/>
        <w:tabs>
          <w:tab w:leader="none" w:pos="1480" w:val="left"/>
          <w:tab w:leader="none" w:pos="5860" w:val="left"/>
        </w:tabs>
        <w:rPr>
          <w:sz w:val="20"/>
          <w:szCs w:val="20"/>
          <w:color w:val="auto"/>
        </w:rPr>
      </w:pPr>
      <w:r>
        <w:rPr>
          <w:rFonts w:ascii="Arial" w:cs="Arial" w:eastAsia="Arial" w:hAnsi="Arial"/>
          <w:sz w:val="18"/>
          <w:szCs w:val="18"/>
          <w:color w:val="auto"/>
        </w:rPr>
        <w:t>public will be $</w:t>
      </w:r>
      <w:r>
        <w:rPr>
          <w:sz w:val="20"/>
          <w:szCs w:val="20"/>
          <w:color w:val="auto"/>
        </w:rPr>
        <w:tab/>
      </w:r>
      <w:r>
        <w:rPr>
          <w:rFonts w:ascii="Arial" w:cs="Arial" w:eastAsia="Arial" w:hAnsi="Arial"/>
          <w:sz w:val="17"/>
          <w:szCs w:val="17"/>
          <w:color w:val="auto"/>
        </w:rPr>
        <w:t>, and the total proceeds to us, before expenses, will be $</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There is no established public trading market for the warrants being offered in this offering, and we do not expect a market to develop. In addition, we do not intend to apply to list the warrants on any national securities exchange or other nationally recognized trading system, including the NASDAQ Capital Market.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the amount of the discounts and commissions to be paid to the underwriters by us, before expenses: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4"/>
              </w:rPr>
              <w:t>Total With</w:t>
            </w:r>
          </w:p>
        </w:tc>
      </w:tr>
      <w:tr>
        <w:trPr>
          <w:trHeight w:val="216"/>
        </w:trPr>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Full</w:t>
            </w:r>
          </w:p>
        </w:tc>
      </w:tr>
      <w:tr>
        <w:trPr>
          <w:trHeight w:val="216"/>
        </w:trPr>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2"/>
              </w:rPr>
              <w:t>Total Without</w:t>
            </w:r>
          </w:p>
        </w:tc>
        <w:tc>
          <w:tcPr>
            <w:tcW w:w="10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7"/>
              </w:rPr>
              <w:t>Exercise of</w:t>
            </w:r>
          </w:p>
        </w:tc>
      </w:tr>
      <w:tr>
        <w:trPr>
          <w:trHeight w:val="216"/>
        </w:trPr>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9"/>
              </w:rPr>
              <w:t>Exercise of</w:t>
            </w:r>
          </w:p>
        </w:tc>
        <w:tc>
          <w:tcPr>
            <w:tcW w:w="10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3"/>
              </w:rPr>
              <w:t>Over-</w:t>
            </w:r>
          </w:p>
        </w:tc>
      </w:tr>
      <w:tr>
        <w:trPr>
          <w:trHeight w:val="216"/>
        </w:trPr>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rPr>
              <w:t>Per</w:t>
            </w:r>
          </w:p>
        </w:tc>
        <w:tc>
          <w:tcPr>
            <w:tcW w:w="320" w:type="dxa"/>
            <w:vAlign w:val="bottom"/>
          </w:tcPr>
          <w:p>
            <w:pPr>
              <w:spacing w:after="0"/>
              <w:rPr>
                <w:sz w:val="18"/>
                <w:szCs w:val="18"/>
                <w:color w:val="auto"/>
              </w:rPr>
            </w:pPr>
          </w:p>
        </w:tc>
        <w:tc>
          <w:tcPr>
            <w:tcW w:w="16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3"/>
              </w:rPr>
              <w:t>Over-Allotment</w:t>
            </w:r>
          </w:p>
        </w:tc>
        <w:tc>
          <w:tcPr>
            <w:tcW w:w="10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Allotment</w:t>
            </w:r>
          </w:p>
        </w:tc>
      </w:tr>
      <w:tr>
        <w:trPr>
          <w:trHeight w:val="234"/>
        </w:trPr>
        <w:tc>
          <w:tcPr>
            <w:tcW w:w="6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Unit(1)</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Option</w:t>
            </w:r>
          </w:p>
        </w:tc>
        <w:tc>
          <w:tcPr>
            <w:tcW w:w="10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Option</w:t>
            </w:r>
          </w:p>
        </w:tc>
      </w:tr>
      <w:tr>
        <w:trPr>
          <w:trHeight w:val="210"/>
        </w:trPr>
        <w:tc>
          <w:tcPr>
            <w:tcW w:w="650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Public offering price</w:t>
            </w:r>
          </w:p>
        </w:tc>
        <w:tc>
          <w:tcPr>
            <w:tcW w:w="200" w:type="dxa"/>
            <w:vAlign w:val="bottom"/>
            <w:tcBorders>
              <w:top w:val="single" w:sz="8" w:color="auto"/>
            </w:tcBorders>
            <w:shd w:val="clear" w:color="auto" w:fill="D5EAEA"/>
          </w:tcPr>
          <w:p>
            <w:pPr>
              <w:spacing w:after="0"/>
              <w:rPr>
                <w:sz w:val="18"/>
                <w:szCs w:val="18"/>
                <w:color w:val="auto"/>
              </w:rPr>
            </w:pPr>
          </w:p>
        </w:tc>
        <w:tc>
          <w:tcPr>
            <w:tcW w:w="640" w:type="dxa"/>
            <w:vAlign w:val="bottom"/>
            <w:tcBorders>
              <w:top w:val="single" w:sz="8" w:color="auto"/>
            </w:tcBorders>
            <w:shd w:val="clear" w:color="auto" w:fill="D5EAEA"/>
          </w:tcPr>
          <w:p>
            <w:pPr>
              <w:jc w:val="right"/>
              <w:ind w:right="4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D5EAEA"/>
          </w:tcPr>
          <w:p>
            <w:pPr>
              <w:spacing w:after="0"/>
              <w:rPr>
                <w:sz w:val="18"/>
                <w:szCs w:val="18"/>
                <w:color w:val="auto"/>
              </w:rPr>
            </w:pPr>
          </w:p>
        </w:tc>
        <w:tc>
          <w:tcPr>
            <w:tcW w:w="200" w:type="dxa"/>
            <w:vAlign w:val="bottom"/>
            <w:tcBorders>
              <w:top w:val="single" w:sz="8" w:color="D5EAEA"/>
            </w:tcBorders>
            <w:shd w:val="clear" w:color="auto" w:fill="D5EAEA"/>
          </w:tcPr>
          <w:p>
            <w:pPr>
              <w:spacing w:after="0"/>
              <w:rPr>
                <w:sz w:val="18"/>
                <w:szCs w:val="18"/>
                <w:color w:val="auto"/>
              </w:rPr>
            </w:pPr>
          </w:p>
        </w:tc>
        <w:tc>
          <w:tcPr>
            <w:tcW w:w="920" w:type="dxa"/>
            <w:vAlign w:val="bottom"/>
            <w:tcBorders>
              <w:top w:val="single" w:sz="8" w:color="auto"/>
            </w:tcBorders>
            <w:gridSpan w:val="2"/>
            <w:shd w:val="clear" w:color="auto" w:fill="D5EAEA"/>
          </w:tcPr>
          <w:p>
            <w:pPr>
              <w:ind w:left="3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D5EAEA"/>
          </w:tcPr>
          <w:p>
            <w:pPr>
              <w:spacing w:after="0"/>
              <w:rPr>
                <w:sz w:val="18"/>
                <w:szCs w:val="18"/>
                <w:color w:val="auto"/>
              </w:rPr>
            </w:pPr>
          </w:p>
        </w:tc>
        <w:tc>
          <w:tcPr>
            <w:tcW w:w="200" w:type="dxa"/>
            <w:vAlign w:val="bottom"/>
            <w:tcBorders>
              <w:top w:val="single" w:sz="8" w:color="D5EAEA"/>
            </w:tcBorders>
            <w:shd w:val="clear" w:color="auto" w:fill="D5EAEA"/>
          </w:tcPr>
          <w:p>
            <w:pPr>
              <w:spacing w:after="0"/>
              <w:rPr>
                <w:sz w:val="18"/>
                <w:szCs w:val="18"/>
                <w:color w:val="auto"/>
              </w:rPr>
            </w:pPr>
          </w:p>
        </w:tc>
        <w:tc>
          <w:tcPr>
            <w:tcW w:w="900" w:type="dxa"/>
            <w:vAlign w:val="bottom"/>
            <w:tcBorders>
              <w:top w:val="single" w:sz="8" w:color="auto"/>
            </w:tcBorders>
            <w:gridSpan w:val="2"/>
            <w:shd w:val="clear" w:color="auto" w:fill="D5EAEA"/>
          </w:tcPr>
          <w:p>
            <w:pPr>
              <w:jc w:val="right"/>
              <w:ind w:right="437"/>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D5EAEA"/>
          </w:tcPr>
          <w:p>
            <w:pPr>
              <w:spacing w:after="0"/>
              <w:rPr>
                <w:sz w:val="18"/>
                <w:szCs w:val="18"/>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Underwriting discounts and commissions</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440" w:type="dxa"/>
            <w:vAlign w:val="bottom"/>
            <w:gridSpan w:val="4"/>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3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0"/>
        </w:trPr>
        <w:tc>
          <w:tcPr>
            <w:tcW w:w="6700" w:type="dxa"/>
            <w:vAlign w:val="bottom"/>
            <w:tcBorders>
              <w:top w:val="single" w:sz="8" w:color="D5EAEA"/>
            </w:tcBorders>
            <w:gridSpan w:val="2"/>
            <w:shd w:val="clear" w:color="auto" w:fill="D5EAEA"/>
          </w:tcPr>
          <w:p>
            <w:pPr>
              <w:spacing w:after="0"/>
              <w:rPr>
                <w:sz w:val="20"/>
                <w:szCs w:val="20"/>
                <w:color w:val="auto"/>
              </w:rPr>
            </w:pPr>
            <w:r>
              <w:rPr>
                <w:rFonts w:ascii="Arial" w:cs="Arial" w:eastAsia="Arial" w:hAnsi="Arial"/>
                <w:sz w:val="18"/>
                <w:szCs w:val="18"/>
                <w:color w:val="auto"/>
              </w:rPr>
              <w:t>Proceeds, before expenses, to us</w:t>
            </w:r>
          </w:p>
        </w:tc>
        <w:tc>
          <w:tcPr>
            <w:tcW w:w="640" w:type="dxa"/>
            <w:vAlign w:val="bottom"/>
            <w:tcBorders>
              <w:top w:val="single" w:sz="8" w:color="auto"/>
            </w:tcBorders>
            <w:shd w:val="clear" w:color="auto" w:fill="D5EAEA"/>
          </w:tcPr>
          <w:p>
            <w:pPr>
              <w:jc w:val="right"/>
              <w:ind w:right="45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D5EAEA"/>
            </w:tcBorders>
            <w:shd w:val="clear" w:color="auto" w:fill="D5EAEA"/>
          </w:tcPr>
          <w:p>
            <w:pPr>
              <w:spacing w:after="0"/>
              <w:rPr>
                <w:sz w:val="18"/>
                <w:szCs w:val="18"/>
                <w:color w:val="auto"/>
              </w:rPr>
            </w:pPr>
          </w:p>
        </w:tc>
        <w:tc>
          <w:tcPr>
            <w:tcW w:w="200" w:type="dxa"/>
            <w:vAlign w:val="bottom"/>
            <w:tcBorders>
              <w:top w:val="single" w:sz="8" w:color="D5EAEA"/>
            </w:tcBorders>
            <w:shd w:val="clear" w:color="auto" w:fill="D5EAEA"/>
          </w:tcPr>
          <w:p>
            <w:pPr>
              <w:spacing w:after="0"/>
              <w:rPr>
                <w:sz w:val="18"/>
                <w:szCs w:val="18"/>
                <w:color w:val="auto"/>
              </w:rPr>
            </w:pPr>
          </w:p>
        </w:tc>
        <w:tc>
          <w:tcPr>
            <w:tcW w:w="320" w:type="dxa"/>
            <w:vAlign w:val="bottom"/>
            <w:tcBorders>
              <w:top w:val="single" w:sz="8" w:color="D5EAEA"/>
            </w:tcBorders>
            <w:shd w:val="clear" w:color="auto" w:fill="D5EAEA"/>
          </w:tcPr>
          <w:p>
            <w:pPr>
              <w:spacing w:after="0"/>
              <w:rPr>
                <w:sz w:val="18"/>
                <w:szCs w:val="18"/>
                <w:color w:val="auto"/>
              </w:rPr>
            </w:pPr>
          </w:p>
        </w:tc>
        <w:tc>
          <w:tcPr>
            <w:tcW w:w="6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D5EAEA"/>
            </w:tcBorders>
            <w:shd w:val="clear" w:color="auto" w:fill="D5EAEA"/>
          </w:tcPr>
          <w:p>
            <w:pPr>
              <w:spacing w:after="0"/>
              <w:rPr>
                <w:sz w:val="18"/>
                <w:szCs w:val="18"/>
                <w:color w:val="auto"/>
              </w:rPr>
            </w:pPr>
          </w:p>
        </w:tc>
        <w:tc>
          <w:tcPr>
            <w:tcW w:w="200" w:type="dxa"/>
            <w:vAlign w:val="bottom"/>
            <w:tcBorders>
              <w:top w:val="single" w:sz="8" w:color="D5EAEA"/>
            </w:tcBorders>
            <w:shd w:val="clear" w:color="auto" w:fill="D5EAEA"/>
          </w:tcPr>
          <w:p>
            <w:pPr>
              <w:spacing w:after="0"/>
              <w:rPr>
                <w:sz w:val="18"/>
                <w:szCs w:val="18"/>
                <w:color w:val="auto"/>
              </w:rPr>
            </w:pPr>
          </w:p>
        </w:tc>
        <w:tc>
          <w:tcPr>
            <w:tcW w:w="300" w:type="dxa"/>
            <w:vAlign w:val="bottom"/>
            <w:tcBorders>
              <w:top w:val="single" w:sz="8" w:color="D5EAEA"/>
            </w:tcBorders>
            <w:shd w:val="clear" w:color="auto" w:fill="D5EAEA"/>
          </w:tcPr>
          <w:p>
            <w:pPr>
              <w:spacing w:after="0"/>
              <w:rPr>
                <w:sz w:val="18"/>
                <w:szCs w:val="18"/>
                <w:color w:val="auto"/>
              </w:rPr>
            </w:pPr>
          </w:p>
        </w:tc>
        <w:tc>
          <w:tcPr>
            <w:tcW w:w="600" w:type="dxa"/>
            <w:vAlign w:val="bottom"/>
            <w:tcBorders>
              <w:top w:val="single" w:sz="8" w:color="auto"/>
            </w:tcBorders>
            <w:shd w:val="clear" w:color="auto" w:fill="D5EAEA"/>
          </w:tcPr>
          <w:p>
            <w:pPr>
              <w:jc w:val="right"/>
              <w:ind w:right="43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D5EAEA"/>
            </w:tcBorders>
            <w:shd w:val="clear" w:color="auto" w:fill="D5EAEA"/>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6831330</wp:posOffset>
            </wp:positionH>
            <wp:positionV relativeFrom="paragraph">
              <wp:posOffset>-145415</wp:posOffset>
            </wp:positionV>
            <wp:extent cx="603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5948045</wp:posOffset>
            </wp:positionH>
            <wp:positionV relativeFrom="paragraph">
              <wp:posOffset>-145415</wp:posOffset>
            </wp:positionV>
            <wp:extent cx="49720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-145415</wp:posOffset>
            </wp:positionV>
            <wp:extent cx="53149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-145415</wp:posOffset>
            </wp:positionV>
            <wp:extent cx="13716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6136640</wp:posOffset>
            </wp:positionH>
            <wp:positionV relativeFrom="paragraph">
              <wp:posOffset>-427990</wp:posOffset>
            </wp:positionV>
            <wp:extent cx="12001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-427990</wp:posOffset>
            </wp:positionV>
            <wp:extent cx="13716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2" w:lineRule="exact"/>
        <w:rPr>
          <w:sz w:val="20"/>
          <w:szCs w:val="20"/>
          <w:color w:val="auto"/>
        </w:rPr>
      </w:pPr>
    </w:p>
    <w:p>
      <w:pPr>
        <w:spacing w:after="0"/>
        <w:tabs>
          <w:tab w:leader="none" w:pos="10040" w:val="left"/>
        </w:tabs>
        <w:rPr>
          <w:sz w:val="20"/>
          <w:szCs w:val="20"/>
          <w:color w:val="auto"/>
        </w:rPr>
      </w:pPr>
      <w:r>
        <w:rPr>
          <w:rFonts w:ascii="Arial" w:cs="Arial" w:eastAsia="Arial" w:hAnsi="Arial"/>
          <w:sz w:val="18"/>
          <w:szCs w:val="18"/>
          <w:color w:val="auto"/>
        </w:rPr>
        <w:t>(1) The public offering price and underwriting discounts and commissions correspond to a public offering price per ordinary share of $</w:t>
      </w:r>
      <w:r>
        <w:rPr>
          <w:sz w:val="20"/>
          <w:szCs w:val="20"/>
          <w:color w:val="auto"/>
        </w:rPr>
        <w:tab/>
      </w:r>
      <w:r>
        <w:rPr>
          <w:rFonts w:ascii="Arial" w:cs="Arial" w:eastAsia="Arial" w:hAnsi="Arial"/>
          <w:sz w:val="16"/>
          <w:szCs w:val="16"/>
          <w:color w:val="auto"/>
        </w:rPr>
        <w:t>and a public</w:t>
      </w:r>
    </w:p>
    <w:p>
      <w:pPr>
        <w:spacing w:after="0" w:line="23" w:lineRule="exact"/>
        <w:rPr>
          <w:sz w:val="20"/>
          <w:szCs w:val="20"/>
          <w:color w:val="auto"/>
        </w:rPr>
      </w:pPr>
    </w:p>
    <w:p>
      <w:pPr>
        <w:ind w:left="340"/>
        <w:spacing w:after="0"/>
        <w:tabs>
          <w:tab w:leader="none" w:pos="2760" w:val="left"/>
        </w:tabs>
        <w:rPr>
          <w:sz w:val="20"/>
          <w:szCs w:val="20"/>
          <w:color w:val="auto"/>
        </w:rPr>
      </w:pPr>
      <w:r>
        <w:rPr>
          <w:rFonts w:ascii="Arial" w:cs="Arial" w:eastAsia="Arial" w:hAnsi="Arial"/>
          <w:sz w:val="18"/>
          <w:szCs w:val="18"/>
          <w:color w:val="auto"/>
        </w:rPr>
        <w:t>offering price per warrant of $</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estimate that our total expenses of the offering, excluding the estimated underwriting discounts and commissions, will be approximately $ , which includes fees and expenses for which we have agreed to reimburse the underwriters, including fees and expenses incurred by underwriters’ counsel of up to $100,000.</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have also agreed to issue to the representative 10,000 ordinary shares following the closing of this offering, as well as underwriter warrants to purchase a number of ordinary shares equal to an aggregate of 5% of the ordinary shares sold as part of the units in this offering. The underwriter warrants will have an exercise price equal to 110% of the initial public offering price of the units in this offering and may be exercised on a cashless basis unless a registration statement covering the exercise of the underwriter warrants and sale of the underlying shares by the holder thereof is in effect and available. The underwriter warrants will be exercisable 180 days following the closing date for the units offering under this prospectus until the fifth anniversary of such closing date. The underwriter warrants are not redeemable by us. The underwriter warrants also provide for unlimited “piggyback” registration rights at our expense with respect to the underlying ordinary shares during the seven-year period commencing on the closing date of the units offering and for one demand registration right at our expense and an additional demand registration right at the underwriter warrant holder’s expense during the five-year period commencing on the closing date of the units offering. The underwriter warrants will provide for adjustment of the exercise price of such warrants (and the ordinary shares underlying such warrants) for dilutive events such as a stock dividend or stock split and for recapitalizations, mergers and other fundamental transactions. The underwriter warrants and the ordinary shares issuable upon the exercise of the underwriter warrants have been deemed underwriting compensation by FINRA and are therefore subject to a 180 day lock up pursuant to FINRA Rule 5110(g)(1). Except as otherwise permitted by FINRA rules, for a period of 180 days following the effective date of the registration statement of which this prospectus forms a part, such underwriters warrants shall not be (A) sold, transferred, assigned, pledged or hypothecated or (B) the subject of any hedging, short sale, derivative, put, or call transaction that would result in the effective economic disposition of the securities by any person. We have also agreed, subject to certain conditions and exceptions, to provide Maxim Group, LLC with a right of first refusal to act, for a period of 12 months following the closing of this offering, as (i) sole lead managing underwriter and book runner in any subsequent financing equal to or less than $25 million, and (ii) joint book runner in any subsequent financing of more than $25 million.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w:t>
      </w:r>
    </w:p>
    <w:p>
      <w:pPr>
        <w:sectPr>
          <w:pgSz w:w="11900" w:h="16838" w:orient="portrait"/>
          <w:cols w:equalWidth="0" w:num="1">
            <w:col w:w="11400"/>
          </w:cols>
          <w:pgMar w:left="240" w:top="225" w:right="259" w:bottom="0" w:gutter="0" w:footer="0" w:header="0"/>
        </w:sectPr>
      </w:pP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0" w:gutter="0" w:footer="0" w:header="0"/>
          <w:type w:val="continuous"/>
        </w:sectPr>
      </w:pPr>
    </w:p>
    <w:bookmarkStart w:id="162" w:name="page163"/>
    <w:bookmarkEnd w:id="16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and our officers and directors have agreed to a 180-day “lock-up” with respect to our ordinary shares and other of our securities that they beneficially own, including securities that are convertible into ordinary shares and securities that are exchangeable or exercisable ordinary shares. This means that, subject to certain exceptions, for a period of 180 days following the date of this prospectus, we and such persons may not offer, sell, pledge or otherwise dispose of these securities without the prior written consent of Maxim Group LLC.</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Rules of the Securities and Exchange Commission may limit the ability of the underwriters to bid for or purchase ordinary shares before the distribution of the ordinary shares is completed. However, the underwriters may engage in the following activities in accordance with the rules:</w:t>
      </w:r>
    </w:p>
    <w:p>
      <w:pPr>
        <w:spacing w:after="0" w:line="170" w:lineRule="exact"/>
        <w:rPr>
          <w:sz w:val="20"/>
          <w:szCs w:val="20"/>
          <w:color w:val="auto"/>
        </w:rPr>
      </w:pPr>
    </w:p>
    <w:p>
      <w:pPr>
        <w:ind w:left="340" w:right="380" w:hanging="170"/>
        <w:spacing w:after="0" w:line="277"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Stabilizing transactions — The representative may make bids or purchases for the purpose of pegging, fixing or maintaining the price of the ordinary shares, so long as stabilizing bids do not exceed a specified maximum.</w:t>
      </w:r>
    </w:p>
    <w:p>
      <w:pPr>
        <w:spacing w:after="0" w:line="170" w:lineRule="exact"/>
        <w:rPr>
          <w:rFonts w:ascii="Arial" w:cs="Arial" w:eastAsia="Arial" w:hAnsi="Arial"/>
          <w:sz w:val="18"/>
          <w:szCs w:val="18"/>
          <w:color w:val="auto"/>
        </w:rPr>
      </w:pPr>
    </w:p>
    <w:p>
      <w:pPr>
        <w:ind w:left="340" w:right="20" w:hanging="170"/>
        <w:spacing w:after="0" w:line="270" w:lineRule="auto"/>
        <w:tabs>
          <w:tab w:leader="none" w:pos="3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Over-allotments and syndicate covering transactions — The underwriters may sell more ordinary shares in connection with this offering than the number of ordinary shares that they have committed to purchase. This over-allotment creates a short position for the underwriters. This short sales position may involve either “covered” short sales or “naked” short sales. Covered short sales are short sales made in an amount not greater than the underwriters’ over-allotment option to purchase additional ordinary shares in this offering described above. The underwriters may close out any covered short position either by exercising its over-allotment option or by purchasing ordinary shares in the open market. To determine how they will close the covered short position, the underwriters will consider, among other things, the price of ordinary shares available for purchase in the open market, as compared to the price at which they may purchase ordinary shares through the over-allotment option. Naked short sales are short sales in excess of the over-allotment option. The underwriters must close out any naked short position by purchasing ordinary shares in the open market. A naked short position is more likely to be created if the underwriters are concerned that, in the open market after pricing, there may be downward pressure on the price of the ordinary shares that could adversely affect investors who purchase ordinary shares in this offering.</w:t>
      </w:r>
    </w:p>
    <w:p>
      <w:pPr>
        <w:spacing w:after="0" w:line="177" w:lineRule="exact"/>
        <w:rPr>
          <w:rFonts w:ascii="Arial" w:cs="Arial" w:eastAsia="Arial" w:hAnsi="Arial"/>
          <w:sz w:val="17"/>
          <w:szCs w:val="17"/>
          <w:color w:val="auto"/>
        </w:rPr>
      </w:pPr>
    </w:p>
    <w:p>
      <w:pPr>
        <w:ind w:left="340" w:right="300" w:hanging="170"/>
        <w:spacing w:after="0" w:line="308" w:lineRule="auto"/>
        <w:tabs>
          <w:tab w:leader="none" w:pos="3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Penalty bids — If the representative purchases ordinary shares in the open market in a stabilizing transaction or syndicate covering transaction, it may reclaim a selling concession from the underwriters and selling group members who sold those ordinary shares as part of this offering.</w:t>
      </w:r>
    </w:p>
    <w:p>
      <w:pPr>
        <w:spacing w:after="0" w:line="146" w:lineRule="exact"/>
        <w:rPr>
          <w:rFonts w:ascii="Arial" w:cs="Arial" w:eastAsia="Arial" w:hAnsi="Arial"/>
          <w:sz w:val="17"/>
          <w:szCs w:val="17"/>
          <w:color w:val="auto"/>
        </w:rPr>
      </w:pPr>
    </w:p>
    <w:p>
      <w:pPr>
        <w:ind w:left="340" w:right="340" w:hanging="170"/>
        <w:spacing w:after="0" w:line="277" w:lineRule="auto"/>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Passive market making — Market makers in the ordinary shares who are underwriters or prospective underwriters may make bids for or purchases of ordinary shares, subject to limitations, until the time, if ever, at which a stabilizing bid is made.</w:t>
      </w:r>
    </w:p>
    <w:p>
      <w:pPr>
        <w:spacing w:after="0" w:line="17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Similar to other purchase transactions, the underwriters’ purchases to cover the syndicate short sales or to stabilize the market price of our ordinary shares may have the effect of raising or maintaining the market price of our ordinary shares or preventing or mitigating a decline in the market price of our ordinary shares. As a result, the price of the ordinary shares of our common stock may be higher than the price that might otherwise exist in the open market. The imposition of a penalty bid might also have an effect on the price of the ordinary shares if it discourages resales of the ordinary shares.</w:t>
      </w:r>
    </w:p>
    <w:p>
      <w:pPr>
        <w:spacing w:after="0" w:line="1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Neither we nor the underwriters make any representation or prediction as to the effect that the transactions described above may have on the price of the ordinary shares. These transactions may occur on The NASDAQ Capital Market or otherwise. If such transactions are commenced, they may be discontinued without notice at any time.</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Certain of our existing shareholders have indicated an interest in purchasing an aggregate of up to approximately $ million of the units in this offering at the initial public offering price per unit. However, indications of interest are not binding agreements or commitments to purchase, and these entities may determine to purchase a greater or lesser number of units than they have indicated an interest in purchasing or to not purchase any units in this offering. In addition, we and the underwriters could determine to sell a greater or lesser number of units to any of these entities than the entities have indicated an interest in purchasing or to not sell any units to these entities.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Preliminary Prospectus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prospectus in electronic format may be delivered to potential investors by one or more of the underwriters participating in this offering. The prospectus in electronic format will be identical to the paper version of such prospectus. Other than the prospectus in electronic format, the information on any underwriter’s website and any information contained in any other website maintained by an underwriter is not part of this prospectus or the registration statement of which this prospectus forms a part.</w:t>
      </w:r>
    </w:p>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63" w:name="page164"/>
    <w:bookmarkEnd w:id="16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Non-U.S. Investors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Belgium</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offering is exclusively conducted under applicable private placement exemptions and therefore it has not been and will not be notified to, and this document or any other offering material relating to the securities offered hereby has not been and will not be approved by, the Belgian Banking, Finance and Insurance Commission (“Commission bancaire, financière et des assurances/Commissie voor het Bank, Financie en Assurantiewezen”). Any representation to the contrary is unlawful.</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Each underwriter has undertaken not to offer sell, resell, transfer or deliver directly or indirectly, any ordinary shares, or to take any steps relating/ancillary thereto, and not to distribute or publish this document or any other material relating to the ordinary shares or to the offering in a manner which would be construed as: (a) a public offering under the Belgian Royal Decree of 7 July 1999 on the public character of financial transactions; or (b) an offering of securities to the public under Directive 2003/71/EC which triggers an obligation to publish a prospectus in Belgium. Any action contrary to these restrictions will cause the recipient and the company to be in violation of the Belgian securities laws.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Canada</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securities described herein (the “Securities”). No securities commission or similar regulatory authority in Canada has reviewed or in any way passed upon this document or on the merits of the Securities and any representation to the contrary is an offence.</w:t>
      </w:r>
    </w:p>
    <w:p>
      <w:pPr>
        <w:spacing w:after="0" w:line="18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Canadian investors are advised that this document has been prepared in reliance on section 3A.3 of National Instrument 33-105 Underwriting Conflicts (“NI 33-105”). Pursuant to section 3A.3 of NI 33-105, this document is exempt from the requirement to provide investors with certain conflicts of interest disclosure pertaining to “connected issuer” and/or “related issuer” relationships as would otherwise be required pursuant to subsection 2.1(1) of NI 33-105.</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Resale Restrictions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offer and sale of the securities in Canada is being made on a private placement basis only and is exempt from the requirement to prepare and file a prospectus under applicable Canadian securities laws. Any resale of Securities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securities outside of Canada.</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Representations of Purchasers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Each Canadian investor who purchases the securities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(“NI 45-106”) or, in Ontario, as such term is defined in 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(iii) is a “permitted client” as such term is defined in section 1.1 of National Instrument 31-103 </w:t>
      </w:r>
      <w:r>
        <w:rPr>
          <w:rFonts w:ascii="Arial" w:cs="Arial" w:eastAsia="Arial" w:hAnsi="Arial"/>
          <w:sz w:val="18"/>
          <w:szCs w:val="18"/>
          <w:i w:val="1"/>
          <w:iCs w:val="1"/>
          <w:color w:val="auto"/>
        </w:rPr>
        <w:t>Registration Requirements, Exemptions and Ongoing</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 Obligations</w:t>
      </w:r>
      <w:r>
        <w:rPr>
          <w:rFonts w:ascii="Arial" w:cs="Arial" w:eastAsia="Arial" w:hAnsi="Arial"/>
          <w:sz w:val="18"/>
          <w:szCs w:val="18"/>
          <w:color w:val="auto"/>
        </w:rPr>
        <w:t>.</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Taxation and Eligibility for Investment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Any discussion of taxation and related matters contained in this document does not purport to be a comprehensive description of all of the tax considerations that may be relevant to a Canadian investor</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64" w:name="page165"/>
    <w:bookmarkEnd w:id="16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when deciding to purchase the securities and, in particular, does not address any Canadian tax considerations. No representation or warranty is hereby made as to the tax consequences to a resident, or deemed resident, of Canada of an investment in the securities or with respect to the eligibility of the securities for investment by such investor under relevant Canadian federal and provincial legislation and regulations.</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Rights of Action for Damages or Rescission</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w:t>
      </w:r>
      <w:r>
        <w:rPr>
          <w:rFonts w:ascii="Arial" w:cs="Arial" w:eastAsia="Arial" w:hAnsi="Arial"/>
          <w:sz w:val="17"/>
          <w:szCs w:val="17"/>
          <w:i w:val="1"/>
          <w:iCs w:val="1"/>
          <w:color w:val="auto"/>
        </w:rPr>
        <w:t>Ontario Prospectus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Registration Exemptions </w:t>
      </w:r>
      <w:r>
        <w:rPr>
          <w:rFonts w:ascii="Arial" w:cs="Arial" w:eastAsia="Arial" w:hAnsi="Arial"/>
          <w:sz w:val="17"/>
          <w:szCs w:val="17"/>
          <w:color w:val="auto"/>
        </w:rPr>
        <w:t>and in Multilateral Instrument 45-107</w:t>
      </w:r>
      <w:r>
        <w:rPr>
          <w:rFonts w:ascii="Arial" w:cs="Arial" w:eastAsia="Arial" w:hAnsi="Arial"/>
          <w:sz w:val="17"/>
          <w:szCs w:val="17"/>
          <w:i w:val="1"/>
          <w:iCs w:val="1"/>
          <w:color w:val="auto"/>
        </w:rPr>
        <w:t xml:space="preserve"> Listing Representation and Statutory Rights of Action Disclosure Exemptions</w:t>
      </w:r>
      <w:r>
        <w:rPr>
          <w:rFonts w:ascii="Arial" w:cs="Arial" w:eastAsia="Arial" w:hAnsi="Arial"/>
          <w:sz w:val="17"/>
          <w:szCs w:val="17"/>
          <w:color w:val="auto"/>
        </w:rPr>
        <w:t>, as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Language of Documents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Arial" w:cs="Arial" w:eastAsia="Arial" w:hAnsi="Arial"/>
          <w:sz w:val="18"/>
          <w:szCs w:val="18"/>
          <w:i w:val="1"/>
          <w:iCs w:val="1"/>
          <w:color w:val="auto"/>
        </w:rPr>
        <w:t>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France</w:t>
      </w:r>
    </w:p>
    <w:p>
      <w:pPr>
        <w:spacing w:after="0" w:line="22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Neither this prospectus nor any other offering material relating to the ordinary shares has been submitted to the clearance procedures of the Autorité des marchés financiers in France. The ordinary shares have not been offered or sold and will not be offered or sold, directly or indirectly, to the public in France. Neither this prospectus nor any other offering material relating to the ordinary shares has been or will be: (a) released, issued, distributed or caused to be released, issued or distributed to the public in France; or (b) used in connection with any offer for subscription or sale of the ordinary shares to the public in France. Such offers, sales and distributions will be made in France only: (i) 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 (ii) to investment services providers authorised to engage in portfolio management on behalf of third parties; or (iii) in a transaction that, in accordance with article L.411-2-II-1°-or-2°-or 3° of the French Code monétaire et financier and article 211-2 of the General Regulations (Règlement Général) of the Autorité des marchés financiers, does not constitute a public offer (appel public à l’épargne). Such ordinary shares may be resold only in compliance with Articles L.411-1, L.411-2, L.412-1 and L.621-8 through L.621-8-3 of the French Code monétaire et financier.</w:t>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Israel</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prospectus does not constitute a prospectus under the Israeli Securities Law, 5728-1968 (the “Securities Law”), and has not been filed with or approved by the Israel Securities Authority. In the State of Israel, this document is being distributed only to, and is directed only at, and any offer of the securities offered hereby is directed only at, investors listed in the first addendum to the Israeli Securities Law (the “Addendum”), consisting primarily of joint investment in trust funds, provident funds, insurance companies, banks,</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65" w:name="page166"/>
    <w:bookmarkEnd w:id="16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Italy</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offering of the ordinary shares offered hereby in Italy has not been registered with the Commissione Nazionale per la Società e la Borsa (“CONSOB”) pursuant to Italian securities legislation and, accordingly, the ordinary shares offered hereby cannot be offered, sold or delivered in the Republic of Italy (“Italy”) nor may any copy of this prospectus or any other document relating to the ordinary shares offered hereby be distributed in Italy other than to professional investors (operatori qualificati) as defined in Article 31, second paragraph, of CONSOB Regulation No. 11522 of 1 July, 1998 as subsequently amended. Any offer, sale or delivery of the ordinary shares offered hereby or distribution of copies of this prospectus or any other document relating to the ordinary shares offered hereby in Italy must be made:</w:t>
      </w:r>
    </w:p>
    <w:p>
      <w:pPr>
        <w:spacing w:after="0" w:line="193" w:lineRule="exact"/>
        <w:rPr>
          <w:sz w:val="20"/>
          <w:szCs w:val="20"/>
          <w:color w:val="auto"/>
        </w:rPr>
      </w:pPr>
    </w:p>
    <w:p>
      <w:pPr>
        <w:ind w:left="340" w:right="960" w:hanging="332"/>
        <w:spacing w:after="0" w:line="277"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by an investment firm, bank or intermediary permitted to conduct such activities in Italy in accordance with Legislative Decree No. 58 of 24 February 1998 and Legislative Decree No. 385 of 1 September 1993 (the “Banking Act”);</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compliance with Article 129 of the Banking Act and the implementing guidelines of the Bank of Italy;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in compliance with any other applicable laws and regulations and other possible requirements or limitations which may be imposed by Italian authorities.</w:t>
      </w:r>
    </w:p>
    <w:p>
      <w:pPr>
        <w:spacing w:after="0" w:line="24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Sweden</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This prospectus has not been nor will it be registered with or approved by Finansinspektionen (the Swedish Financial Supervisory Authority). Accordingly, this prospectus may not be made available, nor may the ordinary shares offered hereunder be marketed and offered for sale in Sweden, other than under circumstances which are deemed not to require a prospectus under the Financial Instruments Trading Act (1991: 980).</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Switzerland</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ordinary shares offered pursuant to this prospectus will not be offered, directly or indirectly, to the public in Switzerland and this prospectus does not constitute a public offering prospectus as that term is understood pursuant to art. 652a or art. 1156 of the Swiss Federal Code of Obligations. The company has not applied for a listing of the ordinary shares being offered pursuant to this prospectus on the SWX Swiss Exchange or on any other regulated securities market, and consequently, the information presented in this prospectus does not necessarily comply with the information standards set out in the relevant listing rules. The ordinary shares being offered pursuant to this prospectus have not been registered with the Swiss Federal Banking Commission as foreign investment funds, and the investor protection afforded to acquirers of investment fund certificates does not extend to acquirers of ordinary shares.</w:t>
      </w:r>
    </w:p>
    <w:p>
      <w:pPr>
        <w:spacing w:after="0" w:line="16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Investors are advised to contact their legal, financial or tax advisers to obtain an independent assessment of the financial and tax consequences of an investment in ordinary shares.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United Kingdom/Germany/Norway/The Netherlands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ordinary shares which are the subject of the offering contemplated by this prospectus may not be made in that Relevant Member State other than the offers contemplated in this prospectus in name(s) of Member State(s) where prospectus will be approved or passported for the purposes of a non-exempt offer once this prospectus has been approved</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66" w:name="page167"/>
    <w:bookmarkEnd w:id="16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by the competent authority in such Member State and published and passported in accordance with the Prospectus Directive as implemented in name(s) of relevant Member State(s) except that an offer to the public in that Relevant Member State of any ordinary shares may be made at any time under the following exemptions under the Prospectus Directive, if they have been implemented in that Relevant Member State:</w:t>
      </w:r>
    </w:p>
    <w:p>
      <w:pPr>
        <w:spacing w:after="0" w:line="166" w:lineRule="exact"/>
        <w:rPr>
          <w:sz w:val="20"/>
          <w:szCs w:val="20"/>
          <w:color w:val="auto"/>
        </w:rPr>
      </w:pPr>
    </w:p>
    <w:p>
      <w:pPr>
        <w:ind w:left="340" w:right="380" w:hanging="332"/>
        <w:spacing w:after="0" w:line="277"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170" w:lineRule="exact"/>
        <w:rPr>
          <w:rFonts w:ascii="Arial" w:cs="Arial" w:eastAsia="Arial" w:hAnsi="Arial"/>
          <w:sz w:val="18"/>
          <w:szCs w:val="18"/>
          <w:color w:val="auto"/>
        </w:rPr>
      </w:pPr>
    </w:p>
    <w:p>
      <w:pPr>
        <w:ind w:left="340" w:right="40" w:hanging="332"/>
        <w:spacing w:after="0" w:line="308" w:lineRule="auto"/>
        <w:tabs>
          <w:tab w:leader="none" w:pos="3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by the representative to fewer than 100 natural or legal persons (other than qualified investors as defined in the Prospectus Directive); or</w:t>
      </w:r>
    </w:p>
    <w:p>
      <w:pPr>
        <w:spacing w:after="0" w:line="225" w:lineRule="exact"/>
        <w:rPr>
          <w:rFonts w:ascii="Arial" w:cs="Arial" w:eastAsia="Arial" w:hAnsi="Arial"/>
          <w:sz w:val="18"/>
          <w:szCs w:val="18"/>
          <w:color w:val="auto"/>
        </w:rPr>
      </w:pPr>
    </w:p>
    <w:p>
      <w:pPr>
        <w:ind w:left="340" w:right="740" w:hanging="332"/>
        <w:spacing w:after="0" w:line="308" w:lineRule="auto"/>
        <w:tabs>
          <w:tab w:leader="none" w:pos="3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ordinary shares shall result in a requirement for the publication by the company or any underwriter of a prospectus pursuant to Article 3 of the Prospectus Directive.</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any ordinary shares in any Relevant Member State means the communication in any form and by any means of sufficient information on the terms of the offer and any ordinary shares to be offered so as to enable an investor to decide to purchase any ordinary shares,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Each underwriter has represented, warranted and agreed that:</w:t>
      </w:r>
    </w:p>
    <w:p>
      <w:pPr>
        <w:spacing w:after="0" w:line="225" w:lineRule="exact"/>
        <w:rPr>
          <w:sz w:val="20"/>
          <w:szCs w:val="20"/>
          <w:color w:val="auto"/>
        </w:rPr>
      </w:pPr>
    </w:p>
    <w:p>
      <w:pPr>
        <w:ind w:left="340" w:hanging="332"/>
        <w:spacing w:after="0" w:line="286" w:lineRule="auto"/>
        <w:tabs>
          <w:tab w:leader="none" w:pos="3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any invitation or inducement to engage in investment activity (within the meaning of section 21 of the Financial Services and Markets Act 2000 (the FSMA)) received by it in connection with the issue or sale of any ordinary shares in circumstances in which section 21(1) of the FSMA does not apply to the company; and</w:t>
      </w:r>
    </w:p>
    <w:p>
      <w:pPr>
        <w:spacing w:after="0" w:line="165" w:lineRule="exact"/>
        <w:rPr>
          <w:rFonts w:ascii="Arial" w:cs="Arial" w:eastAsia="Arial" w:hAnsi="Arial"/>
          <w:sz w:val="17"/>
          <w:szCs w:val="17"/>
          <w:color w:val="auto"/>
        </w:rPr>
      </w:pPr>
    </w:p>
    <w:p>
      <w:pPr>
        <w:ind w:left="340" w:right="80" w:hanging="332"/>
        <w:spacing w:after="0" w:line="277"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ordinary shares in, from or otherwise involving the United Kingdom.</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67" w:name="page168"/>
    <w:bookmarkEnd w:id="16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EXPENSES RELATED TO THE OFFERING</w:t>
      </w:r>
    </w:p>
    <w:p>
      <w:pPr>
        <w:spacing w:after="0" w:line="246"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following table sets forth the costs and expenses, other than underwriting discounts and underwriting expenses, payable by us in connection with this offering. With the exception of the SEC registration fee, the listing fee and the FINRA filing fee, all amounts are estimates.</w:t>
      </w:r>
    </w:p>
    <w:p>
      <w:pPr>
        <w:spacing w:after="0" w:line="16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6080" w:type="dxa"/>
            <w:vAlign w:val="bottom"/>
            <w:shd w:val="clear" w:color="auto" w:fill="D5EAEA"/>
          </w:tcPr>
          <w:p>
            <w:pPr>
              <w:spacing w:after="0"/>
              <w:rPr>
                <w:sz w:val="20"/>
                <w:szCs w:val="20"/>
                <w:color w:val="auto"/>
              </w:rPr>
            </w:pPr>
            <w:r>
              <w:rPr>
                <w:rFonts w:ascii="Arial" w:cs="Arial" w:eastAsia="Arial" w:hAnsi="Arial"/>
                <w:sz w:val="18"/>
                <w:szCs w:val="18"/>
                <w:color w:val="auto"/>
              </w:rPr>
              <w:t>SEC registration fee</w:t>
            </w:r>
          </w:p>
        </w:tc>
        <w:tc>
          <w:tcPr>
            <w:tcW w:w="3840" w:type="dxa"/>
            <w:vAlign w:val="bottom"/>
            <w:shd w:val="clear" w:color="auto" w:fill="D5EAEA"/>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10,062</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NASDAQ Capital Market listing fee</w:t>
            </w:r>
          </w:p>
        </w:tc>
        <w:tc>
          <w:tcPr>
            <w:tcW w:w="38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r>
      <w:tr>
        <w:trPr>
          <w:trHeight w:val="216"/>
        </w:trPr>
        <w:tc>
          <w:tcPr>
            <w:tcW w:w="6080" w:type="dxa"/>
            <w:vAlign w:val="bottom"/>
            <w:shd w:val="clear" w:color="auto" w:fill="D5EAEA"/>
          </w:tcPr>
          <w:p>
            <w:pPr>
              <w:spacing w:after="0"/>
              <w:rPr>
                <w:sz w:val="20"/>
                <w:szCs w:val="20"/>
                <w:color w:val="auto"/>
              </w:rPr>
            </w:pPr>
            <w:r>
              <w:rPr>
                <w:rFonts w:ascii="Arial" w:cs="Arial" w:eastAsia="Arial" w:hAnsi="Arial"/>
                <w:sz w:val="18"/>
                <w:szCs w:val="18"/>
                <w:color w:val="auto"/>
              </w:rPr>
              <w:t>FINRA filing fee</w:t>
            </w:r>
          </w:p>
        </w:tc>
        <w:tc>
          <w:tcPr>
            <w:tcW w:w="3840" w:type="dxa"/>
            <w:vAlign w:val="bottom"/>
            <w:shd w:val="clear" w:color="auto" w:fill="D5EAEA"/>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12,500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Printing expenses</w:t>
            </w:r>
          </w:p>
        </w:tc>
        <w:tc>
          <w:tcPr>
            <w:tcW w:w="38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r>
      <w:tr>
        <w:trPr>
          <w:trHeight w:val="216"/>
        </w:trPr>
        <w:tc>
          <w:tcPr>
            <w:tcW w:w="6080" w:type="dxa"/>
            <w:vAlign w:val="bottom"/>
            <w:shd w:val="clear" w:color="auto" w:fill="D5EAEA"/>
          </w:tcPr>
          <w:p>
            <w:pPr>
              <w:spacing w:after="0"/>
              <w:rPr>
                <w:sz w:val="20"/>
                <w:szCs w:val="20"/>
                <w:color w:val="auto"/>
              </w:rPr>
            </w:pPr>
            <w:r>
              <w:rPr>
                <w:rFonts w:ascii="Arial" w:cs="Arial" w:eastAsia="Arial" w:hAnsi="Arial"/>
                <w:sz w:val="18"/>
                <w:szCs w:val="18"/>
                <w:color w:val="auto"/>
              </w:rPr>
              <w:t>Legal fees and expenses</w:t>
            </w:r>
          </w:p>
        </w:tc>
        <w:tc>
          <w:tcPr>
            <w:tcW w:w="3840" w:type="dxa"/>
            <w:vAlign w:val="bottom"/>
            <w:shd w:val="clear" w:color="auto" w:fill="D5EAEA"/>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D5EAEA"/>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8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r>
      <w:tr>
        <w:trPr>
          <w:trHeight w:val="216"/>
        </w:trPr>
        <w:tc>
          <w:tcPr>
            <w:tcW w:w="6080" w:type="dxa"/>
            <w:vAlign w:val="bottom"/>
            <w:shd w:val="clear" w:color="auto" w:fill="D5EAEA"/>
          </w:tcPr>
          <w:p>
            <w:pPr>
              <w:spacing w:after="0"/>
              <w:rPr>
                <w:sz w:val="20"/>
                <w:szCs w:val="20"/>
                <w:color w:val="auto"/>
              </w:rPr>
            </w:pPr>
            <w:r>
              <w:rPr>
                <w:rFonts w:ascii="Arial" w:cs="Arial" w:eastAsia="Arial" w:hAnsi="Arial"/>
                <w:sz w:val="18"/>
                <w:szCs w:val="18"/>
                <w:color w:val="auto"/>
              </w:rPr>
              <w:t>Transfer agent’s fees</w:t>
            </w:r>
          </w:p>
        </w:tc>
        <w:tc>
          <w:tcPr>
            <w:tcW w:w="3840" w:type="dxa"/>
            <w:vAlign w:val="bottom"/>
            <w:shd w:val="clear" w:color="auto" w:fill="D5EAEA"/>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D5EAEA"/>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Miscellaneous</w:t>
            </w:r>
          </w:p>
        </w:tc>
        <w:tc>
          <w:tcPr>
            <w:tcW w:w="38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r>
      <w:tr>
        <w:trPr>
          <w:trHeight w:val="216"/>
        </w:trPr>
        <w:tc>
          <w:tcPr>
            <w:tcW w:w="6080" w:type="dxa"/>
            <w:vAlign w:val="bottom"/>
            <w:shd w:val="clear" w:color="auto" w:fill="D5EAEA"/>
          </w:tcPr>
          <w:p>
            <w:pPr>
              <w:spacing w:after="0"/>
              <w:rPr>
                <w:sz w:val="20"/>
                <w:szCs w:val="20"/>
                <w:color w:val="auto"/>
              </w:rPr>
            </w:pPr>
            <w:r>
              <w:rPr>
                <w:rFonts w:ascii="Arial" w:cs="Arial" w:eastAsia="Arial" w:hAnsi="Arial"/>
                <w:sz w:val="18"/>
                <w:szCs w:val="18"/>
                <w:color w:val="auto"/>
              </w:rPr>
              <w:t>Total</w:t>
            </w:r>
          </w:p>
        </w:tc>
        <w:tc>
          <w:tcPr>
            <w:tcW w:w="3840" w:type="dxa"/>
            <w:vAlign w:val="bottom"/>
            <w:shd w:val="clear" w:color="auto" w:fill="D5EAEA"/>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D5EAEA"/>
          </w:tcPr>
          <w:p>
            <w:pPr>
              <w:spacing w:after="0"/>
              <w:rPr>
                <w:sz w:val="18"/>
                <w:szCs w:val="18"/>
                <w:color w:val="auto"/>
              </w:rPr>
            </w:pPr>
          </w:p>
        </w:tc>
      </w:tr>
    </w:tbl>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LEGAL MATTERS</w:t>
      </w:r>
    </w:p>
    <w:p>
      <w:pPr>
        <w:spacing w:after="0" w:line="2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validity of the ordinary shares being offered by this prospectus and other legal matters concerning this offering relating to Israeli law will be passed upon for us by Herzog Fox &amp; Neeman, Tel Aviv, Israel. Certain legal matters in connection with this offering relating to U.S. law will be passed upon for us by Davis Polk &amp; Wardwell LLP, New York, New York. Certain legal matters in connection with this offering will be passed upon for the underwriters by Gornitzky &amp; Co., Tel Aviv, Israel, with respect to Israeli law, and by Mintz, Levin, Cohn, Ferris, Glovsky and Popeo, P.C., New York, New York, with respect to U.S. law.</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EXPERTS</w:t>
      </w:r>
    </w:p>
    <w:p>
      <w:pPr>
        <w:spacing w:after="0" w:line="24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financial statements as of December 31, 2017 and 2016 and for each of the two years in the period ended December 31, 2017 included in this prospectus have been so included in reliance on the report (which contains an explanatory paragraph relating to the Company’s ability to continue as a going concern as described in Note 1a.2 to the financial statements) of Kesselman &amp; Kesselman, Certified Public Accountants (Israel), a member firm of PricewaterhouseCoopers International Limited, an independent registered public accounting firm, given on the authority of said firm as experts in auditing and accounting. The current address of Kesselman &amp; Kesselman, Certified Public Accountants (Israel) is 25 Hamered Street, Tel Aviv, Israel 6812508.</w:t>
      </w: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68" w:name="page169"/>
    <w:bookmarkEnd w:id="16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ENFORCEABILITY OF CIVIL LIABILITIES</w:t>
      </w:r>
    </w:p>
    <w:p>
      <w:pPr>
        <w:spacing w:after="0" w:line="24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are incorporated under the laws of the State of Israel. Service of process upon us, our directors and officers and the Israeli experts, if any, named in this prospectus, many whom reside outside the United States, may be difficult to obtain within the United States. Furthermore, because the majority of our assets and investments, and substantially all of our directors, officers and such Israeli experts, if any, are located outside the United States, any judgment obtained in the United States against us or any of them may be difficult to collect within the United States.</w:t>
      </w:r>
    </w:p>
    <w:p>
      <w:pPr>
        <w:spacing w:after="0" w:line="17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have been informed by our legal counsel in Israel that it may also be difficult to assert U.S. securities law claims in original actions instituted in Israel. Israeli courts may refuse to hear a claim based on an alleged violation of U.S. securities laws reasoning that Israel is not the most appropriate forum to bring such a claim. In addition, even if an Israeli court agrees to hear a claim, it may determine that Israeli law and not U.S. law is applicable to the claim. There is little binding case law in Israel addressing these matters. If U.S. law is found to be applicable, the content of applicable U.S. law must be proved as a fact, which can be a time-consuming and costly process. Certain matters of procedure will also be governed by Israeli law.</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Subject to specified time limitations and legal procedures, under the rules of private international law currently prevailing in Israel, Israeli courts may enforce a U.S. judgment in a civil matter which, subject to certain exceptions, is non-appealable, including a judgment based upon the civil liability provisions of the U.S. securities laws, as well as a monetary or compensatory judgment in a non-civil matter, provided that, among other things, the following conditions are met:</w:t>
      </w:r>
    </w:p>
    <w:p>
      <w:pPr>
        <w:spacing w:after="0" w:line="187" w:lineRule="exact"/>
        <w:rPr>
          <w:sz w:val="20"/>
          <w:szCs w:val="20"/>
          <w:color w:val="auto"/>
        </w:rPr>
      </w:pPr>
    </w:p>
    <w:p>
      <w:pPr>
        <w:ind w:left="340" w:hanging="170"/>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judgment is enforceable under the laws of State of Israel and under the laws of the state in which it was given;</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judgment was rendered by a court of competent jurisdiction under the rules of private international law prevailing in Israel;</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laws of the state in which the judgment was given provides for the enforcement of judgments of Israeli courts;</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adequate service of process has been effected and the defendant has had a reasonable opportunity to be heard and present his or her evidence;</w:t>
      </w:r>
    </w:p>
    <w:p>
      <w:pPr>
        <w:spacing w:after="0" w:line="236" w:lineRule="exact"/>
        <w:rPr>
          <w:rFonts w:ascii="Arial" w:cs="Arial" w:eastAsia="Arial" w:hAnsi="Arial"/>
          <w:sz w:val="17"/>
          <w:szCs w:val="17"/>
          <w:color w:val="auto"/>
        </w:rPr>
      </w:pPr>
    </w:p>
    <w:p>
      <w:pPr>
        <w:ind w:left="340" w:hanging="170"/>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judgment and the enforcement of the judgment are not contrary to the law, public policy, security or sovereignty of the State of Israel;</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judgment was not obtained by fraudulent means and does not conflict with any other valid judgment in the same matter between the same parties; and</w:t>
      </w:r>
    </w:p>
    <w:p>
      <w:pPr>
        <w:spacing w:after="0" w:line="248" w:lineRule="exact"/>
        <w:rPr>
          <w:rFonts w:ascii="Arial" w:cs="Arial" w:eastAsia="Arial" w:hAnsi="Arial"/>
          <w:sz w:val="16"/>
          <w:szCs w:val="16"/>
          <w:color w:val="auto"/>
        </w:rPr>
      </w:pPr>
    </w:p>
    <w:p>
      <w:pPr>
        <w:ind w:left="340" w:hanging="170"/>
        <w:spacing w:after="0"/>
        <w:tabs>
          <w:tab w:leader="none" w:pos="3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 action between the same parties in the same matter is not pending in any Israeli court at the time the lawsuit is instituted in the foreign court.</w:t>
      </w:r>
    </w:p>
    <w:p>
      <w:pPr>
        <w:spacing w:after="0" w:line="23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 fluctuations.</w:t>
      </w: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69" w:name="page170"/>
    <w:bookmarkEnd w:id="16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WHERE YOU CAN FIND MORE INFORMATION</w:t>
      </w:r>
    </w:p>
    <w:p>
      <w:pPr>
        <w:spacing w:after="0" w:line="24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have filed with the SEC a registration statement on Form F-1 under the Securities Act relating to this offering of units.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15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You may read and copy the registration statement, including the related exhibits and schedules, and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an Internet website that contains reports and other information regarding issuers that file electronically with the SEC. Our filings with the SEC are also available to the public through the SEC’s website at http://www.sec.gov.</w:t>
      </w:r>
    </w:p>
    <w:p>
      <w:pPr>
        <w:spacing w:after="0" w:line="15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not currently subject to the informational requirements of the Exchange Act. Upon completion of this offering, we will be subject to the information reporting requirements of the Exchange Act that are applicable to foreign private issuers, and under those requirements will file reports with the SEC. Those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U.S. companies whose securities are registered under the Exchange Act. However, we intend to file with the SEC, within four months after the end of each fiscal year, or such applicable time as required by the SEC, an annual report on Form 20-F containing financial statements audited by an independent registered public accounting firm, and to submit to the SEC, on Form 6-K, unaudited quarterly financial information for the first three quarters of each fiscal year.</w:t>
      </w:r>
    </w:p>
    <w:p>
      <w:pPr>
        <w:spacing w:after="0" w:line="16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maintain a corporate website at www.enterabio.com. Information contained on, or that can be accessed through, our website does not constitute a part of this prospectus and is not incorporated by reference herein. We have included our website address in this prospectus solely for informational purposes.</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70" w:name="page171"/>
    <w:bookmarkEnd w:id="17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52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Audited Financial Statements</w:t>
            </w: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10520" w:type="dxa"/>
            <w:vAlign w:val="bottom"/>
            <w:gridSpan w:val="8"/>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tcBorders>
              <w:bottom w:val="single" w:sz="8" w:color="0000EE"/>
            </w:tcBorders>
            <w:gridSpan w:val="6"/>
            <w:shd w:val="clear" w:color="auto" w:fill="D5EAEA"/>
          </w:tcPr>
          <w:p>
            <w:pPr>
              <w:spacing w:after="0" w:line="176" w:lineRule="exact"/>
              <w:rPr>
                <w:rFonts w:ascii="Arial" w:cs="Arial" w:eastAsia="Arial" w:hAnsi="Arial"/>
                <w:sz w:val="18"/>
                <w:szCs w:val="18"/>
                <w:color w:val="0000EE"/>
                <w:w w:val="92"/>
              </w:rPr>
            </w:pPr>
            <w:hyperlink w:anchor="page172">
              <w:r>
                <w:rPr>
                  <w:rFonts w:ascii="Arial" w:cs="Arial" w:eastAsia="Arial" w:hAnsi="Arial"/>
                  <w:sz w:val="18"/>
                  <w:szCs w:val="18"/>
                  <w:color w:val="0000EE"/>
                  <w:w w:val="92"/>
                </w:rPr>
                <w:t>Report of Independent Registered Public Accounting Firm</w:t>
              </w:r>
            </w:hyperlink>
          </w:p>
        </w:tc>
        <w:tc>
          <w:tcPr>
            <w:tcW w:w="6200" w:type="dxa"/>
            <w:vAlign w:val="bottom"/>
            <w:tcBorders>
              <w:bottom w:val="single" w:sz="8" w:color="D5EAEA"/>
            </w:tcBorders>
            <w:shd w:val="clear" w:color="auto" w:fill="D5EAEA"/>
          </w:tcPr>
          <w:p>
            <w:pPr>
              <w:spacing w:after="0"/>
              <w:rPr>
                <w:sz w:val="17"/>
                <w:szCs w:val="17"/>
                <w:color w:val="auto"/>
              </w:rPr>
            </w:pPr>
          </w:p>
        </w:tc>
        <w:tc>
          <w:tcPr>
            <w:tcW w:w="80" w:type="dxa"/>
            <w:vAlign w:val="bottom"/>
            <w:tcBorders>
              <w:bottom w:val="single" w:sz="8" w:color="D5EAEA"/>
            </w:tcBorders>
            <w:shd w:val="clear" w:color="auto" w:fill="D5EAEA"/>
          </w:tcPr>
          <w:p>
            <w:pPr>
              <w:spacing w:after="0"/>
              <w:rPr>
                <w:sz w:val="17"/>
                <w:szCs w:val="17"/>
                <w:color w:val="auto"/>
              </w:rPr>
            </w:pPr>
          </w:p>
        </w:tc>
        <w:tc>
          <w:tcPr>
            <w:tcW w:w="300" w:type="dxa"/>
            <w:vAlign w:val="bottom"/>
            <w:tcBorders>
              <w:bottom w:val="single" w:sz="8" w:color="0000EE"/>
            </w:tcBorders>
            <w:shd w:val="clear" w:color="auto" w:fill="D5EAEA"/>
          </w:tcPr>
          <w:p>
            <w:pPr>
              <w:spacing w:after="0" w:line="176" w:lineRule="exact"/>
              <w:rPr>
                <w:rFonts w:ascii="Arial" w:cs="Arial" w:eastAsia="Arial" w:hAnsi="Arial"/>
                <w:sz w:val="18"/>
                <w:szCs w:val="18"/>
                <w:b w:val="1"/>
                <w:bCs w:val="1"/>
                <w:color w:val="0000EE"/>
              </w:rPr>
            </w:pPr>
            <w:hyperlink w:anchor="page172">
              <w:r>
                <w:rPr>
                  <w:rFonts w:ascii="Arial" w:cs="Arial" w:eastAsia="Arial" w:hAnsi="Arial"/>
                  <w:sz w:val="18"/>
                  <w:szCs w:val="18"/>
                  <w:b w:val="1"/>
                  <w:bCs w:val="1"/>
                  <w:color w:val="0000EE"/>
                </w:rPr>
                <w:t>F-2</w:t>
              </w:r>
            </w:hyperlink>
          </w:p>
        </w:tc>
        <w:tc>
          <w:tcPr>
            <w:tcW w:w="520" w:type="dxa"/>
            <w:vAlign w:val="bottom"/>
            <w:tcBorders>
              <w:bottom w:val="single" w:sz="8" w:color="D5EAEA"/>
            </w:tcBorders>
            <w:gridSpan w:val="3"/>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7"/>
          </w:tcPr>
          <w:p>
            <w:pPr>
              <w:spacing w:after="0" w:line="176" w:lineRule="exact"/>
              <w:rPr>
                <w:rFonts w:ascii="Arial" w:cs="Arial" w:eastAsia="Arial" w:hAnsi="Arial"/>
                <w:sz w:val="18"/>
                <w:szCs w:val="18"/>
                <w:color w:val="0000EE"/>
              </w:rPr>
            </w:pPr>
            <w:hyperlink w:anchor="page173">
              <w:r>
                <w:rPr>
                  <w:rFonts w:ascii="Arial" w:cs="Arial" w:eastAsia="Arial" w:hAnsi="Arial"/>
                  <w:sz w:val="18"/>
                  <w:szCs w:val="18"/>
                  <w:color w:val="0000EE"/>
                </w:rPr>
                <w:t>Statements of financial position</w:t>
              </w:r>
            </w:hyperlink>
          </w:p>
        </w:tc>
        <w:tc>
          <w:tcPr>
            <w:tcW w:w="900" w:type="dxa"/>
            <w:vAlign w:val="bottom"/>
            <w:gridSpan w:val="5"/>
          </w:tcPr>
          <w:p>
            <w:pPr>
              <w:ind w:left="80"/>
              <w:spacing w:after="0" w:line="176" w:lineRule="exact"/>
              <w:rPr>
                <w:rFonts w:ascii="Arial" w:cs="Arial" w:eastAsia="Arial" w:hAnsi="Arial"/>
                <w:sz w:val="18"/>
                <w:szCs w:val="18"/>
                <w:b w:val="1"/>
                <w:bCs w:val="1"/>
                <w:color w:val="0000EE"/>
              </w:rPr>
            </w:pPr>
            <w:hyperlink w:anchor="page173">
              <w:r>
                <w:rPr>
                  <w:rFonts w:ascii="Arial" w:cs="Arial" w:eastAsia="Arial" w:hAnsi="Arial"/>
                  <w:sz w:val="18"/>
                  <w:szCs w:val="18"/>
                  <w:b w:val="1"/>
                  <w:bCs w:val="1"/>
                  <w:color w:val="0000EE"/>
                </w:rPr>
                <w:t>F-3</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20" w:type="dxa"/>
            <w:vAlign w:val="bottom"/>
            <w:tcBorders>
              <w:bottom w:val="single" w:sz="8" w:color="0000EE"/>
            </w:tcBorders>
            <w:gridSpan w:val="4"/>
            <w:shd w:val="clear" w:color="auto" w:fill="D5EAEA"/>
          </w:tcPr>
          <w:p>
            <w:pPr>
              <w:spacing w:after="0" w:line="176" w:lineRule="exact"/>
              <w:rPr>
                <w:rFonts w:ascii="Arial" w:cs="Arial" w:eastAsia="Arial" w:hAnsi="Arial"/>
                <w:sz w:val="18"/>
                <w:szCs w:val="18"/>
                <w:color w:val="0000EE"/>
                <w:w w:val="90"/>
              </w:rPr>
            </w:pPr>
            <w:hyperlink w:anchor="page174">
              <w:r>
                <w:rPr>
                  <w:rFonts w:ascii="Arial" w:cs="Arial" w:eastAsia="Arial" w:hAnsi="Arial"/>
                  <w:sz w:val="18"/>
                  <w:szCs w:val="18"/>
                  <w:color w:val="0000EE"/>
                  <w:w w:val="90"/>
                </w:rPr>
                <w:t>Statements of comprehensive loss</w:t>
              </w:r>
            </w:hyperlink>
          </w:p>
        </w:tc>
        <w:tc>
          <w:tcPr>
            <w:tcW w:w="7980" w:type="dxa"/>
            <w:vAlign w:val="bottom"/>
            <w:tcBorders>
              <w:bottom w:val="single" w:sz="8" w:color="D5EAEA"/>
            </w:tcBorders>
            <w:gridSpan w:val="3"/>
            <w:shd w:val="clear" w:color="auto" w:fill="D5EAEA"/>
          </w:tcPr>
          <w:p>
            <w:pPr>
              <w:spacing w:after="0"/>
              <w:rPr>
                <w:sz w:val="17"/>
                <w:szCs w:val="17"/>
                <w:color w:val="auto"/>
              </w:rPr>
            </w:pPr>
          </w:p>
        </w:tc>
        <w:tc>
          <w:tcPr>
            <w:tcW w:w="80" w:type="dxa"/>
            <w:vAlign w:val="bottom"/>
            <w:tcBorders>
              <w:bottom w:val="single" w:sz="8" w:color="D5EAEA"/>
            </w:tcBorders>
            <w:shd w:val="clear" w:color="auto" w:fill="D5EAEA"/>
          </w:tcPr>
          <w:p>
            <w:pPr>
              <w:spacing w:after="0"/>
              <w:rPr>
                <w:sz w:val="17"/>
                <w:szCs w:val="17"/>
                <w:color w:val="auto"/>
              </w:rPr>
            </w:pPr>
          </w:p>
        </w:tc>
        <w:tc>
          <w:tcPr>
            <w:tcW w:w="300" w:type="dxa"/>
            <w:vAlign w:val="bottom"/>
            <w:tcBorders>
              <w:bottom w:val="single" w:sz="8" w:color="0000EE"/>
            </w:tcBorders>
            <w:shd w:val="clear" w:color="auto" w:fill="D5EAEA"/>
          </w:tcPr>
          <w:p>
            <w:pPr>
              <w:spacing w:after="0" w:line="176" w:lineRule="exact"/>
              <w:rPr>
                <w:rFonts w:ascii="Arial" w:cs="Arial" w:eastAsia="Arial" w:hAnsi="Arial"/>
                <w:sz w:val="18"/>
                <w:szCs w:val="18"/>
                <w:b w:val="1"/>
                <w:bCs w:val="1"/>
                <w:color w:val="0000EE"/>
              </w:rPr>
            </w:pPr>
            <w:hyperlink w:anchor="page174">
              <w:r>
                <w:rPr>
                  <w:rFonts w:ascii="Arial" w:cs="Arial" w:eastAsia="Arial" w:hAnsi="Arial"/>
                  <w:sz w:val="18"/>
                  <w:szCs w:val="18"/>
                  <w:b w:val="1"/>
                  <w:bCs w:val="1"/>
                  <w:color w:val="0000EE"/>
                </w:rPr>
                <w:t>F-4</w:t>
              </w:r>
            </w:hyperlink>
          </w:p>
        </w:tc>
        <w:tc>
          <w:tcPr>
            <w:tcW w:w="520" w:type="dxa"/>
            <w:vAlign w:val="bottom"/>
            <w:tcBorders>
              <w:bottom w:val="single" w:sz="8" w:color="D5EAEA"/>
            </w:tcBorders>
            <w:gridSpan w:val="3"/>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7"/>
          </w:tcPr>
          <w:p>
            <w:pPr>
              <w:spacing w:after="0" w:line="176" w:lineRule="exact"/>
              <w:rPr>
                <w:rFonts w:ascii="Arial" w:cs="Arial" w:eastAsia="Arial" w:hAnsi="Arial"/>
                <w:sz w:val="18"/>
                <w:szCs w:val="18"/>
                <w:color w:val="0000EE"/>
              </w:rPr>
            </w:pPr>
            <w:hyperlink w:anchor="page175">
              <w:r>
                <w:rPr>
                  <w:rFonts w:ascii="Arial" w:cs="Arial" w:eastAsia="Arial" w:hAnsi="Arial"/>
                  <w:sz w:val="18"/>
                  <w:szCs w:val="18"/>
                  <w:color w:val="0000EE"/>
                </w:rPr>
                <w:t>Statements of changes in capital deficiency</w:t>
              </w:r>
            </w:hyperlink>
          </w:p>
        </w:tc>
        <w:tc>
          <w:tcPr>
            <w:tcW w:w="900" w:type="dxa"/>
            <w:vAlign w:val="bottom"/>
            <w:gridSpan w:val="5"/>
          </w:tcPr>
          <w:p>
            <w:pPr>
              <w:ind w:left="80"/>
              <w:spacing w:after="0" w:line="176" w:lineRule="exact"/>
              <w:rPr>
                <w:rFonts w:ascii="Arial" w:cs="Arial" w:eastAsia="Arial" w:hAnsi="Arial"/>
                <w:sz w:val="18"/>
                <w:szCs w:val="18"/>
                <w:b w:val="1"/>
                <w:bCs w:val="1"/>
                <w:color w:val="0000EE"/>
              </w:rPr>
            </w:pPr>
            <w:hyperlink w:anchor="page175">
              <w:r>
                <w:rPr>
                  <w:rFonts w:ascii="Arial" w:cs="Arial" w:eastAsia="Arial" w:hAnsi="Arial"/>
                  <w:sz w:val="18"/>
                  <w:szCs w:val="18"/>
                  <w:b w:val="1"/>
                  <w:bCs w:val="1"/>
                  <w:color w:val="0000EE"/>
                </w:rPr>
                <w:t>F-5</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80" w:type="dxa"/>
            <w:vAlign w:val="bottom"/>
            <w:tcBorders>
              <w:bottom w:val="single" w:sz="8" w:color="0000EE"/>
            </w:tcBorders>
            <w:shd w:val="clear" w:color="auto" w:fill="D5EAEA"/>
          </w:tcPr>
          <w:p>
            <w:pPr>
              <w:spacing w:after="0" w:line="176" w:lineRule="exact"/>
              <w:rPr>
                <w:rFonts w:ascii="Arial" w:cs="Arial" w:eastAsia="Arial" w:hAnsi="Arial"/>
                <w:sz w:val="18"/>
                <w:szCs w:val="18"/>
                <w:color w:val="0000EE"/>
                <w:w w:val="92"/>
              </w:rPr>
            </w:pPr>
            <w:hyperlink w:anchor="page176">
              <w:r>
                <w:rPr>
                  <w:rFonts w:ascii="Arial" w:cs="Arial" w:eastAsia="Arial" w:hAnsi="Arial"/>
                  <w:sz w:val="18"/>
                  <w:szCs w:val="18"/>
                  <w:color w:val="0000EE"/>
                  <w:w w:val="92"/>
                </w:rPr>
                <w:t>Statements of cash flows</w:t>
              </w:r>
            </w:hyperlink>
          </w:p>
        </w:tc>
        <w:tc>
          <w:tcPr>
            <w:tcW w:w="8620" w:type="dxa"/>
            <w:vAlign w:val="bottom"/>
            <w:tcBorders>
              <w:bottom w:val="single" w:sz="8" w:color="D5EAEA"/>
            </w:tcBorders>
            <w:gridSpan w:val="6"/>
            <w:shd w:val="clear" w:color="auto" w:fill="D5EAEA"/>
          </w:tcPr>
          <w:p>
            <w:pPr>
              <w:spacing w:after="0"/>
              <w:rPr>
                <w:sz w:val="17"/>
                <w:szCs w:val="17"/>
                <w:color w:val="auto"/>
              </w:rPr>
            </w:pPr>
          </w:p>
        </w:tc>
        <w:tc>
          <w:tcPr>
            <w:tcW w:w="80" w:type="dxa"/>
            <w:vAlign w:val="bottom"/>
            <w:tcBorders>
              <w:bottom w:val="single" w:sz="8" w:color="D5EAEA"/>
            </w:tcBorders>
            <w:shd w:val="clear" w:color="auto" w:fill="D5EAEA"/>
          </w:tcPr>
          <w:p>
            <w:pPr>
              <w:spacing w:after="0"/>
              <w:rPr>
                <w:sz w:val="17"/>
                <w:szCs w:val="17"/>
                <w:color w:val="auto"/>
              </w:rPr>
            </w:pPr>
          </w:p>
        </w:tc>
        <w:tc>
          <w:tcPr>
            <w:tcW w:w="460" w:type="dxa"/>
            <w:vAlign w:val="bottom"/>
            <w:tcBorders>
              <w:bottom w:val="single" w:sz="8" w:color="0000EE"/>
            </w:tcBorders>
            <w:gridSpan w:val="2"/>
            <w:shd w:val="clear" w:color="auto" w:fill="D5EAEA"/>
          </w:tcPr>
          <w:p>
            <w:pPr>
              <w:spacing w:after="0" w:line="176" w:lineRule="exact"/>
              <w:rPr>
                <w:rFonts w:ascii="Arial" w:cs="Arial" w:eastAsia="Arial" w:hAnsi="Arial"/>
                <w:sz w:val="18"/>
                <w:szCs w:val="18"/>
                <w:b w:val="1"/>
                <w:bCs w:val="1"/>
                <w:color w:val="0000EE"/>
              </w:rPr>
            </w:pPr>
            <w:hyperlink w:anchor="page176">
              <w:r>
                <w:rPr>
                  <w:rFonts w:ascii="Arial" w:cs="Arial" w:eastAsia="Arial" w:hAnsi="Arial"/>
                  <w:sz w:val="18"/>
                  <w:szCs w:val="18"/>
                  <w:b w:val="1"/>
                  <w:bCs w:val="1"/>
                  <w:color w:val="0000EE"/>
                </w:rPr>
                <w:t>F-6-7</w:t>
              </w:r>
            </w:hyperlink>
          </w:p>
        </w:tc>
        <w:tc>
          <w:tcPr>
            <w:tcW w:w="360" w:type="dxa"/>
            <w:vAlign w:val="bottom"/>
            <w:tcBorders>
              <w:bottom w:val="single" w:sz="8" w:color="D5EAEA"/>
            </w:tcBorders>
            <w:gridSpan w:val="2"/>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00" w:type="dxa"/>
            <w:vAlign w:val="bottom"/>
            <w:gridSpan w:val="7"/>
          </w:tcPr>
          <w:p>
            <w:pPr>
              <w:spacing w:after="0" w:line="176" w:lineRule="exact"/>
              <w:rPr>
                <w:rFonts w:ascii="Arial" w:cs="Arial" w:eastAsia="Arial" w:hAnsi="Arial"/>
                <w:sz w:val="18"/>
                <w:szCs w:val="18"/>
                <w:color w:val="0000EE"/>
              </w:rPr>
            </w:pPr>
            <w:hyperlink w:anchor="page178">
              <w:r>
                <w:rPr>
                  <w:rFonts w:ascii="Arial" w:cs="Arial" w:eastAsia="Arial" w:hAnsi="Arial"/>
                  <w:sz w:val="18"/>
                  <w:szCs w:val="18"/>
                  <w:color w:val="0000EE"/>
                </w:rPr>
                <w:t>Notes to the financial statements</w:t>
              </w:r>
            </w:hyperlink>
          </w:p>
        </w:tc>
        <w:tc>
          <w:tcPr>
            <w:tcW w:w="900" w:type="dxa"/>
            <w:vAlign w:val="bottom"/>
            <w:gridSpan w:val="5"/>
          </w:tcPr>
          <w:p>
            <w:pPr>
              <w:ind w:left="80"/>
              <w:spacing w:after="0" w:line="176" w:lineRule="exact"/>
              <w:rPr>
                <w:rFonts w:ascii="Arial" w:cs="Arial" w:eastAsia="Arial" w:hAnsi="Arial"/>
                <w:sz w:val="18"/>
                <w:szCs w:val="18"/>
                <w:b w:val="1"/>
                <w:bCs w:val="1"/>
                <w:color w:val="0000EE"/>
              </w:rPr>
            </w:pPr>
            <w:hyperlink w:anchor="page178">
              <w:r>
                <w:rPr>
                  <w:rFonts w:ascii="Arial" w:cs="Arial" w:eastAsia="Arial" w:hAnsi="Arial"/>
                  <w:sz w:val="18"/>
                  <w:szCs w:val="18"/>
                  <w:b w:val="1"/>
                  <w:bCs w:val="1"/>
                  <w:color w:val="0000EE"/>
                </w:rPr>
                <w:t>F-8-35</w:t>
              </w:r>
            </w:hyperlink>
          </w:p>
        </w:tc>
        <w:tc>
          <w:tcPr>
            <w:tcW w:w="0" w:type="dxa"/>
            <w:vAlign w:val="bottom"/>
          </w:tcPr>
          <w:p>
            <w:pPr>
              <w:spacing w:after="0"/>
              <w:rPr>
                <w:sz w:val="1"/>
                <w:szCs w:val="1"/>
                <w:color w:val="auto"/>
              </w:rPr>
            </w:pPr>
          </w:p>
        </w:tc>
      </w:tr>
      <w:tr>
        <w:trPr>
          <w:trHeight w:val="615"/>
        </w:trPr>
        <w:tc>
          <w:tcPr>
            <w:tcW w:w="20" w:type="dxa"/>
            <w:vAlign w:val="bottom"/>
            <w:tcBorders>
              <w:bottom w:val="single" w:sz="8" w:color="auto"/>
            </w:tcBorders>
          </w:tcPr>
          <w:p>
            <w:pPr>
              <w:spacing w:after="0"/>
              <w:rPr>
                <w:sz w:val="24"/>
                <w:szCs w:val="24"/>
                <w:color w:val="auto"/>
              </w:rPr>
            </w:pPr>
          </w:p>
        </w:tc>
        <w:tc>
          <w:tcPr>
            <w:tcW w:w="18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171" w:name="page172"/>
    <w:bookmarkEnd w:id="17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917575" cy="7289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91757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To the shareholders of</w:t>
      </w:r>
    </w:p>
    <w:p>
      <w:pPr>
        <w:jc w:val="center"/>
        <w:spacing w:after="0"/>
        <w:rPr>
          <w:sz w:val="20"/>
          <w:szCs w:val="20"/>
          <w:color w:val="auto"/>
        </w:rPr>
      </w:pPr>
      <w:r>
        <w:rPr>
          <w:rFonts w:ascii="Arial" w:cs="Arial" w:eastAsia="Arial" w:hAnsi="Arial"/>
          <w:sz w:val="20"/>
          <w:szCs w:val="20"/>
          <w:b w:val="1"/>
          <w:bCs w:val="1"/>
          <w:color w:val="auto"/>
        </w:rPr>
        <w:t>ENTERA BIO LTD.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statements of financial position of Entera Bio Ltd. as of December 31, 2017 and 2016, and the related statements of comprehensive loss, changes in capital deficiency and cash flows for each of the two years in the period ended December 31, 2017, including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two years in the period ended December 31, 2017 in conformity with International Financial Reporting Standards as issued by the International Accounting Standards Board.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Explanatory Paragraph – Going Concern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financial statements have been prepared assuming the Company will continue as a going concern. As discussed in Note 1a.2 to the financial statements, the Company has suffered recurring losses from operations and has cash outflows from operating activities that raise substantial doubt about its ability to continue as a going concern. Management's plans in regard to these matters are also described in Note 1a.2. The financial statements do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and Board of Directors.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conducted our audits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18"/>
          <w:szCs w:val="18"/>
          <w:b w:val="1"/>
          <w:bCs w:val="1"/>
          <w:color w:val="auto"/>
        </w:rPr>
        <w:t>S</w:t>
      </w:r>
      <w:r>
        <w:rPr>
          <w:rFonts w:ascii="Arial" w:cs="Arial" w:eastAsia="Arial" w:hAnsi="Arial"/>
          <w:sz w:val="22"/>
          <w:szCs w:val="22"/>
          <w:color w:val="auto"/>
        </w:rPr>
        <w:t xml:space="preserve">/ </w:t>
      </w:r>
      <w:r>
        <w:rPr>
          <w:rFonts w:ascii="Arial" w:cs="Arial" w:eastAsia="Arial" w:hAnsi="Arial"/>
          <w:sz w:val="18"/>
          <w:szCs w:val="18"/>
          <w:b w:val="1"/>
          <w:bCs w:val="1"/>
          <w:color w:val="auto"/>
        </w:rPr>
        <w:t>Kesselman &amp; Kesselman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Certified Public Accountants (Isr.)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member of PricewaterhouseCoopers International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30, 2018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Kesselman &amp; Kesselman, Trade Tower, 25 Hamered Street, Tel-Aviv 6812508, Israel,</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 Box 50005 Tel-Aviv 6150001 Telephone: +972 -3- 7954555, Fax:+972 -3- 7954556, www.pwc.com/il</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72" w:name="page173"/>
    <w:bookmarkEnd w:id="17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940" w:type="dxa"/>
            <w:vAlign w:val="bottom"/>
            <w:gridSpan w:val="2"/>
          </w:tcPr>
          <w:p>
            <w:pPr>
              <w:ind w:left="200"/>
              <w:spacing w:after="0"/>
              <w:rPr>
                <w:sz w:val="20"/>
                <w:szCs w:val="20"/>
                <w:color w:val="auto"/>
              </w:rPr>
            </w:pPr>
            <w:r>
              <w:rPr>
                <w:rFonts w:ascii="Arial" w:cs="Arial" w:eastAsia="Arial" w:hAnsi="Arial"/>
                <w:sz w:val="18"/>
                <w:szCs w:val="18"/>
                <w:b w:val="1"/>
                <w:bCs w:val="1"/>
                <w:color w:val="241E1C"/>
              </w:rPr>
              <w:t>ENTERA BIO LTD.</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4"/>
                <w:szCs w:val="24"/>
                <w:color w:val="auto"/>
              </w:rPr>
            </w:pPr>
          </w:p>
        </w:tc>
        <w:tc>
          <w:tcPr>
            <w:tcW w:w="3880" w:type="dxa"/>
            <w:vAlign w:val="bottom"/>
            <w:gridSpan w:val="4"/>
          </w:tcPr>
          <w:p>
            <w:pPr>
              <w:ind w:left="280"/>
              <w:spacing w:after="0"/>
              <w:rPr>
                <w:sz w:val="20"/>
                <w:szCs w:val="20"/>
                <w:color w:val="auto"/>
              </w:rPr>
            </w:pPr>
            <w:r>
              <w:rPr>
                <w:rFonts w:ascii="Arial" w:cs="Arial" w:eastAsia="Arial" w:hAnsi="Arial"/>
                <w:sz w:val="18"/>
                <w:szCs w:val="18"/>
                <w:color w:val="auto"/>
              </w:rPr>
              <w:t>STATEMENTS OF FINANCIAL POSITION</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tcBorders>
              <w:bottom w:val="single" w:sz="8" w:color="auto"/>
            </w:tcBorders>
            <w:gridSpan w:val="4"/>
          </w:tcPr>
          <w:p>
            <w:pPr>
              <w:ind w:left="880"/>
              <w:spacing w:after="0"/>
              <w:rPr>
                <w:sz w:val="20"/>
                <w:szCs w:val="20"/>
                <w:color w:val="auto"/>
              </w:rPr>
            </w:pPr>
            <w:r>
              <w:rPr>
                <w:rFonts w:ascii="Arial" w:cs="Arial" w:eastAsia="Arial" w:hAnsi="Arial"/>
                <w:sz w:val="18"/>
                <w:szCs w:val="18"/>
                <w:b w:val="1"/>
                <w:bCs w:val="1"/>
                <w:color w:val="241E1C"/>
                <w:w w:val="90"/>
              </w:rPr>
              <w:t>December 31</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241E1C"/>
              </w:rPr>
              <w:t>2017</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241E1C"/>
                <w:w w:val="84"/>
              </w:rPr>
              <w:t>2016</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ind w:left="220"/>
              <w:spacing w:after="0"/>
              <w:rPr>
                <w:sz w:val="20"/>
                <w:szCs w:val="20"/>
                <w:color w:val="auto"/>
              </w:rPr>
            </w:pPr>
            <w:r>
              <w:rPr>
                <w:rFonts w:ascii="Arial" w:cs="Arial" w:eastAsia="Arial" w:hAnsi="Arial"/>
                <w:sz w:val="18"/>
                <w:szCs w:val="18"/>
                <w:b w:val="1"/>
                <w:bCs w:val="1"/>
                <w:color w:val="241E1C"/>
              </w:rPr>
              <w:t>Note</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241E1C"/>
              </w:rPr>
              <w:t>U.S. dollars</w:t>
            </w:r>
          </w:p>
        </w:tc>
        <w:tc>
          <w:tcPr>
            <w:tcW w:w="146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241E1C"/>
                <w:w w:val="87"/>
              </w:rPr>
              <w:t>in thousands</w:t>
            </w:r>
          </w:p>
        </w:tc>
        <w:tc>
          <w:tcPr>
            <w:tcW w:w="0" w:type="dxa"/>
            <w:vAlign w:val="bottom"/>
          </w:tcPr>
          <w:p>
            <w:pPr>
              <w:spacing w:after="0"/>
              <w:rPr>
                <w:sz w:val="1"/>
                <w:szCs w:val="1"/>
                <w:color w:val="auto"/>
              </w:rPr>
            </w:pPr>
          </w:p>
        </w:tc>
      </w:tr>
      <w:tr>
        <w:trPr>
          <w:trHeight w:val="205"/>
        </w:trPr>
        <w:tc>
          <w:tcPr>
            <w:tcW w:w="4720" w:type="dxa"/>
            <w:vAlign w:val="bottom"/>
            <w:gridSpan w:val="3"/>
          </w:tcPr>
          <w:p>
            <w:pPr>
              <w:ind w:left="3540"/>
              <w:spacing w:after="0" w:line="205" w:lineRule="exact"/>
              <w:rPr>
                <w:sz w:val="20"/>
                <w:szCs w:val="20"/>
                <w:color w:val="auto"/>
              </w:rPr>
            </w:pPr>
            <w:r>
              <w:rPr>
                <w:rFonts w:ascii="Arial" w:cs="Arial" w:eastAsia="Arial" w:hAnsi="Arial"/>
                <w:sz w:val="18"/>
                <w:szCs w:val="18"/>
                <w:b w:val="1"/>
                <w:bCs w:val="1"/>
                <w:color w:val="auto"/>
              </w:rPr>
              <w:t>Assets</w:t>
            </w: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gridSpan w:val="3"/>
            <w:shd w:val="clear" w:color="auto" w:fill="D5EAEA"/>
          </w:tcPr>
          <w:p>
            <w:pPr>
              <w:ind w:left="400"/>
              <w:spacing w:after="0"/>
              <w:rPr>
                <w:sz w:val="20"/>
                <w:szCs w:val="20"/>
                <w:color w:val="auto"/>
              </w:rPr>
            </w:pPr>
            <w:r>
              <w:rPr>
                <w:rFonts w:ascii="Arial" w:cs="Arial" w:eastAsia="Arial" w:hAnsi="Arial"/>
                <w:sz w:val="18"/>
                <w:szCs w:val="18"/>
                <w:color w:val="auto"/>
              </w:rPr>
              <w:t>Cash and cash equivalents</w:t>
            </w:r>
          </w:p>
        </w:tc>
        <w:tc>
          <w:tcPr>
            <w:tcW w:w="28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820" w:type="dxa"/>
            <w:vAlign w:val="bottom"/>
            <w:gridSpan w:val="2"/>
            <w:shd w:val="clear" w:color="auto" w:fill="D5EAEA"/>
          </w:tcPr>
          <w:p>
            <w:pPr>
              <w:jc w:val="center"/>
              <w:spacing w:after="0"/>
              <w:rPr>
                <w:sz w:val="20"/>
                <w:szCs w:val="20"/>
                <w:color w:val="auto"/>
              </w:rPr>
            </w:pPr>
            <w:r>
              <w:rPr>
                <w:rFonts w:ascii="Arial" w:cs="Arial" w:eastAsia="Arial" w:hAnsi="Arial"/>
                <w:sz w:val="18"/>
                <w:szCs w:val="18"/>
                <w:color w:val="auto"/>
                <w:w w:val="79"/>
              </w:rPr>
              <w:t>5</w:t>
            </w:r>
          </w:p>
        </w:tc>
        <w:tc>
          <w:tcPr>
            <w:tcW w:w="140" w:type="dxa"/>
            <w:vAlign w:val="bottom"/>
            <w:shd w:val="clear" w:color="auto" w:fill="D5EAEA"/>
          </w:tcPr>
          <w:p>
            <w:pPr>
              <w:spacing w:after="0"/>
              <w:rPr>
                <w:sz w:val="18"/>
                <w:szCs w:val="18"/>
                <w:color w:val="auto"/>
              </w:rPr>
            </w:pPr>
          </w:p>
        </w:tc>
        <w:tc>
          <w:tcPr>
            <w:tcW w:w="134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11,746</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16"/>
        </w:trPr>
        <w:tc>
          <w:tcPr>
            <w:tcW w:w="4720" w:type="dxa"/>
            <w:vAlign w:val="bottom"/>
            <w:gridSpan w:val="3"/>
          </w:tcPr>
          <w:p>
            <w:pPr>
              <w:ind w:left="400"/>
              <w:spacing w:after="0"/>
              <w:rPr>
                <w:sz w:val="20"/>
                <w:szCs w:val="20"/>
                <w:color w:val="auto"/>
              </w:rPr>
            </w:pPr>
            <w:r>
              <w:rPr>
                <w:rFonts w:ascii="Arial" w:cs="Arial" w:eastAsia="Arial" w:hAnsi="Arial"/>
                <w:sz w:val="18"/>
                <w:szCs w:val="18"/>
                <w:color w:val="auto"/>
              </w:rPr>
              <w:t>Restricted deposits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7a2</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30"/>
        </w:trPr>
        <w:tc>
          <w:tcPr>
            <w:tcW w:w="4720" w:type="dxa"/>
            <w:vAlign w:val="bottom"/>
            <w:gridSpan w:val="3"/>
            <w:shd w:val="clear" w:color="auto" w:fill="D5EAEA"/>
          </w:tcPr>
          <w:p>
            <w:pPr>
              <w:ind w:left="400"/>
              <w:spacing w:after="0"/>
              <w:rPr>
                <w:sz w:val="20"/>
                <w:szCs w:val="20"/>
                <w:color w:val="auto"/>
              </w:rPr>
            </w:pPr>
            <w:r>
              <w:rPr>
                <w:rFonts w:ascii="Arial" w:cs="Arial" w:eastAsia="Arial" w:hAnsi="Arial"/>
                <w:sz w:val="18"/>
                <w:szCs w:val="18"/>
                <w:color w:val="auto"/>
              </w:rPr>
              <w:t>Other current assets</w:t>
            </w:r>
          </w:p>
        </w:tc>
        <w:tc>
          <w:tcPr>
            <w:tcW w:w="2840" w:type="dxa"/>
            <w:vAlign w:val="bottom"/>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240" w:type="dxa"/>
            <w:vAlign w:val="bottom"/>
            <w:shd w:val="clear" w:color="auto" w:fill="D5EAEA"/>
          </w:tcPr>
          <w:p>
            <w:pPr>
              <w:spacing w:after="0"/>
              <w:rPr>
                <w:sz w:val="19"/>
                <w:szCs w:val="19"/>
                <w:color w:val="auto"/>
              </w:rPr>
            </w:pPr>
          </w:p>
        </w:tc>
        <w:tc>
          <w:tcPr>
            <w:tcW w:w="720" w:type="dxa"/>
            <w:vAlign w:val="bottom"/>
            <w:gridSpan w:val="2"/>
            <w:shd w:val="clear" w:color="auto" w:fill="D5EAEA"/>
          </w:tcPr>
          <w:p>
            <w:pPr>
              <w:jc w:val="center"/>
              <w:ind w:right="380"/>
              <w:spacing w:after="0"/>
              <w:rPr>
                <w:sz w:val="20"/>
                <w:szCs w:val="20"/>
                <w:color w:val="auto"/>
              </w:rPr>
            </w:pPr>
            <w:r>
              <w:rPr>
                <w:rFonts w:ascii="Arial" w:cs="Arial" w:eastAsia="Arial" w:hAnsi="Arial"/>
                <w:sz w:val="18"/>
                <w:szCs w:val="18"/>
                <w:color w:val="auto"/>
                <w:w w:val="86"/>
              </w:rPr>
              <w:t>12a</w:t>
            </w:r>
          </w:p>
        </w:tc>
        <w:tc>
          <w:tcPr>
            <w:tcW w:w="134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D5EAEA"/>
          </w:tcPr>
          <w:p>
            <w:pPr>
              <w:spacing w:after="0"/>
              <w:rPr>
                <w:sz w:val="19"/>
                <w:szCs w:val="19"/>
                <w:color w:val="auto"/>
              </w:rPr>
            </w:pPr>
          </w:p>
        </w:tc>
        <w:tc>
          <w:tcPr>
            <w:tcW w:w="480" w:type="dxa"/>
            <w:vAlign w:val="bottom"/>
            <w:shd w:val="clear" w:color="auto" w:fill="D5EAEA"/>
          </w:tcPr>
          <w:p>
            <w:pPr>
              <w:spacing w:after="0"/>
              <w:rPr>
                <w:sz w:val="19"/>
                <w:szCs w:val="19"/>
                <w:color w:val="auto"/>
              </w:rPr>
            </w:pPr>
          </w:p>
        </w:tc>
        <w:tc>
          <w:tcPr>
            <w:tcW w:w="8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D5EAEA"/>
            </w:tcBorders>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284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240" w:type="dxa"/>
            <w:vAlign w:val="bottom"/>
            <w:tcBorders>
              <w:bottom w:val="single" w:sz="8" w:color="D5EAEA"/>
            </w:tcBorders>
          </w:tcPr>
          <w:p>
            <w:pPr>
              <w:spacing w:after="0"/>
              <w:rPr>
                <w:sz w:val="18"/>
                <w:szCs w:val="18"/>
                <w:color w:val="auto"/>
              </w:rPr>
            </w:pPr>
          </w:p>
        </w:tc>
        <w:tc>
          <w:tcPr>
            <w:tcW w:w="580" w:type="dxa"/>
            <w:vAlign w:val="bottom"/>
            <w:tcBorders>
              <w:bottom w:val="single" w:sz="8" w:color="D5EAEA"/>
            </w:tcBorders>
          </w:tcPr>
          <w:p>
            <w:pPr>
              <w:spacing w:after="0"/>
              <w:rPr>
                <w:sz w:val="18"/>
                <w:szCs w:val="18"/>
                <w:color w:val="auto"/>
              </w:rPr>
            </w:pPr>
          </w:p>
        </w:tc>
        <w:tc>
          <w:tcPr>
            <w:tcW w:w="140" w:type="dxa"/>
            <w:vAlign w:val="bottom"/>
            <w:tcBorders>
              <w:bottom w:val="single" w:sz="8" w:color="D5EAEA"/>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12,417</w:t>
            </w:r>
          </w:p>
        </w:tc>
        <w:tc>
          <w:tcPr>
            <w:tcW w:w="10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5,433</w:t>
            </w:r>
          </w:p>
        </w:tc>
        <w:tc>
          <w:tcPr>
            <w:tcW w:w="100" w:type="dxa"/>
            <w:vAlign w:val="bottom"/>
            <w:tcBorders>
              <w:bottom w:val="single" w:sz="8" w:color="D5EAEA"/>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gridSpan w:val="3"/>
            <w:shd w:val="clear" w:color="auto" w:fill="D5EAEA"/>
          </w:tcPr>
          <w:p>
            <w:pPr>
              <w:spacing w:after="0"/>
              <w:rPr>
                <w:sz w:val="20"/>
                <w:szCs w:val="20"/>
                <w:color w:val="auto"/>
              </w:rPr>
            </w:pPr>
            <w:r>
              <w:rPr>
                <w:rFonts w:ascii="Arial" w:cs="Arial" w:eastAsia="Arial" w:hAnsi="Arial"/>
                <w:sz w:val="18"/>
                <w:szCs w:val="18"/>
                <w:b w:val="1"/>
                <w:bCs w:val="1"/>
                <w:color w:val="auto"/>
              </w:rPr>
              <w:t>NON-CURRENT ASSETS:</w:t>
            </w:r>
          </w:p>
        </w:tc>
        <w:tc>
          <w:tcPr>
            <w:tcW w:w="28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58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7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3"/>
          </w:tcPr>
          <w:p>
            <w:pPr>
              <w:ind w:left="400"/>
              <w:spacing w:after="0"/>
              <w:rPr>
                <w:sz w:val="20"/>
                <w:szCs w:val="20"/>
                <w:color w:val="auto"/>
              </w:rPr>
            </w:pPr>
            <w:r>
              <w:rPr>
                <w:rFonts w:ascii="Arial" w:cs="Arial" w:eastAsia="Arial" w:hAnsi="Arial"/>
                <w:sz w:val="18"/>
                <w:szCs w:val="18"/>
                <w:color w:val="auto"/>
              </w:rPr>
              <w:t>Property and equipment</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4720" w:type="dxa"/>
            <w:vAlign w:val="bottom"/>
            <w:gridSpan w:val="3"/>
            <w:shd w:val="clear" w:color="auto" w:fill="D5EAEA"/>
          </w:tcPr>
          <w:p>
            <w:pPr>
              <w:ind w:left="400"/>
              <w:spacing w:after="0"/>
              <w:rPr>
                <w:sz w:val="20"/>
                <w:szCs w:val="20"/>
                <w:color w:val="auto"/>
              </w:rPr>
            </w:pPr>
            <w:r>
              <w:rPr>
                <w:rFonts w:ascii="Arial" w:cs="Arial" w:eastAsia="Arial" w:hAnsi="Arial"/>
                <w:sz w:val="18"/>
                <w:szCs w:val="18"/>
                <w:color w:val="auto"/>
              </w:rPr>
              <w:t>Intangible assets</w:t>
            </w:r>
          </w:p>
        </w:tc>
        <w:tc>
          <w:tcPr>
            <w:tcW w:w="2840" w:type="dxa"/>
            <w:vAlign w:val="bottom"/>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820" w:type="dxa"/>
            <w:vAlign w:val="bottom"/>
            <w:gridSpan w:val="2"/>
            <w:shd w:val="clear" w:color="auto" w:fill="D5EAEA"/>
          </w:tcPr>
          <w:p>
            <w:pPr>
              <w:jc w:val="center"/>
              <w:spacing w:after="0"/>
              <w:rPr>
                <w:sz w:val="20"/>
                <w:szCs w:val="20"/>
                <w:color w:val="auto"/>
              </w:rPr>
            </w:pPr>
            <w:r>
              <w:rPr>
                <w:rFonts w:ascii="Arial" w:cs="Arial" w:eastAsia="Arial" w:hAnsi="Arial"/>
                <w:sz w:val="18"/>
                <w:szCs w:val="18"/>
                <w:color w:val="auto"/>
                <w:w w:val="79"/>
              </w:rPr>
              <w:t>6</w:t>
            </w:r>
          </w:p>
        </w:tc>
        <w:tc>
          <w:tcPr>
            <w:tcW w:w="140" w:type="dxa"/>
            <w:vAlign w:val="bottom"/>
            <w:shd w:val="clear" w:color="auto" w:fill="D5EAEA"/>
          </w:tcPr>
          <w:p>
            <w:pPr>
              <w:spacing w:after="0"/>
              <w:rPr>
                <w:sz w:val="19"/>
                <w:szCs w:val="19"/>
                <w:color w:val="auto"/>
              </w:rPr>
            </w:pPr>
          </w:p>
        </w:tc>
        <w:tc>
          <w:tcPr>
            <w:tcW w:w="134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D5EAEA"/>
          </w:tcPr>
          <w:p>
            <w:pPr>
              <w:spacing w:after="0"/>
              <w:rPr>
                <w:sz w:val="19"/>
                <w:szCs w:val="19"/>
                <w:color w:val="auto"/>
              </w:rPr>
            </w:pPr>
          </w:p>
        </w:tc>
        <w:tc>
          <w:tcPr>
            <w:tcW w:w="480" w:type="dxa"/>
            <w:vAlign w:val="bottom"/>
            <w:shd w:val="clear" w:color="auto" w:fill="D5EAEA"/>
          </w:tcPr>
          <w:p>
            <w:pPr>
              <w:spacing w:after="0"/>
              <w:rPr>
                <w:sz w:val="19"/>
                <w:szCs w:val="19"/>
                <w:color w:val="auto"/>
              </w:rPr>
            </w:pPr>
          </w:p>
        </w:tc>
        <w:tc>
          <w:tcPr>
            <w:tcW w:w="8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D5EAEA"/>
            </w:tcBorders>
            <w:gridSpan w:val="3"/>
          </w:tcPr>
          <w:p>
            <w:pPr>
              <w:spacing w:after="0"/>
              <w:rPr>
                <w:sz w:val="20"/>
                <w:szCs w:val="20"/>
                <w:color w:val="auto"/>
              </w:rPr>
            </w:pPr>
            <w:r>
              <w:rPr>
                <w:rFonts w:ascii="Arial" w:cs="Arial" w:eastAsia="Arial" w:hAnsi="Arial"/>
                <w:sz w:val="18"/>
                <w:szCs w:val="18"/>
                <w:b w:val="1"/>
                <w:bCs w:val="1"/>
                <w:color w:val="auto"/>
              </w:rPr>
              <w:t>TOTAL NON-CURRENT ASSETS</w:t>
            </w:r>
          </w:p>
        </w:tc>
        <w:tc>
          <w:tcPr>
            <w:tcW w:w="284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240" w:type="dxa"/>
            <w:vAlign w:val="bottom"/>
            <w:tcBorders>
              <w:bottom w:val="single" w:sz="8" w:color="D5EAEA"/>
            </w:tcBorders>
          </w:tcPr>
          <w:p>
            <w:pPr>
              <w:spacing w:after="0"/>
              <w:rPr>
                <w:sz w:val="18"/>
                <w:szCs w:val="18"/>
                <w:color w:val="auto"/>
              </w:rPr>
            </w:pPr>
          </w:p>
        </w:tc>
        <w:tc>
          <w:tcPr>
            <w:tcW w:w="580" w:type="dxa"/>
            <w:vAlign w:val="bottom"/>
            <w:tcBorders>
              <w:bottom w:val="single" w:sz="8" w:color="D5EAEA"/>
            </w:tcBorders>
          </w:tcPr>
          <w:p>
            <w:pPr>
              <w:spacing w:after="0"/>
              <w:rPr>
                <w:sz w:val="18"/>
                <w:szCs w:val="18"/>
                <w:color w:val="auto"/>
              </w:rPr>
            </w:pPr>
          </w:p>
        </w:tc>
        <w:tc>
          <w:tcPr>
            <w:tcW w:w="140" w:type="dxa"/>
            <w:vAlign w:val="bottom"/>
            <w:tcBorders>
              <w:bottom w:val="single" w:sz="8" w:color="D5EAEA"/>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D5EAEA"/>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D5EAEA"/>
            </w:tcBorders>
            <w:gridSpan w:val="3"/>
            <w:shd w:val="clear" w:color="auto" w:fill="D5EAEA"/>
          </w:tcPr>
          <w:p>
            <w:pPr>
              <w:spacing w:after="0"/>
              <w:rPr>
                <w:sz w:val="20"/>
                <w:szCs w:val="20"/>
                <w:color w:val="auto"/>
              </w:rPr>
            </w:pPr>
            <w:r>
              <w:rPr>
                <w:rFonts w:ascii="Arial" w:cs="Arial" w:eastAsia="Arial" w:hAnsi="Arial"/>
                <w:sz w:val="18"/>
                <w:szCs w:val="18"/>
                <w:b w:val="1"/>
                <w:bCs w:val="1"/>
                <w:color w:val="auto"/>
              </w:rPr>
              <w:t>TOTAL ASSETS</w:t>
            </w:r>
          </w:p>
        </w:tc>
        <w:tc>
          <w:tcPr>
            <w:tcW w:w="2840" w:type="dxa"/>
            <w:vAlign w:val="bottom"/>
            <w:tcBorders>
              <w:bottom w:val="single" w:sz="8" w:color="D5EAEA"/>
            </w:tcBorders>
            <w:shd w:val="clear" w:color="auto" w:fill="D5EAEA"/>
          </w:tcPr>
          <w:p>
            <w:pPr>
              <w:spacing w:after="0"/>
              <w:rPr>
                <w:sz w:val="19"/>
                <w:szCs w:val="19"/>
                <w:color w:val="auto"/>
              </w:rPr>
            </w:pPr>
          </w:p>
        </w:tc>
        <w:tc>
          <w:tcPr>
            <w:tcW w:w="100" w:type="dxa"/>
            <w:vAlign w:val="bottom"/>
            <w:tcBorders>
              <w:bottom w:val="single" w:sz="8" w:color="D5EAEA"/>
            </w:tcBorders>
            <w:shd w:val="clear" w:color="auto" w:fill="D5EAEA"/>
          </w:tcPr>
          <w:p>
            <w:pPr>
              <w:spacing w:after="0"/>
              <w:rPr>
                <w:sz w:val="19"/>
                <w:szCs w:val="19"/>
                <w:color w:val="auto"/>
              </w:rPr>
            </w:pPr>
          </w:p>
        </w:tc>
        <w:tc>
          <w:tcPr>
            <w:tcW w:w="240" w:type="dxa"/>
            <w:vAlign w:val="bottom"/>
            <w:tcBorders>
              <w:bottom w:val="single" w:sz="8" w:color="D5EAEA"/>
            </w:tcBorders>
            <w:shd w:val="clear" w:color="auto" w:fill="D5EAEA"/>
          </w:tcPr>
          <w:p>
            <w:pPr>
              <w:spacing w:after="0"/>
              <w:rPr>
                <w:sz w:val="19"/>
                <w:szCs w:val="19"/>
                <w:color w:val="auto"/>
              </w:rPr>
            </w:pPr>
          </w:p>
        </w:tc>
        <w:tc>
          <w:tcPr>
            <w:tcW w:w="580" w:type="dxa"/>
            <w:vAlign w:val="bottom"/>
            <w:tcBorders>
              <w:bottom w:val="single" w:sz="8" w:color="D5EAEA"/>
            </w:tcBorders>
            <w:shd w:val="clear" w:color="auto" w:fill="D5EAEA"/>
          </w:tcPr>
          <w:p>
            <w:pPr>
              <w:spacing w:after="0"/>
              <w:rPr>
                <w:sz w:val="19"/>
                <w:szCs w:val="19"/>
                <w:color w:val="auto"/>
              </w:rPr>
            </w:pPr>
          </w:p>
        </w:tc>
        <w:tc>
          <w:tcPr>
            <w:tcW w:w="140" w:type="dxa"/>
            <w:vAlign w:val="bottom"/>
            <w:tcBorders>
              <w:bottom w:val="single" w:sz="8" w:color="D5EAEA"/>
            </w:tcBorders>
            <w:shd w:val="clear" w:color="auto" w:fill="D5EAEA"/>
          </w:tcPr>
          <w:p>
            <w:pPr>
              <w:spacing w:after="0"/>
              <w:rPr>
                <w:sz w:val="19"/>
                <w:szCs w:val="19"/>
                <w:color w:val="auto"/>
              </w:rPr>
            </w:pPr>
          </w:p>
        </w:tc>
        <w:tc>
          <w:tcPr>
            <w:tcW w:w="12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13,278</w:t>
            </w:r>
          </w:p>
        </w:tc>
        <w:tc>
          <w:tcPr>
            <w:tcW w:w="100" w:type="dxa"/>
            <w:vAlign w:val="bottom"/>
            <w:tcBorders>
              <w:bottom w:val="single" w:sz="8" w:color="D5EAEA"/>
            </w:tcBorders>
            <w:shd w:val="clear" w:color="auto" w:fill="D5EAEA"/>
          </w:tcPr>
          <w:p>
            <w:pPr>
              <w:spacing w:after="0"/>
              <w:rPr>
                <w:sz w:val="19"/>
                <w:szCs w:val="19"/>
                <w:color w:val="auto"/>
              </w:rPr>
            </w:pPr>
          </w:p>
        </w:tc>
        <w:tc>
          <w:tcPr>
            <w:tcW w:w="100" w:type="dxa"/>
            <w:vAlign w:val="bottom"/>
            <w:tcBorders>
              <w:bottom w:val="single" w:sz="8" w:color="D5EAEA"/>
            </w:tcBorders>
            <w:shd w:val="clear" w:color="auto" w:fill="D5EAEA"/>
          </w:tcPr>
          <w:p>
            <w:pPr>
              <w:spacing w:after="0"/>
              <w:rPr>
                <w:sz w:val="19"/>
                <w:szCs w:val="19"/>
                <w:color w:val="auto"/>
              </w:rPr>
            </w:pPr>
          </w:p>
        </w:tc>
        <w:tc>
          <w:tcPr>
            <w:tcW w:w="480" w:type="dxa"/>
            <w:vAlign w:val="bottom"/>
            <w:tcBorders>
              <w:bottom w:val="single" w:sz="8" w:color="auto"/>
            </w:tcBorders>
            <w:shd w:val="clear" w:color="auto" w:fill="D5EAEA"/>
          </w:tcPr>
          <w:p>
            <w:pPr>
              <w:spacing w:after="0"/>
              <w:rPr>
                <w:sz w:val="19"/>
                <w:szCs w:val="19"/>
                <w:color w:val="auto"/>
              </w:rPr>
            </w:pPr>
          </w:p>
        </w:tc>
        <w:tc>
          <w:tcPr>
            <w:tcW w:w="78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6,286</w:t>
            </w:r>
          </w:p>
        </w:tc>
        <w:tc>
          <w:tcPr>
            <w:tcW w:w="100" w:type="dxa"/>
            <w:vAlign w:val="bottom"/>
            <w:tcBorders>
              <w:bottom w:val="single" w:sz="8" w:color="D5EAEA"/>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gridSpan w:val="5"/>
            <w:vMerge w:val="restart"/>
          </w:tcPr>
          <w:p>
            <w:pPr>
              <w:ind w:left="2460"/>
              <w:spacing w:after="0"/>
              <w:rPr>
                <w:sz w:val="20"/>
                <w:szCs w:val="20"/>
                <w:color w:val="auto"/>
              </w:rPr>
            </w:pPr>
            <w:r>
              <w:rPr>
                <w:rFonts w:ascii="Arial" w:cs="Arial" w:eastAsia="Arial" w:hAnsi="Arial"/>
                <w:sz w:val="18"/>
                <w:szCs w:val="18"/>
                <w:b w:val="1"/>
                <w:bCs w:val="1"/>
                <w:color w:val="auto"/>
              </w:rPr>
              <w:t>Liabilities net of capital deficiency</w:t>
            </w: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gridSpan w:val="5"/>
            <w:vMerge w:val="continue"/>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3"/>
            <w:shd w:val="clear" w:color="auto" w:fill="D5EAEA"/>
          </w:tcPr>
          <w:p>
            <w:pPr>
              <w:spacing w:after="0"/>
              <w:rPr>
                <w:sz w:val="20"/>
                <w:szCs w:val="20"/>
                <w:color w:val="auto"/>
              </w:rPr>
            </w:pPr>
            <w:r>
              <w:rPr>
                <w:rFonts w:ascii="Arial" w:cs="Arial" w:eastAsia="Arial" w:hAnsi="Arial"/>
                <w:sz w:val="18"/>
                <w:szCs w:val="18"/>
                <w:b w:val="1"/>
                <w:bCs w:val="1"/>
                <w:color w:val="auto"/>
              </w:rPr>
              <w:t>CURRENT LIABILITIES:</w:t>
            </w:r>
          </w:p>
        </w:tc>
        <w:tc>
          <w:tcPr>
            <w:tcW w:w="28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58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7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3"/>
          </w:tcPr>
          <w:p>
            <w:pPr>
              <w:ind w:left="400"/>
              <w:spacing w:after="0"/>
              <w:rPr>
                <w:sz w:val="20"/>
                <w:szCs w:val="20"/>
                <w:color w:val="auto"/>
              </w:rPr>
            </w:pPr>
            <w:r>
              <w:rPr>
                <w:rFonts w:ascii="Arial" w:cs="Arial" w:eastAsia="Arial" w:hAnsi="Arial"/>
                <w:sz w:val="18"/>
                <w:szCs w:val="18"/>
                <w:color w:val="auto"/>
              </w:rPr>
              <w:t>Accounts payable:</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3"/>
            <w:shd w:val="clear" w:color="auto" w:fill="D5EAEA"/>
          </w:tcPr>
          <w:p>
            <w:pPr>
              <w:ind w:left="680"/>
              <w:spacing w:after="0"/>
              <w:rPr>
                <w:sz w:val="20"/>
                <w:szCs w:val="20"/>
                <w:color w:val="auto"/>
              </w:rPr>
            </w:pPr>
            <w:r>
              <w:rPr>
                <w:rFonts w:ascii="Arial" w:cs="Arial" w:eastAsia="Arial" w:hAnsi="Arial"/>
                <w:sz w:val="18"/>
                <w:szCs w:val="18"/>
                <w:color w:val="auto"/>
              </w:rPr>
              <w:t>Trade</w:t>
            </w:r>
          </w:p>
        </w:tc>
        <w:tc>
          <w:tcPr>
            <w:tcW w:w="28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58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34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720" w:type="dxa"/>
            <w:vAlign w:val="bottom"/>
            <w:gridSpan w:val="3"/>
          </w:tcPr>
          <w:p>
            <w:pPr>
              <w:ind w:left="680"/>
              <w:spacing w:after="0"/>
              <w:rPr>
                <w:sz w:val="20"/>
                <w:szCs w:val="20"/>
                <w:color w:val="auto"/>
              </w:rPr>
            </w:pPr>
            <w:r>
              <w:rPr>
                <w:rFonts w:ascii="Arial" w:cs="Arial" w:eastAsia="Arial" w:hAnsi="Arial"/>
                <w:sz w:val="18"/>
                <w:szCs w:val="18"/>
                <w:color w:val="auto"/>
              </w:rPr>
              <w:t>Other</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12b</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1,424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30"/>
        </w:trPr>
        <w:tc>
          <w:tcPr>
            <w:tcW w:w="4720" w:type="dxa"/>
            <w:vAlign w:val="bottom"/>
            <w:gridSpan w:val="3"/>
            <w:shd w:val="clear" w:color="auto" w:fill="D5EAEA"/>
          </w:tcPr>
          <w:p>
            <w:pPr>
              <w:ind w:left="460"/>
              <w:spacing w:after="0"/>
              <w:rPr>
                <w:sz w:val="20"/>
                <w:szCs w:val="20"/>
                <w:color w:val="auto"/>
              </w:rPr>
            </w:pPr>
            <w:r>
              <w:rPr>
                <w:rFonts w:ascii="Arial" w:cs="Arial" w:eastAsia="Arial" w:hAnsi="Arial"/>
                <w:sz w:val="18"/>
                <w:szCs w:val="18"/>
                <w:color w:val="auto"/>
              </w:rPr>
              <w:t>Convertible loans</w:t>
            </w:r>
          </w:p>
        </w:tc>
        <w:tc>
          <w:tcPr>
            <w:tcW w:w="2840" w:type="dxa"/>
            <w:vAlign w:val="bottom"/>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820" w:type="dxa"/>
            <w:vAlign w:val="bottom"/>
            <w:gridSpan w:val="2"/>
            <w:shd w:val="clear" w:color="auto" w:fill="D5EAEA"/>
          </w:tcPr>
          <w:p>
            <w:pPr>
              <w:jc w:val="center"/>
              <w:spacing w:after="0"/>
              <w:rPr>
                <w:sz w:val="20"/>
                <w:szCs w:val="20"/>
                <w:color w:val="auto"/>
              </w:rPr>
            </w:pPr>
            <w:r>
              <w:rPr>
                <w:rFonts w:ascii="Arial" w:cs="Arial" w:eastAsia="Arial" w:hAnsi="Arial"/>
                <w:sz w:val="18"/>
                <w:szCs w:val="18"/>
                <w:color w:val="auto"/>
                <w:w w:val="79"/>
              </w:rPr>
              <w:t>7</w:t>
            </w:r>
          </w:p>
        </w:tc>
        <w:tc>
          <w:tcPr>
            <w:tcW w:w="140" w:type="dxa"/>
            <w:vAlign w:val="bottom"/>
            <w:shd w:val="clear" w:color="auto" w:fill="D5EAEA"/>
          </w:tcPr>
          <w:p>
            <w:pPr>
              <w:spacing w:after="0"/>
              <w:rPr>
                <w:sz w:val="19"/>
                <w:szCs w:val="19"/>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480" w:type="dxa"/>
            <w:vAlign w:val="bottom"/>
            <w:shd w:val="clear" w:color="auto" w:fill="D5EAEA"/>
          </w:tcPr>
          <w:p>
            <w:pPr>
              <w:spacing w:after="0"/>
              <w:rPr>
                <w:sz w:val="19"/>
                <w:szCs w:val="19"/>
                <w:color w:val="auto"/>
              </w:rPr>
            </w:pPr>
          </w:p>
        </w:tc>
        <w:tc>
          <w:tcPr>
            <w:tcW w:w="8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9,885</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D5EAEA"/>
            </w:tcBorders>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284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240" w:type="dxa"/>
            <w:vAlign w:val="bottom"/>
            <w:tcBorders>
              <w:bottom w:val="single" w:sz="8" w:color="D5EAEA"/>
            </w:tcBorders>
          </w:tcPr>
          <w:p>
            <w:pPr>
              <w:spacing w:after="0"/>
              <w:rPr>
                <w:sz w:val="18"/>
                <w:szCs w:val="18"/>
                <w:color w:val="auto"/>
              </w:rPr>
            </w:pPr>
          </w:p>
        </w:tc>
        <w:tc>
          <w:tcPr>
            <w:tcW w:w="580" w:type="dxa"/>
            <w:vAlign w:val="bottom"/>
            <w:tcBorders>
              <w:bottom w:val="single" w:sz="8" w:color="D5EAEA"/>
            </w:tcBorders>
          </w:tcPr>
          <w:p>
            <w:pPr>
              <w:spacing w:after="0"/>
              <w:rPr>
                <w:sz w:val="18"/>
                <w:szCs w:val="18"/>
                <w:color w:val="auto"/>
              </w:rPr>
            </w:pPr>
          </w:p>
        </w:tc>
        <w:tc>
          <w:tcPr>
            <w:tcW w:w="140" w:type="dxa"/>
            <w:vAlign w:val="bottom"/>
            <w:tcBorders>
              <w:bottom w:val="single" w:sz="8" w:color="D5EAEA"/>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10,542</w:t>
            </w:r>
          </w:p>
        </w:tc>
        <w:tc>
          <w:tcPr>
            <w:tcW w:w="100" w:type="dxa"/>
            <w:vAlign w:val="bottom"/>
            <w:tcBorders>
              <w:bottom w:val="single" w:sz="8" w:color="D5EAEA"/>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gridSpan w:val="3"/>
            <w:shd w:val="clear" w:color="auto" w:fill="D5EAEA"/>
          </w:tcPr>
          <w:p>
            <w:pPr>
              <w:spacing w:after="0"/>
              <w:rPr>
                <w:sz w:val="20"/>
                <w:szCs w:val="20"/>
                <w:color w:val="auto"/>
              </w:rPr>
            </w:pPr>
            <w:r>
              <w:rPr>
                <w:rFonts w:ascii="Arial" w:cs="Arial" w:eastAsia="Arial" w:hAnsi="Arial"/>
                <w:sz w:val="18"/>
                <w:szCs w:val="18"/>
                <w:b w:val="1"/>
                <w:bCs w:val="1"/>
                <w:color w:val="auto"/>
              </w:rPr>
              <w:t>NON-CURRENT LIABILITIES:</w:t>
            </w:r>
          </w:p>
        </w:tc>
        <w:tc>
          <w:tcPr>
            <w:tcW w:w="28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58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7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3"/>
          </w:tcPr>
          <w:p>
            <w:pPr>
              <w:ind w:left="380"/>
              <w:spacing w:after="0"/>
              <w:rPr>
                <w:sz w:val="20"/>
                <w:szCs w:val="20"/>
                <w:color w:val="auto"/>
              </w:rPr>
            </w:pPr>
            <w:r>
              <w:rPr>
                <w:rFonts w:ascii="Arial" w:cs="Arial" w:eastAsia="Arial" w:hAnsi="Arial"/>
                <w:sz w:val="18"/>
                <w:szCs w:val="18"/>
                <w:color w:val="auto"/>
              </w:rPr>
              <w:t>Convertible loan</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79"/>
              </w:rPr>
              <w:t>7</w:t>
            </w: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3,893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4,835</w:t>
            </w:r>
          </w:p>
        </w:tc>
        <w:tc>
          <w:tcPr>
            <w:tcW w:w="0" w:type="dxa"/>
            <w:vAlign w:val="bottom"/>
          </w:tcPr>
          <w:p>
            <w:pPr>
              <w:spacing w:after="0"/>
              <w:rPr>
                <w:sz w:val="1"/>
                <w:szCs w:val="1"/>
                <w:color w:val="auto"/>
              </w:rPr>
            </w:pPr>
          </w:p>
        </w:tc>
      </w:tr>
      <w:tr>
        <w:trPr>
          <w:trHeight w:val="216"/>
        </w:trPr>
        <w:tc>
          <w:tcPr>
            <w:tcW w:w="4720" w:type="dxa"/>
            <w:vAlign w:val="bottom"/>
            <w:gridSpan w:val="3"/>
            <w:shd w:val="clear" w:color="auto" w:fill="D5EAEA"/>
          </w:tcPr>
          <w:p>
            <w:pPr>
              <w:ind w:left="400"/>
              <w:spacing w:after="0"/>
              <w:rPr>
                <w:sz w:val="20"/>
                <w:szCs w:val="20"/>
                <w:color w:val="auto"/>
              </w:rPr>
            </w:pPr>
            <w:r>
              <w:rPr>
                <w:rFonts w:ascii="Arial" w:cs="Arial" w:eastAsia="Arial" w:hAnsi="Arial"/>
                <w:sz w:val="18"/>
                <w:szCs w:val="18"/>
                <w:color w:val="auto"/>
              </w:rPr>
              <w:t>Preferred shares</w:t>
            </w:r>
          </w:p>
        </w:tc>
        <w:tc>
          <w:tcPr>
            <w:tcW w:w="28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820" w:type="dxa"/>
            <w:vAlign w:val="bottom"/>
            <w:gridSpan w:val="2"/>
            <w:shd w:val="clear" w:color="auto" w:fill="D5EAEA"/>
          </w:tcPr>
          <w:p>
            <w:pPr>
              <w:jc w:val="center"/>
              <w:spacing w:after="0"/>
              <w:rPr>
                <w:sz w:val="20"/>
                <w:szCs w:val="20"/>
                <w:color w:val="auto"/>
              </w:rPr>
            </w:pPr>
            <w:r>
              <w:rPr>
                <w:rFonts w:ascii="Arial" w:cs="Arial" w:eastAsia="Arial" w:hAnsi="Arial"/>
                <w:sz w:val="18"/>
                <w:szCs w:val="18"/>
                <w:color w:val="auto"/>
                <w:w w:val="79"/>
              </w:rPr>
              <w:t>8</w:t>
            </w:r>
          </w:p>
        </w:tc>
        <w:tc>
          <w:tcPr>
            <w:tcW w:w="140" w:type="dxa"/>
            <w:vAlign w:val="bottom"/>
            <w:shd w:val="clear" w:color="auto" w:fill="D5EAEA"/>
          </w:tcPr>
          <w:p>
            <w:pPr>
              <w:spacing w:after="0"/>
              <w:rPr>
                <w:sz w:val="18"/>
                <w:szCs w:val="18"/>
                <w:color w:val="auto"/>
              </w:rPr>
            </w:pPr>
          </w:p>
        </w:tc>
        <w:tc>
          <w:tcPr>
            <w:tcW w:w="134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33,455</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11,031</w:t>
            </w:r>
          </w:p>
        </w:tc>
        <w:tc>
          <w:tcPr>
            <w:tcW w:w="0" w:type="dxa"/>
            <w:vAlign w:val="bottom"/>
          </w:tcPr>
          <w:p>
            <w:pPr>
              <w:spacing w:after="0"/>
              <w:rPr>
                <w:sz w:val="1"/>
                <w:szCs w:val="1"/>
                <w:color w:val="auto"/>
              </w:rPr>
            </w:pPr>
          </w:p>
        </w:tc>
      </w:tr>
      <w:tr>
        <w:trPr>
          <w:trHeight w:val="216"/>
        </w:trPr>
        <w:tc>
          <w:tcPr>
            <w:tcW w:w="4720" w:type="dxa"/>
            <w:vAlign w:val="bottom"/>
            <w:gridSpan w:val="3"/>
          </w:tcPr>
          <w:p>
            <w:pPr>
              <w:ind w:left="400"/>
              <w:spacing w:after="0"/>
              <w:rPr>
                <w:sz w:val="20"/>
                <w:szCs w:val="20"/>
                <w:color w:val="auto"/>
              </w:rPr>
            </w:pPr>
            <w:r>
              <w:rPr>
                <w:rFonts w:ascii="Arial" w:cs="Arial" w:eastAsia="Arial" w:hAnsi="Arial"/>
                <w:sz w:val="18"/>
                <w:szCs w:val="18"/>
                <w:color w:val="auto"/>
              </w:rPr>
              <w:t>Warrants to purchase preferred shares and shares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5"/>
              </w:rPr>
              <w:t>7,8</w:t>
            </w: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5,398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16"/>
        </w:trPr>
        <w:tc>
          <w:tcPr>
            <w:tcW w:w="4720" w:type="dxa"/>
            <w:vAlign w:val="bottom"/>
            <w:gridSpan w:val="3"/>
            <w:shd w:val="clear" w:color="auto" w:fill="D5EAEA"/>
          </w:tcPr>
          <w:p>
            <w:pPr>
              <w:ind w:left="400"/>
              <w:spacing w:after="0"/>
              <w:rPr>
                <w:sz w:val="20"/>
                <w:szCs w:val="20"/>
                <w:color w:val="auto"/>
              </w:rPr>
            </w:pPr>
            <w:r>
              <w:rPr>
                <w:rFonts w:ascii="Arial" w:cs="Arial" w:eastAsia="Arial" w:hAnsi="Arial"/>
                <w:sz w:val="18"/>
                <w:szCs w:val="18"/>
                <w:color w:val="auto"/>
              </w:rPr>
              <w:t>Liability to issue preferred shares and warrants</w:t>
            </w:r>
          </w:p>
        </w:tc>
        <w:tc>
          <w:tcPr>
            <w:tcW w:w="28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820" w:type="dxa"/>
            <w:vAlign w:val="bottom"/>
            <w:gridSpan w:val="2"/>
            <w:shd w:val="clear" w:color="auto" w:fill="D5EAEA"/>
          </w:tcPr>
          <w:p>
            <w:pPr>
              <w:jc w:val="center"/>
              <w:spacing w:after="0"/>
              <w:rPr>
                <w:sz w:val="20"/>
                <w:szCs w:val="20"/>
                <w:color w:val="auto"/>
              </w:rPr>
            </w:pPr>
            <w:r>
              <w:rPr>
                <w:rFonts w:ascii="Arial" w:cs="Arial" w:eastAsia="Arial" w:hAnsi="Arial"/>
                <w:sz w:val="18"/>
                <w:szCs w:val="18"/>
                <w:color w:val="auto"/>
                <w:w w:val="79"/>
              </w:rPr>
              <w:t>8</w:t>
            </w:r>
          </w:p>
        </w:tc>
        <w:tc>
          <w:tcPr>
            <w:tcW w:w="140" w:type="dxa"/>
            <w:vAlign w:val="bottom"/>
            <w:shd w:val="clear" w:color="auto" w:fill="D5EAEA"/>
          </w:tcPr>
          <w:p>
            <w:pPr>
              <w:spacing w:after="0"/>
              <w:rPr>
                <w:sz w:val="18"/>
                <w:szCs w:val="18"/>
                <w:color w:val="auto"/>
              </w:rPr>
            </w:pPr>
          </w:p>
        </w:tc>
        <w:tc>
          <w:tcPr>
            <w:tcW w:w="12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0"/>
        </w:trPr>
        <w:tc>
          <w:tcPr>
            <w:tcW w:w="4720" w:type="dxa"/>
            <w:vAlign w:val="bottom"/>
            <w:gridSpan w:val="3"/>
          </w:tcPr>
          <w:p>
            <w:pPr>
              <w:ind w:left="400"/>
              <w:spacing w:after="0"/>
              <w:rPr>
                <w:sz w:val="20"/>
                <w:szCs w:val="20"/>
                <w:color w:val="auto"/>
              </w:rPr>
            </w:pPr>
            <w:r>
              <w:rPr>
                <w:rFonts w:ascii="Arial" w:cs="Arial" w:eastAsia="Arial" w:hAnsi="Arial"/>
                <w:sz w:val="18"/>
                <w:szCs w:val="18"/>
                <w:color w:val="auto"/>
              </w:rPr>
              <w:t>Severance pay obligations, net</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4720" w:type="dxa"/>
            <w:vAlign w:val="bottom"/>
            <w:tcBorders>
              <w:top w:val="single" w:sz="8" w:color="D5EAEA"/>
            </w:tcBorders>
            <w:gridSpan w:val="3"/>
            <w:shd w:val="clear" w:color="auto" w:fill="D5EAEA"/>
          </w:tcPr>
          <w:p>
            <w:pPr>
              <w:spacing w:after="0"/>
              <w:rPr>
                <w:sz w:val="20"/>
                <w:szCs w:val="20"/>
                <w:color w:val="auto"/>
              </w:rPr>
            </w:pPr>
            <w:r>
              <w:rPr>
                <w:rFonts w:ascii="Arial" w:cs="Arial" w:eastAsia="Arial" w:hAnsi="Arial"/>
                <w:sz w:val="18"/>
                <w:szCs w:val="18"/>
                <w:b w:val="1"/>
                <w:bCs w:val="1"/>
                <w:color w:val="auto"/>
              </w:rPr>
              <w:t>TOTAL NON-CURRENT LIABILITIES</w:t>
            </w:r>
          </w:p>
        </w:tc>
        <w:tc>
          <w:tcPr>
            <w:tcW w:w="2840" w:type="dxa"/>
            <w:vAlign w:val="bottom"/>
            <w:tcBorders>
              <w:top w:val="single" w:sz="8" w:color="D5EAEA"/>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240" w:type="dxa"/>
            <w:vAlign w:val="bottom"/>
            <w:tcBorders>
              <w:top w:val="single" w:sz="8" w:color="D5EAEA"/>
            </w:tcBorders>
            <w:shd w:val="clear" w:color="auto" w:fill="D5EAEA"/>
          </w:tcPr>
          <w:p>
            <w:pPr>
              <w:spacing w:after="0"/>
              <w:rPr>
                <w:sz w:val="18"/>
                <w:szCs w:val="18"/>
                <w:color w:val="auto"/>
              </w:rPr>
            </w:pPr>
          </w:p>
        </w:tc>
        <w:tc>
          <w:tcPr>
            <w:tcW w:w="580" w:type="dxa"/>
            <w:vAlign w:val="bottom"/>
            <w:tcBorders>
              <w:top w:val="single" w:sz="8" w:color="D5EAEA"/>
            </w:tcBorders>
            <w:shd w:val="clear" w:color="auto" w:fill="D5EAEA"/>
          </w:tcPr>
          <w:p>
            <w:pPr>
              <w:spacing w:after="0"/>
              <w:rPr>
                <w:sz w:val="18"/>
                <w:szCs w:val="18"/>
                <w:color w:val="auto"/>
              </w:rPr>
            </w:pPr>
          </w:p>
        </w:tc>
        <w:tc>
          <w:tcPr>
            <w:tcW w:w="140" w:type="dxa"/>
            <w:vAlign w:val="bottom"/>
            <w:tcBorders>
              <w:top w:val="single" w:sz="8" w:color="D5EAEA"/>
            </w:tcBorders>
            <w:shd w:val="clear" w:color="auto" w:fill="D5EAEA"/>
          </w:tcPr>
          <w:p>
            <w:pPr>
              <w:spacing w:after="0"/>
              <w:rPr>
                <w:sz w:val="18"/>
                <w:szCs w:val="18"/>
                <w:color w:val="auto"/>
              </w:rPr>
            </w:pPr>
          </w:p>
        </w:tc>
        <w:tc>
          <w:tcPr>
            <w:tcW w:w="12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42,816</w:t>
            </w:r>
          </w:p>
        </w:tc>
        <w:tc>
          <w:tcPr>
            <w:tcW w:w="100" w:type="dxa"/>
            <w:vAlign w:val="bottom"/>
            <w:tcBorders>
              <w:top w:val="single" w:sz="8" w:color="D5EAEA"/>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480" w:type="dxa"/>
            <w:vAlign w:val="bottom"/>
            <w:tcBorders>
              <w:top w:val="single" w:sz="8" w:color="auto"/>
              <w:bottom w:val="single" w:sz="8" w:color="auto"/>
            </w:tcBorders>
            <w:shd w:val="clear" w:color="auto" w:fill="D5EAEA"/>
          </w:tcPr>
          <w:p>
            <w:pPr>
              <w:spacing w:after="0"/>
              <w:rPr>
                <w:sz w:val="18"/>
                <w:szCs w:val="18"/>
                <w:color w:val="auto"/>
              </w:rPr>
            </w:pPr>
          </w:p>
        </w:tc>
        <w:tc>
          <w:tcPr>
            <w:tcW w:w="7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20,990</w:t>
            </w:r>
          </w:p>
        </w:tc>
        <w:tc>
          <w:tcPr>
            <w:tcW w:w="100" w:type="dxa"/>
            <w:vAlign w:val="bottom"/>
            <w:tcBorders>
              <w:top w:val="single" w:sz="8" w:color="D5EAEA"/>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D5EAEA"/>
            </w:tcBorders>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284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240" w:type="dxa"/>
            <w:vAlign w:val="bottom"/>
            <w:tcBorders>
              <w:bottom w:val="single" w:sz="8" w:color="D5EAEA"/>
            </w:tcBorders>
          </w:tcPr>
          <w:p>
            <w:pPr>
              <w:spacing w:after="0"/>
              <w:rPr>
                <w:sz w:val="18"/>
                <w:szCs w:val="18"/>
                <w:color w:val="auto"/>
              </w:rPr>
            </w:pPr>
          </w:p>
        </w:tc>
        <w:tc>
          <w:tcPr>
            <w:tcW w:w="580" w:type="dxa"/>
            <w:vAlign w:val="bottom"/>
            <w:tcBorders>
              <w:bottom w:val="single" w:sz="8" w:color="D5EAEA"/>
            </w:tcBorders>
          </w:tcPr>
          <w:p>
            <w:pPr>
              <w:spacing w:after="0"/>
              <w:rPr>
                <w:sz w:val="18"/>
                <w:szCs w:val="18"/>
                <w:color w:val="auto"/>
              </w:rPr>
            </w:pPr>
          </w:p>
        </w:tc>
        <w:tc>
          <w:tcPr>
            <w:tcW w:w="140" w:type="dxa"/>
            <w:vAlign w:val="bottom"/>
            <w:tcBorders>
              <w:bottom w:val="single" w:sz="8" w:color="D5EAEA"/>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44,836</w:t>
            </w:r>
          </w:p>
        </w:tc>
        <w:tc>
          <w:tcPr>
            <w:tcW w:w="100" w:type="dxa"/>
            <w:vAlign w:val="bottom"/>
            <w:tcBorders>
              <w:bottom w:val="single" w:sz="8" w:color="D5EAEA"/>
            </w:tcBorders>
          </w:tcPr>
          <w:p>
            <w:pPr>
              <w:spacing w:after="0"/>
              <w:rPr>
                <w:sz w:val="18"/>
                <w:szCs w:val="18"/>
                <w:color w:val="auto"/>
              </w:rPr>
            </w:pPr>
          </w:p>
        </w:tc>
        <w:tc>
          <w:tcPr>
            <w:tcW w:w="100" w:type="dxa"/>
            <w:vAlign w:val="bottom"/>
            <w:tcBorders>
              <w:bottom w:val="single" w:sz="8" w:color="D5EAEA"/>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31,532</w:t>
            </w:r>
          </w:p>
        </w:tc>
        <w:tc>
          <w:tcPr>
            <w:tcW w:w="100" w:type="dxa"/>
            <w:vAlign w:val="bottom"/>
            <w:tcBorders>
              <w:bottom w:val="single" w:sz="8" w:color="D5EAEA"/>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gridSpan w:val="3"/>
            <w:shd w:val="clear" w:color="auto" w:fill="D5EAEA"/>
          </w:tcPr>
          <w:p>
            <w:pPr>
              <w:spacing w:after="0"/>
              <w:rPr>
                <w:sz w:val="20"/>
                <w:szCs w:val="20"/>
                <w:color w:val="auto"/>
              </w:rPr>
            </w:pPr>
            <w:r>
              <w:rPr>
                <w:rFonts w:ascii="Arial" w:cs="Arial" w:eastAsia="Arial" w:hAnsi="Arial"/>
                <w:sz w:val="18"/>
                <w:szCs w:val="18"/>
                <w:b w:val="1"/>
                <w:bCs w:val="1"/>
                <w:color w:val="auto"/>
              </w:rPr>
              <w:t>COMMITMENTS AND CONTINGENCIES</w:t>
            </w:r>
          </w:p>
        </w:tc>
        <w:tc>
          <w:tcPr>
            <w:tcW w:w="28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820" w:type="dxa"/>
            <w:vAlign w:val="bottom"/>
            <w:gridSpan w:val="2"/>
            <w:shd w:val="clear" w:color="auto" w:fill="D5EAEA"/>
          </w:tcPr>
          <w:p>
            <w:pPr>
              <w:jc w:val="center"/>
              <w:spacing w:after="0"/>
              <w:rPr>
                <w:sz w:val="20"/>
                <w:szCs w:val="20"/>
                <w:color w:val="auto"/>
              </w:rPr>
            </w:pPr>
            <w:r>
              <w:rPr>
                <w:rFonts w:ascii="Arial" w:cs="Arial" w:eastAsia="Arial" w:hAnsi="Arial"/>
                <w:sz w:val="18"/>
                <w:szCs w:val="18"/>
                <w:color w:val="auto"/>
                <w:w w:val="79"/>
              </w:rPr>
              <w:t>9</w:t>
            </w:r>
          </w:p>
        </w:tc>
        <w:tc>
          <w:tcPr>
            <w:tcW w:w="14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7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CAPITAL DEFICIENCY:</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3"/>
            <w:shd w:val="clear" w:color="auto" w:fill="D5EAEA"/>
          </w:tcPr>
          <w:p>
            <w:pPr>
              <w:ind w:left="300"/>
              <w:spacing w:after="0"/>
              <w:rPr>
                <w:sz w:val="20"/>
                <w:szCs w:val="20"/>
                <w:color w:val="auto"/>
              </w:rPr>
            </w:pPr>
            <w:r>
              <w:rPr>
                <w:rFonts w:ascii="Arial" w:cs="Arial" w:eastAsia="Arial" w:hAnsi="Arial"/>
                <w:sz w:val="18"/>
                <w:szCs w:val="18"/>
                <w:color w:val="auto"/>
              </w:rPr>
              <w:t>Ordinary Shares, NIS 0.01 par value:</w:t>
            </w:r>
          </w:p>
        </w:tc>
        <w:tc>
          <w:tcPr>
            <w:tcW w:w="28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58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7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3"/>
          </w:tcPr>
          <w:p>
            <w:pPr>
              <w:ind w:left="540"/>
              <w:spacing w:after="0"/>
              <w:rPr>
                <w:sz w:val="20"/>
                <w:szCs w:val="20"/>
                <w:color w:val="auto"/>
              </w:rPr>
            </w:pPr>
            <w:r>
              <w:rPr>
                <w:rFonts w:ascii="Arial" w:cs="Arial" w:eastAsia="Arial" w:hAnsi="Arial"/>
                <w:sz w:val="18"/>
                <w:szCs w:val="18"/>
                <w:color w:val="auto"/>
              </w:rPr>
              <w:t>Authorized - as of December 31, 2017 and 2016,</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3"/>
            <w:shd w:val="clear" w:color="auto" w:fill="D5EAEA"/>
          </w:tcPr>
          <w:p>
            <w:pPr>
              <w:ind w:left="540"/>
              <w:spacing w:after="0"/>
              <w:rPr>
                <w:sz w:val="20"/>
                <w:szCs w:val="20"/>
                <w:color w:val="auto"/>
              </w:rPr>
            </w:pPr>
            <w:r>
              <w:rPr>
                <w:rFonts w:ascii="Arial" w:cs="Arial" w:eastAsia="Arial" w:hAnsi="Arial"/>
                <w:sz w:val="18"/>
                <w:szCs w:val="18"/>
                <w:color w:val="auto"/>
              </w:rPr>
              <w:t>1,000,000 shares; issued and outstanding</w:t>
            </w:r>
          </w:p>
        </w:tc>
        <w:tc>
          <w:tcPr>
            <w:tcW w:w="28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58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2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78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3"/>
          </w:tcPr>
          <w:p>
            <w:pPr>
              <w:ind w:left="540"/>
              <w:spacing w:after="0"/>
              <w:rPr>
                <w:sz w:val="20"/>
                <w:szCs w:val="20"/>
                <w:color w:val="auto"/>
              </w:rPr>
            </w:pPr>
            <w:r>
              <w:rPr>
                <w:rFonts w:ascii="Arial" w:cs="Arial" w:eastAsia="Arial" w:hAnsi="Arial"/>
                <w:sz w:val="18"/>
                <w:szCs w:val="18"/>
                <w:color w:val="auto"/>
              </w:rPr>
              <w:t>as of December 31, 2017 and 2016 -34,544 shares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241E1C"/>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241E1C"/>
              </w:rPr>
              <w:t>*</w:t>
            </w:r>
          </w:p>
        </w:tc>
        <w:tc>
          <w:tcPr>
            <w:tcW w:w="0" w:type="dxa"/>
            <w:vAlign w:val="bottom"/>
          </w:tcPr>
          <w:p>
            <w:pPr>
              <w:spacing w:after="0"/>
              <w:rPr>
                <w:sz w:val="1"/>
                <w:szCs w:val="1"/>
                <w:color w:val="auto"/>
              </w:rPr>
            </w:pPr>
          </w:p>
        </w:tc>
      </w:tr>
      <w:tr>
        <w:trPr>
          <w:trHeight w:val="216"/>
        </w:trPr>
        <w:tc>
          <w:tcPr>
            <w:tcW w:w="4720" w:type="dxa"/>
            <w:vAlign w:val="bottom"/>
            <w:gridSpan w:val="3"/>
            <w:shd w:val="clear" w:color="auto" w:fill="D5EAEA"/>
          </w:tcPr>
          <w:p>
            <w:pPr>
              <w:ind w:left="300"/>
              <w:spacing w:after="0"/>
              <w:rPr>
                <w:sz w:val="20"/>
                <w:szCs w:val="20"/>
                <w:color w:val="auto"/>
              </w:rPr>
            </w:pPr>
            <w:r>
              <w:rPr>
                <w:rFonts w:ascii="Arial" w:cs="Arial" w:eastAsia="Arial" w:hAnsi="Arial"/>
                <w:sz w:val="18"/>
                <w:szCs w:val="18"/>
                <w:color w:val="auto"/>
              </w:rPr>
              <w:t>Accumulated other comprehensive income</w:t>
            </w:r>
          </w:p>
        </w:tc>
        <w:tc>
          <w:tcPr>
            <w:tcW w:w="28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58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34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720" w:type="dxa"/>
            <w:vAlign w:val="bottom"/>
            <w:gridSpan w:val="3"/>
          </w:tcPr>
          <w:p>
            <w:pPr>
              <w:ind w:left="300"/>
              <w:spacing w:after="0"/>
              <w:rPr>
                <w:sz w:val="20"/>
                <w:szCs w:val="20"/>
                <w:color w:val="auto"/>
              </w:rPr>
            </w:pPr>
            <w:r>
              <w:rPr>
                <w:rFonts w:ascii="Arial" w:cs="Arial" w:eastAsia="Arial" w:hAnsi="Arial"/>
                <w:sz w:val="18"/>
                <w:szCs w:val="18"/>
                <w:color w:val="auto"/>
              </w:rPr>
              <w:t>Other reserves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7,361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16"/>
        </w:trPr>
        <w:tc>
          <w:tcPr>
            <w:tcW w:w="4720" w:type="dxa"/>
            <w:vAlign w:val="bottom"/>
            <w:gridSpan w:val="3"/>
            <w:shd w:val="clear" w:color="auto" w:fill="D5EAEA"/>
          </w:tcPr>
          <w:p>
            <w:pPr>
              <w:ind w:left="300"/>
              <w:spacing w:after="0"/>
              <w:rPr>
                <w:sz w:val="20"/>
                <w:szCs w:val="20"/>
                <w:color w:val="auto"/>
              </w:rPr>
            </w:pPr>
            <w:r>
              <w:rPr>
                <w:rFonts w:ascii="Arial" w:cs="Arial" w:eastAsia="Arial" w:hAnsi="Arial"/>
                <w:sz w:val="18"/>
                <w:szCs w:val="18"/>
                <w:color w:val="auto"/>
              </w:rPr>
              <w:t>Additional paid in capital</w:t>
            </w:r>
          </w:p>
        </w:tc>
        <w:tc>
          <w:tcPr>
            <w:tcW w:w="28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240" w:type="dxa"/>
            <w:vAlign w:val="bottom"/>
            <w:shd w:val="clear" w:color="auto" w:fill="D5EAEA"/>
          </w:tcPr>
          <w:p>
            <w:pPr>
              <w:spacing w:after="0"/>
              <w:rPr>
                <w:sz w:val="18"/>
                <w:szCs w:val="18"/>
                <w:color w:val="auto"/>
              </w:rPr>
            </w:pPr>
          </w:p>
        </w:tc>
        <w:tc>
          <w:tcPr>
            <w:tcW w:w="58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34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2,853</w:t>
            </w:r>
          </w:p>
        </w:tc>
        <w:tc>
          <w:tcPr>
            <w:tcW w:w="100" w:type="dxa"/>
            <w:vAlign w:val="bottom"/>
            <w:shd w:val="clear" w:color="auto" w:fill="D5EAEA"/>
          </w:tcPr>
          <w:p>
            <w:pPr>
              <w:spacing w:after="0"/>
              <w:rPr>
                <w:sz w:val="18"/>
                <w:szCs w:val="18"/>
                <w:color w:val="auto"/>
              </w:rPr>
            </w:pPr>
          </w:p>
        </w:tc>
        <w:tc>
          <w:tcPr>
            <w:tcW w:w="480" w:type="dxa"/>
            <w:vAlign w:val="bottom"/>
            <w:shd w:val="clear" w:color="auto" w:fill="D5EAEA"/>
          </w:tcPr>
          <w:p>
            <w:pPr>
              <w:spacing w:after="0"/>
              <w:rPr>
                <w:sz w:val="18"/>
                <w:szCs w:val="18"/>
                <w:color w:val="auto"/>
              </w:rPr>
            </w:pPr>
          </w:p>
        </w:tc>
        <w:tc>
          <w:tcPr>
            <w:tcW w:w="88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230"/>
        </w:trPr>
        <w:tc>
          <w:tcPr>
            <w:tcW w:w="4720" w:type="dxa"/>
            <w:vAlign w:val="bottom"/>
            <w:gridSpan w:val="3"/>
          </w:tcPr>
          <w:p>
            <w:pPr>
              <w:ind w:left="300"/>
              <w:spacing w:after="0"/>
              <w:rPr>
                <w:sz w:val="20"/>
                <w:szCs w:val="20"/>
                <w:color w:val="auto"/>
              </w:rPr>
            </w:pPr>
            <w:r>
              <w:rPr>
                <w:rFonts w:ascii="Arial" w:cs="Arial" w:eastAsia="Arial" w:hAnsi="Arial"/>
                <w:sz w:val="18"/>
                <w:szCs w:val="18"/>
                <w:color w:val="auto"/>
              </w:rPr>
              <w:t>Accumulated deficit</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(41,813)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(30,616)</w:t>
            </w:r>
          </w:p>
        </w:tc>
        <w:tc>
          <w:tcPr>
            <w:tcW w:w="0" w:type="dxa"/>
            <w:vAlign w:val="bottom"/>
          </w:tcPr>
          <w:p>
            <w:pPr>
              <w:spacing w:after="0"/>
              <w:rPr>
                <w:sz w:val="1"/>
                <w:szCs w:val="1"/>
                <w:color w:val="auto"/>
              </w:rPr>
            </w:pPr>
          </w:p>
        </w:tc>
      </w:tr>
      <w:tr>
        <w:trPr>
          <w:trHeight w:val="210"/>
        </w:trPr>
        <w:tc>
          <w:tcPr>
            <w:tcW w:w="4720" w:type="dxa"/>
            <w:vAlign w:val="bottom"/>
            <w:tcBorders>
              <w:top w:val="single" w:sz="8" w:color="D5EAEA"/>
            </w:tcBorders>
            <w:gridSpan w:val="3"/>
            <w:shd w:val="clear" w:color="auto" w:fill="D5EAEA"/>
          </w:tcPr>
          <w:p>
            <w:pPr>
              <w:spacing w:after="0"/>
              <w:rPr>
                <w:sz w:val="20"/>
                <w:szCs w:val="20"/>
                <w:color w:val="auto"/>
              </w:rPr>
            </w:pPr>
            <w:r>
              <w:rPr>
                <w:rFonts w:ascii="Arial" w:cs="Arial" w:eastAsia="Arial" w:hAnsi="Arial"/>
                <w:sz w:val="18"/>
                <w:szCs w:val="18"/>
                <w:b w:val="1"/>
                <w:bCs w:val="1"/>
                <w:color w:val="auto"/>
              </w:rPr>
              <w:t>TOTAL CAPITAL DEFICIENCY</w:t>
            </w:r>
          </w:p>
        </w:tc>
        <w:tc>
          <w:tcPr>
            <w:tcW w:w="2840" w:type="dxa"/>
            <w:vAlign w:val="bottom"/>
            <w:tcBorders>
              <w:top w:val="single" w:sz="8" w:color="D5EAEA"/>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240" w:type="dxa"/>
            <w:vAlign w:val="bottom"/>
            <w:tcBorders>
              <w:top w:val="single" w:sz="8" w:color="D5EAEA"/>
            </w:tcBorders>
            <w:shd w:val="clear" w:color="auto" w:fill="D5EAEA"/>
          </w:tcPr>
          <w:p>
            <w:pPr>
              <w:spacing w:after="0"/>
              <w:rPr>
                <w:sz w:val="18"/>
                <w:szCs w:val="18"/>
                <w:color w:val="auto"/>
              </w:rPr>
            </w:pPr>
          </w:p>
        </w:tc>
        <w:tc>
          <w:tcPr>
            <w:tcW w:w="580" w:type="dxa"/>
            <w:vAlign w:val="bottom"/>
            <w:tcBorders>
              <w:top w:val="single" w:sz="8" w:color="D5EAEA"/>
            </w:tcBorders>
            <w:shd w:val="clear" w:color="auto" w:fill="D5EAEA"/>
          </w:tcPr>
          <w:p>
            <w:pPr>
              <w:spacing w:after="0"/>
              <w:rPr>
                <w:sz w:val="18"/>
                <w:szCs w:val="18"/>
                <w:color w:val="auto"/>
              </w:rPr>
            </w:pPr>
          </w:p>
        </w:tc>
        <w:tc>
          <w:tcPr>
            <w:tcW w:w="140" w:type="dxa"/>
            <w:vAlign w:val="bottom"/>
            <w:tcBorders>
              <w:top w:val="single" w:sz="8" w:color="D5EAEA"/>
            </w:tcBorders>
            <w:shd w:val="clear" w:color="auto" w:fill="D5EAEA"/>
          </w:tcPr>
          <w:p>
            <w:pPr>
              <w:spacing w:after="0"/>
              <w:rPr>
                <w:sz w:val="18"/>
                <w:szCs w:val="18"/>
                <w:color w:val="auto"/>
              </w:rPr>
            </w:pPr>
          </w:p>
        </w:tc>
        <w:tc>
          <w:tcPr>
            <w:tcW w:w="12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(31,558</w:t>
            </w:r>
          </w:p>
        </w:tc>
        <w:tc>
          <w:tcPr>
            <w:tcW w:w="100" w:type="dxa"/>
            <w:vAlign w:val="bottom"/>
            <w:tcBorders>
              <w:top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D5EAEA"/>
            </w:tcBorders>
            <w:shd w:val="clear" w:color="auto" w:fill="D5EAEA"/>
          </w:tcPr>
          <w:p>
            <w:pPr>
              <w:spacing w:after="0"/>
              <w:rPr>
                <w:sz w:val="18"/>
                <w:szCs w:val="18"/>
                <w:color w:val="auto"/>
              </w:rPr>
            </w:pPr>
          </w:p>
        </w:tc>
        <w:tc>
          <w:tcPr>
            <w:tcW w:w="480" w:type="dxa"/>
            <w:vAlign w:val="bottom"/>
            <w:tcBorders>
              <w:top w:val="single" w:sz="8" w:color="auto"/>
              <w:bottom w:val="single" w:sz="8" w:color="auto"/>
            </w:tcBorders>
            <w:shd w:val="clear" w:color="auto" w:fill="D5EAEA"/>
          </w:tcPr>
          <w:p>
            <w:pPr>
              <w:spacing w:after="0"/>
              <w:rPr>
                <w:sz w:val="18"/>
                <w:szCs w:val="18"/>
                <w:color w:val="auto"/>
              </w:rPr>
            </w:pPr>
          </w:p>
        </w:tc>
        <w:tc>
          <w:tcPr>
            <w:tcW w:w="7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(25,246</w:t>
            </w:r>
          </w:p>
        </w:tc>
        <w:tc>
          <w:tcPr>
            <w:tcW w:w="100" w:type="dxa"/>
            <w:vAlign w:val="bottom"/>
            <w:tcBorders>
              <w:top w:val="single" w:sz="8" w:color="D5EAEA"/>
            </w:tcBorders>
            <w:shd w:val="clear" w:color="auto" w:fill="D5EAEA"/>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NET OF CAPITAL DEFICIENCY</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gridSpan w:val="3"/>
            <w:vMerge w:val="restart"/>
          </w:tcPr>
          <w:p>
            <w:pPr>
              <w:spacing w:after="0"/>
              <w:rPr>
                <w:sz w:val="20"/>
                <w:szCs w:val="20"/>
                <w:color w:val="auto"/>
              </w:rPr>
            </w:pPr>
            <w:r>
              <w:rPr>
                <w:rFonts w:ascii="Arial" w:cs="Arial" w:eastAsia="Arial" w:hAnsi="Arial"/>
                <w:sz w:val="18"/>
                <w:szCs w:val="18"/>
                <w:color w:val="auto"/>
              </w:rPr>
              <w:t>* Represents an amount less than one thousand.</w:t>
            </w: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20" w:type="dxa"/>
            <w:vAlign w:val="bottom"/>
            <w:gridSpan w:val="3"/>
            <w:vMerge w:val="continue"/>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auto"/>
            </w:tcBorders>
          </w:tcPr>
          <w:p>
            <w:pPr>
              <w:spacing w:after="0"/>
              <w:rPr>
                <w:sz w:val="18"/>
                <w:szCs w:val="18"/>
                <w:color w:val="auto"/>
              </w:rPr>
            </w:pPr>
          </w:p>
        </w:tc>
        <w:tc>
          <w:tcPr>
            <w:tcW w:w="340" w:type="dxa"/>
            <w:vAlign w:val="bottom"/>
            <w:vMerge w:val="restart"/>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780" w:type="dxa"/>
            <w:vAlign w:val="bottom"/>
          </w:tcPr>
          <w:p>
            <w:pPr>
              <w:ind w:left="1100"/>
              <w:spacing w:after="0" w:line="191" w:lineRule="exact"/>
              <w:rPr>
                <w:sz w:val="20"/>
                <w:szCs w:val="20"/>
                <w:color w:val="auto"/>
              </w:rPr>
            </w:pPr>
            <w:r>
              <w:rPr>
                <w:rFonts w:ascii="Arial" w:cs="Arial" w:eastAsia="Arial" w:hAnsi="Arial"/>
                <w:sz w:val="18"/>
                <w:szCs w:val="18"/>
                <w:b w:val="1"/>
                <w:bCs w:val="1"/>
                <w:color w:val="auto"/>
              </w:rPr>
              <w:t>Mr. Luke M. Beshar</w:t>
            </w:r>
          </w:p>
        </w:tc>
        <w:tc>
          <w:tcPr>
            <w:tcW w:w="34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2840" w:type="dxa"/>
            <w:vAlign w:val="bottom"/>
          </w:tcPr>
          <w:p>
            <w:pPr>
              <w:ind w:left="340"/>
              <w:spacing w:after="0" w:line="191" w:lineRule="exact"/>
              <w:rPr>
                <w:sz w:val="20"/>
                <w:szCs w:val="20"/>
                <w:color w:val="auto"/>
              </w:rPr>
            </w:pPr>
            <w:r>
              <w:rPr>
                <w:rFonts w:ascii="Arial" w:cs="Arial" w:eastAsia="Arial" w:hAnsi="Arial"/>
                <w:sz w:val="18"/>
                <w:szCs w:val="18"/>
                <w:b w:val="1"/>
                <w:bCs w:val="1"/>
                <w:color w:val="auto"/>
              </w:rPr>
              <w:t>Mr. Philip Schwartz</w:t>
            </w:r>
          </w:p>
        </w:tc>
        <w:tc>
          <w:tcPr>
            <w:tcW w:w="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4"/>
          </w:tcPr>
          <w:p>
            <w:pPr>
              <w:ind w:left="160"/>
              <w:spacing w:after="0" w:line="191" w:lineRule="exact"/>
              <w:rPr>
                <w:sz w:val="20"/>
                <w:szCs w:val="20"/>
                <w:color w:val="auto"/>
              </w:rPr>
            </w:pPr>
            <w:r>
              <w:rPr>
                <w:rFonts w:ascii="Arial" w:cs="Arial" w:eastAsia="Arial" w:hAnsi="Arial"/>
                <w:sz w:val="18"/>
                <w:szCs w:val="18"/>
                <w:b w:val="1"/>
                <w:bCs w:val="1"/>
                <w:color w:val="auto"/>
                <w:w w:val="92"/>
              </w:rPr>
              <w:t>Mrs. Mira Rosenzweig</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20" w:type="dxa"/>
            <w:vAlign w:val="bottom"/>
            <w:gridSpan w:val="3"/>
          </w:tcPr>
          <w:p>
            <w:pPr>
              <w:ind w:left="1000"/>
              <w:spacing w:after="0"/>
              <w:rPr>
                <w:sz w:val="20"/>
                <w:szCs w:val="20"/>
                <w:color w:val="auto"/>
              </w:rPr>
            </w:pPr>
            <w:r>
              <w:rPr>
                <w:rFonts w:ascii="Arial" w:cs="Arial" w:eastAsia="Arial" w:hAnsi="Arial"/>
                <w:sz w:val="18"/>
                <w:szCs w:val="18"/>
                <w:b w:val="1"/>
                <w:bCs w:val="1"/>
                <w:color w:val="auto"/>
              </w:rPr>
              <w:t>Chairman of the Board</w:t>
            </w:r>
          </w:p>
        </w:tc>
        <w:tc>
          <w:tcPr>
            <w:tcW w:w="2940" w:type="dxa"/>
            <w:vAlign w:val="bottom"/>
            <w:gridSpan w:val="2"/>
          </w:tcPr>
          <w:p>
            <w:pPr>
              <w:ind w:left="220"/>
              <w:spacing w:after="0"/>
              <w:rPr>
                <w:sz w:val="20"/>
                <w:szCs w:val="20"/>
                <w:color w:val="auto"/>
              </w:rPr>
            </w:pPr>
            <w:r>
              <w:rPr>
                <w:rFonts w:ascii="Arial" w:cs="Arial" w:eastAsia="Arial" w:hAnsi="Arial"/>
                <w:sz w:val="18"/>
                <w:szCs w:val="18"/>
                <w:b w:val="1"/>
                <w:bCs w:val="1"/>
                <w:color w:val="auto"/>
              </w:rPr>
              <w:t>Chief Executive Officer</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w w:val="99"/>
              </w:rPr>
              <w:t>Chief Financial Officer</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of approval of the financial statements: March 30, 2018.</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241E1C"/>
        </w:rPr>
        <w:t>The accompanying notes are an integral part of the financial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61"/>
        </w:trPr>
        <w:tc>
          <w:tcPr>
            <w:tcW w:w="7660" w:type="dxa"/>
            <w:vAlign w:val="bottom"/>
            <w:gridSpan w:val="2"/>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7"/>
        </w:trPr>
        <w:tc>
          <w:tcPr>
            <w:tcW w:w="1100" w:type="dxa"/>
            <w:vAlign w:val="bottom"/>
            <w:tcBorders>
              <w:top w:val="single" w:sz="8" w:color="0000EE"/>
            </w:tcBorders>
          </w:tcPr>
          <w:p>
            <w:pPr>
              <w:spacing w:after="0"/>
              <w:rPr>
                <w:sz w:val="24"/>
                <w:szCs w:val="24"/>
                <w:color w:val="auto"/>
              </w:rPr>
            </w:pPr>
          </w:p>
        </w:tc>
        <w:tc>
          <w:tcPr>
            <w:tcW w:w="6560" w:type="dxa"/>
            <w:vAlign w:val="bottom"/>
          </w:tcPr>
          <w:p>
            <w:pPr>
              <w:jc w:val="center"/>
              <w:ind w:left="2570"/>
              <w:spacing w:after="0"/>
              <w:rPr>
                <w:sz w:val="20"/>
                <w:szCs w:val="20"/>
                <w:color w:val="auto"/>
              </w:rPr>
            </w:pPr>
            <w:r>
              <w:rPr>
                <w:rFonts w:ascii="Arial" w:cs="Arial" w:eastAsia="Arial" w:hAnsi="Arial"/>
                <w:sz w:val="18"/>
                <w:szCs w:val="18"/>
                <w:b w:val="1"/>
                <w:bCs w:val="1"/>
                <w:color w:val="241E1C"/>
              </w:rPr>
              <w:t>ENTERA BIO LTD.</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6560" w:type="dxa"/>
            <w:vAlign w:val="bottom"/>
          </w:tcPr>
          <w:p>
            <w:pPr>
              <w:jc w:val="center"/>
              <w:ind w:left="2570"/>
              <w:spacing w:after="0"/>
              <w:rPr>
                <w:sz w:val="20"/>
                <w:szCs w:val="20"/>
                <w:color w:val="auto"/>
              </w:rPr>
            </w:pPr>
            <w:r>
              <w:rPr>
                <w:rFonts w:ascii="Arial" w:cs="Arial" w:eastAsia="Arial" w:hAnsi="Arial"/>
                <w:sz w:val="18"/>
                <w:szCs w:val="18"/>
                <w:color w:val="auto"/>
                <w:w w:val="94"/>
              </w:rPr>
              <w:t>STATEMENTS OF COMPREHENSIVE LOSS</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0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Year ended December 31</w:t>
            </w: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241E1C"/>
                <w:w w:val="89"/>
              </w:rPr>
              <w:t>Note</w:t>
            </w: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241E1C"/>
              </w:rPr>
              <w:t>2017</w:t>
            </w: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241E1C"/>
              </w:rPr>
              <w:t>2016</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800" w:type="dxa"/>
            <w:vAlign w:val="bottom"/>
            <w:gridSpan w:val="5"/>
          </w:tcPr>
          <w:p>
            <w:pPr>
              <w:jc w:val="center"/>
              <w:spacing w:after="0"/>
              <w:rPr>
                <w:sz w:val="20"/>
                <w:szCs w:val="20"/>
                <w:color w:val="auto"/>
              </w:rPr>
            </w:pPr>
            <w:r>
              <w:rPr>
                <w:rFonts w:ascii="Arial" w:cs="Arial" w:eastAsia="Arial" w:hAnsi="Arial"/>
                <w:sz w:val="18"/>
                <w:szCs w:val="18"/>
                <w:b w:val="1"/>
                <w:bCs w:val="1"/>
                <w:color w:val="241E1C"/>
                <w:w w:val="88"/>
              </w:rPr>
              <w:t>U.S. dollars in thousands</w:t>
            </w:r>
          </w:p>
        </w:tc>
        <w:tc>
          <w:tcPr>
            <w:tcW w:w="0" w:type="dxa"/>
            <w:vAlign w:val="bottom"/>
          </w:tcPr>
          <w:p>
            <w:pPr>
              <w:spacing w:after="0"/>
              <w:rPr>
                <w:sz w:val="1"/>
                <w:szCs w:val="1"/>
                <w:color w:val="auto"/>
              </w:rPr>
            </w:pPr>
          </w:p>
        </w:tc>
      </w:tr>
      <w:tr>
        <w:trPr>
          <w:trHeight w:val="210"/>
        </w:trPr>
        <w:tc>
          <w:tcPr>
            <w:tcW w:w="7660" w:type="dxa"/>
            <w:vAlign w:val="bottom"/>
            <w:tcBorders>
              <w:top w:val="single" w:sz="8" w:color="D5EAEA"/>
            </w:tcBorders>
            <w:gridSpan w:val="2"/>
            <w:shd w:val="clear" w:color="auto" w:fill="D5EAEA"/>
          </w:tcPr>
          <w:p>
            <w:pPr>
              <w:ind w:left="40"/>
              <w:spacing w:after="0"/>
              <w:rPr>
                <w:sz w:val="20"/>
                <w:szCs w:val="20"/>
                <w:color w:val="auto"/>
              </w:rPr>
            </w:pPr>
            <w:r>
              <w:rPr>
                <w:rFonts w:ascii="Arial" w:cs="Arial" w:eastAsia="Arial" w:hAnsi="Arial"/>
                <w:sz w:val="18"/>
                <w:szCs w:val="18"/>
                <w:b w:val="1"/>
                <w:bCs w:val="1"/>
                <w:color w:val="241E1C"/>
              </w:rPr>
              <w:t>RESEARCH AND DEVELOPMENT EXPENSES</w:t>
            </w:r>
          </w:p>
        </w:tc>
        <w:tc>
          <w:tcPr>
            <w:tcW w:w="820" w:type="dxa"/>
            <w:vAlign w:val="bottom"/>
            <w:tcBorders>
              <w:top w:val="single" w:sz="8" w:color="auto"/>
            </w:tcBorders>
            <w:shd w:val="clear" w:color="auto" w:fill="D5EAEA"/>
          </w:tcPr>
          <w:p>
            <w:pPr>
              <w:spacing w:after="0"/>
              <w:rPr>
                <w:sz w:val="18"/>
                <w:szCs w:val="18"/>
                <w:color w:val="auto"/>
              </w:rPr>
            </w:pPr>
          </w:p>
        </w:tc>
        <w:tc>
          <w:tcPr>
            <w:tcW w:w="140" w:type="dxa"/>
            <w:vAlign w:val="bottom"/>
            <w:tcBorders>
              <w:top w:val="single" w:sz="8" w:color="D5EAEA"/>
            </w:tcBorders>
            <w:shd w:val="clear" w:color="auto" w:fill="D5EAEA"/>
          </w:tcPr>
          <w:p>
            <w:pPr>
              <w:spacing w:after="0"/>
              <w:rPr>
                <w:sz w:val="18"/>
                <w:szCs w:val="18"/>
                <w:color w:val="auto"/>
              </w:rPr>
            </w:pPr>
          </w:p>
        </w:tc>
        <w:tc>
          <w:tcPr>
            <w:tcW w:w="1440" w:type="dxa"/>
            <w:vAlign w:val="bottom"/>
            <w:tcBorders>
              <w:top w:val="single" w:sz="8" w:color="auto"/>
            </w:tcBorders>
            <w:gridSpan w:val="2"/>
            <w:shd w:val="clear" w:color="auto" w:fill="D5EAEA"/>
          </w:tcPr>
          <w:p>
            <w:pPr>
              <w:jc w:val="right"/>
              <w:ind w:right="120"/>
              <w:spacing w:after="0"/>
              <w:rPr>
                <w:sz w:val="20"/>
                <w:szCs w:val="20"/>
                <w:color w:val="auto"/>
              </w:rPr>
            </w:pPr>
            <w:r>
              <w:rPr>
                <w:rFonts w:ascii="Arial" w:cs="Arial" w:eastAsia="Arial" w:hAnsi="Arial"/>
                <w:sz w:val="18"/>
                <w:szCs w:val="18"/>
                <w:color w:val="241E1C"/>
              </w:rPr>
              <w:t>2,768</w:t>
            </w:r>
          </w:p>
        </w:tc>
        <w:tc>
          <w:tcPr>
            <w:tcW w:w="420" w:type="dxa"/>
            <w:vAlign w:val="bottom"/>
            <w:tcBorders>
              <w:top w:val="single" w:sz="8" w:color="auto"/>
            </w:tcBorders>
            <w:shd w:val="clear" w:color="auto" w:fill="D5EAEA"/>
          </w:tcPr>
          <w:p>
            <w:pPr>
              <w:spacing w:after="0"/>
              <w:rPr>
                <w:sz w:val="18"/>
                <w:szCs w:val="18"/>
                <w:color w:val="auto"/>
              </w:rPr>
            </w:pPr>
          </w:p>
        </w:tc>
        <w:tc>
          <w:tcPr>
            <w:tcW w:w="940" w:type="dxa"/>
            <w:vAlign w:val="bottom"/>
            <w:tcBorders>
              <w:top w:val="single" w:sz="8" w:color="auto"/>
            </w:tcBorders>
            <w:gridSpan w:val="2"/>
            <w:shd w:val="clear" w:color="auto" w:fill="D5EAEA"/>
          </w:tcPr>
          <w:p>
            <w:pPr>
              <w:jc w:val="right"/>
              <w:ind w:right="20"/>
              <w:spacing w:after="0"/>
              <w:rPr>
                <w:sz w:val="20"/>
                <w:szCs w:val="20"/>
                <w:color w:val="auto"/>
              </w:rPr>
            </w:pPr>
            <w:r>
              <w:rPr>
                <w:rFonts w:ascii="Arial" w:cs="Arial" w:eastAsia="Arial" w:hAnsi="Arial"/>
                <w:sz w:val="18"/>
                <w:szCs w:val="18"/>
                <w:color w:val="241E1C"/>
              </w:rPr>
              <w:t>2,648</w:t>
            </w:r>
          </w:p>
        </w:tc>
        <w:tc>
          <w:tcPr>
            <w:tcW w:w="0" w:type="dxa"/>
            <w:vAlign w:val="bottom"/>
          </w:tcPr>
          <w:p>
            <w:pPr>
              <w:spacing w:after="0"/>
              <w:rPr>
                <w:sz w:val="1"/>
                <w:szCs w:val="1"/>
                <w:color w:val="auto"/>
              </w:rPr>
            </w:pPr>
          </w:p>
        </w:tc>
      </w:tr>
      <w:tr>
        <w:trPr>
          <w:trHeight w:val="230"/>
        </w:trPr>
        <w:tc>
          <w:tcPr>
            <w:tcW w:w="7660" w:type="dxa"/>
            <w:vAlign w:val="bottom"/>
            <w:gridSpan w:val="2"/>
          </w:tcPr>
          <w:p>
            <w:pPr>
              <w:ind w:left="40"/>
              <w:spacing w:after="0"/>
              <w:rPr>
                <w:sz w:val="20"/>
                <w:szCs w:val="20"/>
                <w:color w:val="auto"/>
              </w:rPr>
            </w:pPr>
            <w:r>
              <w:rPr>
                <w:rFonts w:ascii="Arial" w:cs="Arial" w:eastAsia="Arial" w:hAnsi="Arial"/>
                <w:sz w:val="18"/>
                <w:szCs w:val="18"/>
                <w:b w:val="1"/>
                <w:bCs w:val="1"/>
                <w:color w:val="241E1C"/>
              </w:rPr>
              <w:t>GENERAL AND ADMINISTRATIVE EXPENSES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241E1C"/>
              </w:rPr>
              <w:t>8,575</w:t>
            </w:r>
          </w:p>
        </w:tc>
        <w:tc>
          <w:tcPr>
            <w:tcW w:w="4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241E1C"/>
              </w:rPr>
              <w:t>2,719</w:t>
            </w:r>
          </w:p>
        </w:tc>
        <w:tc>
          <w:tcPr>
            <w:tcW w:w="0" w:type="dxa"/>
            <w:vAlign w:val="bottom"/>
          </w:tcPr>
          <w:p>
            <w:pPr>
              <w:spacing w:after="0"/>
              <w:rPr>
                <w:sz w:val="1"/>
                <w:szCs w:val="1"/>
                <w:color w:val="auto"/>
              </w:rPr>
            </w:pPr>
          </w:p>
        </w:tc>
      </w:tr>
      <w:tr>
        <w:trPr>
          <w:trHeight w:val="210"/>
        </w:trPr>
        <w:tc>
          <w:tcPr>
            <w:tcW w:w="7660" w:type="dxa"/>
            <w:vAlign w:val="bottom"/>
            <w:tcBorders>
              <w:top w:val="single" w:sz="8" w:color="D5EAEA"/>
            </w:tcBorders>
            <w:gridSpan w:val="2"/>
            <w:shd w:val="clear" w:color="auto" w:fill="D5EAEA"/>
          </w:tcPr>
          <w:p>
            <w:pPr>
              <w:ind w:left="40"/>
              <w:spacing w:after="0"/>
              <w:rPr>
                <w:sz w:val="20"/>
                <w:szCs w:val="20"/>
                <w:color w:val="auto"/>
              </w:rPr>
            </w:pPr>
            <w:r>
              <w:rPr>
                <w:rFonts w:ascii="Arial" w:cs="Arial" w:eastAsia="Arial" w:hAnsi="Arial"/>
                <w:sz w:val="18"/>
                <w:szCs w:val="18"/>
                <w:b w:val="1"/>
                <w:bCs w:val="1"/>
                <w:color w:val="241E1C"/>
              </w:rPr>
              <w:t>OPERATING LOSS</w:t>
            </w:r>
          </w:p>
        </w:tc>
        <w:tc>
          <w:tcPr>
            <w:tcW w:w="820" w:type="dxa"/>
            <w:vAlign w:val="bottom"/>
            <w:tcBorders>
              <w:top w:val="single" w:sz="8" w:color="D5EAEA"/>
            </w:tcBorders>
            <w:shd w:val="clear" w:color="auto" w:fill="D5EAEA"/>
          </w:tcPr>
          <w:p>
            <w:pPr>
              <w:spacing w:after="0"/>
              <w:rPr>
                <w:sz w:val="18"/>
                <w:szCs w:val="18"/>
                <w:color w:val="auto"/>
              </w:rPr>
            </w:pPr>
          </w:p>
        </w:tc>
        <w:tc>
          <w:tcPr>
            <w:tcW w:w="140" w:type="dxa"/>
            <w:vAlign w:val="bottom"/>
            <w:tcBorders>
              <w:top w:val="single" w:sz="8" w:color="D5EAEA"/>
            </w:tcBorders>
            <w:shd w:val="clear" w:color="auto" w:fill="D5EAEA"/>
          </w:tcPr>
          <w:p>
            <w:pPr>
              <w:spacing w:after="0"/>
              <w:rPr>
                <w:sz w:val="18"/>
                <w:szCs w:val="18"/>
                <w:color w:val="auto"/>
              </w:rPr>
            </w:pPr>
          </w:p>
        </w:tc>
        <w:tc>
          <w:tcPr>
            <w:tcW w:w="12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241E1C"/>
              </w:rPr>
              <w:t>11,343</w:t>
            </w:r>
          </w:p>
        </w:tc>
        <w:tc>
          <w:tcPr>
            <w:tcW w:w="200" w:type="dxa"/>
            <w:vAlign w:val="bottom"/>
            <w:tcBorders>
              <w:top w:val="single" w:sz="8" w:color="D5EAEA"/>
            </w:tcBorders>
            <w:shd w:val="clear" w:color="auto" w:fill="D5EAEA"/>
          </w:tcPr>
          <w:p>
            <w:pPr>
              <w:spacing w:after="0"/>
              <w:rPr>
                <w:sz w:val="18"/>
                <w:szCs w:val="18"/>
                <w:color w:val="auto"/>
              </w:rPr>
            </w:pPr>
          </w:p>
        </w:tc>
        <w:tc>
          <w:tcPr>
            <w:tcW w:w="420" w:type="dxa"/>
            <w:vAlign w:val="bottom"/>
            <w:tcBorders>
              <w:top w:val="single" w:sz="8" w:color="auto"/>
              <w:bottom w:val="single" w:sz="8" w:color="auto"/>
            </w:tcBorders>
            <w:shd w:val="clear" w:color="auto" w:fill="D5EAEA"/>
          </w:tcPr>
          <w:p>
            <w:pPr>
              <w:spacing w:after="0"/>
              <w:rPr>
                <w:sz w:val="18"/>
                <w:szCs w:val="18"/>
                <w:color w:val="auto"/>
              </w:rPr>
            </w:pPr>
          </w:p>
        </w:tc>
        <w:tc>
          <w:tcPr>
            <w:tcW w:w="8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241E1C"/>
              </w:rPr>
              <w:t>5,367</w:t>
            </w:r>
          </w:p>
        </w:tc>
        <w:tc>
          <w:tcPr>
            <w:tcW w:w="100" w:type="dxa"/>
            <w:vAlign w:val="bottom"/>
            <w:tcBorders>
              <w:top w:val="single" w:sz="8" w:color="D5EAEA"/>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gridSpan w:val="2"/>
          </w:tcPr>
          <w:p>
            <w:pPr>
              <w:ind w:left="40"/>
              <w:spacing w:after="0"/>
              <w:rPr>
                <w:sz w:val="20"/>
                <w:szCs w:val="20"/>
                <w:color w:val="auto"/>
              </w:rPr>
            </w:pPr>
            <w:r>
              <w:rPr>
                <w:rFonts w:ascii="Arial" w:cs="Arial" w:eastAsia="Arial" w:hAnsi="Arial"/>
                <w:sz w:val="18"/>
                <w:szCs w:val="18"/>
                <w:b w:val="1"/>
                <w:bCs w:val="1"/>
                <w:color w:val="241E1C"/>
              </w:rPr>
              <w:t>FINANCIAL INCOME:</w:t>
            </w:r>
          </w:p>
        </w:tc>
        <w:tc>
          <w:tcPr>
            <w:tcW w:w="820" w:type="dxa"/>
            <w:vAlign w:val="bottom"/>
          </w:tcPr>
          <w:p>
            <w:pPr>
              <w:jc w:val="right"/>
              <w:ind w:right="30"/>
              <w:spacing w:after="0"/>
              <w:rPr>
                <w:sz w:val="20"/>
                <w:szCs w:val="20"/>
                <w:color w:val="auto"/>
              </w:rPr>
            </w:pPr>
            <w:r>
              <w:rPr>
                <w:rFonts w:ascii="Arial" w:cs="Arial" w:eastAsia="Arial" w:hAnsi="Arial"/>
                <w:sz w:val="18"/>
                <w:szCs w:val="18"/>
                <w:color w:val="241E1C"/>
              </w:rPr>
              <w:t>7,8</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660" w:type="dxa"/>
            <w:vAlign w:val="bottom"/>
            <w:gridSpan w:val="2"/>
            <w:shd w:val="clear" w:color="auto" w:fill="D5EAEA"/>
          </w:tcPr>
          <w:p>
            <w:pPr>
              <w:ind w:left="300"/>
              <w:spacing w:after="0" w:line="201" w:lineRule="exact"/>
              <w:rPr>
                <w:sz w:val="20"/>
                <w:szCs w:val="20"/>
                <w:color w:val="auto"/>
              </w:rPr>
            </w:pPr>
            <w:r>
              <w:rPr>
                <w:rFonts w:ascii="Arial" w:cs="Arial" w:eastAsia="Arial" w:hAnsi="Arial"/>
                <w:sz w:val="18"/>
                <w:szCs w:val="18"/>
                <w:color w:val="241E1C"/>
              </w:rPr>
              <w:t>Income from change in fair value of financial liabilities</w:t>
            </w:r>
          </w:p>
        </w:tc>
        <w:tc>
          <w:tcPr>
            <w:tcW w:w="820" w:type="dxa"/>
            <w:vAlign w:val="bottom"/>
            <w:shd w:val="clear" w:color="auto" w:fill="D5EAEA"/>
          </w:tcPr>
          <w:p>
            <w:pPr>
              <w:spacing w:after="0"/>
              <w:rPr>
                <w:sz w:val="17"/>
                <w:szCs w:val="17"/>
                <w:color w:val="auto"/>
              </w:rPr>
            </w:pPr>
          </w:p>
        </w:tc>
        <w:tc>
          <w:tcPr>
            <w:tcW w:w="140" w:type="dxa"/>
            <w:vAlign w:val="bottom"/>
            <w:shd w:val="clear" w:color="auto" w:fill="D5EAEA"/>
          </w:tcPr>
          <w:p>
            <w:pPr>
              <w:spacing w:after="0"/>
              <w:rPr>
                <w:sz w:val="17"/>
                <w:szCs w:val="17"/>
                <w:color w:val="auto"/>
              </w:rPr>
            </w:pPr>
          </w:p>
        </w:tc>
        <w:tc>
          <w:tcPr>
            <w:tcW w:w="1240" w:type="dxa"/>
            <w:vAlign w:val="bottom"/>
            <w:shd w:val="clear" w:color="auto" w:fill="D5EAEA"/>
          </w:tcPr>
          <w:p>
            <w:pPr>
              <w:spacing w:after="0"/>
              <w:rPr>
                <w:sz w:val="17"/>
                <w:szCs w:val="17"/>
                <w:color w:val="auto"/>
              </w:rPr>
            </w:pPr>
          </w:p>
        </w:tc>
        <w:tc>
          <w:tcPr>
            <w:tcW w:w="200" w:type="dxa"/>
            <w:vAlign w:val="bottom"/>
            <w:shd w:val="clear" w:color="auto" w:fill="D5EAEA"/>
          </w:tcPr>
          <w:p>
            <w:pPr>
              <w:spacing w:after="0"/>
              <w:rPr>
                <w:sz w:val="17"/>
                <w:szCs w:val="17"/>
                <w:color w:val="auto"/>
              </w:rPr>
            </w:pPr>
          </w:p>
        </w:tc>
        <w:tc>
          <w:tcPr>
            <w:tcW w:w="420" w:type="dxa"/>
            <w:vAlign w:val="bottom"/>
            <w:shd w:val="clear" w:color="auto" w:fill="D5EAEA"/>
          </w:tcPr>
          <w:p>
            <w:pPr>
              <w:spacing w:after="0"/>
              <w:rPr>
                <w:sz w:val="17"/>
                <w:szCs w:val="17"/>
                <w:color w:val="auto"/>
              </w:rPr>
            </w:pPr>
          </w:p>
        </w:tc>
        <w:tc>
          <w:tcPr>
            <w:tcW w:w="8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D5EAEA"/>
          </w:tcPr>
          <w:p>
            <w:pPr>
              <w:ind w:left="540"/>
              <w:spacing w:after="0"/>
              <w:rPr>
                <w:sz w:val="20"/>
                <w:szCs w:val="20"/>
                <w:color w:val="auto"/>
              </w:rPr>
            </w:pPr>
            <w:r>
              <w:rPr>
                <w:rFonts w:ascii="Arial" w:cs="Arial" w:eastAsia="Arial" w:hAnsi="Arial"/>
                <w:sz w:val="18"/>
                <w:szCs w:val="18"/>
                <w:color w:val="241E1C"/>
              </w:rPr>
              <w:t>at fair value</w:t>
            </w:r>
          </w:p>
        </w:tc>
        <w:tc>
          <w:tcPr>
            <w:tcW w:w="820" w:type="dxa"/>
            <w:vAlign w:val="bottom"/>
            <w:shd w:val="clear" w:color="auto" w:fill="D5EAEA"/>
          </w:tcPr>
          <w:p>
            <w:pPr>
              <w:spacing w:after="0"/>
              <w:rPr>
                <w:sz w:val="20"/>
                <w:szCs w:val="20"/>
                <w:color w:val="auto"/>
              </w:rPr>
            </w:pPr>
          </w:p>
        </w:tc>
        <w:tc>
          <w:tcPr>
            <w:tcW w:w="140" w:type="dxa"/>
            <w:vAlign w:val="bottom"/>
            <w:shd w:val="clear" w:color="auto" w:fill="D5EAEA"/>
          </w:tcPr>
          <w:p>
            <w:pPr>
              <w:spacing w:after="0"/>
              <w:rPr>
                <w:sz w:val="20"/>
                <w:szCs w:val="20"/>
                <w:color w:val="auto"/>
              </w:rPr>
            </w:pPr>
          </w:p>
        </w:tc>
        <w:tc>
          <w:tcPr>
            <w:tcW w:w="144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241E1C"/>
              </w:rPr>
              <w:t>(251)</w:t>
            </w:r>
          </w:p>
        </w:tc>
        <w:tc>
          <w:tcPr>
            <w:tcW w:w="420" w:type="dxa"/>
            <w:vAlign w:val="bottom"/>
            <w:shd w:val="clear" w:color="auto" w:fill="D5EAEA"/>
          </w:tcPr>
          <w:p>
            <w:pPr>
              <w:spacing w:after="0"/>
              <w:rPr>
                <w:sz w:val="20"/>
                <w:szCs w:val="20"/>
                <w:color w:val="auto"/>
              </w:rPr>
            </w:pPr>
          </w:p>
        </w:tc>
        <w:tc>
          <w:tcPr>
            <w:tcW w:w="9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241E1C"/>
              </w:rPr>
              <w:t>(4,311)</w:t>
            </w:r>
          </w:p>
        </w:tc>
        <w:tc>
          <w:tcPr>
            <w:tcW w:w="0" w:type="dxa"/>
            <w:vAlign w:val="bottom"/>
          </w:tcPr>
          <w:p>
            <w:pPr>
              <w:spacing w:after="0"/>
              <w:rPr>
                <w:sz w:val="1"/>
                <w:szCs w:val="1"/>
                <w:color w:val="auto"/>
              </w:rPr>
            </w:pPr>
          </w:p>
        </w:tc>
      </w:tr>
      <w:tr>
        <w:trPr>
          <w:trHeight w:val="230"/>
        </w:trPr>
        <w:tc>
          <w:tcPr>
            <w:tcW w:w="7660" w:type="dxa"/>
            <w:vAlign w:val="bottom"/>
            <w:gridSpan w:val="2"/>
          </w:tcPr>
          <w:p>
            <w:pPr>
              <w:ind w:left="320"/>
              <w:spacing w:after="0"/>
              <w:rPr>
                <w:sz w:val="20"/>
                <w:szCs w:val="20"/>
                <w:color w:val="auto"/>
              </w:rPr>
            </w:pPr>
            <w:r>
              <w:rPr>
                <w:rFonts w:ascii="Arial" w:cs="Arial" w:eastAsia="Arial" w:hAnsi="Arial"/>
                <w:sz w:val="18"/>
                <w:szCs w:val="18"/>
                <w:color w:val="241E1C"/>
              </w:rPr>
              <w:t>Other financial expenses, net</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241E1C"/>
              </w:rPr>
              <w:t>105</w:t>
            </w:r>
          </w:p>
        </w:tc>
        <w:tc>
          <w:tcPr>
            <w:tcW w:w="4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241E1C"/>
              </w:rPr>
              <w:t>143</w:t>
            </w:r>
          </w:p>
        </w:tc>
        <w:tc>
          <w:tcPr>
            <w:tcW w:w="0" w:type="dxa"/>
            <w:vAlign w:val="bottom"/>
          </w:tcPr>
          <w:p>
            <w:pPr>
              <w:spacing w:after="0"/>
              <w:rPr>
                <w:sz w:val="1"/>
                <w:szCs w:val="1"/>
                <w:color w:val="auto"/>
              </w:rPr>
            </w:pPr>
          </w:p>
        </w:tc>
      </w:tr>
      <w:tr>
        <w:trPr>
          <w:trHeight w:val="210"/>
        </w:trPr>
        <w:tc>
          <w:tcPr>
            <w:tcW w:w="7660" w:type="dxa"/>
            <w:vAlign w:val="bottom"/>
            <w:tcBorders>
              <w:top w:val="single" w:sz="8" w:color="D5EAEA"/>
            </w:tcBorders>
            <w:gridSpan w:val="2"/>
            <w:shd w:val="clear" w:color="auto" w:fill="D5EAEA"/>
          </w:tcPr>
          <w:p>
            <w:pPr>
              <w:ind w:left="40"/>
              <w:spacing w:after="0"/>
              <w:rPr>
                <w:sz w:val="20"/>
                <w:szCs w:val="20"/>
                <w:color w:val="auto"/>
              </w:rPr>
            </w:pPr>
            <w:r>
              <w:rPr>
                <w:rFonts w:ascii="Arial" w:cs="Arial" w:eastAsia="Arial" w:hAnsi="Arial"/>
                <w:sz w:val="18"/>
                <w:szCs w:val="18"/>
                <w:b w:val="1"/>
                <w:bCs w:val="1"/>
                <w:color w:val="241E1C"/>
              </w:rPr>
              <w:t>FINANCIAL EXPENSES (INCOME), net</w:t>
            </w:r>
          </w:p>
        </w:tc>
        <w:tc>
          <w:tcPr>
            <w:tcW w:w="820" w:type="dxa"/>
            <w:vAlign w:val="bottom"/>
            <w:tcBorders>
              <w:top w:val="single" w:sz="8" w:color="D5EAEA"/>
            </w:tcBorders>
            <w:shd w:val="clear" w:color="auto" w:fill="D5EAEA"/>
          </w:tcPr>
          <w:p>
            <w:pPr>
              <w:spacing w:after="0"/>
              <w:rPr>
                <w:sz w:val="18"/>
                <w:szCs w:val="18"/>
                <w:color w:val="auto"/>
              </w:rPr>
            </w:pPr>
          </w:p>
        </w:tc>
        <w:tc>
          <w:tcPr>
            <w:tcW w:w="140" w:type="dxa"/>
            <w:vAlign w:val="bottom"/>
            <w:tcBorders>
              <w:top w:val="single" w:sz="8" w:color="D5EAEA"/>
            </w:tcBorders>
            <w:shd w:val="clear" w:color="auto" w:fill="D5EAEA"/>
          </w:tcPr>
          <w:p>
            <w:pPr>
              <w:spacing w:after="0"/>
              <w:rPr>
                <w:sz w:val="18"/>
                <w:szCs w:val="18"/>
                <w:color w:val="auto"/>
              </w:rPr>
            </w:pPr>
          </w:p>
        </w:tc>
        <w:tc>
          <w:tcPr>
            <w:tcW w:w="12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241E1C"/>
              </w:rPr>
              <w:t>(146</w:t>
            </w:r>
          </w:p>
        </w:tc>
        <w:tc>
          <w:tcPr>
            <w:tcW w:w="200" w:type="dxa"/>
            <w:vAlign w:val="bottom"/>
            <w:tcBorders>
              <w:top w:val="single" w:sz="8" w:color="D5EAEA"/>
            </w:tcBorders>
            <w:shd w:val="clear" w:color="auto" w:fill="D5EAEA"/>
          </w:tcPr>
          <w:p>
            <w:pPr>
              <w:jc w:val="right"/>
              <w:ind w:right="60"/>
              <w:spacing w:after="0"/>
              <w:rPr>
                <w:sz w:val="20"/>
                <w:szCs w:val="20"/>
                <w:color w:val="auto"/>
              </w:rPr>
            </w:pPr>
            <w:r>
              <w:rPr>
                <w:rFonts w:ascii="Arial" w:cs="Arial" w:eastAsia="Arial" w:hAnsi="Arial"/>
                <w:sz w:val="16"/>
                <w:szCs w:val="16"/>
                <w:color w:val="241E1C"/>
                <w:w w:val="74"/>
              </w:rPr>
              <w:t>)</w:t>
            </w:r>
          </w:p>
        </w:tc>
        <w:tc>
          <w:tcPr>
            <w:tcW w:w="420" w:type="dxa"/>
            <w:vAlign w:val="bottom"/>
            <w:tcBorders>
              <w:top w:val="single" w:sz="8" w:color="auto"/>
              <w:bottom w:val="single" w:sz="8" w:color="auto"/>
            </w:tcBorders>
            <w:shd w:val="clear" w:color="auto" w:fill="D5EAEA"/>
          </w:tcPr>
          <w:p>
            <w:pPr>
              <w:spacing w:after="0"/>
              <w:rPr>
                <w:sz w:val="18"/>
                <w:szCs w:val="18"/>
                <w:color w:val="auto"/>
              </w:rPr>
            </w:pPr>
          </w:p>
        </w:tc>
        <w:tc>
          <w:tcPr>
            <w:tcW w:w="8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241E1C"/>
              </w:rPr>
              <w:t>(4,168</w:t>
            </w:r>
          </w:p>
        </w:tc>
        <w:tc>
          <w:tcPr>
            <w:tcW w:w="100" w:type="dxa"/>
            <w:vAlign w:val="bottom"/>
            <w:tcBorders>
              <w:top w:val="single" w:sz="8" w:color="D5EAEA"/>
            </w:tcBorders>
            <w:shd w:val="clear" w:color="auto" w:fill="D5EAEA"/>
          </w:tcPr>
          <w:p>
            <w:pPr>
              <w:jc w:val="right"/>
              <w:spacing w:after="0"/>
              <w:rPr>
                <w:sz w:val="20"/>
                <w:szCs w:val="20"/>
                <w:color w:val="auto"/>
              </w:rPr>
            </w:pPr>
            <w:r>
              <w:rPr>
                <w:rFonts w:ascii="Arial" w:cs="Arial" w:eastAsia="Arial" w:hAnsi="Arial"/>
                <w:sz w:val="16"/>
                <w:szCs w:val="16"/>
                <w:color w:val="241E1C"/>
                <w:w w:val="74"/>
              </w:rPr>
              <w:t>)</w:t>
            </w:r>
          </w:p>
        </w:tc>
        <w:tc>
          <w:tcPr>
            <w:tcW w:w="0" w:type="dxa"/>
            <w:vAlign w:val="bottom"/>
          </w:tcPr>
          <w:p>
            <w:pPr>
              <w:spacing w:after="0"/>
              <w:rPr>
                <w:sz w:val="1"/>
                <w:szCs w:val="1"/>
                <w:color w:val="auto"/>
              </w:rPr>
            </w:pPr>
          </w:p>
        </w:tc>
      </w:tr>
      <w:tr>
        <w:trPr>
          <w:trHeight w:val="223"/>
        </w:trPr>
        <w:tc>
          <w:tcPr>
            <w:tcW w:w="7660" w:type="dxa"/>
            <w:vAlign w:val="bottom"/>
            <w:gridSpan w:val="2"/>
          </w:tcPr>
          <w:p>
            <w:pPr>
              <w:ind w:left="40"/>
              <w:spacing w:after="0"/>
              <w:rPr>
                <w:sz w:val="20"/>
                <w:szCs w:val="20"/>
                <w:color w:val="auto"/>
              </w:rPr>
            </w:pPr>
            <w:r>
              <w:rPr>
                <w:rFonts w:ascii="Arial" w:cs="Arial" w:eastAsia="Arial" w:hAnsi="Arial"/>
                <w:sz w:val="18"/>
                <w:szCs w:val="18"/>
                <w:b w:val="1"/>
                <w:bCs w:val="1"/>
                <w:color w:val="241E1C"/>
              </w:rPr>
              <w:t>NET COMPREHENSIVE LOSS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41E1C"/>
              </w:rPr>
              <w:t>11,197</w:t>
            </w:r>
          </w:p>
        </w:tc>
        <w:tc>
          <w:tcPr>
            <w:tcW w:w="2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241E1C"/>
              </w:rPr>
              <w:t>1,199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110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gridSpan w:val="5"/>
          </w:tcPr>
          <w:p>
            <w:pPr>
              <w:jc w:val="center"/>
              <w:spacing w:after="0"/>
              <w:rPr>
                <w:sz w:val="20"/>
                <w:szCs w:val="20"/>
                <w:color w:val="auto"/>
              </w:rPr>
            </w:pPr>
            <w:r>
              <w:rPr>
                <w:rFonts w:ascii="Arial" w:cs="Arial" w:eastAsia="Arial" w:hAnsi="Arial"/>
                <w:sz w:val="18"/>
                <w:szCs w:val="18"/>
                <w:b w:val="1"/>
                <w:bCs w:val="1"/>
                <w:color w:val="241E1C"/>
                <w:w w:val="89"/>
              </w:rPr>
              <w:t>U.S. dollars (except for share</w:t>
            </w:r>
          </w:p>
        </w:tc>
        <w:tc>
          <w:tcPr>
            <w:tcW w:w="0" w:type="dxa"/>
            <w:vAlign w:val="bottom"/>
          </w:tcPr>
          <w:p>
            <w:pPr>
              <w:spacing w:after="0"/>
              <w:rPr>
                <w:sz w:val="1"/>
                <w:szCs w:val="1"/>
                <w:color w:val="auto"/>
              </w:rPr>
            </w:pPr>
          </w:p>
        </w:tc>
      </w:tr>
      <w:tr>
        <w:trPr>
          <w:trHeight w:val="234"/>
        </w:trPr>
        <w:tc>
          <w:tcPr>
            <w:tcW w:w="7660" w:type="dxa"/>
            <w:vAlign w:val="bottom"/>
            <w:gridSpan w:val="2"/>
            <w:vMerge w:val="restart"/>
          </w:tcPr>
          <w:p>
            <w:pPr>
              <w:spacing w:after="0"/>
              <w:rPr>
                <w:sz w:val="20"/>
                <w:szCs w:val="20"/>
                <w:color w:val="auto"/>
              </w:rPr>
            </w:pPr>
            <w:r>
              <w:rPr>
                <w:rFonts w:ascii="Arial" w:cs="Arial" w:eastAsia="Arial" w:hAnsi="Arial"/>
                <w:sz w:val="18"/>
                <w:szCs w:val="18"/>
                <w:b w:val="1"/>
                <w:bCs w:val="1"/>
                <w:color w:val="241E1C"/>
              </w:rPr>
              <w:t>LOSS PER ORDINARY SHARE -</w:t>
            </w:r>
          </w:p>
        </w:tc>
        <w:tc>
          <w:tcPr>
            <w:tcW w:w="820" w:type="dxa"/>
            <w:vAlign w:val="bottom"/>
            <w:vMerge w:val="restart"/>
          </w:tcPr>
          <w:p>
            <w:pPr>
              <w:jc w:val="right"/>
              <w:ind w:right="230"/>
              <w:spacing w:after="0"/>
              <w:rPr>
                <w:sz w:val="20"/>
                <w:szCs w:val="20"/>
                <w:color w:val="auto"/>
              </w:rPr>
            </w:pPr>
            <w:r>
              <w:rPr>
                <w:rFonts w:ascii="Arial" w:cs="Arial" w:eastAsia="Arial" w:hAnsi="Arial"/>
                <w:sz w:val="18"/>
                <w:szCs w:val="18"/>
                <w:color w:val="241E1C"/>
              </w:rPr>
              <w:t>13</w:t>
            </w:r>
          </w:p>
        </w:tc>
        <w:tc>
          <w:tcPr>
            <w:tcW w:w="140" w:type="dxa"/>
            <w:vAlign w:val="bottom"/>
          </w:tcPr>
          <w:p>
            <w:pPr>
              <w:spacing w:after="0"/>
              <w:rPr>
                <w:sz w:val="20"/>
                <w:szCs w:val="20"/>
                <w:color w:val="auto"/>
              </w:rPr>
            </w:pPr>
          </w:p>
        </w:tc>
        <w:tc>
          <w:tcPr>
            <w:tcW w:w="1860" w:type="dxa"/>
            <w:vAlign w:val="bottom"/>
            <w:tcBorders>
              <w:bottom w:val="single" w:sz="8" w:color="auto"/>
            </w:tcBorders>
            <w:gridSpan w:val="3"/>
          </w:tcPr>
          <w:p>
            <w:pPr>
              <w:jc w:val="center"/>
              <w:ind w:left="830"/>
              <w:spacing w:after="0"/>
              <w:rPr>
                <w:sz w:val="20"/>
                <w:szCs w:val="20"/>
                <w:color w:val="auto"/>
              </w:rPr>
            </w:pPr>
            <w:r>
              <w:rPr>
                <w:rFonts w:ascii="Arial" w:cs="Arial" w:eastAsia="Arial" w:hAnsi="Arial"/>
                <w:sz w:val="18"/>
                <w:szCs w:val="18"/>
                <w:b w:val="1"/>
                <w:bCs w:val="1"/>
                <w:color w:val="241E1C"/>
                <w:w w:val="90"/>
              </w:rPr>
              <w:t>numbers)</w:t>
            </w: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6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660" w:type="dxa"/>
            <w:vAlign w:val="bottom"/>
            <w:gridSpan w:val="2"/>
            <w:shd w:val="clear" w:color="auto" w:fill="D5EAEA"/>
          </w:tcPr>
          <w:p>
            <w:pPr>
              <w:ind w:left="280"/>
              <w:spacing w:after="0"/>
              <w:rPr>
                <w:sz w:val="20"/>
                <w:szCs w:val="20"/>
                <w:color w:val="auto"/>
              </w:rPr>
            </w:pPr>
            <w:r>
              <w:rPr>
                <w:rFonts w:ascii="Arial" w:cs="Arial" w:eastAsia="Arial" w:hAnsi="Arial"/>
                <w:sz w:val="18"/>
                <w:szCs w:val="18"/>
                <w:color w:val="241E1C"/>
              </w:rPr>
              <w:t>Basic</w:t>
            </w:r>
          </w:p>
        </w:tc>
        <w:tc>
          <w:tcPr>
            <w:tcW w:w="820" w:type="dxa"/>
            <w:vAlign w:val="bottom"/>
            <w:shd w:val="clear" w:color="auto" w:fill="D5EAEA"/>
          </w:tcPr>
          <w:p>
            <w:pPr>
              <w:spacing w:after="0"/>
              <w:rPr>
                <w:sz w:val="21"/>
                <w:szCs w:val="21"/>
                <w:color w:val="auto"/>
              </w:rPr>
            </w:pPr>
          </w:p>
        </w:tc>
        <w:tc>
          <w:tcPr>
            <w:tcW w:w="140" w:type="dxa"/>
            <w:vAlign w:val="bottom"/>
            <w:shd w:val="clear" w:color="auto" w:fill="D5EAEA"/>
          </w:tcPr>
          <w:p>
            <w:pPr>
              <w:spacing w:after="0"/>
              <w:rPr>
                <w:sz w:val="21"/>
                <w:szCs w:val="21"/>
                <w:color w:val="auto"/>
              </w:rPr>
            </w:pPr>
          </w:p>
        </w:tc>
        <w:tc>
          <w:tcPr>
            <w:tcW w:w="1440" w:type="dxa"/>
            <w:vAlign w:val="bottom"/>
            <w:gridSpan w:val="2"/>
            <w:shd w:val="clear" w:color="auto" w:fill="D5EAEA"/>
          </w:tcPr>
          <w:p>
            <w:pPr>
              <w:jc w:val="right"/>
              <w:ind w:right="120"/>
              <w:spacing w:after="0"/>
              <w:rPr>
                <w:sz w:val="20"/>
                <w:szCs w:val="20"/>
                <w:color w:val="auto"/>
              </w:rPr>
            </w:pPr>
            <w:r>
              <w:rPr>
                <w:rFonts w:ascii="Arial" w:cs="Arial" w:eastAsia="Arial" w:hAnsi="Arial"/>
                <w:sz w:val="18"/>
                <w:szCs w:val="18"/>
                <w:color w:val="241E1C"/>
              </w:rPr>
              <w:t>324</w:t>
            </w:r>
          </w:p>
        </w:tc>
        <w:tc>
          <w:tcPr>
            <w:tcW w:w="420" w:type="dxa"/>
            <w:vAlign w:val="bottom"/>
            <w:shd w:val="clear" w:color="auto" w:fill="D5EAEA"/>
          </w:tcPr>
          <w:p>
            <w:pPr>
              <w:spacing w:after="0"/>
              <w:rPr>
                <w:sz w:val="21"/>
                <w:szCs w:val="21"/>
                <w:color w:val="auto"/>
              </w:rPr>
            </w:pPr>
          </w:p>
        </w:tc>
        <w:tc>
          <w:tcPr>
            <w:tcW w:w="940" w:type="dxa"/>
            <w:vAlign w:val="bottom"/>
            <w:gridSpan w:val="2"/>
            <w:shd w:val="clear" w:color="auto" w:fill="D5EAEA"/>
          </w:tcPr>
          <w:p>
            <w:pPr>
              <w:jc w:val="right"/>
              <w:ind w:right="20"/>
              <w:spacing w:after="0"/>
              <w:rPr>
                <w:sz w:val="20"/>
                <w:szCs w:val="20"/>
                <w:color w:val="auto"/>
              </w:rPr>
            </w:pPr>
            <w:r>
              <w:rPr>
                <w:rFonts w:ascii="Arial" w:cs="Arial" w:eastAsia="Arial" w:hAnsi="Arial"/>
                <w:sz w:val="18"/>
                <w:szCs w:val="18"/>
                <w:color w:val="241E1C"/>
              </w:rPr>
              <w:t>35</w:t>
            </w:r>
          </w:p>
        </w:tc>
        <w:tc>
          <w:tcPr>
            <w:tcW w:w="0" w:type="dxa"/>
            <w:vAlign w:val="bottom"/>
          </w:tcPr>
          <w:p>
            <w:pPr>
              <w:spacing w:after="0"/>
              <w:rPr>
                <w:sz w:val="1"/>
                <w:szCs w:val="1"/>
                <w:color w:val="auto"/>
              </w:rPr>
            </w:pPr>
          </w:p>
        </w:tc>
      </w:tr>
      <w:tr>
        <w:trPr>
          <w:trHeight w:val="20"/>
        </w:trPr>
        <w:tc>
          <w:tcPr>
            <w:tcW w:w="7660" w:type="dxa"/>
            <w:vAlign w:val="bottom"/>
            <w:tcBorders>
              <w:top w:val="single" w:sz="8" w:color="D5EAEA"/>
              <w:bottom w:val="single" w:sz="8" w:color="D5EAEA"/>
            </w:tcBorders>
            <w:gridSpan w:val="2"/>
            <w:vMerge w:val="restart"/>
          </w:tcPr>
          <w:p>
            <w:pPr>
              <w:ind w:left="280"/>
              <w:spacing w:after="0"/>
              <w:rPr>
                <w:sz w:val="20"/>
                <w:szCs w:val="20"/>
                <w:color w:val="auto"/>
              </w:rPr>
            </w:pPr>
            <w:r>
              <w:rPr>
                <w:rFonts w:ascii="Arial" w:cs="Arial" w:eastAsia="Arial" w:hAnsi="Arial"/>
                <w:sz w:val="18"/>
                <w:szCs w:val="18"/>
                <w:color w:val="241E1C"/>
              </w:rPr>
              <w:t>Diluted</w:t>
            </w:r>
          </w:p>
        </w:tc>
        <w:tc>
          <w:tcPr>
            <w:tcW w:w="820" w:type="dxa"/>
            <w:vAlign w:val="bottom"/>
            <w:tcBorders>
              <w:top w:val="single" w:sz="8" w:color="D5EAEA"/>
            </w:tcBorders>
          </w:tcPr>
          <w:p>
            <w:pPr>
              <w:spacing w:after="0" w:line="20" w:lineRule="exact"/>
              <w:rPr>
                <w:sz w:val="1"/>
                <w:szCs w:val="1"/>
                <w:color w:val="auto"/>
              </w:rPr>
            </w:pPr>
          </w:p>
        </w:tc>
        <w:tc>
          <w:tcPr>
            <w:tcW w:w="140" w:type="dxa"/>
            <w:vAlign w:val="bottom"/>
            <w:tcBorders>
              <w:top w:val="single" w:sz="8" w:color="D5EAEA"/>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5EAEA"/>
              <w:bottom w:val="single" w:sz="8" w:color="D5EAEA"/>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bottom w:val="single" w:sz="8" w:color="D5EAEA"/>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tcBorders>
              <w:bottom w:val="single" w:sz="8" w:color="D5EAEA"/>
            </w:tcBorders>
            <w:gridSpan w:val="2"/>
            <w:vMerge w:val="continue"/>
          </w:tcPr>
          <w:p>
            <w:pPr>
              <w:spacing w:after="0"/>
              <w:rPr>
                <w:sz w:val="20"/>
                <w:szCs w:val="20"/>
                <w:color w:val="auto"/>
              </w:rPr>
            </w:pPr>
          </w:p>
        </w:tc>
        <w:tc>
          <w:tcPr>
            <w:tcW w:w="820" w:type="dxa"/>
            <w:vAlign w:val="bottom"/>
            <w:tcBorders>
              <w:bottom w:val="single" w:sz="8" w:color="D5EAEA"/>
            </w:tcBorders>
          </w:tcPr>
          <w:p>
            <w:pPr>
              <w:spacing w:after="0"/>
              <w:rPr>
                <w:sz w:val="20"/>
                <w:szCs w:val="20"/>
                <w:color w:val="auto"/>
              </w:rPr>
            </w:pPr>
          </w:p>
        </w:tc>
        <w:tc>
          <w:tcPr>
            <w:tcW w:w="140" w:type="dxa"/>
            <w:vAlign w:val="bottom"/>
            <w:tcBorders>
              <w:bottom w:val="single" w:sz="8" w:color="D5EAEA"/>
            </w:tcBorders>
          </w:tcPr>
          <w:p>
            <w:pPr>
              <w:spacing w:after="0"/>
              <w:rPr>
                <w:sz w:val="20"/>
                <w:szCs w:val="20"/>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41E1C"/>
              </w:rPr>
              <w:t>324</w:t>
            </w:r>
          </w:p>
        </w:tc>
        <w:tc>
          <w:tcPr>
            <w:tcW w:w="200" w:type="dxa"/>
            <w:vAlign w:val="bottom"/>
            <w:tcBorders>
              <w:bottom w:val="single" w:sz="8" w:color="D5EAEA"/>
            </w:tcBorders>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41E1C"/>
              </w:rPr>
              <w:t>102</w:t>
            </w:r>
          </w:p>
        </w:tc>
        <w:tc>
          <w:tcPr>
            <w:tcW w:w="100" w:type="dxa"/>
            <w:vAlign w:val="bottom"/>
            <w:tcBorders>
              <w:bottom w:val="single" w:sz="8" w:color="D5EAEA"/>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7660" w:type="dxa"/>
            <w:vAlign w:val="bottom"/>
            <w:gridSpan w:val="2"/>
            <w:shd w:val="clear" w:color="auto" w:fill="D5EAEA"/>
          </w:tcPr>
          <w:p>
            <w:pPr>
              <w:spacing w:after="0" w:line="151" w:lineRule="exact"/>
              <w:rPr>
                <w:sz w:val="20"/>
                <w:szCs w:val="20"/>
                <w:color w:val="auto"/>
              </w:rPr>
            </w:pPr>
            <w:r>
              <w:rPr>
                <w:rFonts w:ascii="Arial" w:cs="Arial" w:eastAsia="Arial" w:hAnsi="Arial"/>
                <w:sz w:val="17"/>
                <w:szCs w:val="17"/>
                <w:b w:val="1"/>
                <w:bCs w:val="1"/>
                <w:color w:val="241E1C"/>
              </w:rPr>
              <w:t>WEIGHTED AVERAGE NUMBER OF ORDINARY</w:t>
            </w:r>
          </w:p>
        </w:tc>
        <w:tc>
          <w:tcPr>
            <w:tcW w:w="820" w:type="dxa"/>
            <w:vAlign w:val="bottom"/>
            <w:shd w:val="clear" w:color="auto" w:fill="D5EAEA"/>
          </w:tcPr>
          <w:p>
            <w:pPr>
              <w:spacing w:after="0"/>
              <w:rPr>
                <w:sz w:val="13"/>
                <w:szCs w:val="13"/>
                <w:color w:val="auto"/>
              </w:rPr>
            </w:pPr>
          </w:p>
        </w:tc>
        <w:tc>
          <w:tcPr>
            <w:tcW w:w="140" w:type="dxa"/>
            <w:vAlign w:val="bottom"/>
            <w:shd w:val="clear" w:color="auto" w:fill="D5EAEA"/>
          </w:tcPr>
          <w:p>
            <w:pPr>
              <w:spacing w:after="0"/>
              <w:rPr>
                <w:sz w:val="13"/>
                <w:szCs w:val="13"/>
                <w:color w:val="auto"/>
              </w:rPr>
            </w:pPr>
          </w:p>
        </w:tc>
        <w:tc>
          <w:tcPr>
            <w:tcW w:w="1240" w:type="dxa"/>
            <w:vAlign w:val="bottom"/>
            <w:shd w:val="clear" w:color="auto" w:fill="D5EAEA"/>
          </w:tcPr>
          <w:p>
            <w:pPr>
              <w:spacing w:after="0"/>
              <w:rPr>
                <w:sz w:val="13"/>
                <w:szCs w:val="13"/>
                <w:color w:val="auto"/>
              </w:rPr>
            </w:pPr>
          </w:p>
        </w:tc>
        <w:tc>
          <w:tcPr>
            <w:tcW w:w="200" w:type="dxa"/>
            <w:vAlign w:val="bottom"/>
            <w:shd w:val="clear" w:color="auto" w:fill="D5EAEA"/>
          </w:tcPr>
          <w:p>
            <w:pPr>
              <w:spacing w:after="0"/>
              <w:rPr>
                <w:sz w:val="13"/>
                <w:szCs w:val="13"/>
                <w:color w:val="auto"/>
              </w:rPr>
            </w:pPr>
          </w:p>
        </w:tc>
        <w:tc>
          <w:tcPr>
            <w:tcW w:w="420" w:type="dxa"/>
            <w:vAlign w:val="bottom"/>
            <w:shd w:val="clear" w:color="auto" w:fill="D5EAEA"/>
          </w:tcPr>
          <w:p>
            <w:pPr>
              <w:spacing w:after="0"/>
              <w:rPr>
                <w:sz w:val="13"/>
                <w:szCs w:val="13"/>
                <w:color w:val="auto"/>
              </w:rPr>
            </w:pPr>
          </w:p>
        </w:tc>
        <w:tc>
          <w:tcPr>
            <w:tcW w:w="840" w:type="dxa"/>
            <w:vAlign w:val="bottom"/>
            <w:shd w:val="clear" w:color="auto" w:fill="D5EAEA"/>
          </w:tcPr>
          <w:p>
            <w:pPr>
              <w:spacing w:after="0"/>
              <w:rPr>
                <w:sz w:val="13"/>
                <w:szCs w:val="13"/>
                <w:color w:val="auto"/>
              </w:rPr>
            </w:pPr>
          </w:p>
        </w:tc>
        <w:tc>
          <w:tcPr>
            <w:tcW w:w="100" w:type="dxa"/>
            <w:vAlign w:val="bottom"/>
            <w:shd w:val="clear" w:color="auto" w:fill="D5EAEA"/>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7660" w:type="dxa"/>
            <w:vAlign w:val="bottom"/>
            <w:gridSpan w:val="2"/>
            <w:shd w:val="clear" w:color="auto" w:fill="D5EAEA"/>
          </w:tcPr>
          <w:p>
            <w:pPr>
              <w:ind w:left="280"/>
              <w:spacing w:after="0"/>
              <w:rPr>
                <w:sz w:val="20"/>
                <w:szCs w:val="20"/>
                <w:color w:val="auto"/>
              </w:rPr>
            </w:pPr>
            <w:r>
              <w:rPr>
                <w:rFonts w:ascii="Arial" w:cs="Arial" w:eastAsia="Arial" w:hAnsi="Arial"/>
                <w:sz w:val="18"/>
                <w:szCs w:val="18"/>
                <w:b w:val="1"/>
                <w:bCs w:val="1"/>
                <w:color w:val="241E1C"/>
              </w:rPr>
              <w:t>SHARES -</w:t>
            </w:r>
          </w:p>
        </w:tc>
        <w:tc>
          <w:tcPr>
            <w:tcW w:w="820" w:type="dxa"/>
            <w:vAlign w:val="bottom"/>
            <w:shd w:val="clear" w:color="auto" w:fill="D5EAEA"/>
          </w:tcPr>
          <w:p>
            <w:pPr>
              <w:spacing w:after="0"/>
              <w:rPr>
                <w:sz w:val="20"/>
                <w:szCs w:val="20"/>
                <w:color w:val="auto"/>
              </w:rPr>
            </w:pPr>
          </w:p>
        </w:tc>
        <w:tc>
          <w:tcPr>
            <w:tcW w:w="140" w:type="dxa"/>
            <w:vAlign w:val="bottom"/>
            <w:shd w:val="clear" w:color="auto" w:fill="D5EAEA"/>
          </w:tcPr>
          <w:p>
            <w:pPr>
              <w:spacing w:after="0"/>
              <w:rPr>
                <w:sz w:val="20"/>
                <w:szCs w:val="20"/>
                <w:color w:val="auto"/>
              </w:rPr>
            </w:pPr>
          </w:p>
        </w:tc>
        <w:tc>
          <w:tcPr>
            <w:tcW w:w="1240" w:type="dxa"/>
            <w:vAlign w:val="bottom"/>
            <w:shd w:val="clear" w:color="auto" w:fill="D5EAEA"/>
          </w:tcPr>
          <w:p>
            <w:pPr>
              <w:spacing w:after="0"/>
              <w:rPr>
                <w:sz w:val="20"/>
                <w:szCs w:val="20"/>
                <w:color w:val="auto"/>
              </w:rPr>
            </w:pPr>
          </w:p>
        </w:tc>
        <w:tc>
          <w:tcPr>
            <w:tcW w:w="200" w:type="dxa"/>
            <w:vAlign w:val="bottom"/>
            <w:shd w:val="clear" w:color="auto" w:fill="D5EAEA"/>
          </w:tcPr>
          <w:p>
            <w:pPr>
              <w:spacing w:after="0"/>
              <w:rPr>
                <w:sz w:val="20"/>
                <w:szCs w:val="20"/>
                <w:color w:val="auto"/>
              </w:rPr>
            </w:pPr>
          </w:p>
        </w:tc>
        <w:tc>
          <w:tcPr>
            <w:tcW w:w="420" w:type="dxa"/>
            <w:vAlign w:val="bottom"/>
            <w:shd w:val="clear" w:color="auto" w:fill="D5EAEA"/>
          </w:tcPr>
          <w:p>
            <w:pPr>
              <w:spacing w:after="0"/>
              <w:rPr>
                <w:sz w:val="20"/>
                <w:szCs w:val="20"/>
                <w:color w:val="auto"/>
              </w:rPr>
            </w:pPr>
          </w:p>
        </w:tc>
        <w:tc>
          <w:tcPr>
            <w:tcW w:w="840" w:type="dxa"/>
            <w:vAlign w:val="bottom"/>
            <w:shd w:val="clear" w:color="auto" w:fill="D5EAEA"/>
          </w:tcPr>
          <w:p>
            <w:pPr>
              <w:spacing w:after="0"/>
              <w:rPr>
                <w:sz w:val="20"/>
                <w:szCs w:val="20"/>
                <w:color w:val="auto"/>
              </w:rPr>
            </w:pPr>
          </w:p>
        </w:tc>
        <w:tc>
          <w:tcPr>
            <w:tcW w:w="100" w:type="dxa"/>
            <w:vAlign w:val="bottom"/>
            <w:shd w:val="clear" w:color="auto" w:fill="D5EAEA"/>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660" w:type="dxa"/>
            <w:vAlign w:val="bottom"/>
            <w:gridSpan w:val="2"/>
          </w:tcPr>
          <w:p>
            <w:pPr>
              <w:ind w:left="280"/>
              <w:spacing w:after="0"/>
              <w:rPr>
                <w:sz w:val="20"/>
                <w:szCs w:val="20"/>
                <w:color w:val="auto"/>
              </w:rPr>
            </w:pPr>
            <w:r>
              <w:rPr>
                <w:rFonts w:ascii="Arial" w:cs="Arial" w:eastAsia="Arial" w:hAnsi="Arial"/>
                <w:sz w:val="18"/>
                <w:szCs w:val="18"/>
                <w:color w:val="241E1C"/>
              </w:rPr>
              <w:t>Basic</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241E1C"/>
              </w:rPr>
              <w:t>34,544</w:t>
            </w:r>
          </w:p>
        </w:tc>
        <w:tc>
          <w:tcPr>
            <w:tcW w:w="42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241E1C"/>
              </w:rPr>
              <w:t>34,409</w:t>
            </w:r>
          </w:p>
        </w:tc>
        <w:tc>
          <w:tcPr>
            <w:tcW w:w="0" w:type="dxa"/>
            <w:vAlign w:val="bottom"/>
          </w:tcPr>
          <w:p>
            <w:pPr>
              <w:spacing w:after="0"/>
              <w:rPr>
                <w:sz w:val="1"/>
                <w:szCs w:val="1"/>
                <w:color w:val="auto"/>
              </w:rPr>
            </w:pPr>
          </w:p>
        </w:tc>
      </w:tr>
      <w:tr>
        <w:trPr>
          <w:trHeight w:val="197"/>
        </w:trPr>
        <w:tc>
          <w:tcPr>
            <w:tcW w:w="7660" w:type="dxa"/>
            <w:vAlign w:val="bottom"/>
            <w:tcBorders>
              <w:top w:val="single" w:sz="8" w:color="D5EAEA"/>
              <w:bottom w:val="single" w:sz="8" w:color="D5EAEA"/>
            </w:tcBorders>
            <w:gridSpan w:val="2"/>
            <w:shd w:val="clear" w:color="auto" w:fill="D5EAEA"/>
          </w:tcPr>
          <w:p>
            <w:pPr>
              <w:ind w:left="280"/>
              <w:spacing w:after="0" w:line="190" w:lineRule="exact"/>
              <w:rPr>
                <w:sz w:val="20"/>
                <w:szCs w:val="20"/>
                <w:color w:val="auto"/>
              </w:rPr>
            </w:pPr>
            <w:r>
              <w:rPr>
                <w:rFonts w:ascii="Arial" w:cs="Arial" w:eastAsia="Arial" w:hAnsi="Arial"/>
                <w:sz w:val="18"/>
                <w:szCs w:val="18"/>
                <w:color w:val="241E1C"/>
              </w:rPr>
              <w:t>Diluted</w:t>
            </w:r>
          </w:p>
        </w:tc>
        <w:tc>
          <w:tcPr>
            <w:tcW w:w="820" w:type="dxa"/>
            <w:vAlign w:val="bottom"/>
            <w:tcBorders>
              <w:top w:val="single" w:sz="8" w:color="D5EAEA"/>
              <w:bottom w:val="single" w:sz="8" w:color="D5EAEA"/>
            </w:tcBorders>
            <w:shd w:val="clear" w:color="auto" w:fill="D5EAEA"/>
          </w:tcPr>
          <w:p>
            <w:pPr>
              <w:spacing w:after="0"/>
              <w:rPr>
                <w:sz w:val="17"/>
                <w:szCs w:val="17"/>
                <w:color w:val="auto"/>
              </w:rPr>
            </w:pPr>
          </w:p>
        </w:tc>
        <w:tc>
          <w:tcPr>
            <w:tcW w:w="140" w:type="dxa"/>
            <w:vAlign w:val="bottom"/>
            <w:tcBorders>
              <w:top w:val="single" w:sz="8" w:color="D5EAEA"/>
              <w:bottom w:val="single" w:sz="8" w:color="D5EAEA"/>
            </w:tcBorders>
            <w:shd w:val="clear" w:color="auto" w:fill="D5EAEA"/>
          </w:tcPr>
          <w:p>
            <w:pPr>
              <w:spacing w:after="0"/>
              <w:rPr>
                <w:sz w:val="17"/>
                <w:szCs w:val="17"/>
                <w:color w:val="auto"/>
              </w:rPr>
            </w:pPr>
          </w:p>
        </w:tc>
        <w:tc>
          <w:tcPr>
            <w:tcW w:w="124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241E1C"/>
              </w:rPr>
              <w:t>34,544</w:t>
            </w:r>
          </w:p>
        </w:tc>
        <w:tc>
          <w:tcPr>
            <w:tcW w:w="200" w:type="dxa"/>
            <w:vAlign w:val="bottom"/>
            <w:tcBorders>
              <w:top w:val="single" w:sz="8" w:color="D5EAEA"/>
              <w:bottom w:val="single" w:sz="8" w:color="D5EAEA"/>
            </w:tcBorders>
            <w:shd w:val="clear" w:color="auto" w:fill="D5EAEA"/>
          </w:tcPr>
          <w:p>
            <w:pPr>
              <w:spacing w:after="0"/>
              <w:rPr>
                <w:sz w:val="17"/>
                <w:szCs w:val="17"/>
                <w:color w:val="auto"/>
              </w:rPr>
            </w:pPr>
          </w:p>
        </w:tc>
        <w:tc>
          <w:tcPr>
            <w:tcW w:w="420" w:type="dxa"/>
            <w:vAlign w:val="bottom"/>
            <w:tcBorders>
              <w:top w:val="single" w:sz="8" w:color="auto"/>
              <w:bottom w:val="single" w:sz="8" w:color="auto"/>
            </w:tcBorders>
            <w:shd w:val="clear" w:color="auto" w:fill="D5EAEA"/>
          </w:tcPr>
          <w:p>
            <w:pPr>
              <w:spacing w:after="0"/>
              <w:rPr>
                <w:sz w:val="17"/>
                <w:szCs w:val="17"/>
                <w:color w:val="auto"/>
              </w:rPr>
            </w:pPr>
          </w:p>
        </w:tc>
        <w:tc>
          <w:tcPr>
            <w:tcW w:w="840" w:type="dxa"/>
            <w:vAlign w:val="bottom"/>
            <w:tcBorders>
              <w:top w:val="single" w:sz="8" w:color="auto"/>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241E1C"/>
              </w:rPr>
              <w:t>51,972</w:t>
            </w:r>
          </w:p>
        </w:tc>
        <w:tc>
          <w:tcPr>
            <w:tcW w:w="100" w:type="dxa"/>
            <w:vAlign w:val="bottom"/>
            <w:tcBorders>
              <w:top w:val="single" w:sz="8" w:color="D5EAEA"/>
              <w:bottom w:val="single" w:sz="8" w:color="D5EAEA"/>
            </w:tcBorders>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1E1C"/>
        </w:rPr>
        <w:t>The accompanying notes are an integral part of the financial statements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2" w:right="239" w:bottom="1440" w:gutter="0" w:footer="0" w:header="0"/>
        </w:sectPr>
      </w:pPr>
    </w:p>
    <w:bookmarkStart w:id="174" w:name="page175"/>
    <w:bookmarkEnd w:id="17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60" w:type="dxa"/>
            <w:vAlign w:val="bottom"/>
            <w:gridSpan w:val="4"/>
          </w:tcPr>
          <w:p>
            <w:pPr>
              <w:ind w:left="240"/>
              <w:spacing w:after="0"/>
              <w:rPr>
                <w:sz w:val="20"/>
                <w:szCs w:val="20"/>
                <w:color w:val="auto"/>
              </w:rPr>
            </w:pPr>
            <w:r>
              <w:rPr>
                <w:rFonts w:ascii="Arial" w:cs="Arial" w:eastAsia="Arial" w:hAnsi="Arial"/>
                <w:sz w:val="18"/>
                <w:szCs w:val="18"/>
                <w:b w:val="1"/>
                <w:bCs w:val="1"/>
                <w:color w:val="241E1C"/>
              </w:rPr>
              <w:t>ENTERA BIO LTD.</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20" w:type="dxa"/>
            <w:vAlign w:val="bottom"/>
            <w:gridSpan w:val="10"/>
          </w:tcPr>
          <w:p>
            <w:pPr>
              <w:jc w:val="right"/>
              <w:ind w:right="220"/>
              <w:spacing w:after="0"/>
              <w:rPr>
                <w:sz w:val="20"/>
                <w:szCs w:val="20"/>
                <w:color w:val="auto"/>
              </w:rPr>
            </w:pPr>
            <w:r>
              <w:rPr>
                <w:rFonts w:ascii="Arial" w:cs="Arial" w:eastAsia="Arial" w:hAnsi="Arial"/>
                <w:sz w:val="18"/>
                <w:szCs w:val="18"/>
                <w:color w:val="241E1C"/>
                <w:w w:val="99"/>
              </w:rPr>
              <w:t>STATEMENTS OF CHANGES IN CAPITAL DEFICIENCY</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241E1C"/>
                <w:w w:val="90"/>
              </w:rPr>
              <w:t>Accumulated</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241E1C"/>
                <w:w w:val="93"/>
              </w:rPr>
              <w:t>Number of</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241E1C"/>
              </w:rPr>
              <w:t>Ordinary</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241E1C"/>
                <w:w w:val="93"/>
              </w:rPr>
              <w:t>other</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241E1C"/>
                <w:w w:val="93"/>
              </w:rPr>
              <w:t>Additional</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241E1C"/>
                <w:w w:val="94"/>
              </w:rPr>
              <w:t>ordinary</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241E1C"/>
              </w:rPr>
              <w:t>Shares-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241E1C"/>
                <w:w w:val="86"/>
              </w:rPr>
              <w:t>comprehensive</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241E1C"/>
              </w:rPr>
              <w:t>Other</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241E1C"/>
                <w:w w:val="92"/>
              </w:rPr>
              <w:t>paid in</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241E1C"/>
                <w:w w:val="88"/>
              </w:rPr>
              <w:t>Accumulated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241E1C"/>
                <w:w w:val="82"/>
              </w:rPr>
              <w:t>shares</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241E1C"/>
              </w:rPr>
              <w:t>Amount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241E1C"/>
                <w:w w:val="85"/>
              </w:rPr>
              <w:t>income</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241E1C"/>
              </w:rPr>
              <w:t>reserves</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241E1C"/>
                <w:w w:val="91"/>
              </w:rPr>
              <w:t>capital</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241E1C"/>
              </w:rPr>
              <w:t>deficit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DCEBF4"/>
            </w:tcBorders>
          </w:tcPr>
          <w:p>
            <w:pPr>
              <w:spacing w:after="0"/>
              <w:rPr>
                <w:sz w:val="18"/>
                <w:szCs w:val="18"/>
                <w:color w:val="auto"/>
              </w:rPr>
            </w:pPr>
          </w:p>
        </w:tc>
        <w:tc>
          <w:tcPr>
            <w:tcW w:w="220" w:type="dxa"/>
            <w:vAlign w:val="bottom"/>
            <w:tcBorders>
              <w:bottom w:val="single" w:sz="8" w:color="DCEBF4"/>
            </w:tcBorders>
          </w:tcPr>
          <w:p>
            <w:pPr>
              <w:spacing w:after="0"/>
              <w:rPr>
                <w:sz w:val="18"/>
                <w:szCs w:val="18"/>
                <w:color w:val="auto"/>
              </w:rPr>
            </w:pPr>
          </w:p>
        </w:tc>
        <w:tc>
          <w:tcPr>
            <w:tcW w:w="900" w:type="dxa"/>
            <w:vAlign w:val="bottom"/>
            <w:tcBorders>
              <w:top w:val="single" w:sz="8" w:color="auto"/>
              <w:bottom w:val="single" w:sz="8" w:color="DCEBF4"/>
            </w:tcBorders>
          </w:tcPr>
          <w:p>
            <w:pPr>
              <w:spacing w:after="0"/>
              <w:rPr>
                <w:sz w:val="18"/>
                <w:szCs w:val="18"/>
                <w:color w:val="auto"/>
              </w:rPr>
            </w:pPr>
          </w:p>
        </w:tc>
        <w:tc>
          <w:tcPr>
            <w:tcW w:w="120" w:type="dxa"/>
            <w:vAlign w:val="bottom"/>
            <w:tcBorders>
              <w:top w:val="single" w:sz="8" w:color="auto"/>
              <w:bottom w:val="single" w:sz="8" w:color="DCEBF4"/>
            </w:tcBorders>
          </w:tcPr>
          <w:p>
            <w:pPr>
              <w:spacing w:after="0"/>
              <w:rPr>
                <w:sz w:val="18"/>
                <w:szCs w:val="18"/>
                <w:color w:val="auto"/>
              </w:rPr>
            </w:pPr>
          </w:p>
        </w:tc>
        <w:tc>
          <w:tcPr>
            <w:tcW w:w="100" w:type="dxa"/>
            <w:vAlign w:val="bottom"/>
            <w:tcBorders>
              <w:bottom w:val="single" w:sz="8" w:color="DCEBF4"/>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9"/>
              </w:rPr>
              <w:t>U.S. dollars in thousands</w:t>
            </w:r>
          </w:p>
        </w:tc>
        <w:tc>
          <w:tcPr>
            <w:tcW w:w="9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DCEBF4"/>
          </w:tcPr>
          <w:p>
            <w:pPr>
              <w:spacing w:after="0"/>
              <w:rPr>
                <w:sz w:val="20"/>
                <w:szCs w:val="20"/>
                <w:color w:val="auto"/>
              </w:rPr>
            </w:pPr>
            <w:r>
              <w:rPr>
                <w:rFonts w:ascii="Arial" w:cs="Arial" w:eastAsia="Arial" w:hAnsi="Arial"/>
                <w:sz w:val="18"/>
                <w:szCs w:val="18"/>
                <w:b w:val="1"/>
                <w:bCs w:val="1"/>
                <w:color w:val="241E1C"/>
              </w:rPr>
              <w:t>BALANCE AT JANUARY 1, 2016</w:t>
            </w:r>
          </w:p>
        </w:tc>
        <w:tc>
          <w:tcPr>
            <w:tcW w:w="1240" w:type="dxa"/>
            <w:vAlign w:val="bottom"/>
            <w:gridSpan w:val="3"/>
            <w:shd w:val="clear" w:color="auto" w:fill="DCEBF4"/>
          </w:tcPr>
          <w:p>
            <w:pPr>
              <w:jc w:val="right"/>
              <w:ind w:right="120"/>
              <w:spacing w:after="0"/>
              <w:rPr>
                <w:sz w:val="20"/>
                <w:szCs w:val="20"/>
                <w:color w:val="auto"/>
              </w:rPr>
            </w:pPr>
            <w:r>
              <w:rPr>
                <w:rFonts w:ascii="Arial" w:cs="Arial" w:eastAsia="Arial" w:hAnsi="Arial"/>
                <w:sz w:val="18"/>
                <w:szCs w:val="18"/>
                <w:color w:val="241E1C"/>
              </w:rPr>
              <w:t>34,396</w:t>
            </w:r>
          </w:p>
        </w:tc>
        <w:tc>
          <w:tcPr>
            <w:tcW w:w="100" w:type="dxa"/>
            <w:vAlign w:val="bottom"/>
            <w:shd w:val="clear" w:color="auto" w:fill="DCEBF4"/>
          </w:tcPr>
          <w:p>
            <w:pPr>
              <w:spacing w:after="0"/>
              <w:rPr>
                <w:sz w:val="18"/>
                <w:szCs w:val="18"/>
                <w:color w:val="auto"/>
              </w:rPr>
            </w:pPr>
          </w:p>
        </w:tc>
        <w:tc>
          <w:tcPr>
            <w:tcW w:w="1120" w:type="dxa"/>
            <w:vAlign w:val="bottom"/>
            <w:gridSpan w:val="2"/>
            <w:shd w:val="clear" w:color="auto" w:fill="DCEBF4"/>
          </w:tcPr>
          <w:p>
            <w:pPr>
              <w:jc w:val="right"/>
              <w:ind w:right="220"/>
              <w:spacing w:after="0"/>
              <w:rPr>
                <w:sz w:val="20"/>
                <w:szCs w:val="20"/>
                <w:color w:val="auto"/>
              </w:rPr>
            </w:pPr>
            <w:r>
              <w:rPr>
                <w:rFonts w:ascii="Arial" w:cs="Arial" w:eastAsia="Arial" w:hAnsi="Arial"/>
                <w:sz w:val="18"/>
                <w:szCs w:val="18"/>
                <w:color w:val="241E1C"/>
              </w:rPr>
              <w:t>*</w:t>
            </w:r>
          </w:p>
        </w:tc>
        <w:tc>
          <w:tcPr>
            <w:tcW w:w="1020" w:type="dxa"/>
            <w:vAlign w:val="bottom"/>
            <w:shd w:val="clear" w:color="auto" w:fill="DCEBF4"/>
          </w:tcPr>
          <w:p>
            <w:pPr>
              <w:ind w:left="840"/>
              <w:spacing w:after="0"/>
              <w:rPr>
                <w:sz w:val="20"/>
                <w:szCs w:val="20"/>
                <w:color w:val="auto"/>
              </w:rPr>
            </w:pPr>
            <w:r>
              <w:rPr>
                <w:rFonts w:ascii="Arial" w:cs="Arial" w:eastAsia="Arial" w:hAnsi="Arial"/>
                <w:sz w:val="18"/>
                <w:szCs w:val="18"/>
                <w:color w:val="241E1C"/>
                <w:w w:val="79"/>
              </w:rPr>
              <w:t>41</w:t>
            </w:r>
          </w:p>
        </w:tc>
        <w:tc>
          <w:tcPr>
            <w:tcW w:w="220" w:type="dxa"/>
            <w:vAlign w:val="bottom"/>
            <w:shd w:val="clear" w:color="auto" w:fill="DCEBF4"/>
          </w:tcPr>
          <w:p>
            <w:pPr>
              <w:spacing w:after="0"/>
              <w:rPr>
                <w:sz w:val="18"/>
                <w:szCs w:val="18"/>
                <w:color w:val="auto"/>
              </w:rPr>
            </w:pPr>
          </w:p>
        </w:tc>
        <w:tc>
          <w:tcPr>
            <w:tcW w:w="1120" w:type="dxa"/>
            <w:vAlign w:val="bottom"/>
            <w:gridSpan w:val="2"/>
            <w:shd w:val="clear" w:color="auto" w:fill="DCEBF4"/>
          </w:tcPr>
          <w:p>
            <w:pPr>
              <w:jc w:val="right"/>
              <w:ind w:right="220"/>
              <w:spacing w:after="0"/>
              <w:rPr>
                <w:sz w:val="20"/>
                <w:szCs w:val="20"/>
                <w:color w:val="auto"/>
              </w:rPr>
            </w:pPr>
            <w:r>
              <w:rPr>
                <w:rFonts w:ascii="Arial" w:cs="Arial" w:eastAsia="Arial" w:hAnsi="Arial"/>
                <w:sz w:val="18"/>
                <w:szCs w:val="18"/>
                <w:color w:val="241E1C"/>
              </w:rPr>
              <w:t>1,354</w:t>
            </w:r>
          </w:p>
        </w:tc>
        <w:tc>
          <w:tcPr>
            <w:tcW w:w="1120" w:type="dxa"/>
            <w:vAlign w:val="bottom"/>
            <w:gridSpan w:val="2"/>
            <w:shd w:val="clear" w:color="auto" w:fill="DCEBF4"/>
          </w:tcPr>
          <w:p>
            <w:pPr>
              <w:jc w:val="right"/>
              <w:ind w:right="200"/>
              <w:spacing w:after="0"/>
              <w:rPr>
                <w:sz w:val="20"/>
                <w:szCs w:val="20"/>
                <w:color w:val="auto"/>
              </w:rPr>
            </w:pPr>
            <w:r>
              <w:rPr>
                <w:rFonts w:ascii="Arial" w:cs="Arial" w:eastAsia="Arial" w:hAnsi="Arial"/>
                <w:sz w:val="18"/>
                <w:szCs w:val="18"/>
                <w:color w:val="241E1C"/>
              </w:rPr>
              <w:t>2,335</w:t>
            </w:r>
          </w:p>
        </w:tc>
        <w:tc>
          <w:tcPr>
            <w:tcW w:w="1120" w:type="dxa"/>
            <w:vAlign w:val="bottom"/>
            <w:gridSpan w:val="2"/>
            <w:shd w:val="clear" w:color="auto" w:fill="DCEBF4"/>
          </w:tcPr>
          <w:p>
            <w:pPr>
              <w:jc w:val="right"/>
              <w:ind w:right="60"/>
              <w:spacing w:after="0"/>
              <w:rPr>
                <w:sz w:val="20"/>
                <w:szCs w:val="20"/>
                <w:color w:val="auto"/>
              </w:rPr>
            </w:pPr>
            <w:r>
              <w:rPr>
                <w:rFonts w:ascii="Arial" w:cs="Arial" w:eastAsia="Arial" w:hAnsi="Arial"/>
                <w:sz w:val="18"/>
                <w:szCs w:val="18"/>
                <w:color w:val="241E1C"/>
              </w:rPr>
              <w:t>(29,417)</w:t>
            </w:r>
          </w:p>
        </w:tc>
        <w:tc>
          <w:tcPr>
            <w:tcW w:w="1020" w:type="dxa"/>
            <w:vAlign w:val="bottom"/>
            <w:gridSpan w:val="2"/>
            <w:shd w:val="clear" w:color="auto" w:fill="DCEBF4"/>
          </w:tcPr>
          <w:p>
            <w:pPr>
              <w:jc w:val="right"/>
              <w:spacing w:after="0"/>
              <w:rPr>
                <w:sz w:val="20"/>
                <w:szCs w:val="20"/>
                <w:color w:val="auto"/>
              </w:rPr>
            </w:pPr>
            <w:r>
              <w:rPr>
                <w:rFonts w:ascii="Arial" w:cs="Arial" w:eastAsia="Arial" w:hAnsi="Arial"/>
                <w:sz w:val="18"/>
                <w:szCs w:val="18"/>
                <w:color w:val="241E1C"/>
              </w:rPr>
              <w:t>(25,687)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DCEBF4"/>
          </w:tcPr>
          <w:p>
            <w:pPr>
              <w:spacing w:after="0"/>
              <w:rPr>
                <w:sz w:val="20"/>
                <w:szCs w:val="20"/>
                <w:color w:val="auto"/>
              </w:rPr>
            </w:pPr>
            <w:r>
              <w:rPr>
                <w:rFonts w:ascii="Arial" w:cs="Arial" w:eastAsia="Arial" w:hAnsi="Arial"/>
                <w:sz w:val="18"/>
                <w:szCs w:val="18"/>
                <w:b w:val="1"/>
                <w:bCs w:val="1"/>
                <w:color w:val="241E1C"/>
              </w:rPr>
              <w:t>CHANGES DURING THE YEAR</w:t>
            </w:r>
          </w:p>
        </w:tc>
        <w:tc>
          <w:tcPr>
            <w:tcW w:w="220" w:type="dxa"/>
            <w:vAlign w:val="bottom"/>
            <w:shd w:val="clear" w:color="auto" w:fill="DCEBF4"/>
          </w:tcPr>
          <w:p>
            <w:pPr>
              <w:spacing w:after="0"/>
              <w:rPr>
                <w:sz w:val="18"/>
                <w:szCs w:val="18"/>
                <w:color w:val="auto"/>
              </w:rPr>
            </w:pPr>
          </w:p>
        </w:tc>
        <w:tc>
          <w:tcPr>
            <w:tcW w:w="90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900" w:type="dxa"/>
            <w:vAlign w:val="bottom"/>
            <w:shd w:val="clear" w:color="auto" w:fill="DCEBF4"/>
          </w:tcPr>
          <w:p>
            <w:pPr>
              <w:spacing w:after="0"/>
              <w:rPr>
                <w:sz w:val="18"/>
                <w:szCs w:val="18"/>
                <w:color w:val="auto"/>
              </w:rPr>
            </w:pPr>
          </w:p>
        </w:tc>
        <w:tc>
          <w:tcPr>
            <w:tcW w:w="220" w:type="dxa"/>
            <w:vAlign w:val="bottom"/>
            <w:shd w:val="clear" w:color="auto" w:fill="DCEBF4"/>
          </w:tcPr>
          <w:p>
            <w:pPr>
              <w:spacing w:after="0"/>
              <w:rPr>
                <w:sz w:val="18"/>
                <w:szCs w:val="18"/>
                <w:color w:val="auto"/>
              </w:rPr>
            </w:pPr>
          </w:p>
        </w:tc>
        <w:tc>
          <w:tcPr>
            <w:tcW w:w="1020" w:type="dxa"/>
            <w:vAlign w:val="bottom"/>
            <w:shd w:val="clear" w:color="auto" w:fill="DCEBF4"/>
          </w:tcPr>
          <w:p>
            <w:pPr>
              <w:spacing w:after="0"/>
              <w:rPr>
                <w:sz w:val="18"/>
                <w:szCs w:val="18"/>
                <w:color w:val="auto"/>
              </w:rPr>
            </w:pPr>
          </w:p>
        </w:tc>
        <w:tc>
          <w:tcPr>
            <w:tcW w:w="220" w:type="dxa"/>
            <w:vAlign w:val="bottom"/>
            <w:shd w:val="clear" w:color="auto" w:fill="DCEBF4"/>
          </w:tcPr>
          <w:p>
            <w:pPr>
              <w:spacing w:after="0"/>
              <w:rPr>
                <w:sz w:val="18"/>
                <w:szCs w:val="18"/>
                <w:color w:val="auto"/>
              </w:rPr>
            </w:pPr>
          </w:p>
        </w:tc>
        <w:tc>
          <w:tcPr>
            <w:tcW w:w="900" w:type="dxa"/>
            <w:vAlign w:val="bottom"/>
            <w:shd w:val="clear" w:color="auto" w:fill="DCEBF4"/>
          </w:tcPr>
          <w:p>
            <w:pPr>
              <w:spacing w:after="0"/>
              <w:rPr>
                <w:sz w:val="18"/>
                <w:szCs w:val="18"/>
                <w:color w:val="auto"/>
              </w:rPr>
            </w:pPr>
          </w:p>
        </w:tc>
        <w:tc>
          <w:tcPr>
            <w:tcW w:w="220" w:type="dxa"/>
            <w:vAlign w:val="bottom"/>
            <w:shd w:val="clear" w:color="auto" w:fill="DCEBF4"/>
          </w:tcPr>
          <w:p>
            <w:pPr>
              <w:spacing w:after="0"/>
              <w:rPr>
                <w:sz w:val="18"/>
                <w:szCs w:val="18"/>
                <w:color w:val="auto"/>
              </w:rPr>
            </w:pPr>
          </w:p>
        </w:tc>
        <w:tc>
          <w:tcPr>
            <w:tcW w:w="920" w:type="dxa"/>
            <w:vAlign w:val="bottom"/>
            <w:shd w:val="clear" w:color="auto" w:fill="DCEBF4"/>
          </w:tcPr>
          <w:p>
            <w:pPr>
              <w:spacing w:after="0"/>
              <w:rPr>
                <w:sz w:val="18"/>
                <w:szCs w:val="18"/>
                <w:color w:val="auto"/>
              </w:rPr>
            </w:pPr>
          </w:p>
        </w:tc>
        <w:tc>
          <w:tcPr>
            <w:tcW w:w="200" w:type="dxa"/>
            <w:vAlign w:val="bottom"/>
            <w:shd w:val="clear" w:color="auto" w:fill="DCEBF4"/>
          </w:tcPr>
          <w:p>
            <w:pPr>
              <w:spacing w:after="0"/>
              <w:rPr>
                <w:sz w:val="18"/>
                <w:szCs w:val="18"/>
                <w:color w:val="auto"/>
              </w:rPr>
            </w:pPr>
          </w:p>
        </w:tc>
        <w:tc>
          <w:tcPr>
            <w:tcW w:w="920" w:type="dxa"/>
            <w:vAlign w:val="bottom"/>
            <w:shd w:val="clear" w:color="auto" w:fill="DCEBF4"/>
          </w:tcPr>
          <w:p>
            <w:pPr>
              <w:spacing w:after="0"/>
              <w:rPr>
                <w:sz w:val="18"/>
                <w:szCs w:val="18"/>
                <w:color w:val="auto"/>
              </w:rPr>
            </w:pPr>
          </w:p>
        </w:tc>
        <w:tc>
          <w:tcPr>
            <w:tcW w:w="200" w:type="dxa"/>
            <w:vAlign w:val="bottom"/>
            <w:shd w:val="clear" w:color="auto" w:fill="DCEBF4"/>
          </w:tcPr>
          <w:p>
            <w:pPr>
              <w:spacing w:after="0"/>
              <w:rPr>
                <w:sz w:val="18"/>
                <w:szCs w:val="18"/>
                <w:color w:val="auto"/>
              </w:rPr>
            </w:pPr>
          </w:p>
        </w:tc>
        <w:tc>
          <w:tcPr>
            <w:tcW w:w="92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80"/>
              <w:spacing w:after="0"/>
              <w:rPr>
                <w:sz w:val="20"/>
                <w:szCs w:val="20"/>
                <w:color w:val="auto"/>
              </w:rPr>
            </w:pPr>
            <w:r>
              <w:rPr>
                <w:rFonts w:ascii="Arial" w:cs="Arial" w:eastAsia="Arial" w:hAnsi="Arial"/>
                <w:sz w:val="18"/>
                <w:szCs w:val="18"/>
                <w:b w:val="1"/>
                <w:bCs w:val="1"/>
                <w:color w:val="241E1C"/>
              </w:rPr>
              <w:t>ENDED DECEMBER 31, 2016:</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DCEBF4"/>
          </w:tcPr>
          <w:p>
            <w:pPr>
              <w:ind w:left="280"/>
              <w:spacing w:after="0"/>
              <w:rPr>
                <w:sz w:val="20"/>
                <w:szCs w:val="20"/>
                <w:color w:val="auto"/>
              </w:rPr>
            </w:pPr>
            <w:r>
              <w:rPr>
                <w:rFonts w:ascii="Arial" w:cs="Arial" w:eastAsia="Arial" w:hAnsi="Arial"/>
                <w:sz w:val="18"/>
                <w:szCs w:val="18"/>
                <w:color w:val="241E1C"/>
              </w:rPr>
              <w:t>Issuance of shares</w:t>
            </w:r>
          </w:p>
        </w:tc>
        <w:tc>
          <w:tcPr>
            <w:tcW w:w="1240" w:type="dxa"/>
            <w:vAlign w:val="bottom"/>
            <w:gridSpan w:val="3"/>
            <w:shd w:val="clear" w:color="auto" w:fill="DCEBF4"/>
          </w:tcPr>
          <w:p>
            <w:pPr>
              <w:jc w:val="right"/>
              <w:ind w:right="120"/>
              <w:spacing w:after="0"/>
              <w:rPr>
                <w:sz w:val="20"/>
                <w:szCs w:val="20"/>
                <w:color w:val="auto"/>
              </w:rPr>
            </w:pPr>
            <w:r>
              <w:rPr>
                <w:rFonts w:ascii="Arial" w:cs="Arial" w:eastAsia="Arial" w:hAnsi="Arial"/>
                <w:sz w:val="18"/>
                <w:szCs w:val="18"/>
                <w:color w:val="241E1C"/>
              </w:rPr>
              <w:t>148</w:t>
            </w:r>
          </w:p>
        </w:tc>
        <w:tc>
          <w:tcPr>
            <w:tcW w:w="100" w:type="dxa"/>
            <w:vAlign w:val="bottom"/>
            <w:shd w:val="clear" w:color="auto" w:fill="DCEBF4"/>
          </w:tcPr>
          <w:p>
            <w:pPr>
              <w:spacing w:after="0"/>
              <w:rPr>
                <w:sz w:val="18"/>
                <w:szCs w:val="18"/>
                <w:color w:val="auto"/>
              </w:rPr>
            </w:pPr>
          </w:p>
        </w:tc>
        <w:tc>
          <w:tcPr>
            <w:tcW w:w="1120" w:type="dxa"/>
            <w:vAlign w:val="bottom"/>
            <w:gridSpan w:val="2"/>
            <w:shd w:val="clear" w:color="auto" w:fill="DCEBF4"/>
          </w:tcPr>
          <w:p>
            <w:pPr>
              <w:jc w:val="right"/>
              <w:ind w:right="220"/>
              <w:spacing w:after="0"/>
              <w:rPr>
                <w:sz w:val="20"/>
                <w:szCs w:val="20"/>
                <w:color w:val="auto"/>
              </w:rPr>
            </w:pPr>
            <w:r>
              <w:rPr>
                <w:rFonts w:ascii="Arial" w:cs="Arial" w:eastAsia="Arial" w:hAnsi="Arial"/>
                <w:sz w:val="18"/>
                <w:szCs w:val="18"/>
                <w:color w:val="241E1C"/>
              </w:rPr>
              <w:t>*</w:t>
            </w:r>
          </w:p>
        </w:tc>
        <w:tc>
          <w:tcPr>
            <w:tcW w:w="1020" w:type="dxa"/>
            <w:vAlign w:val="bottom"/>
            <w:shd w:val="clear" w:color="auto" w:fill="DCEBF4"/>
          </w:tcPr>
          <w:p>
            <w:pPr>
              <w:ind w:left="860"/>
              <w:spacing w:after="0"/>
              <w:rPr>
                <w:sz w:val="20"/>
                <w:szCs w:val="20"/>
                <w:color w:val="auto"/>
              </w:rPr>
            </w:pPr>
            <w:r>
              <w:rPr>
                <w:rFonts w:ascii="Arial" w:cs="Arial" w:eastAsia="Arial" w:hAnsi="Arial"/>
                <w:sz w:val="18"/>
                <w:szCs w:val="18"/>
                <w:color w:val="241E1C"/>
              </w:rPr>
              <w:t>-</w:t>
            </w:r>
          </w:p>
        </w:tc>
        <w:tc>
          <w:tcPr>
            <w:tcW w:w="220" w:type="dxa"/>
            <w:vAlign w:val="bottom"/>
            <w:shd w:val="clear" w:color="auto" w:fill="DCEBF4"/>
          </w:tcPr>
          <w:p>
            <w:pPr>
              <w:spacing w:after="0"/>
              <w:rPr>
                <w:sz w:val="18"/>
                <w:szCs w:val="18"/>
                <w:color w:val="auto"/>
              </w:rPr>
            </w:pPr>
          </w:p>
        </w:tc>
        <w:tc>
          <w:tcPr>
            <w:tcW w:w="900" w:type="dxa"/>
            <w:vAlign w:val="bottom"/>
            <w:shd w:val="clear" w:color="auto" w:fill="DCEBF4"/>
          </w:tcPr>
          <w:p>
            <w:pPr>
              <w:jc w:val="right"/>
              <w:spacing w:after="0"/>
              <w:rPr>
                <w:sz w:val="20"/>
                <w:szCs w:val="20"/>
                <w:color w:val="auto"/>
              </w:rPr>
            </w:pPr>
            <w:r>
              <w:rPr>
                <w:rFonts w:ascii="Arial" w:cs="Arial" w:eastAsia="Arial" w:hAnsi="Arial"/>
                <w:sz w:val="18"/>
                <w:szCs w:val="18"/>
                <w:color w:val="241E1C"/>
              </w:rPr>
              <w:t>-</w:t>
            </w:r>
          </w:p>
        </w:tc>
        <w:tc>
          <w:tcPr>
            <w:tcW w:w="220" w:type="dxa"/>
            <w:vAlign w:val="bottom"/>
            <w:shd w:val="clear" w:color="auto" w:fill="DCEBF4"/>
          </w:tcPr>
          <w:p>
            <w:pPr>
              <w:spacing w:after="0"/>
              <w:rPr>
                <w:sz w:val="18"/>
                <w:szCs w:val="18"/>
                <w:color w:val="auto"/>
              </w:rPr>
            </w:pPr>
          </w:p>
        </w:tc>
        <w:tc>
          <w:tcPr>
            <w:tcW w:w="1120" w:type="dxa"/>
            <w:vAlign w:val="bottom"/>
            <w:gridSpan w:val="2"/>
            <w:shd w:val="clear" w:color="auto" w:fill="DCEBF4"/>
          </w:tcPr>
          <w:p>
            <w:pPr>
              <w:jc w:val="right"/>
              <w:ind w:right="200"/>
              <w:spacing w:after="0"/>
              <w:rPr>
                <w:sz w:val="20"/>
                <w:szCs w:val="20"/>
                <w:color w:val="auto"/>
              </w:rPr>
            </w:pPr>
            <w:r>
              <w:rPr>
                <w:rFonts w:ascii="Arial" w:cs="Arial" w:eastAsia="Arial" w:hAnsi="Arial"/>
                <w:sz w:val="18"/>
                <w:szCs w:val="18"/>
                <w:color w:val="241E1C"/>
              </w:rPr>
              <w:t>150</w:t>
            </w:r>
          </w:p>
        </w:tc>
        <w:tc>
          <w:tcPr>
            <w:tcW w:w="92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241E1C"/>
              </w:rPr>
              <w:t>-</w:t>
            </w:r>
          </w:p>
        </w:tc>
        <w:tc>
          <w:tcPr>
            <w:tcW w:w="200" w:type="dxa"/>
            <w:vAlign w:val="bottom"/>
            <w:shd w:val="clear" w:color="auto" w:fill="DCEBF4"/>
          </w:tcPr>
          <w:p>
            <w:pPr>
              <w:spacing w:after="0"/>
              <w:rPr>
                <w:sz w:val="18"/>
                <w:szCs w:val="18"/>
                <w:color w:val="auto"/>
              </w:rPr>
            </w:pPr>
          </w:p>
        </w:tc>
        <w:tc>
          <w:tcPr>
            <w:tcW w:w="1020" w:type="dxa"/>
            <w:vAlign w:val="bottom"/>
            <w:gridSpan w:val="2"/>
            <w:shd w:val="clear" w:color="auto" w:fill="DCEBF4"/>
          </w:tcPr>
          <w:p>
            <w:pPr>
              <w:jc w:val="right"/>
              <w:ind w:right="20"/>
              <w:spacing w:after="0"/>
              <w:rPr>
                <w:sz w:val="20"/>
                <w:szCs w:val="20"/>
                <w:color w:val="auto"/>
              </w:rPr>
            </w:pPr>
            <w:r>
              <w:rPr>
                <w:rFonts w:ascii="Arial" w:cs="Arial" w:eastAsia="Arial" w:hAnsi="Arial"/>
                <w:sz w:val="18"/>
                <w:szCs w:val="18"/>
                <w:color w:val="241E1C"/>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80"/>
              <w:spacing w:after="0"/>
              <w:rPr>
                <w:sz w:val="20"/>
                <w:szCs w:val="20"/>
                <w:color w:val="auto"/>
              </w:rPr>
            </w:pPr>
            <w:r>
              <w:rPr>
                <w:rFonts w:ascii="Arial" w:cs="Arial" w:eastAsia="Arial" w:hAnsi="Arial"/>
                <w:sz w:val="18"/>
                <w:szCs w:val="18"/>
                <w:color w:val="241E1C"/>
              </w:rPr>
              <w:t>Loss for the year</w:t>
            </w:r>
          </w:p>
        </w:tc>
        <w:tc>
          <w:tcPr>
            <w:tcW w:w="1120" w:type="dxa"/>
            <w:vAlign w:val="bottom"/>
            <w:gridSpan w:val="2"/>
          </w:tcPr>
          <w:p>
            <w:pPr>
              <w:jc w:val="right"/>
              <w:spacing w:after="0"/>
              <w:rPr>
                <w:sz w:val="20"/>
                <w:szCs w:val="20"/>
                <w:color w:val="auto"/>
              </w:rPr>
            </w:pPr>
            <w:r>
              <w:rPr>
                <w:rFonts w:ascii="Arial" w:cs="Arial" w:eastAsia="Arial" w:hAnsi="Arial"/>
                <w:sz w:val="18"/>
                <w:szCs w:val="18"/>
                <w:color w:val="241E1C"/>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241E1C"/>
              </w:rPr>
              <w:t>-</w:t>
            </w:r>
          </w:p>
        </w:tc>
        <w:tc>
          <w:tcPr>
            <w:tcW w:w="220" w:type="dxa"/>
            <w:vAlign w:val="bottom"/>
          </w:tcPr>
          <w:p>
            <w:pPr>
              <w:spacing w:after="0"/>
              <w:rPr>
                <w:sz w:val="18"/>
                <w:szCs w:val="18"/>
                <w:color w:val="auto"/>
              </w:rPr>
            </w:pPr>
          </w:p>
        </w:tc>
        <w:tc>
          <w:tcPr>
            <w:tcW w:w="1020" w:type="dxa"/>
            <w:vAlign w:val="bottom"/>
          </w:tcPr>
          <w:p>
            <w:pPr>
              <w:ind w:left="860"/>
              <w:spacing w:after="0"/>
              <w:rPr>
                <w:sz w:val="20"/>
                <w:szCs w:val="20"/>
                <w:color w:val="auto"/>
              </w:rPr>
            </w:pPr>
            <w:r>
              <w:rPr>
                <w:rFonts w:ascii="Arial" w:cs="Arial" w:eastAsia="Arial" w:hAnsi="Arial"/>
                <w:sz w:val="18"/>
                <w:szCs w:val="18"/>
                <w:color w:val="241E1C"/>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241E1C"/>
              </w:rPr>
              <w:t>-</w:t>
            </w:r>
          </w:p>
        </w:tc>
        <w:tc>
          <w:tcPr>
            <w:tcW w:w="22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241E1C"/>
              </w:rPr>
              <w:t>-</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241E1C"/>
              </w:rPr>
              <w:t>(1,199)</w:t>
            </w:r>
          </w:p>
        </w:tc>
        <w:tc>
          <w:tcPr>
            <w:tcW w:w="1020" w:type="dxa"/>
            <w:vAlign w:val="bottom"/>
            <w:gridSpan w:val="2"/>
          </w:tcPr>
          <w:p>
            <w:pPr>
              <w:jc w:val="right"/>
              <w:spacing w:after="0"/>
              <w:rPr>
                <w:sz w:val="20"/>
                <w:szCs w:val="20"/>
                <w:color w:val="auto"/>
              </w:rPr>
            </w:pPr>
            <w:r>
              <w:rPr>
                <w:rFonts w:ascii="Arial" w:cs="Arial" w:eastAsia="Arial" w:hAnsi="Arial"/>
                <w:sz w:val="18"/>
                <w:szCs w:val="18"/>
                <w:color w:val="241E1C"/>
              </w:rPr>
              <w:t>(1,199)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DCEBF4"/>
          </w:tcPr>
          <w:p>
            <w:pPr>
              <w:ind w:left="280"/>
              <w:spacing w:after="0"/>
              <w:rPr>
                <w:sz w:val="20"/>
                <w:szCs w:val="20"/>
                <w:color w:val="auto"/>
              </w:rPr>
            </w:pPr>
            <w:r>
              <w:rPr>
                <w:rFonts w:ascii="Arial" w:cs="Arial" w:eastAsia="Arial" w:hAnsi="Arial"/>
                <w:sz w:val="18"/>
                <w:szCs w:val="18"/>
                <w:color w:val="241E1C"/>
              </w:rPr>
              <w:t>Share-based compensation</w:t>
            </w:r>
          </w:p>
        </w:tc>
        <w:tc>
          <w:tcPr>
            <w:tcW w:w="1120" w:type="dxa"/>
            <w:vAlign w:val="bottom"/>
            <w:gridSpan w:val="2"/>
            <w:shd w:val="clear" w:color="auto" w:fill="DCEBF4"/>
          </w:tcPr>
          <w:p>
            <w:pPr>
              <w:jc w:val="right"/>
              <w:spacing w:after="0"/>
              <w:rPr>
                <w:sz w:val="20"/>
                <w:szCs w:val="20"/>
                <w:color w:val="auto"/>
              </w:rPr>
            </w:pPr>
            <w:r>
              <w:rPr>
                <w:rFonts w:ascii="Arial" w:cs="Arial" w:eastAsia="Arial" w:hAnsi="Arial"/>
                <w:sz w:val="18"/>
                <w:szCs w:val="18"/>
                <w:color w:val="241E1C"/>
              </w:rPr>
              <w:t>-</w:t>
            </w:r>
          </w:p>
        </w:tc>
        <w:tc>
          <w:tcPr>
            <w:tcW w:w="120" w:type="dxa"/>
            <w:vAlign w:val="bottom"/>
            <w:shd w:val="clear" w:color="auto" w:fill="DCEBF4"/>
          </w:tcPr>
          <w:p>
            <w:pPr>
              <w:spacing w:after="0"/>
              <w:rPr>
                <w:sz w:val="19"/>
                <w:szCs w:val="19"/>
                <w:color w:val="auto"/>
              </w:rPr>
            </w:pPr>
          </w:p>
        </w:tc>
        <w:tc>
          <w:tcPr>
            <w:tcW w:w="100" w:type="dxa"/>
            <w:vAlign w:val="bottom"/>
            <w:shd w:val="clear" w:color="auto" w:fill="DCEBF4"/>
          </w:tcPr>
          <w:p>
            <w:pPr>
              <w:spacing w:after="0"/>
              <w:rPr>
                <w:sz w:val="19"/>
                <w:szCs w:val="19"/>
                <w:color w:val="auto"/>
              </w:rPr>
            </w:pPr>
          </w:p>
        </w:tc>
        <w:tc>
          <w:tcPr>
            <w:tcW w:w="900" w:type="dxa"/>
            <w:vAlign w:val="bottom"/>
            <w:shd w:val="clear" w:color="auto" w:fill="DCEBF4"/>
          </w:tcPr>
          <w:p>
            <w:pPr>
              <w:jc w:val="right"/>
              <w:spacing w:after="0"/>
              <w:rPr>
                <w:sz w:val="20"/>
                <w:szCs w:val="20"/>
                <w:color w:val="auto"/>
              </w:rPr>
            </w:pPr>
            <w:r>
              <w:rPr>
                <w:rFonts w:ascii="Arial" w:cs="Arial" w:eastAsia="Arial" w:hAnsi="Arial"/>
                <w:sz w:val="18"/>
                <w:szCs w:val="18"/>
                <w:color w:val="241E1C"/>
              </w:rPr>
              <w:t>-</w:t>
            </w:r>
          </w:p>
        </w:tc>
        <w:tc>
          <w:tcPr>
            <w:tcW w:w="220" w:type="dxa"/>
            <w:vAlign w:val="bottom"/>
            <w:shd w:val="clear" w:color="auto" w:fill="DCEBF4"/>
          </w:tcPr>
          <w:p>
            <w:pPr>
              <w:spacing w:after="0"/>
              <w:rPr>
                <w:sz w:val="19"/>
                <w:szCs w:val="19"/>
                <w:color w:val="auto"/>
              </w:rPr>
            </w:pPr>
          </w:p>
        </w:tc>
        <w:tc>
          <w:tcPr>
            <w:tcW w:w="1020" w:type="dxa"/>
            <w:vAlign w:val="bottom"/>
            <w:shd w:val="clear" w:color="auto" w:fill="DCEBF4"/>
          </w:tcPr>
          <w:p>
            <w:pPr>
              <w:ind w:left="860"/>
              <w:spacing w:after="0"/>
              <w:rPr>
                <w:sz w:val="20"/>
                <w:szCs w:val="20"/>
                <w:color w:val="auto"/>
              </w:rPr>
            </w:pPr>
            <w:r>
              <w:rPr>
                <w:rFonts w:ascii="Arial" w:cs="Arial" w:eastAsia="Arial" w:hAnsi="Arial"/>
                <w:sz w:val="18"/>
                <w:szCs w:val="18"/>
                <w:color w:val="241E1C"/>
              </w:rPr>
              <w:t>-</w:t>
            </w:r>
          </w:p>
        </w:tc>
        <w:tc>
          <w:tcPr>
            <w:tcW w:w="220" w:type="dxa"/>
            <w:vAlign w:val="bottom"/>
            <w:shd w:val="clear" w:color="auto" w:fill="DCEBF4"/>
          </w:tcPr>
          <w:p>
            <w:pPr>
              <w:spacing w:after="0"/>
              <w:rPr>
                <w:sz w:val="19"/>
                <w:szCs w:val="19"/>
                <w:color w:val="auto"/>
              </w:rPr>
            </w:pPr>
          </w:p>
        </w:tc>
        <w:tc>
          <w:tcPr>
            <w:tcW w:w="1120" w:type="dxa"/>
            <w:vAlign w:val="bottom"/>
            <w:gridSpan w:val="2"/>
            <w:shd w:val="clear" w:color="auto" w:fill="DCEBF4"/>
          </w:tcPr>
          <w:p>
            <w:pPr>
              <w:jc w:val="right"/>
              <w:ind w:right="220"/>
              <w:spacing w:after="0"/>
              <w:rPr>
                <w:sz w:val="20"/>
                <w:szCs w:val="20"/>
                <w:color w:val="auto"/>
              </w:rPr>
            </w:pPr>
            <w:r>
              <w:rPr>
                <w:rFonts w:ascii="Arial" w:cs="Arial" w:eastAsia="Arial" w:hAnsi="Arial"/>
                <w:sz w:val="18"/>
                <w:szCs w:val="18"/>
                <w:color w:val="241E1C"/>
              </w:rPr>
              <w:t>1,490</w:t>
            </w:r>
          </w:p>
        </w:tc>
        <w:tc>
          <w:tcPr>
            <w:tcW w:w="92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241E1C"/>
              </w:rPr>
              <w:t>-</w:t>
            </w:r>
          </w:p>
        </w:tc>
        <w:tc>
          <w:tcPr>
            <w:tcW w:w="200" w:type="dxa"/>
            <w:vAlign w:val="bottom"/>
            <w:shd w:val="clear" w:color="auto" w:fill="DCEBF4"/>
          </w:tcPr>
          <w:p>
            <w:pPr>
              <w:spacing w:after="0"/>
              <w:rPr>
                <w:sz w:val="19"/>
                <w:szCs w:val="19"/>
                <w:color w:val="auto"/>
              </w:rPr>
            </w:pPr>
          </w:p>
        </w:tc>
        <w:tc>
          <w:tcPr>
            <w:tcW w:w="92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241E1C"/>
              </w:rPr>
              <w:t>-</w:t>
            </w:r>
          </w:p>
        </w:tc>
        <w:tc>
          <w:tcPr>
            <w:tcW w:w="200" w:type="dxa"/>
            <w:vAlign w:val="bottom"/>
            <w:shd w:val="clear" w:color="auto" w:fill="DCEBF4"/>
          </w:tcPr>
          <w:p>
            <w:pPr>
              <w:spacing w:after="0"/>
              <w:rPr>
                <w:sz w:val="19"/>
                <w:szCs w:val="19"/>
                <w:color w:val="auto"/>
              </w:rPr>
            </w:pPr>
          </w:p>
        </w:tc>
        <w:tc>
          <w:tcPr>
            <w:tcW w:w="1020" w:type="dxa"/>
            <w:vAlign w:val="bottom"/>
            <w:gridSpan w:val="2"/>
            <w:shd w:val="clear" w:color="auto" w:fill="DCEBF4"/>
          </w:tcPr>
          <w:p>
            <w:pPr>
              <w:jc w:val="right"/>
              <w:ind w:right="20"/>
              <w:spacing w:after="0"/>
              <w:rPr>
                <w:sz w:val="20"/>
                <w:szCs w:val="20"/>
                <w:color w:val="auto"/>
              </w:rPr>
            </w:pPr>
            <w:r>
              <w:rPr>
                <w:rFonts w:ascii="Arial" w:cs="Arial" w:eastAsia="Arial" w:hAnsi="Arial"/>
                <w:sz w:val="18"/>
                <w:szCs w:val="18"/>
                <w:color w:val="241E1C"/>
              </w:rPr>
              <w:t>1,490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DCEBF4"/>
          </w:tcPr>
          <w:p>
            <w:pPr>
              <w:spacing w:after="0"/>
              <w:rPr>
                <w:sz w:val="20"/>
                <w:szCs w:val="20"/>
                <w:color w:val="auto"/>
              </w:rPr>
            </w:pPr>
            <w:r>
              <w:rPr>
                <w:rFonts w:ascii="Arial" w:cs="Arial" w:eastAsia="Arial" w:hAnsi="Arial"/>
                <w:sz w:val="18"/>
                <w:szCs w:val="18"/>
                <w:b w:val="1"/>
                <w:bCs w:val="1"/>
                <w:color w:val="241E1C"/>
              </w:rPr>
              <w:t>BALANCE AT DECEMBER 31, 2016</w:t>
            </w:r>
          </w:p>
        </w:tc>
        <w:tc>
          <w:tcPr>
            <w:tcW w:w="1240" w:type="dxa"/>
            <w:vAlign w:val="bottom"/>
            <w:gridSpan w:val="3"/>
            <w:shd w:val="clear" w:color="auto" w:fill="DCEBF4"/>
          </w:tcPr>
          <w:p>
            <w:pPr>
              <w:jc w:val="right"/>
              <w:ind w:right="120"/>
              <w:spacing w:after="0"/>
              <w:rPr>
                <w:sz w:val="20"/>
                <w:szCs w:val="20"/>
                <w:color w:val="auto"/>
              </w:rPr>
            </w:pPr>
            <w:r>
              <w:rPr>
                <w:rFonts w:ascii="Arial" w:cs="Arial" w:eastAsia="Arial" w:hAnsi="Arial"/>
                <w:sz w:val="18"/>
                <w:szCs w:val="18"/>
                <w:color w:val="241E1C"/>
              </w:rPr>
              <w:t>34,544</w:t>
            </w:r>
          </w:p>
        </w:tc>
        <w:tc>
          <w:tcPr>
            <w:tcW w:w="100" w:type="dxa"/>
            <w:vAlign w:val="bottom"/>
            <w:shd w:val="clear" w:color="auto" w:fill="DCEBF4"/>
          </w:tcPr>
          <w:p>
            <w:pPr>
              <w:spacing w:after="0"/>
              <w:rPr>
                <w:sz w:val="18"/>
                <w:szCs w:val="18"/>
                <w:color w:val="auto"/>
              </w:rPr>
            </w:pPr>
          </w:p>
        </w:tc>
        <w:tc>
          <w:tcPr>
            <w:tcW w:w="1120" w:type="dxa"/>
            <w:vAlign w:val="bottom"/>
            <w:gridSpan w:val="2"/>
            <w:shd w:val="clear" w:color="auto" w:fill="DCEBF4"/>
          </w:tcPr>
          <w:p>
            <w:pPr>
              <w:jc w:val="right"/>
              <w:ind w:right="220"/>
              <w:spacing w:after="0"/>
              <w:rPr>
                <w:sz w:val="20"/>
                <w:szCs w:val="20"/>
                <w:color w:val="auto"/>
              </w:rPr>
            </w:pPr>
            <w:r>
              <w:rPr>
                <w:rFonts w:ascii="Arial" w:cs="Arial" w:eastAsia="Arial" w:hAnsi="Arial"/>
                <w:sz w:val="18"/>
                <w:szCs w:val="18"/>
                <w:color w:val="241E1C"/>
              </w:rPr>
              <w:t>*</w:t>
            </w:r>
          </w:p>
        </w:tc>
        <w:tc>
          <w:tcPr>
            <w:tcW w:w="1020" w:type="dxa"/>
            <w:vAlign w:val="bottom"/>
            <w:shd w:val="clear" w:color="auto" w:fill="DCEBF4"/>
          </w:tcPr>
          <w:p>
            <w:pPr>
              <w:ind w:left="840"/>
              <w:spacing w:after="0"/>
              <w:rPr>
                <w:sz w:val="20"/>
                <w:szCs w:val="20"/>
                <w:color w:val="auto"/>
              </w:rPr>
            </w:pPr>
            <w:r>
              <w:rPr>
                <w:rFonts w:ascii="Arial" w:cs="Arial" w:eastAsia="Arial" w:hAnsi="Arial"/>
                <w:sz w:val="18"/>
                <w:szCs w:val="18"/>
                <w:color w:val="241E1C"/>
                <w:w w:val="79"/>
              </w:rPr>
              <w:t>41</w:t>
            </w:r>
          </w:p>
        </w:tc>
        <w:tc>
          <w:tcPr>
            <w:tcW w:w="220" w:type="dxa"/>
            <w:vAlign w:val="bottom"/>
            <w:shd w:val="clear" w:color="auto" w:fill="DCEBF4"/>
          </w:tcPr>
          <w:p>
            <w:pPr>
              <w:spacing w:after="0"/>
              <w:rPr>
                <w:sz w:val="18"/>
                <w:szCs w:val="18"/>
                <w:color w:val="auto"/>
              </w:rPr>
            </w:pPr>
          </w:p>
        </w:tc>
        <w:tc>
          <w:tcPr>
            <w:tcW w:w="1120" w:type="dxa"/>
            <w:vAlign w:val="bottom"/>
            <w:gridSpan w:val="2"/>
            <w:shd w:val="clear" w:color="auto" w:fill="DCEBF4"/>
          </w:tcPr>
          <w:p>
            <w:pPr>
              <w:jc w:val="right"/>
              <w:ind w:right="220"/>
              <w:spacing w:after="0"/>
              <w:rPr>
                <w:sz w:val="20"/>
                <w:szCs w:val="20"/>
                <w:color w:val="auto"/>
              </w:rPr>
            </w:pPr>
            <w:r>
              <w:rPr>
                <w:rFonts w:ascii="Arial" w:cs="Arial" w:eastAsia="Arial" w:hAnsi="Arial"/>
                <w:sz w:val="18"/>
                <w:szCs w:val="18"/>
                <w:color w:val="241E1C"/>
              </w:rPr>
              <w:t>2,844</w:t>
            </w:r>
          </w:p>
        </w:tc>
        <w:tc>
          <w:tcPr>
            <w:tcW w:w="1120" w:type="dxa"/>
            <w:vAlign w:val="bottom"/>
            <w:gridSpan w:val="2"/>
            <w:shd w:val="clear" w:color="auto" w:fill="DCEBF4"/>
          </w:tcPr>
          <w:p>
            <w:pPr>
              <w:jc w:val="right"/>
              <w:ind w:right="200"/>
              <w:spacing w:after="0"/>
              <w:rPr>
                <w:sz w:val="20"/>
                <w:szCs w:val="20"/>
                <w:color w:val="auto"/>
              </w:rPr>
            </w:pPr>
            <w:r>
              <w:rPr>
                <w:rFonts w:ascii="Arial" w:cs="Arial" w:eastAsia="Arial" w:hAnsi="Arial"/>
                <w:sz w:val="18"/>
                <w:szCs w:val="18"/>
                <w:color w:val="241E1C"/>
              </w:rPr>
              <w:t>2,485</w:t>
            </w:r>
          </w:p>
        </w:tc>
        <w:tc>
          <w:tcPr>
            <w:tcW w:w="1120" w:type="dxa"/>
            <w:vAlign w:val="bottom"/>
            <w:gridSpan w:val="2"/>
            <w:shd w:val="clear" w:color="auto" w:fill="DCEBF4"/>
          </w:tcPr>
          <w:p>
            <w:pPr>
              <w:jc w:val="right"/>
              <w:ind w:right="60"/>
              <w:spacing w:after="0"/>
              <w:rPr>
                <w:sz w:val="20"/>
                <w:szCs w:val="20"/>
                <w:color w:val="auto"/>
              </w:rPr>
            </w:pPr>
            <w:r>
              <w:rPr>
                <w:rFonts w:ascii="Arial" w:cs="Arial" w:eastAsia="Arial" w:hAnsi="Arial"/>
                <w:sz w:val="18"/>
                <w:szCs w:val="18"/>
                <w:color w:val="241E1C"/>
              </w:rPr>
              <w:t>(30,616)</w:t>
            </w:r>
          </w:p>
        </w:tc>
        <w:tc>
          <w:tcPr>
            <w:tcW w:w="1020" w:type="dxa"/>
            <w:vAlign w:val="bottom"/>
            <w:gridSpan w:val="2"/>
            <w:shd w:val="clear" w:color="auto" w:fill="DCEBF4"/>
          </w:tcPr>
          <w:p>
            <w:pPr>
              <w:jc w:val="right"/>
              <w:spacing w:after="0"/>
              <w:rPr>
                <w:sz w:val="20"/>
                <w:szCs w:val="20"/>
                <w:color w:val="auto"/>
              </w:rPr>
            </w:pPr>
            <w:r>
              <w:rPr>
                <w:rFonts w:ascii="Arial" w:cs="Arial" w:eastAsia="Arial" w:hAnsi="Arial"/>
                <w:sz w:val="18"/>
                <w:szCs w:val="18"/>
                <w:color w:val="241E1C"/>
              </w:rPr>
              <w:t>(25,246)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DCEBF4"/>
          </w:tcPr>
          <w:p>
            <w:pPr>
              <w:spacing w:after="0"/>
              <w:rPr>
                <w:sz w:val="20"/>
                <w:szCs w:val="20"/>
                <w:color w:val="auto"/>
              </w:rPr>
            </w:pPr>
            <w:r>
              <w:rPr>
                <w:rFonts w:ascii="Arial" w:cs="Arial" w:eastAsia="Arial" w:hAnsi="Arial"/>
                <w:sz w:val="18"/>
                <w:szCs w:val="18"/>
                <w:b w:val="1"/>
                <w:bCs w:val="1"/>
                <w:color w:val="241E1C"/>
              </w:rPr>
              <w:t>CHANGES DURING THE YEAR</w:t>
            </w:r>
          </w:p>
        </w:tc>
        <w:tc>
          <w:tcPr>
            <w:tcW w:w="220" w:type="dxa"/>
            <w:vAlign w:val="bottom"/>
            <w:shd w:val="clear" w:color="auto" w:fill="DCEBF4"/>
          </w:tcPr>
          <w:p>
            <w:pPr>
              <w:spacing w:after="0"/>
              <w:rPr>
                <w:sz w:val="18"/>
                <w:szCs w:val="18"/>
                <w:color w:val="auto"/>
              </w:rPr>
            </w:pPr>
          </w:p>
        </w:tc>
        <w:tc>
          <w:tcPr>
            <w:tcW w:w="900" w:type="dxa"/>
            <w:vAlign w:val="bottom"/>
            <w:shd w:val="clear" w:color="auto" w:fill="DCEBF4"/>
          </w:tcPr>
          <w:p>
            <w:pPr>
              <w:spacing w:after="0"/>
              <w:rPr>
                <w:sz w:val="18"/>
                <w:szCs w:val="18"/>
                <w:color w:val="auto"/>
              </w:rPr>
            </w:pPr>
          </w:p>
        </w:tc>
        <w:tc>
          <w:tcPr>
            <w:tcW w:w="12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900" w:type="dxa"/>
            <w:vAlign w:val="bottom"/>
            <w:shd w:val="clear" w:color="auto" w:fill="DCEBF4"/>
          </w:tcPr>
          <w:p>
            <w:pPr>
              <w:spacing w:after="0"/>
              <w:rPr>
                <w:sz w:val="18"/>
                <w:szCs w:val="18"/>
                <w:color w:val="auto"/>
              </w:rPr>
            </w:pPr>
          </w:p>
        </w:tc>
        <w:tc>
          <w:tcPr>
            <w:tcW w:w="220" w:type="dxa"/>
            <w:vAlign w:val="bottom"/>
            <w:shd w:val="clear" w:color="auto" w:fill="DCEBF4"/>
          </w:tcPr>
          <w:p>
            <w:pPr>
              <w:spacing w:after="0"/>
              <w:rPr>
                <w:sz w:val="18"/>
                <w:szCs w:val="18"/>
                <w:color w:val="auto"/>
              </w:rPr>
            </w:pPr>
          </w:p>
        </w:tc>
        <w:tc>
          <w:tcPr>
            <w:tcW w:w="1020" w:type="dxa"/>
            <w:vAlign w:val="bottom"/>
            <w:shd w:val="clear" w:color="auto" w:fill="DCEBF4"/>
          </w:tcPr>
          <w:p>
            <w:pPr>
              <w:spacing w:after="0"/>
              <w:rPr>
                <w:sz w:val="18"/>
                <w:szCs w:val="18"/>
                <w:color w:val="auto"/>
              </w:rPr>
            </w:pPr>
          </w:p>
        </w:tc>
        <w:tc>
          <w:tcPr>
            <w:tcW w:w="220" w:type="dxa"/>
            <w:vAlign w:val="bottom"/>
            <w:shd w:val="clear" w:color="auto" w:fill="DCEBF4"/>
          </w:tcPr>
          <w:p>
            <w:pPr>
              <w:spacing w:after="0"/>
              <w:rPr>
                <w:sz w:val="18"/>
                <w:szCs w:val="18"/>
                <w:color w:val="auto"/>
              </w:rPr>
            </w:pPr>
          </w:p>
        </w:tc>
        <w:tc>
          <w:tcPr>
            <w:tcW w:w="900" w:type="dxa"/>
            <w:vAlign w:val="bottom"/>
            <w:shd w:val="clear" w:color="auto" w:fill="DCEBF4"/>
          </w:tcPr>
          <w:p>
            <w:pPr>
              <w:spacing w:after="0"/>
              <w:rPr>
                <w:sz w:val="18"/>
                <w:szCs w:val="18"/>
                <w:color w:val="auto"/>
              </w:rPr>
            </w:pPr>
          </w:p>
        </w:tc>
        <w:tc>
          <w:tcPr>
            <w:tcW w:w="220" w:type="dxa"/>
            <w:vAlign w:val="bottom"/>
            <w:shd w:val="clear" w:color="auto" w:fill="DCEBF4"/>
          </w:tcPr>
          <w:p>
            <w:pPr>
              <w:spacing w:after="0"/>
              <w:rPr>
                <w:sz w:val="18"/>
                <w:szCs w:val="18"/>
                <w:color w:val="auto"/>
              </w:rPr>
            </w:pPr>
          </w:p>
        </w:tc>
        <w:tc>
          <w:tcPr>
            <w:tcW w:w="920" w:type="dxa"/>
            <w:vAlign w:val="bottom"/>
            <w:shd w:val="clear" w:color="auto" w:fill="DCEBF4"/>
          </w:tcPr>
          <w:p>
            <w:pPr>
              <w:spacing w:after="0"/>
              <w:rPr>
                <w:sz w:val="18"/>
                <w:szCs w:val="18"/>
                <w:color w:val="auto"/>
              </w:rPr>
            </w:pPr>
          </w:p>
        </w:tc>
        <w:tc>
          <w:tcPr>
            <w:tcW w:w="200" w:type="dxa"/>
            <w:vAlign w:val="bottom"/>
            <w:shd w:val="clear" w:color="auto" w:fill="DCEBF4"/>
          </w:tcPr>
          <w:p>
            <w:pPr>
              <w:spacing w:after="0"/>
              <w:rPr>
                <w:sz w:val="18"/>
                <w:szCs w:val="18"/>
                <w:color w:val="auto"/>
              </w:rPr>
            </w:pPr>
          </w:p>
        </w:tc>
        <w:tc>
          <w:tcPr>
            <w:tcW w:w="920" w:type="dxa"/>
            <w:vAlign w:val="bottom"/>
            <w:shd w:val="clear" w:color="auto" w:fill="DCEBF4"/>
          </w:tcPr>
          <w:p>
            <w:pPr>
              <w:spacing w:after="0"/>
              <w:rPr>
                <w:sz w:val="18"/>
                <w:szCs w:val="18"/>
                <w:color w:val="auto"/>
              </w:rPr>
            </w:pPr>
          </w:p>
        </w:tc>
        <w:tc>
          <w:tcPr>
            <w:tcW w:w="200" w:type="dxa"/>
            <w:vAlign w:val="bottom"/>
            <w:shd w:val="clear" w:color="auto" w:fill="DCEBF4"/>
          </w:tcPr>
          <w:p>
            <w:pPr>
              <w:spacing w:after="0"/>
              <w:rPr>
                <w:sz w:val="18"/>
                <w:szCs w:val="18"/>
                <w:color w:val="auto"/>
              </w:rPr>
            </w:pPr>
          </w:p>
        </w:tc>
        <w:tc>
          <w:tcPr>
            <w:tcW w:w="92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80"/>
              <w:spacing w:after="0"/>
              <w:rPr>
                <w:sz w:val="20"/>
                <w:szCs w:val="20"/>
                <w:color w:val="auto"/>
              </w:rPr>
            </w:pPr>
            <w:r>
              <w:rPr>
                <w:rFonts w:ascii="Arial" w:cs="Arial" w:eastAsia="Arial" w:hAnsi="Arial"/>
                <w:sz w:val="18"/>
                <w:szCs w:val="18"/>
                <w:b w:val="1"/>
                <w:bCs w:val="1"/>
                <w:color w:val="241E1C"/>
              </w:rPr>
              <w:t>ENDED DECEMBER 31, 2017:</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DCEBF4"/>
          </w:tcPr>
          <w:p>
            <w:pPr>
              <w:ind w:left="280"/>
              <w:spacing w:after="0"/>
              <w:rPr>
                <w:sz w:val="20"/>
                <w:szCs w:val="20"/>
                <w:color w:val="auto"/>
              </w:rPr>
            </w:pPr>
            <w:r>
              <w:rPr>
                <w:rFonts w:ascii="Arial" w:cs="Arial" w:eastAsia="Arial" w:hAnsi="Arial"/>
                <w:sz w:val="18"/>
                <w:szCs w:val="18"/>
                <w:color w:val="241E1C"/>
              </w:rPr>
              <w:t>Loss for the year</w:t>
            </w:r>
          </w:p>
        </w:tc>
        <w:tc>
          <w:tcPr>
            <w:tcW w:w="1120" w:type="dxa"/>
            <w:vAlign w:val="bottom"/>
            <w:gridSpan w:val="2"/>
            <w:shd w:val="clear" w:color="auto" w:fill="DCEBF4"/>
          </w:tcPr>
          <w:p>
            <w:pPr>
              <w:jc w:val="right"/>
              <w:spacing w:after="0"/>
              <w:rPr>
                <w:sz w:val="20"/>
                <w:szCs w:val="20"/>
                <w:color w:val="auto"/>
              </w:rPr>
            </w:pPr>
            <w:r>
              <w:rPr>
                <w:rFonts w:ascii="Arial" w:cs="Arial" w:eastAsia="Arial" w:hAnsi="Arial"/>
                <w:sz w:val="18"/>
                <w:szCs w:val="18"/>
                <w:color w:val="241E1C"/>
              </w:rPr>
              <w:t>-</w:t>
            </w:r>
          </w:p>
        </w:tc>
        <w:tc>
          <w:tcPr>
            <w:tcW w:w="120" w:type="dxa"/>
            <w:vAlign w:val="bottom"/>
            <w:shd w:val="clear" w:color="auto" w:fill="DCEBF4"/>
          </w:tcPr>
          <w:p>
            <w:pPr>
              <w:spacing w:after="0"/>
              <w:rPr>
                <w:sz w:val="18"/>
                <w:szCs w:val="18"/>
                <w:color w:val="auto"/>
              </w:rPr>
            </w:pPr>
          </w:p>
        </w:tc>
        <w:tc>
          <w:tcPr>
            <w:tcW w:w="100" w:type="dxa"/>
            <w:vAlign w:val="bottom"/>
            <w:shd w:val="clear" w:color="auto" w:fill="DCEBF4"/>
          </w:tcPr>
          <w:p>
            <w:pPr>
              <w:spacing w:after="0"/>
              <w:rPr>
                <w:sz w:val="18"/>
                <w:szCs w:val="18"/>
                <w:color w:val="auto"/>
              </w:rPr>
            </w:pPr>
          </w:p>
        </w:tc>
        <w:tc>
          <w:tcPr>
            <w:tcW w:w="900" w:type="dxa"/>
            <w:vAlign w:val="bottom"/>
            <w:shd w:val="clear" w:color="auto" w:fill="DCEBF4"/>
          </w:tcPr>
          <w:p>
            <w:pPr>
              <w:jc w:val="right"/>
              <w:spacing w:after="0"/>
              <w:rPr>
                <w:sz w:val="20"/>
                <w:szCs w:val="20"/>
                <w:color w:val="auto"/>
              </w:rPr>
            </w:pPr>
            <w:r>
              <w:rPr>
                <w:rFonts w:ascii="Arial" w:cs="Arial" w:eastAsia="Arial" w:hAnsi="Arial"/>
                <w:sz w:val="18"/>
                <w:szCs w:val="18"/>
                <w:color w:val="241E1C"/>
              </w:rPr>
              <w:t>-</w:t>
            </w:r>
          </w:p>
        </w:tc>
        <w:tc>
          <w:tcPr>
            <w:tcW w:w="220" w:type="dxa"/>
            <w:vAlign w:val="bottom"/>
            <w:shd w:val="clear" w:color="auto" w:fill="DCEBF4"/>
          </w:tcPr>
          <w:p>
            <w:pPr>
              <w:spacing w:after="0"/>
              <w:rPr>
                <w:sz w:val="18"/>
                <w:szCs w:val="18"/>
                <w:color w:val="auto"/>
              </w:rPr>
            </w:pPr>
          </w:p>
        </w:tc>
        <w:tc>
          <w:tcPr>
            <w:tcW w:w="1020" w:type="dxa"/>
            <w:vAlign w:val="bottom"/>
            <w:shd w:val="clear" w:color="auto" w:fill="DCEBF4"/>
          </w:tcPr>
          <w:p>
            <w:pPr>
              <w:ind w:left="860"/>
              <w:spacing w:after="0"/>
              <w:rPr>
                <w:sz w:val="20"/>
                <w:szCs w:val="20"/>
                <w:color w:val="auto"/>
              </w:rPr>
            </w:pPr>
            <w:r>
              <w:rPr>
                <w:rFonts w:ascii="Arial" w:cs="Arial" w:eastAsia="Arial" w:hAnsi="Arial"/>
                <w:sz w:val="18"/>
                <w:szCs w:val="18"/>
                <w:color w:val="241E1C"/>
              </w:rPr>
              <w:t>-</w:t>
            </w:r>
          </w:p>
        </w:tc>
        <w:tc>
          <w:tcPr>
            <w:tcW w:w="220" w:type="dxa"/>
            <w:vAlign w:val="bottom"/>
            <w:shd w:val="clear" w:color="auto" w:fill="DCEBF4"/>
          </w:tcPr>
          <w:p>
            <w:pPr>
              <w:spacing w:after="0"/>
              <w:rPr>
                <w:sz w:val="18"/>
                <w:szCs w:val="18"/>
                <w:color w:val="auto"/>
              </w:rPr>
            </w:pPr>
          </w:p>
        </w:tc>
        <w:tc>
          <w:tcPr>
            <w:tcW w:w="900" w:type="dxa"/>
            <w:vAlign w:val="bottom"/>
            <w:shd w:val="clear" w:color="auto" w:fill="DCEBF4"/>
          </w:tcPr>
          <w:p>
            <w:pPr>
              <w:jc w:val="right"/>
              <w:spacing w:after="0"/>
              <w:rPr>
                <w:sz w:val="20"/>
                <w:szCs w:val="20"/>
                <w:color w:val="auto"/>
              </w:rPr>
            </w:pPr>
            <w:r>
              <w:rPr>
                <w:rFonts w:ascii="Arial" w:cs="Arial" w:eastAsia="Arial" w:hAnsi="Arial"/>
                <w:sz w:val="18"/>
                <w:szCs w:val="18"/>
                <w:color w:val="241E1C"/>
              </w:rPr>
              <w:t>-</w:t>
            </w:r>
          </w:p>
        </w:tc>
        <w:tc>
          <w:tcPr>
            <w:tcW w:w="220" w:type="dxa"/>
            <w:vAlign w:val="bottom"/>
            <w:shd w:val="clear" w:color="auto" w:fill="DCEBF4"/>
          </w:tcPr>
          <w:p>
            <w:pPr>
              <w:spacing w:after="0"/>
              <w:rPr>
                <w:sz w:val="18"/>
                <w:szCs w:val="18"/>
                <w:color w:val="auto"/>
              </w:rPr>
            </w:pPr>
          </w:p>
        </w:tc>
        <w:tc>
          <w:tcPr>
            <w:tcW w:w="92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241E1C"/>
              </w:rPr>
              <w:t>-</w:t>
            </w:r>
          </w:p>
        </w:tc>
        <w:tc>
          <w:tcPr>
            <w:tcW w:w="200" w:type="dxa"/>
            <w:vAlign w:val="bottom"/>
            <w:shd w:val="clear" w:color="auto" w:fill="DCEBF4"/>
          </w:tcPr>
          <w:p>
            <w:pPr>
              <w:spacing w:after="0"/>
              <w:rPr>
                <w:sz w:val="18"/>
                <w:szCs w:val="18"/>
                <w:color w:val="auto"/>
              </w:rPr>
            </w:pPr>
          </w:p>
        </w:tc>
        <w:tc>
          <w:tcPr>
            <w:tcW w:w="1120" w:type="dxa"/>
            <w:vAlign w:val="bottom"/>
            <w:gridSpan w:val="2"/>
            <w:shd w:val="clear" w:color="auto" w:fill="DCEBF4"/>
          </w:tcPr>
          <w:p>
            <w:pPr>
              <w:jc w:val="right"/>
              <w:ind w:right="60"/>
              <w:spacing w:after="0"/>
              <w:rPr>
                <w:sz w:val="20"/>
                <w:szCs w:val="20"/>
                <w:color w:val="auto"/>
              </w:rPr>
            </w:pPr>
            <w:r>
              <w:rPr>
                <w:rFonts w:ascii="Arial" w:cs="Arial" w:eastAsia="Arial" w:hAnsi="Arial"/>
                <w:sz w:val="18"/>
                <w:szCs w:val="18"/>
                <w:color w:val="241E1C"/>
              </w:rPr>
              <w:t>(11,197)</w:t>
            </w:r>
          </w:p>
        </w:tc>
        <w:tc>
          <w:tcPr>
            <w:tcW w:w="1020" w:type="dxa"/>
            <w:vAlign w:val="bottom"/>
            <w:gridSpan w:val="2"/>
            <w:shd w:val="clear" w:color="auto" w:fill="DCEBF4"/>
          </w:tcPr>
          <w:p>
            <w:pPr>
              <w:jc w:val="right"/>
              <w:spacing w:after="0"/>
              <w:rPr>
                <w:sz w:val="20"/>
                <w:szCs w:val="20"/>
                <w:color w:val="auto"/>
              </w:rPr>
            </w:pPr>
            <w:r>
              <w:rPr>
                <w:rFonts w:ascii="Arial" w:cs="Arial" w:eastAsia="Arial" w:hAnsi="Arial"/>
                <w:sz w:val="18"/>
                <w:szCs w:val="18"/>
                <w:color w:val="241E1C"/>
              </w:rPr>
              <w:t>(11,197)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80"/>
              <w:spacing w:after="0"/>
              <w:rPr>
                <w:sz w:val="20"/>
                <w:szCs w:val="20"/>
                <w:color w:val="auto"/>
              </w:rPr>
            </w:pPr>
            <w:r>
              <w:rPr>
                <w:rFonts w:ascii="Arial" w:cs="Arial" w:eastAsia="Arial" w:hAnsi="Arial"/>
                <w:sz w:val="18"/>
                <w:szCs w:val="18"/>
                <w:color w:val="241E1C"/>
              </w:rPr>
              <w:t>Share based compensation</w:t>
            </w:r>
          </w:p>
        </w:tc>
        <w:tc>
          <w:tcPr>
            <w:tcW w:w="1120" w:type="dxa"/>
            <w:vAlign w:val="bottom"/>
            <w:gridSpan w:val="2"/>
          </w:tcPr>
          <w:p>
            <w:pPr>
              <w:jc w:val="right"/>
              <w:spacing w:after="0"/>
              <w:rPr>
                <w:sz w:val="20"/>
                <w:szCs w:val="20"/>
                <w:color w:val="auto"/>
              </w:rPr>
            </w:pPr>
            <w:r>
              <w:rPr>
                <w:rFonts w:ascii="Arial" w:cs="Arial" w:eastAsia="Arial" w:hAnsi="Arial"/>
                <w:sz w:val="18"/>
                <w:szCs w:val="18"/>
                <w:color w:val="241E1C"/>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241E1C"/>
              </w:rPr>
              <w:t>-</w:t>
            </w:r>
          </w:p>
        </w:tc>
        <w:tc>
          <w:tcPr>
            <w:tcW w:w="220" w:type="dxa"/>
            <w:vAlign w:val="bottom"/>
          </w:tcPr>
          <w:p>
            <w:pPr>
              <w:spacing w:after="0"/>
              <w:rPr>
                <w:sz w:val="18"/>
                <w:szCs w:val="18"/>
                <w:color w:val="auto"/>
              </w:rPr>
            </w:pPr>
          </w:p>
        </w:tc>
        <w:tc>
          <w:tcPr>
            <w:tcW w:w="1020" w:type="dxa"/>
            <w:vAlign w:val="bottom"/>
          </w:tcPr>
          <w:p>
            <w:pPr>
              <w:ind w:left="860"/>
              <w:spacing w:after="0"/>
              <w:rPr>
                <w:sz w:val="20"/>
                <w:szCs w:val="20"/>
                <w:color w:val="auto"/>
              </w:rPr>
            </w:pPr>
            <w:r>
              <w:rPr>
                <w:rFonts w:ascii="Arial" w:cs="Arial" w:eastAsia="Arial" w:hAnsi="Arial"/>
                <w:sz w:val="18"/>
                <w:szCs w:val="18"/>
                <w:color w:val="241E1C"/>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241E1C"/>
              </w:rPr>
              <w:t>4,885</w:t>
            </w:r>
          </w:p>
        </w:tc>
        <w:tc>
          <w:tcPr>
            <w:tcW w:w="920" w:type="dxa"/>
            <w:vAlign w:val="bottom"/>
          </w:tcPr>
          <w:p>
            <w:pPr>
              <w:jc w:val="right"/>
              <w:ind w:right="10"/>
              <w:spacing w:after="0"/>
              <w:rPr>
                <w:sz w:val="20"/>
                <w:szCs w:val="20"/>
                <w:color w:val="auto"/>
              </w:rPr>
            </w:pPr>
            <w:r>
              <w:rPr>
                <w:rFonts w:ascii="Arial" w:cs="Arial" w:eastAsia="Arial" w:hAnsi="Arial"/>
                <w:sz w:val="18"/>
                <w:szCs w:val="18"/>
                <w:color w:val="241E1C"/>
              </w:rPr>
              <w:t>-</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241E1C"/>
              </w:rPr>
              <w:t>-</w:t>
            </w: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241E1C"/>
              </w:rPr>
              <w:t>4,885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DCEBF4"/>
          </w:tcPr>
          <w:p>
            <w:pPr>
              <w:ind w:left="280"/>
              <w:spacing w:after="0" w:line="201" w:lineRule="exact"/>
              <w:rPr>
                <w:sz w:val="20"/>
                <w:szCs w:val="20"/>
                <w:color w:val="auto"/>
              </w:rPr>
            </w:pPr>
            <w:r>
              <w:rPr>
                <w:rFonts w:ascii="Arial" w:cs="Arial" w:eastAsia="Arial" w:hAnsi="Arial"/>
                <w:sz w:val="18"/>
                <w:szCs w:val="18"/>
                <w:color w:val="241E1C"/>
              </w:rPr>
              <w:t>Reclassification of capital contribution</w:t>
            </w:r>
          </w:p>
        </w:tc>
        <w:tc>
          <w:tcPr>
            <w:tcW w:w="220" w:type="dxa"/>
            <w:vAlign w:val="bottom"/>
            <w:shd w:val="clear" w:color="auto" w:fill="DCEBF4"/>
          </w:tcPr>
          <w:p>
            <w:pPr>
              <w:spacing w:after="0"/>
              <w:rPr>
                <w:sz w:val="17"/>
                <w:szCs w:val="17"/>
                <w:color w:val="auto"/>
              </w:rPr>
            </w:pPr>
          </w:p>
        </w:tc>
        <w:tc>
          <w:tcPr>
            <w:tcW w:w="900" w:type="dxa"/>
            <w:vAlign w:val="bottom"/>
            <w:shd w:val="clear" w:color="auto" w:fill="DCEBF4"/>
          </w:tcPr>
          <w:p>
            <w:pPr>
              <w:spacing w:after="0"/>
              <w:rPr>
                <w:sz w:val="17"/>
                <w:szCs w:val="17"/>
                <w:color w:val="auto"/>
              </w:rPr>
            </w:pPr>
          </w:p>
        </w:tc>
        <w:tc>
          <w:tcPr>
            <w:tcW w:w="12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900" w:type="dxa"/>
            <w:vAlign w:val="bottom"/>
            <w:shd w:val="clear" w:color="auto" w:fill="DCEBF4"/>
          </w:tcPr>
          <w:p>
            <w:pPr>
              <w:spacing w:after="0"/>
              <w:rPr>
                <w:sz w:val="17"/>
                <w:szCs w:val="17"/>
                <w:color w:val="auto"/>
              </w:rPr>
            </w:pPr>
          </w:p>
        </w:tc>
        <w:tc>
          <w:tcPr>
            <w:tcW w:w="220" w:type="dxa"/>
            <w:vAlign w:val="bottom"/>
            <w:shd w:val="clear" w:color="auto" w:fill="DCEBF4"/>
          </w:tcPr>
          <w:p>
            <w:pPr>
              <w:spacing w:after="0"/>
              <w:rPr>
                <w:sz w:val="17"/>
                <w:szCs w:val="17"/>
                <w:color w:val="auto"/>
              </w:rPr>
            </w:pPr>
          </w:p>
        </w:tc>
        <w:tc>
          <w:tcPr>
            <w:tcW w:w="1020" w:type="dxa"/>
            <w:vAlign w:val="bottom"/>
            <w:shd w:val="clear" w:color="auto" w:fill="DCEBF4"/>
          </w:tcPr>
          <w:p>
            <w:pPr>
              <w:spacing w:after="0"/>
              <w:rPr>
                <w:sz w:val="17"/>
                <w:szCs w:val="17"/>
                <w:color w:val="auto"/>
              </w:rPr>
            </w:pPr>
          </w:p>
        </w:tc>
        <w:tc>
          <w:tcPr>
            <w:tcW w:w="220" w:type="dxa"/>
            <w:vAlign w:val="bottom"/>
            <w:shd w:val="clear" w:color="auto" w:fill="DCEBF4"/>
          </w:tcPr>
          <w:p>
            <w:pPr>
              <w:spacing w:after="0"/>
              <w:rPr>
                <w:sz w:val="17"/>
                <w:szCs w:val="17"/>
                <w:color w:val="auto"/>
              </w:rPr>
            </w:pPr>
          </w:p>
        </w:tc>
        <w:tc>
          <w:tcPr>
            <w:tcW w:w="900" w:type="dxa"/>
            <w:vAlign w:val="bottom"/>
            <w:shd w:val="clear" w:color="auto" w:fill="DCEBF4"/>
          </w:tcPr>
          <w:p>
            <w:pPr>
              <w:spacing w:after="0"/>
              <w:rPr>
                <w:sz w:val="17"/>
                <w:szCs w:val="17"/>
                <w:color w:val="auto"/>
              </w:rPr>
            </w:pPr>
          </w:p>
        </w:tc>
        <w:tc>
          <w:tcPr>
            <w:tcW w:w="220" w:type="dxa"/>
            <w:vAlign w:val="bottom"/>
            <w:shd w:val="clear" w:color="auto" w:fill="DCEBF4"/>
          </w:tcPr>
          <w:p>
            <w:pPr>
              <w:spacing w:after="0"/>
              <w:rPr>
                <w:sz w:val="17"/>
                <w:szCs w:val="17"/>
                <w:color w:val="auto"/>
              </w:rPr>
            </w:pPr>
          </w:p>
        </w:tc>
        <w:tc>
          <w:tcPr>
            <w:tcW w:w="920" w:type="dxa"/>
            <w:vAlign w:val="bottom"/>
            <w:shd w:val="clear" w:color="auto" w:fill="DCEBF4"/>
          </w:tcPr>
          <w:p>
            <w:pPr>
              <w:spacing w:after="0"/>
              <w:rPr>
                <w:sz w:val="17"/>
                <w:szCs w:val="17"/>
                <w:color w:val="auto"/>
              </w:rPr>
            </w:pPr>
          </w:p>
        </w:tc>
        <w:tc>
          <w:tcPr>
            <w:tcW w:w="200" w:type="dxa"/>
            <w:vAlign w:val="bottom"/>
            <w:shd w:val="clear" w:color="auto" w:fill="DCEBF4"/>
          </w:tcPr>
          <w:p>
            <w:pPr>
              <w:spacing w:after="0"/>
              <w:rPr>
                <w:sz w:val="17"/>
                <w:szCs w:val="17"/>
                <w:color w:val="auto"/>
              </w:rPr>
            </w:pPr>
          </w:p>
        </w:tc>
        <w:tc>
          <w:tcPr>
            <w:tcW w:w="920" w:type="dxa"/>
            <w:vAlign w:val="bottom"/>
            <w:shd w:val="clear" w:color="auto" w:fill="DCEBF4"/>
          </w:tcPr>
          <w:p>
            <w:pPr>
              <w:spacing w:after="0"/>
              <w:rPr>
                <w:sz w:val="17"/>
                <w:szCs w:val="17"/>
                <w:color w:val="auto"/>
              </w:rPr>
            </w:pPr>
          </w:p>
        </w:tc>
        <w:tc>
          <w:tcPr>
            <w:tcW w:w="200" w:type="dxa"/>
            <w:vAlign w:val="bottom"/>
            <w:shd w:val="clear" w:color="auto" w:fill="DCEBF4"/>
          </w:tcPr>
          <w:p>
            <w:pPr>
              <w:spacing w:after="0"/>
              <w:rPr>
                <w:sz w:val="17"/>
                <w:szCs w:val="17"/>
                <w:color w:val="auto"/>
              </w:rPr>
            </w:pPr>
          </w:p>
        </w:tc>
        <w:tc>
          <w:tcPr>
            <w:tcW w:w="92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DCEBF4"/>
          </w:tcPr>
          <w:p>
            <w:pPr>
              <w:ind w:left="400"/>
              <w:spacing w:after="0"/>
              <w:rPr>
                <w:sz w:val="20"/>
                <w:szCs w:val="20"/>
                <w:color w:val="auto"/>
              </w:rPr>
            </w:pPr>
            <w:r>
              <w:rPr>
                <w:rFonts w:ascii="Arial" w:cs="Arial" w:eastAsia="Arial" w:hAnsi="Arial"/>
                <w:sz w:val="18"/>
                <w:szCs w:val="18"/>
                <w:color w:val="241E1C"/>
                <w:w w:val="96"/>
              </w:rPr>
              <w:t>from controlling shareholder (note 7a)</w:t>
            </w:r>
          </w:p>
        </w:tc>
        <w:tc>
          <w:tcPr>
            <w:tcW w:w="1120" w:type="dxa"/>
            <w:vAlign w:val="bottom"/>
            <w:gridSpan w:val="2"/>
            <w:shd w:val="clear" w:color="auto" w:fill="DCEBF4"/>
          </w:tcPr>
          <w:p>
            <w:pPr>
              <w:jc w:val="right"/>
              <w:spacing w:after="0"/>
              <w:rPr>
                <w:sz w:val="20"/>
                <w:szCs w:val="20"/>
                <w:color w:val="auto"/>
              </w:rPr>
            </w:pPr>
            <w:r>
              <w:rPr>
                <w:rFonts w:ascii="Arial" w:cs="Arial" w:eastAsia="Arial" w:hAnsi="Arial"/>
                <w:sz w:val="18"/>
                <w:szCs w:val="18"/>
                <w:color w:val="241E1C"/>
              </w:rPr>
              <w:t>-</w:t>
            </w:r>
          </w:p>
        </w:tc>
        <w:tc>
          <w:tcPr>
            <w:tcW w:w="120" w:type="dxa"/>
            <w:vAlign w:val="bottom"/>
            <w:shd w:val="clear" w:color="auto" w:fill="DCEBF4"/>
          </w:tcPr>
          <w:p>
            <w:pPr>
              <w:spacing w:after="0"/>
              <w:rPr>
                <w:sz w:val="20"/>
                <w:szCs w:val="20"/>
                <w:color w:val="auto"/>
              </w:rPr>
            </w:pPr>
          </w:p>
        </w:tc>
        <w:tc>
          <w:tcPr>
            <w:tcW w:w="100" w:type="dxa"/>
            <w:vAlign w:val="bottom"/>
            <w:shd w:val="clear" w:color="auto" w:fill="DCEBF4"/>
          </w:tcPr>
          <w:p>
            <w:pPr>
              <w:spacing w:after="0"/>
              <w:rPr>
                <w:sz w:val="20"/>
                <w:szCs w:val="20"/>
                <w:color w:val="auto"/>
              </w:rPr>
            </w:pPr>
          </w:p>
        </w:tc>
        <w:tc>
          <w:tcPr>
            <w:tcW w:w="900" w:type="dxa"/>
            <w:vAlign w:val="bottom"/>
            <w:shd w:val="clear" w:color="auto" w:fill="DCEBF4"/>
          </w:tcPr>
          <w:p>
            <w:pPr>
              <w:jc w:val="right"/>
              <w:spacing w:after="0"/>
              <w:rPr>
                <w:sz w:val="20"/>
                <w:szCs w:val="20"/>
                <w:color w:val="auto"/>
              </w:rPr>
            </w:pPr>
            <w:r>
              <w:rPr>
                <w:rFonts w:ascii="Arial" w:cs="Arial" w:eastAsia="Arial" w:hAnsi="Arial"/>
                <w:sz w:val="18"/>
                <w:szCs w:val="18"/>
                <w:color w:val="241E1C"/>
              </w:rPr>
              <w:t>-</w:t>
            </w:r>
          </w:p>
        </w:tc>
        <w:tc>
          <w:tcPr>
            <w:tcW w:w="220" w:type="dxa"/>
            <w:vAlign w:val="bottom"/>
            <w:shd w:val="clear" w:color="auto" w:fill="DCEBF4"/>
          </w:tcPr>
          <w:p>
            <w:pPr>
              <w:spacing w:after="0"/>
              <w:rPr>
                <w:sz w:val="20"/>
                <w:szCs w:val="20"/>
                <w:color w:val="auto"/>
              </w:rPr>
            </w:pPr>
          </w:p>
        </w:tc>
        <w:tc>
          <w:tcPr>
            <w:tcW w:w="1020" w:type="dxa"/>
            <w:vAlign w:val="bottom"/>
            <w:shd w:val="clear" w:color="auto" w:fill="DCEBF4"/>
          </w:tcPr>
          <w:p>
            <w:pPr>
              <w:ind w:left="860"/>
              <w:spacing w:after="0"/>
              <w:rPr>
                <w:sz w:val="20"/>
                <w:szCs w:val="20"/>
                <w:color w:val="auto"/>
              </w:rPr>
            </w:pPr>
            <w:r>
              <w:rPr>
                <w:rFonts w:ascii="Arial" w:cs="Arial" w:eastAsia="Arial" w:hAnsi="Arial"/>
                <w:sz w:val="18"/>
                <w:szCs w:val="18"/>
                <w:color w:val="241E1C"/>
              </w:rPr>
              <w:t>-</w:t>
            </w:r>
          </w:p>
        </w:tc>
        <w:tc>
          <w:tcPr>
            <w:tcW w:w="220" w:type="dxa"/>
            <w:vAlign w:val="bottom"/>
            <w:shd w:val="clear" w:color="auto" w:fill="DCEBF4"/>
          </w:tcPr>
          <w:p>
            <w:pPr>
              <w:spacing w:after="0"/>
              <w:rPr>
                <w:sz w:val="20"/>
                <w:szCs w:val="20"/>
                <w:color w:val="auto"/>
              </w:rPr>
            </w:pPr>
          </w:p>
        </w:tc>
        <w:tc>
          <w:tcPr>
            <w:tcW w:w="1120" w:type="dxa"/>
            <w:vAlign w:val="bottom"/>
            <w:gridSpan w:val="2"/>
            <w:shd w:val="clear" w:color="auto" w:fill="DCEBF4"/>
          </w:tcPr>
          <w:p>
            <w:pPr>
              <w:jc w:val="right"/>
              <w:ind w:right="160"/>
              <w:spacing w:after="0"/>
              <w:rPr>
                <w:sz w:val="20"/>
                <w:szCs w:val="20"/>
                <w:color w:val="auto"/>
              </w:rPr>
            </w:pPr>
            <w:r>
              <w:rPr>
                <w:rFonts w:ascii="Arial" w:cs="Arial" w:eastAsia="Arial" w:hAnsi="Arial"/>
                <w:sz w:val="18"/>
                <w:szCs w:val="18"/>
                <w:color w:val="241E1C"/>
              </w:rPr>
              <w:t>(333)</w:t>
            </w:r>
          </w:p>
        </w:tc>
        <w:tc>
          <w:tcPr>
            <w:tcW w:w="1120" w:type="dxa"/>
            <w:vAlign w:val="bottom"/>
            <w:gridSpan w:val="2"/>
            <w:shd w:val="clear" w:color="auto" w:fill="DCEBF4"/>
          </w:tcPr>
          <w:p>
            <w:pPr>
              <w:jc w:val="right"/>
              <w:ind w:right="200"/>
              <w:spacing w:after="0"/>
              <w:rPr>
                <w:sz w:val="20"/>
                <w:szCs w:val="20"/>
                <w:color w:val="auto"/>
              </w:rPr>
            </w:pPr>
            <w:r>
              <w:rPr>
                <w:rFonts w:ascii="Arial" w:cs="Arial" w:eastAsia="Arial" w:hAnsi="Arial"/>
                <w:sz w:val="18"/>
                <w:szCs w:val="18"/>
                <w:color w:val="241E1C"/>
              </w:rPr>
              <w:t>333</w:t>
            </w:r>
          </w:p>
        </w:tc>
        <w:tc>
          <w:tcPr>
            <w:tcW w:w="92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241E1C"/>
              </w:rPr>
              <w:t>-</w:t>
            </w:r>
          </w:p>
        </w:tc>
        <w:tc>
          <w:tcPr>
            <w:tcW w:w="200" w:type="dxa"/>
            <w:vAlign w:val="bottom"/>
            <w:shd w:val="clear" w:color="auto" w:fill="DCEBF4"/>
          </w:tcPr>
          <w:p>
            <w:pPr>
              <w:spacing w:after="0"/>
              <w:rPr>
                <w:sz w:val="20"/>
                <w:szCs w:val="20"/>
                <w:color w:val="auto"/>
              </w:rPr>
            </w:pPr>
          </w:p>
        </w:tc>
        <w:tc>
          <w:tcPr>
            <w:tcW w:w="920" w:type="dxa"/>
            <w:vAlign w:val="bottom"/>
            <w:shd w:val="clear" w:color="auto" w:fill="DCEBF4"/>
          </w:tcPr>
          <w:p>
            <w:pPr>
              <w:jc w:val="right"/>
              <w:ind w:right="10"/>
              <w:spacing w:after="0"/>
              <w:rPr>
                <w:sz w:val="20"/>
                <w:szCs w:val="20"/>
                <w:color w:val="auto"/>
              </w:rPr>
            </w:pPr>
            <w:r>
              <w:rPr>
                <w:rFonts w:ascii="Arial" w:cs="Arial" w:eastAsia="Arial" w:hAnsi="Arial"/>
                <w:sz w:val="18"/>
                <w:szCs w:val="18"/>
                <w:color w:val="241E1C"/>
              </w:rPr>
              <w:t>-</w:t>
            </w:r>
          </w:p>
        </w:tc>
        <w:tc>
          <w:tcPr>
            <w:tcW w:w="100" w:type="dxa"/>
            <w:vAlign w:val="bottom"/>
            <w:shd w:val="clear" w:color="auto" w:fill="DCEBF4"/>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280"/>
              <w:spacing w:after="0" w:line="201" w:lineRule="exact"/>
              <w:rPr>
                <w:sz w:val="20"/>
                <w:szCs w:val="20"/>
                <w:color w:val="auto"/>
              </w:rPr>
            </w:pPr>
            <w:r>
              <w:rPr>
                <w:rFonts w:ascii="Arial" w:cs="Arial" w:eastAsia="Arial" w:hAnsi="Arial"/>
                <w:sz w:val="18"/>
                <w:szCs w:val="18"/>
                <w:color w:val="241E1C"/>
              </w:rPr>
              <w:t>Reclassification due to share-based</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241E1C"/>
              </w:rPr>
              <w:t>(35)</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00"/>
              <w:spacing w:after="0"/>
              <w:rPr>
                <w:sz w:val="20"/>
                <w:szCs w:val="20"/>
                <w:color w:val="auto"/>
              </w:rPr>
            </w:pPr>
            <w:r>
              <w:rPr>
                <w:rFonts w:ascii="Arial" w:cs="Arial" w:eastAsia="Arial" w:hAnsi="Arial"/>
                <w:sz w:val="18"/>
                <w:szCs w:val="18"/>
                <w:color w:val="241E1C"/>
              </w:rPr>
              <w:t>compensation forfeited</w:t>
            </w:r>
          </w:p>
        </w:tc>
        <w:tc>
          <w:tcPr>
            <w:tcW w:w="1120" w:type="dxa"/>
            <w:vAlign w:val="bottom"/>
            <w:gridSpan w:val="2"/>
          </w:tcPr>
          <w:p>
            <w:pPr>
              <w:jc w:val="right"/>
              <w:spacing w:after="0"/>
              <w:rPr>
                <w:sz w:val="20"/>
                <w:szCs w:val="20"/>
                <w:color w:val="auto"/>
              </w:rPr>
            </w:pPr>
            <w:r>
              <w:rPr>
                <w:rFonts w:ascii="Arial" w:cs="Arial" w:eastAsia="Arial" w:hAnsi="Arial"/>
                <w:sz w:val="18"/>
                <w:szCs w:val="18"/>
                <w:color w:val="241E1C"/>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241E1C"/>
              </w:rPr>
              <w:t>-</w:t>
            </w:r>
          </w:p>
        </w:tc>
        <w:tc>
          <w:tcPr>
            <w:tcW w:w="220" w:type="dxa"/>
            <w:vAlign w:val="bottom"/>
          </w:tcPr>
          <w:p>
            <w:pPr>
              <w:spacing w:after="0"/>
              <w:rPr>
                <w:sz w:val="20"/>
                <w:szCs w:val="20"/>
                <w:color w:val="auto"/>
              </w:rPr>
            </w:pPr>
          </w:p>
        </w:tc>
        <w:tc>
          <w:tcPr>
            <w:tcW w:w="1020" w:type="dxa"/>
            <w:vAlign w:val="bottom"/>
          </w:tcPr>
          <w:p>
            <w:pPr>
              <w:ind w:left="860"/>
              <w:spacing w:after="0"/>
              <w:rPr>
                <w:sz w:val="20"/>
                <w:szCs w:val="20"/>
                <w:color w:val="auto"/>
              </w:rPr>
            </w:pPr>
            <w:r>
              <w:rPr>
                <w:rFonts w:ascii="Arial" w:cs="Arial" w:eastAsia="Arial" w:hAnsi="Arial"/>
                <w:sz w:val="18"/>
                <w:szCs w:val="18"/>
                <w:color w:val="241E1C"/>
              </w:rPr>
              <w:t>-</w:t>
            </w:r>
          </w:p>
        </w:tc>
        <w:tc>
          <w:tcPr>
            <w:tcW w:w="2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241E1C"/>
              </w:rPr>
              <w:t>35</w:t>
            </w: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241E1C"/>
              </w:rPr>
              <w:t>-</w:t>
            </w: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241E1C"/>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DCEBF4"/>
              <w:bottom w:val="single" w:sz="8" w:color="DCEBF4"/>
            </w:tcBorders>
            <w:shd w:val="clear" w:color="auto" w:fill="DCEBF4"/>
          </w:tcPr>
          <w:p>
            <w:pPr>
              <w:spacing w:after="0"/>
              <w:rPr>
                <w:sz w:val="20"/>
                <w:szCs w:val="20"/>
                <w:color w:val="auto"/>
              </w:rPr>
            </w:pPr>
            <w:r>
              <w:rPr>
                <w:rFonts w:ascii="Arial" w:cs="Arial" w:eastAsia="Arial" w:hAnsi="Arial"/>
                <w:sz w:val="18"/>
                <w:szCs w:val="18"/>
                <w:b w:val="1"/>
                <w:bCs w:val="1"/>
                <w:color w:val="241E1C"/>
              </w:rPr>
              <w:t>BALANCE AT DECEMBER 31, 2017</w:t>
            </w:r>
          </w:p>
        </w:tc>
        <w:tc>
          <w:tcPr>
            <w:tcW w:w="220" w:type="dxa"/>
            <w:vAlign w:val="bottom"/>
            <w:tcBorders>
              <w:top w:val="single" w:sz="8" w:color="DCEBF4"/>
              <w:bottom w:val="single" w:sz="8" w:color="DCEBF4"/>
            </w:tcBorders>
            <w:shd w:val="clear" w:color="auto" w:fill="DCEBF4"/>
          </w:tcPr>
          <w:p>
            <w:pPr>
              <w:spacing w:after="0"/>
              <w:rPr>
                <w:sz w:val="19"/>
                <w:szCs w:val="19"/>
                <w:color w:val="auto"/>
              </w:rPr>
            </w:pPr>
          </w:p>
        </w:tc>
        <w:tc>
          <w:tcPr>
            <w:tcW w:w="90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241E1C"/>
              </w:rPr>
              <w:t>34,544</w:t>
            </w:r>
          </w:p>
        </w:tc>
        <w:tc>
          <w:tcPr>
            <w:tcW w:w="120" w:type="dxa"/>
            <w:vAlign w:val="bottom"/>
            <w:tcBorders>
              <w:top w:val="single" w:sz="8" w:color="DCEBF4"/>
              <w:bottom w:val="single" w:sz="8" w:color="DCEBF4"/>
            </w:tcBorders>
            <w:shd w:val="clear" w:color="auto" w:fill="DCEBF4"/>
          </w:tcPr>
          <w:p>
            <w:pPr>
              <w:spacing w:after="0"/>
              <w:rPr>
                <w:sz w:val="19"/>
                <w:szCs w:val="19"/>
                <w:color w:val="auto"/>
              </w:rPr>
            </w:pPr>
          </w:p>
        </w:tc>
        <w:tc>
          <w:tcPr>
            <w:tcW w:w="100" w:type="dxa"/>
            <w:vAlign w:val="bottom"/>
            <w:tcBorders>
              <w:top w:val="single" w:sz="8" w:color="DCEBF4"/>
              <w:bottom w:val="single" w:sz="8" w:color="DCEBF4"/>
            </w:tcBorders>
            <w:shd w:val="clear" w:color="auto" w:fill="DCEBF4"/>
          </w:tcPr>
          <w:p>
            <w:pPr>
              <w:spacing w:after="0"/>
              <w:rPr>
                <w:sz w:val="19"/>
                <w:szCs w:val="19"/>
                <w:color w:val="auto"/>
              </w:rPr>
            </w:pPr>
          </w:p>
        </w:tc>
        <w:tc>
          <w:tcPr>
            <w:tcW w:w="90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241E1C"/>
              </w:rPr>
              <w:t>*</w:t>
            </w:r>
          </w:p>
        </w:tc>
        <w:tc>
          <w:tcPr>
            <w:tcW w:w="220" w:type="dxa"/>
            <w:vAlign w:val="bottom"/>
            <w:tcBorders>
              <w:top w:val="single" w:sz="8" w:color="DCEBF4"/>
              <w:bottom w:val="single" w:sz="8" w:color="DCEBF4"/>
            </w:tcBorders>
            <w:shd w:val="clear" w:color="auto" w:fill="DCEBF4"/>
          </w:tcPr>
          <w:p>
            <w:pPr>
              <w:spacing w:after="0"/>
              <w:rPr>
                <w:sz w:val="19"/>
                <w:szCs w:val="19"/>
                <w:color w:val="auto"/>
              </w:rPr>
            </w:pPr>
          </w:p>
        </w:tc>
        <w:tc>
          <w:tcPr>
            <w:tcW w:w="1020" w:type="dxa"/>
            <w:vAlign w:val="bottom"/>
            <w:tcBorders>
              <w:top w:val="single" w:sz="8" w:color="auto"/>
              <w:bottom w:val="single" w:sz="8" w:color="auto"/>
            </w:tcBorders>
            <w:shd w:val="clear" w:color="auto" w:fill="DCEBF4"/>
          </w:tcPr>
          <w:p>
            <w:pPr>
              <w:ind w:left="840"/>
              <w:spacing w:after="0"/>
              <w:rPr>
                <w:sz w:val="20"/>
                <w:szCs w:val="20"/>
                <w:color w:val="auto"/>
              </w:rPr>
            </w:pPr>
            <w:r>
              <w:rPr>
                <w:rFonts w:ascii="Arial" w:cs="Arial" w:eastAsia="Arial" w:hAnsi="Arial"/>
                <w:sz w:val="18"/>
                <w:szCs w:val="18"/>
                <w:color w:val="241E1C"/>
                <w:w w:val="79"/>
              </w:rPr>
              <w:t>41</w:t>
            </w:r>
          </w:p>
        </w:tc>
        <w:tc>
          <w:tcPr>
            <w:tcW w:w="220" w:type="dxa"/>
            <w:vAlign w:val="bottom"/>
            <w:tcBorders>
              <w:top w:val="single" w:sz="8" w:color="DCEBF4"/>
              <w:bottom w:val="single" w:sz="8" w:color="DCEBF4"/>
            </w:tcBorders>
            <w:shd w:val="clear" w:color="auto" w:fill="DCEBF4"/>
          </w:tcPr>
          <w:p>
            <w:pPr>
              <w:spacing w:after="0"/>
              <w:rPr>
                <w:sz w:val="19"/>
                <w:szCs w:val="19"/>
                <w:color w:val="auto"/>
              </w:rPr>
            </w:pPr>
          </w:p>
        </w:tc>
        <w:tc>
          <w:tcPr>
            <w:tcW w:w="90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241E1C"/>
              </w:rPr>
              <w:t>7,361</w:t>
            </w:r>
          </w:p>
        </w:tc>
        <w:tc>
          <w:tcPr>
            <w:tcW w:w="220" w:type="dxa"/>
            <w:vAlign w:val="bottom"/>
            <w:tcBorders>
              <w:top w:val="single" w:sz="8" w:color="DCEBF4"/>
              <w:bottom w:val="single" w:sz="8" w:color="DCEBF4"/>
            </w:tcBorders>
            <w:shd w:val="clear" w:color="auto" w:fill="DCEBF4"/>
          </w:tcPr>
          <w:p>
            <w:pPr>
              <w:spacing w:after="0"/>
              <w:rPr>
                <w:sz w:val="19"/>
                <w:szCs w:val="19"/>
                <w:color w:val="auto"/>
              </w:rPr>
            </w:pPr>
          </w:p>
        </w:tc>
        <w:tc>
          <w:tcPr>
            <w:tcW w:w="92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241E1C"/>
              </w:rPr>
              <w:t>2,853</w:t>
            </w:r>
          </w:p>
        </w:tc>
        <w:tc>
          <w:tcPr>
            <w:tcW w:w="200" w:type="dxa"/>
            <w:vAlign w:val="bottom"/>
            <w:tcBorders>
              <w:top w:val="single" w:sz="8" w:color="DCEBF4"/>
              <w:bottom w:val="single" w:sz="8" w:color="DCEBF4"/>
            </w:tcBorders>
            <w:shd w:val="clear" w:color="auto" w:fill="DCEBF4"/>
          </w:tcPr>
          <w:p>
            <w:pPr>
              <w:spacing w:after="0"/>
              <w:rPr>
                <w:sz w:val="19"/>
                <w:szCs w:val="19"/>
                <w:color w:val="auto"/>
              </w:rPr>
            </w:pPr>
          </w:p>
        </w:tc>
        <w:tc>
          <w:tcPr>
            <w:tcW w:w="92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241E1C"/>
              </w:rPr>
              <w:t>(41,813</w:t>
            </w:r>
          </w:p>
        </w:tc>
        <w:tc>
          <w:tcPr>
            <w:tcW w:w="200" w:type="dxa"/>
            <w:vAlign w:val="bottom"/>
            <w:tcBorders>
              <w:top w:val="single" w:sz="8" w:color="DCEBF4"/>
              <w:bottom w:val="single" w:sz="8" w:color="DCEBF4"/>
            </w:tcBorders>
            <w:shd w:val="clear" w:color="auto" w:fill="DCEBF4"/>
          </w:tcPr>
          <w:p>
            <w:pPr>
              <w:jc w:val="right"/>
              <w:ind w:right="60"/>
              <w:spacing w:after="0"/>
              <w:rPr>
                <w:sz w:val="20"/>
                <w:szCs w:val="20"/>
                <w:color w:val="auto"/>
              </w:rPr>
            </w:pPr>
            <w:r>
              <w:rPr>
                <w:rFonts w:ascii="Arial" w:cs="Arial" w:eastAsia="Arial" w:hAnsi="Arial"/>
                <w:sz w:val="16"/>
                <w:szCs w:val="16"/>
                <w:color w:val="241E1C"/>
                <w:w w:val="74"/>
              </w:rPr>
              <w:t>)</w:t>
            </w:r>
          </w:p>
        </w:tc>
        <w:tc>
          <w:tcPr>
            <w:tcW w:w="920" w:type="dxa"/>
            <w:vAlign w:val="bottom"/>
            <w:tcBorders>
              <w:top w:val="single" w:sz="8" w:color="auto"/>
              <w:bottom w:val="single" w:sz="8" w:color="auto"/>
            </w:tcBorders>
            <w:shd w:val="clear" w:color="auto" w:fill="DCEBF4"/>
          </w:tcPr>
          <w:p>
            <w:pPr>
              <w:jc w:val="right"/>
              <w:spacing w:after="0"/>
              <w:rPr>
                <w:sz w:val="20"/>
                <w:szCs w:val="20"/>
                <w:color w:val="auto"/>
              </w:rPr>
            </w:pPr>
            <w:r>
              <w:rPr>
                <w:rFonts w:ascii="Arial" w:cs="Arial" w:eastAsia="Arial" w:hAnsi="Arial"/>
                <w:sz w:val="18"/>
                <w:szCs w:val="18"/>
                <w:color w:val="241E1C"/>
              </w:rPr>
              <w:t>(31,558</w:t>
            </w:r>
          </w:p>
        </w:tc>
        <w:tc>
          <w:tcPr>
            <w:tcW w:w="100" w:type="dxa"/>
            <w:vAlign w:val="bottom"/>
            <w:tcBorders>
              <w:top w:val="single" w:sz="8" w:color="DCEBF4"/>
              <w:bottom w:val="single" w:sz="8" w:color="DCEBF4"/>
            </w:tcBorders>
            <w:shd w:val="clear" w:color="auto" w:fill="DCEBF4"/>
          </w:tcPr>
          <w:p>
            <w:pPr>
              <w:jc w:val="right"/>
              <w:spacing w:after="0"/>
              <w:rPr>
                <w:sz w:val="20"/>
                <w:szCs w:val="20"/>
                <w:color w:val="auto"/>
              </w:rPr>
            </w:pPr>
            <w:r>
              <w:rPr>
                <w:rFonts w:ascii="Arial" w:cs="Arial" w:eastAsia="Arial" w:hAnsi="Arial"/>
                <w:sz w:val="16"/>
                <w:szCs w:val="16"/>
                <w:color w:val="241E1C"/>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 Represents an amount of less than one thousand.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1E1C"/>
        </w:rPr>
        <w:t>The accompanying notes are an integral part of the financial statements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75" w:name="page176"/>
    <w:bookmarkEnd w:id="17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left="3560"/>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right"/>
        <w:ind w:right="860"/>
        <w:spacing w:after="0"/>
        <w:rPr>
          <w:sz w:val="20"/>
          <w:szCs w:val="20"/>
          <w:color w:val="auto"/>
        </w:rPr>
      </w:pPr>
      <w:r>
        <w:rPr>
          <w:rFonts w:ascii="Arial" w:cs="Arial" w:eastAsia="Arial" w:hAnsi="Arial"/>
          <w:sz w:val="18"/>
          <w:szCs w:val="18"/>
          <w:color w:val="241E1C"/>
        </w:rPr>
        <w:t>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241E1C"/>
        </w:rPr>
        <w:t>CASH FLOWS FROM OPERATING ACTIVITIES:</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Loss </w:t>
      </w:r>
      <w:r>
        <w:rPr>
          <w:rFonts w:ascii="Arial" w:cs="Arial" w:eastAsia="Arial" w:hAnsi="Arial"/>
          <w:sz w:val="18"/>
          <w:szCs w:val="18"/>
          <w:color w:val="241E1C"/>
        </w:rPr>
        <w:t>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Adjustments required to reflect net cash</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used in operating activities (see appendix A)</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241E1C"/>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240"/>
        <w:spacing w:after="0"/>
        <w:rPr>
          <w:sz w:val="20"/>
          <w:szCs w:val="20"/>
          <w:color w:val="auto"/>
        </w:rPr>
      </w:pPr>
      <w:r>
        <w:rPr>
          <w:rFonts w:ascii="Arial" w:cs="Arial" w:eastAsia="Arial" w:hAnsi="Arial"/>
          <w:sz w:val="18"/>
          <w:szCs w:val="18"/>
          <w:color w:val="241E1C"/>
        </w:rPr>
        <w:t>Decrease (increase) in restricted deposits</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241E1C"/>
        </w:rPr>
        <w:t>Purchase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241E1C"/>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241E1C"/>
        </w:rPr>
        <w:t>CASH FLOWS FROM FINANCING ACTIVITIES:</w:t>
      </w:r>
    </w:p>
    <w:p>
      <w:pPr>
        <w:spacing w:after="0" w:line="27" w:lineRule="exact"/>
        <w:rPr>
          <w:sz w:val="20"/>
          <w:szCs w:val="20"/>
          <w:color w:val="auto"/>
        </w:rPr>
      </w:pPr>
    </w:p>
    <w:p>
      <w:pPr>
        <w:ind w:left="280" w:right="3200"/>
        <w:spacing w:after="0" w:line="281" w:lineRule="auto"/>
        <w:rPr>
          <w:sz w:val="20"/>
          <w:szCs w:val="20"/>
          <w:color w:val="auto"/>
        </w:rPr>
      </w:pPr>
      <w:r>
        <w:rPr>
          <w:rFonts w:ascii="Arial" w:cs="Arial" w:eastAsia="Arial" w:hAnsi="Arial"/>
          <w:sz w:val="16"/>
          <w:szCs w:val="16"/>
          <w:color w:val="auto"/>
        </w:rPr>
        <w:t>Proceeds from issuance of preferred shares and warrants, net Proceeds from convertible loan and warrants,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1371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Payment for maturity of Convertible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241E1C"/>
        </w:rPr>
        <w:t>Net cash generated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241E1C"/>
        </w:rPr>
        <w:t>NET INCREASE IN CASH AND CASH EQUIVALENTS</w:t>
      </w:r>
    </w:p>
    <w:p>
      <w:pPr>
        <w:spacing w:after="0" w:line="27" w:lineRule="exact"/>
        <w:rPr>
          <w:sz w:val="20"/>
          <w:szCs w:val="20"/>
          <w:color w:val="auto"/>
        </w:rPr>
      </w:pPr>
    </w:p>
    <w:p>
      <w:pPr>
        <w:ind w:right="2380"/>
        <w:spacing w:after="0" w:line="276" w:lineRule="auto"/>
        <w:rPr>
          <w:sz w:val="20"/>
          <w:szCs w:val="20"/>
          <w:color w:val="auto"/>
        </w:rPr>
      </w:pPr>
      <w:r>
        <w:rPr>
          <w:rFonts w:ascii="Arial" w:cs="Arial" w:eastAsia="Arial" w:hAnsi="Arial"/>
          <w:sz w:val="18"/>
          <w:szCs w:val="18"/>
          <w:b w:val="1"/>
          <w:bCs w:val="1"/>
          <w:color w:val="241E1C"/>
        </w:rPr>
        <w:t>CASH AND CASH EQUIVALENTS AT BEGINNING OF THE YEAR CASH AND CASH EQUIVALENTS AT END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246620" cy="146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p>
      <w:pPr>
        <w:ind w:left="520"/>
        <w:spacing w:after="0"/>
        <w:tabs>
          <w:tab w:leader="none" w:pos="1960" w:val="left"/>
        </w:tabs>
        <w:rPr>
          <w:sz w:val="20"/>
          <w:szCs w:val="20"/>
          <w:color w:val="auto"/>
        </w:rPr>
      </w:pPr>
      <w:r>
        <w:rPr>
          <w:rFonts w:ascii="Arial" w:cs="Arial" w:eastAsia="Arial" w:hAnsi="Arial"/>
          <w:sz w:val="18"/>
          <w:szCs w:val="18"/>
          <w:b w:val="1"/>
          <w:bCs w:val="1"/>
          <w:color w:val="241E1C"/>
        </w:rPr>
        <w:t>2017</w:t>
      </w:r>
      <w:r>
        <w:rPr>
          <w:sz w:val="20"/>
          <w:szCs w:val="20"/>
          <w:color w:val="auto"/>
        </w:rPr>
        <w:tab/>
      </w:r>
      <w:r>
        <w:rPr>
          <w:rFonts w:ascii="Arial" w:cs="Arial" w:eastAsia="Arial" w:hAnsi="Arial"/>
          <w:sz w:val="18"/>
          <w:szCs w:val="18"/>
          <w:b w:val="1"/>
          <w:bCs w:val="1"/>
          <w:color w:val="241E1C"/>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180086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80086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80086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-130810</wp:posOffset>
            </wp:positionV>
            <wp:extent cx="180086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(11,197)</w:t>
            </w:r>
          </w:p>
        </w:tc>
        <w:tc>
          <w:tcPr>
            <w:tcW w:w="1320" w:type="dxa"/>
            <w:vAlign w:val="bottom"/>
            <w:gridSpan w:val="2"/>
          </w:tcPr>
          <w:p>
            <w:pPr>
              <w:jc w:val="right"/>
              <w:spacing w:after="0"/>
              <w:rPr>
                <w:sz w:val="20"/>
                <w:szCs w:val="20"/>
                <w:color w:val="auto"/>
              </w:rPr>
            </w:pPr>
            <w:r>
              <w:rPr>
                <w:rFonts w:ascii="Arial" w:cs="Arial" w:eastAsia="Arial" w:hAnsi="Arial"/>
                <w:sz w:val="18"/>
                <w:szCs w:val="18"/>
                <w:color w:val="241E1C"/>
              </w:rPr>
              <w:t>(1,199)</w:t>
            </w:r>
          </w:p>
        </w:tc>
      </w:tr>
      <w:tr>
        <w:trPr>
          <w:trHeight w:val="446"/>
        </w:trPr>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241E1C"/>
              </w:rPr>
              <w:t>6,671</w:t>
            </w:r>
          </w:p>
        </w:tc>
        <w:tc>
          <w:tcPr>
            <w:tcW w:w="1320" w:type="dxa"/>
            <w:vAlign w:val="bottom"/>
            <w:gridSpan w:val="2"/>
          </w:tcPr>
          <w:p>
            <w:pPr>
              <w:jc w:val="right"/>
              <w:spacing w:after="0"/>
              <w:rPr>
                <w:sz w:val="20"/>
                <w:szCs w:val="20"/>
                <w:color w:val="auto"/>
              </w:rPr>
            </w:pPr>
            <w:r>
              <w:rPr>
                <w:rFonts w:ascii="Arial" w:cs="Arial" w:eastAsia="Arial" w:hAnsi="Arial"/>
                <w:sz w:val="18"/>
                <w:szCs w:val="18"/>
                <w:color w:val="241E1C"/>
              </w:rPr>
              <w:t>(1,943)</w:t>
            </w:r>
          </w:p>
        </w:tc>
      </w:tr>
      <w:tr>
        <w:trPr>
          <w:trHeight w:val="210"/>
        </w:trPr>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41E1C"/>
              </w:rPr>
              <w:t>(4,526</w:t>
            </w:r>
          </w:p>
        </w:tc>
        <w:tc>
          <w:tcPr>
            <w:tcW w:w="200" w:type="dxa"/>
            <w:vAlign w:val="bottom"/>
          </w:tcPr>
          <w:p>
            <w:pPr>
              <w:jc w:val="right"/>
              <w:ind w:right="60"/>
              <w:spacing w:after="0"/>
              <w:rPr>
                <w:sz w:val="20"/>
                <w:szCs w:val="20"/>
                <w:color w:val="auto"/>
              </w:rPr>
            </w:pPr>
            <w:r>
              <w:rPr>
                <w:rFonts w:ascii="Arial" w:cs="Arial" w:eastAsia="Arial" w:hAnsi="Arial"/>
                <w:sz w:val="16"/>
                <w:szCs w:val="16"/>
                <w:color w:val="241E1C"/>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41E1C"/>
              </w:rPr>
              <w:t>(3,142</w:t>
            </w:r>
          </w:p>
        </w:tc>
        <w:tc>
          <w:tcPr>
            <w:tcW w:w="60" w:type="dxa"/>
            <w:vAlign w:val="bottom"/>
          </w:tcPr>
          <w:p>
            <w:pPr>
              <w:jc w:val="right"/>
              <w:spacing w:after="0"/>
              <w:rPr>
                <w:sz w:val="20"/>
                <w:szCs w:val="20"/>
                <w:color w:val="auto"/>
              </w:rPr>
            </w:pPr>
            <w:r>
              <w:rPr>
                <w:rFonts w:ascii="Arial" w:cs="Arial" w:eastAsia="Arial" w:hAnsi="Arial"/>
                <w:sz w:val="16"/>
                <w:szCs w:val="16"/>
                <w:color w:val="241E1C"/>
                <w:w w:val="74"/>
              </w:rPr>
              <w:t>)</w:t>
            </w:r>
          </w:p>
        </w:tc>
      </w:tr>
      <w:tr>
        <w:trPr>
          <w:trHeight w:val="641"/>
        </w:trPr>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241E1C"/>
              </w:rPr>
              <w:t>1,053</w:t>
            </w:r>
          </w:p>
        </w:tc>
        <w:tc>
          <w:tcPr>
            <w:tcW w:w="1320" w:type="dxa"/>
            <w:vAlign w:val="bottom"/>
            <w:gridSpan w:val="2"/>
          </w:tcPr>
          <w:p>
            <w:pPr>
              <w:jc w:val="right"/>
              <w:spacing w:after="0"/>
              <w:rPr>
                <w:sz w:val="20"/>
                <w:szCs w:val="20"/>
                <w:color w:val="auto"/>
              </w:rPr>
            </w:pPr>
            <w:r>
              <w:rPr>
                <w:rFonts w:ascii="Arial" w:cs="Arial" w:eastAsia="Arial" w:hAnsi="Arial"/>
                <w:sz w:val="18"/>
                <w:szCs w:val="18"/>
                <w:color w:val="241E1C"/>
              </w:rPr>
              <w:t>(1,075)</w:t>
            </w:r>
          </w:p>
        </w:tc>
      </w:tr>
      <w:tr>
        <w:trPr>
          <w:trHeight w:val="244"/>
        </w:trPr>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241E1C"/>
              </w:rPr>
              <w:t>(51)</w:t>
            </w:r>
          </w:p>
        </w:tc>
        <w:tc>
          <w:tcPr>
            <w:tcW w:w="1320" w:type="dxa"/>
            <w:vAlign w:val="bottom"/>
            <w:gridSpan w:val="2"/>
          </w:tcPr>
          <w:p>
            <w:pPr>
              <w:jc w:val="right"/>
              <w:spacing w:after="0"/>
              <w:rPr>
                <w:sz w:val="20"/>
                <w:szCs w:val="20"/>
                <w:color w:val="auto"/>
              </w:rPr>
            </w:pPr>
            <w:r>
              <w:rPr>
                <w:rFonts w:ascii="Arial" w:cs="Arial" w:eastAsia="Arial" w:hAnsi="Arial"/>
                <w:sz w:val="18"/>
                <w:szCs w:val="18"/>
                <w:color w:val="241E1C"/>
              </w:rPr>
              <w:t>(41)</w:t>
            </w:r>
          </w:p>
        </w:tc>
      </w:tr>
      <w:tr>
        <w:trPr>
          <w:trHeight w:val="210"/>
        </w:trPr>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41E1C"/>
              </w:rPr>
              <w:t>1,002</w:t>
            </w:r>
          </w:p>
        </w:tc>
        <w:tc>
          <w:tcPr>
            <w:tcW w:w="2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41E1C"/>
              </w:rPr>
              <w:t>(1,116</w:t>
            </w:r>
          </w:p>
        </w:tc>
        <w:tc>
          <w:tcPr>
            <w:tcW w:w="60" w:type="dxa"/>
            <w:vAlign w:val="bottom"/>
          </w:tcPr>
          <w:p>
            <w:pPr>
              <w:jc w:val="right"/>
              <w:spacing w:after="0"/>
              <w:rPr>
                <w:sz w:val="20"/>
                <w:szCs w:val="20"/>
                <w:color w:val="auto"/>
              </w:rPr>
            </w:pPr>
            <w:r>
              <w:rPr>
                <w:rFonts w:ascii="Arial" w:cs="Arial" w:eastAsia="Arial" w:hAnsi="Arial"/>
                <w:sz w:val="16"/>
                <w:szCs w:val="16"/>
                <w:color w:val="241E1C"/>
                <w:w w:val="74"/>
              </w:rPr>
              <w:t>)</w:t>
            </w:r>
          </w:p>
        </w:tc>
      </w:tr>
      <w:tr>
        <w:trPr>
          <w:trHeight w:val="655"/>
        </w:trPr>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241E1C"/>
              </w:rPr>
              <w:t>12,087</w:t>
            </w:r>
          </w:p>
        </w:tc>
        <w:tc>
          <w:tcPr>
            <w:tcW w:w="1260" w:type="dxa"/>
            <w:vAlign w:val="bottom"/>
          </w:tcPr>
          <w:p>
            <w:pPr>
              <w:jc w:val="right"/>
              <w:ind w:right="10"/>
              <w:spacing w:after="0"/>
              <w:rPr>
                <w:sz w:val="20"/>
                <w:szCs w:val="20"/>
                <w:color w:val="auto"/>
              </w:rPr>
            </w:pPr>
            <w:r>
              <w:rPr>
                <w:rFonts w:ascii="Arial" w:cs="Arial" w:eastAsia="Arial" w:hAnsi="Arial"/>
                <w:sz w:val="18"/>
                <w:szCs w:val="18"/>
                <w:color w:val="241E1C"/>
              </w:rPr>
              <w:t>-</w:t>
            </w:r>
          </w:p>
        </w:tc>
        <w:tc>
          <w:tcPr>
            <w:tcW w:w="60" w:type="dxa"/>
            <w:vAlign w:val="bottom"/>
          </w:tcPr>
          <w:p>
            <w:pPr>
              <w:spacing w:after="0"/>
              <w:rPr>
                <w:sz w:val="24"/>
                <w:szCs w:val="24"/>
                <w:color w:val="auto"/>
              </w:rPr>
            </w:pPr>
          </w:p>
        </w:tc>
      </w:tr>
    </w:tbl>
    <w:p>
      <w:pPr>
        <w:ind w:left="2320" w:hanging="1196"/>
        <w:spacing w:after="0"/>
        <w:tabs>
          <w:tab w:leader="none" w:pos="2320" w:val="left"/>
        </w:tabs>
        <w:numPr>
          <w:ilvl w:val="0"/>
          <w:numId w:val="94"/>
        </w:numPr>
        <w:rPr>
          <w:rFonts w:ascii="Arial" w:cs="Arial" w:eastAsia="Arial" w:hAnsi="Arial"/>
          <w:sz w:val="18"/>
          <w:szCs w:val="18"/>
          <w:color w:val="241E1C"/>
        </w:rPr>
      </w:pPr>
      <w:r>
        <w:rPr>
          <w:rFonts w:ascii="Arial" w:cs="Arial" w:eastAsia="Arial" w:hAnsi="Arial"/>
          <w:sz w:val="18"/>
          <w:szCs w:val="18"/>
          <w:color w:val="241E1C"/>
        </w:rPr>
        <w:t>7,216</w:t>
      </w:r>
    </w:p>
    <w:p>
      <w:pPr>
        <w:spacing w:after="0" w:line="22" w:lineRule="exact"/>
        <w:rPr>
          <w:rFonts w:ascii="Arial" w:cs="Arial" w:eastAsia="Arial" w:hAnsi="Arial"/>
          <w:sz w:val="18"/>
          <w:szCs w:val="18"/>
          <w:color w:val="241E1C"/>
        </w:rPr>
      </w:pPr>
    </w:p>
    <w:p>
      <w:pPr>
        <w:ind w:left="940"/>
        <w:spacing w:after="0"/>
        <w:rPr>
          <w:rFonts w:ascii="Arial" w:cs="Arial" w:eastAsia="Arial" w:hAnsi="Arial"/>
          <w:sz w:val="18"/>
          <w:szCs w:val="18"/>
          <w:color w:val="241E1C"/>
        </w:rPr>
      </w:pPr>
      <w:r>
        <w:rPr>
          <w:rFonts w:ascii="Arial" w:cs="Arial" w:eastAsia="Arial" w:hAnsi="Arial"/>
          <w:sz w:val="18"/>
          <w:szCs w:val="18"/>
          <w:color w:val="241E1C"/>
        </w:rPr>
        <w:t>(980)</w:t>
      </w:r>
    </w:p>
    <w:p>
      <w:pPr>
        <w:spacing w:after="0" w:line="23" w:lineRule="exact"/>
        <w:rPr>
          <w:sz w:val="20"/>
          <w:szCs w:val="20"/>
          <w:color w:val="auto"/>
        </w:rPr>
      </w:pPr>
    </w:p>
    <w:p>
      <w:pPr>
        <w:ind w:left="780"/>
        <w:spacing w:after="0"/>
        <w:tabs>
          <w:tab w:leader="none" w:pos="2300" w:val="left"/>
        </w:tabs>
        <w:rPr>
          <w:sz w:val="20"/>
          <w:szCs w:val="20"/>
          <w:color w:val="auto"/>
        </w:rPr>
      </w:pPr>
      <w:r>
        <w:rPr>
          <w:rFonts w:ascii="Arial" w:cs="Arial" w:eastAsia="Arial" w:hAnsi="Arial"/>
          <w:sz w:val="18"/>
          <w:szCs w:val="18"/>
          <w:color w:val="241E1C"/>
        </w:rPr>
        <w:t>11,107</w:t>
      </w:r>
      <w:r>
        <w:rPr>
          <w:sz w:val="20"/>
          <w:szCs w:val="20"/>
          <w:color w:val="auto"/>
        </w:rPr>
        <w:tab/>
      </w:r>
      <w:r>
        <w:rPr>
          <w:rFonts w:ascii="Arial" w:cs="Arial" w:eastAsia="Arial" w:hAnsi="Arial"/>
          <w:sz w:val="18"/>
          <w:szCs w:val="18"/>
          <w:color w:val="241E1C"/>
        </w:rPr>
        <w:t>7,216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17322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241E1C"/>
              </w:rPr>
              <w:t>7,583</w:t>
            </w:r>
          </w:p>
        </w:tc>
        <w:tc>
          <w:tcPr>
            <w:tcW w:w="1260" w:type="dxa"/>
            <w:vAlign w:val="bottom"/>
          </w:tcPr>
          <w:p>
            <w:pPr>
              <w:jc w:val="right"/>
              <w:spacing w:after="0"/>
              <w:rPr>
                <w:sz w:val="20"/>
                <w:szCs w:val="20"/>
                <w:color w:val="auto"/>
              </w:rPr>
            </w:pPr>
            <w:r>
              <w:rPr>
                <w:rFonts w:ascii="Arial" w:cs="Arial" w:eastAsia="Arial" w:hAnsi="Arial"/>
                <w:sz w:val="18"/>
                <w:szCs w:val="18"/>
                <w:color w:val="241E1C"/>
              </w:rPr>
              <w:t>2,958</w:t>
            </w:r>
          </w:p>
        </w:tc>
      </w:tr>
      <w:tr>
        <w:trPr>
          <w:trHeight w:val="230"/>
        </w:trPr>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241E1C"/>
              </w:rPr>
              <w:t>4,163</w:t>
            </w:r>
          </w:p>
        </w:tc>
        <w:tc>
          <w:tcPr>
            <w:tcW w:w="1260" w:type="dxa"/>
            <w:vAlign w:val="bottom"/>
          </w:tcPr>
          <w:p>
            <w:pPr>
              <w:jc w:val="right"/>
              <w:spacing w:after="0"/>
              <w:rPr>
                <w:sz w:val="20"/>
                <w:szCs w:val="20"/>
                <w:color w:val="auto"/>
              </w:rPr>
            </w:pPr>
            <w:r>
              <w:rPr>
                <w:rFonts w:ascii="Arial" w:cs="Arial" w:eastAsia="Arial" w:hAnsi="Arial"/>
                <w:sz w:val="18"/>
                <w:szCs w:val="18"/>
                <w:color w:val="241E1C"/>
              </w:rPr>
              <w:t>1,205</w:t>
            </w:r>
          </w:p>
        </w:tc>
      </w:tr>
      <w:tr>
        <w:trPr>
          <w:trHeight w:val="223"/>
        </w:trPr>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41E1C"/>
              </w:rPr>
              <w:t>11,746</w:t>
            </w:r>
          </w:p>
        </w:tc>
        <w:tc>
          <w:tcPr>
            <w:tcW w:w="2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241E1C"/>
              </w:rPr>
              <w:t>4,163</w:t>
            </w: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860" w:space="720"/>
            <w:col w:w="2800"/>
          </w:cols>
          <w:pgMar w:left="240" w:top="225" w:right="279" w:bottom="1440" w:gutter="0" w:footer="0" w:header="0"/>
        </w:sectPr>
      </w:pPr>
    </w:p>
    <w:bookmarkStart w:id="176" w:name="page177"/>
    <w:bookmarkEnd w:id="17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241E1C"/>
        </w:rPr>
        <w:t>STATEMENTS OF CASH FLOWS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84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8580" w:type="dxa"/>
            <w:vAlign w:val="bottom"/>
          </w:tcPr>
          <w:p>
            <w:pPr>
              <w:spacing w:after="0"/>
              <w:rPr>
                <w:sz w:val="18"/>
                <w:szCs w:val="18"/>
                <w:color w:val="auto"/>
              </w:rPr>
            </w:pP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241E1C"/>
              </w:rPr>
              <w:t>2017</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241E1C"/>
              </w:rPr>
              <w:t>2016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80" w:type="dxa"/>
            <w:vAlign w:val="bottom"/>
            <w:vMerge w:val="restart"/>
          </w:tcPr>
          <w:p>
            <w:pPr>
              <w:spacing w:after="0"/>
              <w:rPr>
                <w:sz w:val="20"/>
                <w:szCs w:val="20"/>
                <w:color w:val="auto"/>
              </w:rPr>
            </w:pPr>
            <w:r>
              <w:rPr>
                <w:rFonts w:ascii="Arial" w:cs="Arial" w:eastAsia="Arial" w:hAnsi="Arial"/>
                <w:sz w:val="18"/>
                <w:szCs w:val="18"/>
                <w:b w:val="1"/>
                <w:bCs w:val="1"/>
                <w:color w:val="auto"/>
              </w:rPr>
              <w:t>APPENDIX A:</w:t>
            </w:r>
          </w:p>
        </w:tc>
        <w:tc>
          <w:tcPr>
            <w:tcW w:w="284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b w:val="1"/>
                <w:bCs w:val="1"/>
                <w:color w:val="auto"/>
              </w:rPr>
              <w:t>U.S. dollars in thousands</w:t>
            </w:r>
          </w:p>
        </w:tc>
        <w:tc>
          <w:tcPr>
            <w:tcW w:w="0" w:type="dxa"/>
            <w:vAlign w:val="bottom"/>
          </w:tcPr>
          <w:p>
            <w:pPr>
              <w:spacing w:after="0"/>
              <w:rPr>
                <w:sz w:val="1"/>
                <w:szCs w:val="1"/>
                <w:color w:val="auto"/>
              </w:rPr>
            </w:pPr>
          </w:p>
        </w:tc>
      </w:tr>
      <w:tr>
        <w:trPr>
          <w:trHeight w:val="195"/>
        </w:trPr>
        <w:tc>
          <w:tcPr>
            <w:tcW w:w="858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00"/>
              <w:spacing w:after="0"/>
              <w:rPr>
                <w:sz w:val="20"/>
                <w:szCs w:val="20"/>
                <w:color w:val="auto"/>
              </w:rPr>
            </w:pPr>
            <w:r>
              <w:rPr>
                <w:rFonts w:ascii="Arial" w:cs="Arial" w:eastAsia="Arial" w:hAnsi="Arial"/>
                <w:sz w:val="18"/>
                <w:szCs w:val="18"/>
                <w:color w:val="auto"/>
              </w:rPr>
              <w:t>Adjustments required to reflect net cash used in operating activities:</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D5EAEA"/>
          </w:tcPr>
          <w:p>
            <w:pPr>
              <w:ind w:left="560"/>
              <w:spacing w:after="0"/>
              <w:rPr>
                <w:sz w:val="20"/>
                <w:szCs w:val="20"/>
                <w:color w:val="auto"/>
              </w:rPr>
            </w:pPr>
            <w:r>
              <w:rPr>
                <w:rFonts w:ascii="Arial" w:cs="Arial" w:eastAsia="Arial" w:hAnsi="Arial"/>
                <w:sz w:val="18"/>
                <w:szCs w:val="18"/>
                <w:color w:val="auto"/>
              </w:rPr>
              <w:t>Depreciation</w:t>
            </w:r>
          </w:p>
        </w:tc>
        <w:tc>
          <w:tcPr>
            <w:tcW w:w="1480" w:type="dxa"/>
            <w:vAlign w:val="bottom"/>
            <w:gridSpan w:val="2"/>
            <w:shd w:val="clear" w:color="auto" w:fill="D5EAEA"/>
          </w:tcPr>
          <w:p>
            <w:pPr>
              <w:jc w:val="right"/>
              <w:ind w:right="200"/>
              <w:spacing w:after="0"/>
              <w:rPr>
                <w:sz w:val="20"/>
                <w:szCs w:val="20"/>
                <w:color w:val="auto"/>
              </w:rPr>
            </w:pPr>
            <w:r>
              <w:rPr>
                <w:rFonts w:ascii="Arial" w:cs="Arial" w:eastAsia="Arial" w:hAnsi="Arial"/>
                <w:sz w:val="18"/>
                <w:szCs w:val="18"/>
                <w:color w:val="auto"/>
              </w:rPr>
              <w:t>43</w:t>
            </w:r>
          </w:p>
        </w:tc>
        <w:tc>
          <w:tcPr>
            <w:tcW w:w="12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580" w:type="dxa"/>
            <w:vAlign w:val="bottom"/>
          </w:tcPr>
          <w:p>
            <w:pPr>
              <w:ind w:left="560"/>
              <w:spacing w:after="0" w:line="201" w:lineRule="exact"/>
              <w:rPr>
                <w:sz w:val="20"/>
                <w:szCs w:val="20"/>
                <w:color w:val="auto"/>
              </w:rPr>
            </w:pPr>
            <w:r>
              <w:rPr>
                <w:rFonts w:ascii="Arial" w:cs="Arial" w:eastAsia="Arial" w:hAnsi="Arial"/>
                <w:sz w:val="18"/>
                <w:szCs w:val="18"/>
                <w:color w:val="auto"/>
              </w:rPr>
              <w:t>Income from change in fair value of financial liabilities</w:t>
            </w: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at fair value</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(251)</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02"/>
        </w:trPr>
        <w:tc>
          <w:tcPr>
            <w:tcW w:w="8580" w:type="dxa"/>
            <w:vAlign w:val="bottom"/>
            <w:shd w:val="clear" w:color="auto" w:fill="D5EAEA"/>
          </w:tcPr>
          <w:p>
            <w:pPr>
              <w:ind w:left="560"/>
              <w:spacing w:after="0" w:line="201" w:lineRule="exact"/>
              <w:rPr>
                <w:sz w:val="20"/>
                <w:szCs w:val="20"/>
                <w:color w:val="auto"/>
              </w:rPr>
            </w:pPr>
            <w:r>
              <w:rPr>
                <w:rFonts w:ascii="Arial" w:cs="Arial" w:eastAsia="Arial" w:hAnsi="Arial"/>
                <w:sz w:val="18"/>
                <w:szCs w:val="18"/>
                <w:color w:val="auto"/>
              </w:rPr>
              <w:t>Issuance costs related to preferred shares, convertible loan</w:t>
            </w:r>
          </w:p>
        </w:tc>
        <w:tc>
          <w:tcPr>
            <w:tcW w:w="1280" w:type="dxa"/>
            <w:vAlign w:val="bottom"/>
            <w:shd w:val="clear" w:color="auto" w:fill="D5EAEA"/>
          </w:tcPr>
          <w:p>
            <w:pPr>
              <w:spacing w:after="0"/>
              <w:rPr>
                <w:sz w:val="17"/>
                <w:szCs w:val="17"/>
                <w:color w:val="auto"/>
              </w:rPr>
            </w:pPr>
          </w:p>
        </w:tc>
        <w:tc>
          <w:tcPr>
            <w:tcW w:w="200" w:type="dxa"/>
            <w:vAlign w:val="bottom"/>
            <w:shd w:val="clear" w:color="auto" w:fill="D5EAEA"/>
          </w:tcPr>
          <w:p>
            <w:pPr>
              <w:spacing w:after="0"/>
              <w:rPr>
                <w:sz w:val="17"/>
                <w:szCs w:val="17"/>
                <w:color w:val="auto"/>
              </w:rPr>
            </w:pPr>
          </w:p>
        </w:tc>
        <w:tc>
          <w:tcPr>
            <w:tcW w:w="1260" w:type="dxa"/>
            <w:vAlign w:val="bottom"/>
            <w:shd w:val="clear" w:color="auto" w:fill="D5EAEA"/>
          </w:tcPr>
          <w:p>
            <w:pPr>
              <w:spacing w:after="0"/>
              <w:rPr>
                <w:sz w:val="17"/>
                <w:szCs w:val="17"/>
                <w:color w:val="auto"/>
              </w:rPr>
            </w:pPr>
          </w:p>
        </w:tc>
        <w:tc>
          <w:tcPr>
            <w:tcW w:w="20" w:type="dxa"/>
            <w:vAlign w:val="bottom"/>
            <w:shd w:val="clear" w:color="auto" w:fill="D5EAEA"/>
          </w:tcPr>
          <w:p>
            <w:pPr>
              <w:spacing w:after="0"/>
              <w:rPr>
                <w:sz w:val="17"/>
                <w:szCs w:val="17"/>
                <w:color w:val="auto"/>
              </w:rPr>
            </w:pPr>
          </w:p>
        </w:tc>
        <w:tc>
          <w:tcPr>
            <w:tcW w:w="8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D5EAEA"/>
          </w:tcPr>
          <w:p>
            <w:pPr>
              <w:ind w:left="720"/>
              <w:spacing w:after="0"/>
              <w:rPr>
                <w:sz w:val="20"/>
                <w:szCs w:val="20"/>
                <w:color w:val="auto"/>
              </w:rPr>
            </w:pPr>
            <w:r>
              <w:rPr>
                <w:rFonts w:ascii="Arial" w:cs="Arial" w:eastAsia="Arial" w:hAnsi="Arial"/>
                <w:sz w:val="18"/>
                <w:szCs w:val="18"/>
                <w:color w:val="auto"/>
              </w:rPr>
              <w:t>and warrants</w:t>
            </w:r>
          </w:p>
        </w:tc>
        <w:tc>
          <w:tcPr>
            <w:tcW w:w="1480" w:type="dxa"/>
            <w:vAlign w:val="bottom"/>
            <w:gridSpan w:val="2"/>
            <w:shd w:val="clear" w:color="auto" w:fill="D5EAEA"/>
          </w:tcPr>
          <w:p>
            <w:pPr>
              <w:jc w:val="right"/>
              <w:ind w:right="200"/>
              <w:spacing w:after="0"/>
              <w:rPr>
                <w:sz w:val="20"/>
                <w:szCs w:val="20"/>
                <w:color w:val="auto"/>
              </w:rPr>
            </w:pPr>
            <w:r>
              <w:rPr>
                <w:rFonts w:ascii="Arial" w:cs="Arial" w:eastAsia="Arial" w:hAnsi="Arial"/>
                <w:sz w:val="18"/>
                <w:szCs w:val="18"/>
                <w:color w:val="auto"/>
              </w:rPr>
              <w:t>1,091</w:t>
            </w:r>
          </w:p>
        </w:tc>
        <w:tc>
          <w:tcPr>
            <w:tcW w:w="12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363</w:t>
            </w:r>
          </w:p>
        </w:tc>
        <w:tc>
          <w:tcPr>
            <w:tcW w:w="80" w:type="dxa"/>
            <w:vAlign w:val="bottom"/>
            <w:shd w:val="clear" w:color="auto" w:fill="D5EAEA"/>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560"/>
              <w:spacing w:after="0"/>
              <w:rPr>
                <w:sz w:val="20"/>
                <w:szCs w:val="20"/>
                <w:color w:val="auto"/>
              </w:rPr>
            </w:pPr>
            <w:r>
              <w:rPr>
                <w:rFonts w:ascii="Arial" w:cs="Arial" w:eastAsia="Arial" w:hAnsi="Arial"/>
                <w:sz w:val="18"/>
                <w:szCs w:val="18"/>
                <w:color w:val="auto"/>
              </w:rPr>
              <w:t>Financial expenses</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D5EAEA"/>
          </w:tcPr>
          <w:p>
            <w:pPr>
              <w:ind w:left="560"/>
              <w:spacing w:after="0"/>
              <w:rPr>
                <w:sz w:val="20"/>
                <w:szCs w:val="20"/>
                <w:color w:val="auto"/>
              </w:rPr>
            </w:pPr>
            <w:r>
              <w:rPr>
                <w:rFonts w:ascii="Arial" w:cs="Arial" w:eastAsia="Arial" w:hAnsi="Arial"/>
                <w:sz w:val="18"/>
                <w:szCs w:val="18"/>
                <w:color w:val="auto"/>
              </w:rPr>
              <w:t>Net changes in severance pay</w:t>
            </w:r>
          </w:p>
        </w:tc>
        <w:tc>
          <w:tcPr>
            <w:tcW w:w="1480" w:type="dxa"/>
            <w:vAlign w:val="bottom"/>
            <w:gridSpan w:val="2"/>
            <w:shd w:val="clear" w:color="auto" w:fill="D5EAEA"/>
          </w:tcPr>
          <w:p>
            <w:pPr>
              <w:jc w:val="right"/>
              <w:ind w:right="200"/>
              <w:spacing w:after="0"/>
              <w:rPr>
                <w:sz w:val="20"/>
                <w:szCs w:val="20"/>
                <w:color w:val="auto"/>
              </w:rPr>
            </w:pPr>
            <w:r>
              <w:rPr>
                <w:rFonts w:ascii="Arial" w:cs="Arial" w:eastAsia="Arial" w:hAnsi="Arial"/>
                <w:sz w:val="18"/>
                <w:szCs w:val="18"/>
                <w:color w:val="auto"/>
              </w:rPr>
              <w:t>19</w:t>
            </w:r>
          </w:p>
        </w:tc>
        <w:tc>
          <w:tcPr>
            <w:tcW w:w="12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560"/>
              <w:spacing w:after="0"/>
              <w:rPr>
                <w:sz w:val="20"/>
                <w:szCs w:val="20"/>
                <w:color w:val="auto"/>
              </w:rPr>
            </w:pPr>
            <w:r>
              <w:rPr>
                <w:rFonts w:ascii="Arial" w:cs="Arial" w:eastAsia="Arial" w:hAnsi="Arial"/>
                <w:sz w:val="18"/>
                <w:szCs w:val="18"/>
                <w:color w:val="auto"/>
              </w:rPr>
              <w:t>Share-based compensation</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4,885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580" w:type="dxa"/>
            <w:vAlign w:val="bottom"/>
            <w:tcBorders>
              <w:top w:val="single" w:sz="8" w:color="D5EAEA"/>
            </w:tcBorders>
            <w:shd w:val="clear" w:color="auto" w:fill="D5EAEA"/>
          </w:tcPr>
          <w:p>
            <w:pPr>
              <w:spacing w:after="0"/>
              <w:rPr>
                <w:sz w:val="18"/>
                <w:szCs w:val="18"/>
                <w:color w:val="auto"/>
              </w:rPr>
            </w:pPr>
          </w:p>
        </w:tc>
        <w:tc>
          <w:tcPr>
            <w:tcW w:w="12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5,835</w:t>
            </w:r>
          </w:p>
        </w:tc>
        <w:tc>
          <w:tcPr>
            <w:tcW w:w="200" w:type="dxa"/>
            <w:vAlign w:val="bottom"/>
            <w:tcBorders>
              <w:top w:val="single" w:sz="8" w:color="D5EAEA"/>
            </w:tcBorders>
            <w:shd w:val="clear" w:color="auto" w:fill="D5EAEA"/>
          </w:tcPr>
          <w:p>
            <w:pPr>
              <w:spacing w:after="0"/>
              <w:rPr>
                <w:sz w:val="18"/>
                <w:szCs w:val="18"/>
                <w:color w:val="auto"/>
              </w:rPr>
            </w:pPr>
          </w:p>
        </w:tc>
        <w:tc>
          <w:tcPr>
            <w:tcW w:w="12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(2,296</w:t>
            </w:r>
          </w:p>
        </w:tc>
        <w:tc>
          <w:tcPr>
            <w:tcW w:w="100" w:type="dxa"/>
            <w:vAlign w:val="bottom"/>
            <w:tcBorders>
              <w:top w:val="single" w:sz="8" w:color="D5EAEA"/>
            </w:tcBorders>
            <w:gridSpan w:val="2"/>
            <w:shd w:val="clear" w:color="auto" w:fill="D5EAEA"/>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8580" w:type="dxa"/>
            <w:vAlign w:val="bottom"/>
          </w:tcPr>
          <w:p>
            <w:pPr>
              <w:ind w:left="300"/>
              <w:spacing w:after="0"/>
              <w:rPr>
                <w:sz w:val="20"/>
                <w:szCs w:val="20"/>
                <w:color w:val="auto"/>
              </w:rPr>
            </w:pPr>
            <w:r>
              <w:rPr>
                <w:rFonts w:ascii="Arial" w:cs="Arial" w:eastAsia="Arial" w:hAnsi="Arial"/>
                <w:sz w:val="18"/>
                <w:szCs w:val="18"/>
                <w:color w:val="auto"/>
              </w:rPr>
              <w:t>Changes in working capital:</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D5EAEA"/>
          </w:tcPr>
          <w:p>
            <w:pPr>
              <w:ind w:left="580"/>
              <w:spacing w:after="0"/>
              <w:rPr>
                <w:sz w:val="20"/>
                <w:szCs w:val="20"/>
                <w:color w:val="auto"/>
              </w:rPr>
            </w:pPr>
            <w:r>
              <w:rPr>
                <w:rFonts w:ascii="Arial" w:cs="Arial" w:eastAsia="Arial" w:hAnsi="Arial"/>
                <w:sz w:val="18"/>
                <w:szCs w:val="18"/>
                <w:color w:val="auto"/>
              </w:rPr>
              <w:t>(Increase) decrease in other current assets</w:t>
            </w:r>
          </w:p>
        </w:tc>
        <w:tc>
          <w:tcPr>
            <w:tcW w:w="1480" w:type="dxa"/>
            <w:vAlign w:val="bottom"/>
            <w:gridSpan w:val="2"/>
            <w:shd w:val="clear" w:color="auto" w:fill="D5EAEA"/>
          </w:tcPr>
          <w:p>
            <w:pPr>
              <w:jc w:val="right"/>
              <w:ind w:right="140"/>
              <w:spacing w:after="0"/>
              <w:rPr>
                <w:sz w:val="20"/>
                <w:szCs w:val="20"/>
                <w:color w:val="auto"/>
              </w:rPr>
            </w:pPr>
            <w:r>
              <w:rPr>
                <w:rFonts w:ascii="Arial" w:cs="Arial" w:eastAsia="Arial" w:hAnsi="Arial"/>
                <w:sz w:val="18"/>
                <w:szCs w:val="18"/>
                <w:color w:val="auto"/>
              </w:rPr>
              <w:t>(454)</w:t>
            </w:r>
          </w:p>
        </w:tc>
        <w:tc>
          <w:tcPr>
            <w:tcW w:w="12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580"/>
              <w:spacing w:after="0"/>
              <w:rPr>
                <w:sz w:val="20"/>
                <w:szCs w:val="20"/>
                <w:color w:val="auto"/>
              </w:rPr>
            </w:pPr>
            <w:r>
              <w:rPr>
                <w:rFonts w:ascii="Arial" w:cs="Arial" w:eastAsia="Arial" w:hAnsi="Arial"/>
                <w:sz w:val="18"/>
                <w:szCs w:val="18"/>
                <w:color w:val="auto"/>
              </w:rPr>
              <w:t>Increase (decrease) in accounts payable:</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D5EAEA"/>
          </w:tcPr>
          <w:p>
            <w:pPr>
              <w:ind w:left="840"/>
              <w:spacing w:after="0"/>
              <w:rPr>
                <w:sz w:val="20"/>
                <w:szCs w:val="20"/>
                <w:color w:val="auto"/>
              </w:rPr>
            </w:pPr>
            <w:r>
              <w:rPr>
                <w:rFonts w:ascii="Arial" w:cs="Arial" w:eastAsia="Arial" w:hAnsi="Arial"/>
                <w:sz w:val="18"/>
                <w:szCs w:val="18"/>
                <w:color w:val="auto"/>
              </w:rPr>
              <w:t>Trade</w:t>
            </w:r>
          </w:p>
        </w:tc>
        <w:tc>
          <w:tcPr>
            <w:tcW w:w="1480" w:type="dxa"/>
            <w:vAlign w:val="bottom"/>
            <w:gridSpan w:val="2"/>
            <w:shd w:val="clear" w:color="auto" w:fill="D5EAEA"/>
          </w:tcPr>
          <w:p>
            <w:pPr>
              <w:jc w:val="right"/>
              <w:ind w:right="200"/>
              <w:spacing w:after="0"/>
              <w:rPr>
                <w:sz w:val="20"/>
                <w:szCs w:val="20"/>
                <w:color w:val="auto"/>
              </w:rPr>
            </w:pPr>
            <w:r>
              <w:rPr>
                <w:rFonts w:ascii="Arial" w:cs="Arial" w:eastAsia="Arial" w:hAnsi="Arial"/>
                <w:sz w:val="18"/>
                <w:szCs w:val="18"/>
                <w:color w:val="auto"/>
              </w:rPr>
              <w:t>543</w:t>
            </w:r>
          </w:p>
        </w:tc>
        <w:tc>
          <w:tcPr>
            <w:tcW w:w="1360" w:type="dxa"/>
            <w:vAlign w:val="bottom"/>
            <w:gridSpan w:val="3"/>
            <w:shd w:val="clear" w:color="auto" w:fill="D5EAEA"/>
          </w:tcPr>
          <w:p>
            <w:pPr>
              <w:jc w:val="right"/>
              <w:ind w:right="4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0"/>
        </w:trPr>
        <w:tc>
          <w:tcPr>
            <w:tcW w:w="8580" w:type="dxa"/>
            <w:vAlign w:val="bottom"/>
          </w:tcPr>
          <w:p>
            <w:pPr>
              <w:ind w:left="840"/>
              <w:spacing w:after="0"/>
              <w:rPr>
                <w:sz w:val="20"/>
                <w:szCs w:val="20"/>
                <w:color w:val="auto"/>
              </w:rPr>
            </w:pPr>
            <w:r>
              <w:rPr>
                <w:rFonts w:ascii="Arial" w:cs="Arial" w:eastAsia="Arial" w:hAnsi="Arial"/>
                <w:sz w:val="18"/>
                <w:szCs w:val="18"/>
                <w:color w:val="auto"/>
              </w:rPr>
              <w:t>Other</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820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580" w:type="dxa"/>
            <w:vAlign w:val="bottom"/>
            <w:tcBorders>
              <w:top w:val="single" w:sz="8" w:color="D5EAEA"/>
            </w:tcBorders>
            <w:shd w:val="clear" w:color="auto" w:fill="D5EAEA"/>
          </w:tcPr>
          <w:p>
            <w:pPr>
              <w:spacing w:after="0"/>
              <w:rPr>
                <w:sz w:val="18"/>
                <w:szCs w:val="18"/>
                <w:color w:val="auto"/>
              </w:rPr>
            </w:pPr>
          </w:p>
        </w:tc>
        <w:tc>
          <w:tcPr>
            <w:tcW w:w="12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909</w:t>
            </w:r>
          </w:p>
        </w:tc>
        <w:tc>
          <w:tcPr>
            <w:tcW w:w="200" w:type="dxa"/>
            <w:vAlign w:val="bottom"/>
            <w:tcBorders>
              <w:top w:val="single" w:sz="8" w:color="D5EAEA"/>
            </w:tcBorders>
            <w:shd w:val="clear" w:color="auto" w:fill="D5EAEA"/>
          </w:tcPr>
          <w:p>
            <w:pPr>
              <w:spacing w:after="0"/>
              <w:rPr>
                <w:sz w:val="18"/>
                <w:szCs w:val="18"/>
                <w:color w:val="auto"/>
              </w:rPr>
            </w:pPr>
          </w:p>
        </w:tc>
        <w:tc>
          <w:tcPr>
            <w:tcW w:w="12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353</w:t>
            </w:r>
          </w:p>
        </w:tc>
        <w:tc>
          <w:tcPr>
            <w:tcW w:w="20" w:type="dxa"/>
            <w:vAlign w:val="bottom"/>
            <w:tcBorders>
              <w:top w:val="single" w:sz="8" w:color="D5EAEA"/>
            </w:tcBorders>
            <w:shd w:val="clear" w:color="auto" w:fill="D5EAEA"/>
          </w:tcPr>
          <w:p>
            <w:pPr>
              <w:spacing w:after="0"/>
              <w:rPr>
                <w:sz w:val="18"/>
                <w:szCs w:val="18"/>
                <w:color w:val="auto"/>
              </w:rPr>
            </w:pPr>
          </w:p>
        </w:tc>
        <w:tc>
          <w:tcPr>
            <w:tcW w:w="80" w:type="dxa"/>
            <w:vAlign w:val="bottom"/>
            <w:tcBorders>
              <w:top w:val="single" w:sz="8" w:color="D5EAEA"/>
            </w:tcBorders>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80" w:type="dxa"/>
            <w:vAlign w:val="bottom"/>
          </w:tcPr>
          <w:p>
            <w:pPr>
              <w:ind w:left="320"/>
              <w:spacing w:after="0"/>
              <w:rPr>
                <w:sz w:val="20"/>
                <w:szCs w:val="20"/>
                <w:color w:val="auto"/>
              </w:rPr>
            </w:pPr>
            <w:r>
              <w:rPr>
                <w:rFonts w:ascii="Arial" w:cs="Arial" w:eastAsia="Arial" w:hAnsi="Arial"/>
                <w:sz w:val="18"/>
                <w:szCs w:val="18"/>
                <w:color w:val="auto"/>
              </w:rPr>
              <w:t>Cash used for operating activities -</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D5EAEA"/>
          </w:tcPr>
          <w:p>
            <w:pPr>
              <w:ind w:left="580"/>
              <w:spacing w:after="0"/>
              <w:rPr>
                <w:sz w:val="20"/>
                <w:szCs w:val="20"/>
                <w:color w:val="auto"/>
              </w:rPr>
            </w:pPr>
            <w:r>
              <w:rPr>
                <w:rFonts w:ascii="Arial" w:cs="Arial" w:eastAsia="Arial" w:hAnsi="Arial"/>
                <w:sz w:val="18"/>
                <w:szCs w:val="18"/>
                <w:color w:val="auto"/>
              </w:rPr>
              <w:t>Interest paid</w:t>
            </w:r>
          </w:p>
        </w:tc>
        <w:tc>
          <w:tcPr>
            <w:tcW w:w="1480" w:type="dxa"/>
            <w:vAlign w:val="bottom"/>
            <w:gridSpan w:val="2"/>
            <w:shd w:val="clear" w:color="auto" w:fill="D5EAEA"/>
          </w:tcPr>
          <w:p>
            <w:pPr>
              <w:jc w:val="right"/>
              <w:ind w:right="140"/>
              <w:spacing w:after="0"/>
              <w:rPr>
                <w:sz w:val="20"/>
                <w:szCs w:val="20"/>
                <w:color w:val="auto"/>
              </w:rPr>
            </w:pPr>
            <w:r>
              <w:rPr>
                <w:rFonts w:ascii="Arial" w:cs="Arial" w:eastAsia="Arial" w:hAnsi="Arial"/>
                <w:sz w:val="18"/>
                <w:szCs w:val="18"/>
                <w:color w:val="auto"/>
              </w:rPr>
              <w:t>(73)</w:t>
            </w:r>
          </w:p>
        </w:tc>
        <w:tc>
          <w:tcPr>
            <w:tcW w:w="12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D5EAEA"/>
          </w:tcPr>
          <w:p>
            <w:pPr>
              <w:spacing w:after="0"/>
              <w:rPr>
                <w:sz w:val="19"/>
                <w:szCs w:val="19"/>
                <w:color w:val="auto"/>
              </w:rPr>
            </w:pPr>
          </w:p>
        </w:tc>
        <w:tc>
          <w:tcPr>
            <w:tcW w:w="80" w:type="dxa"/>
            <w:vAlign w:val="bottom"/>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6,671</w:t>
            </w:r>
          </w:p>
        </w:tc>
        <w:tc>
          <w:tcPr>
            <w:tcW w:w="2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INFORMATION 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 NOT INVOLVING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to extinguishment and conversion of convertible loans see note 7a2 and 7a3,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41E1C"/>
        </w:rPr>
        <w:t>As to change in conditions of the liability to issue preferred shares and warrants to warrants see note 8a.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1E1C"/>
        </w:rPr>
        <w:t>The accompanying notes are an integral part of the financial statements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77" w:name="page178"/>
    <w:bookmarkEnd w:id="17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41E1C"/>
        </w:rPr>
        <w:t>NOTES TO THE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 INFORMATION:</w:t>
      </w:r>
    </w:p>
    <w:p>
      <w:pPr>
        <w:spacing w:after="0" w:line="225" w:lineRule="exact"/>
        <w:rPr>
          <w:sz w:val="20"/>
          <w:szCs w:val="20"/>
          <w:color w:val="auto"/>
        </w:rPr>
      </w:pPr>
    </w:p>
    <w:p>
      <w:pPr>
        <w:ind w:left="1300" w:hanging="320"/>
        <w:spacing w:after="0"/>
        <w:tabs>
          <w:tab w:leader="none" w:pos="130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rFonts w:ascii="Arial" w:cs="Arial" w:eastAsia="Arial" w:hAnsi="Arial"/>
          <w:sz w:val="18"/>
          <w:szCs w:val="18"/>
          <w:b w:val="1"/>
          <w:bCs w:val="1"/>
          <w:color w:val="auto"/>
        </w:rPr>
      </w:pPr>
    </w:p>
    <w:p>
      <w:pPr>
        <w:ind w:left="1600" w:right="360" w:hanging="322"/>
        <w:spacing w:after="0" w:line="254" w:lineRule="auto"/>
        <w:tabs>
          <w:tab w:leader="none" w:pos="16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Entera Bio Ltd. (the "Company") was incorporated on June 1, 2010. The Company is a clinical-stage biopharmaceutical company, focused on the development and commercialization of orally delivered large molecule therapeutics in areas with significant unmet medical needs. Currently the Company is focused on the development of oral capsules for the treatment of hypoparathyroidism and osteoporosis.</w:t>
      </w:r>
    </w:p>
    <w:p>
      <w:pPr>
        <w:spacing w:after="0" w:line="2"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On January 8, 2018, the Company incorporated Entera Bio Inc. a fully owned subsidiary based in the US.</w:t>
      </w:r>
    </w:p>
    <w:p>
      <w:pPr>
        <w:spacing w:after="0" w:line="210" w:lineRule="exact"/>
        <w:rPr>
          <w:rFonts w:ascii="Arial" w:cs="Arial" w:eastAsia="Arial" w:hAnsi="Arial"/>
          <w:sz w:val="18"/>
          <w:szCs w:val="18"/>
          <w:color w:val="auto"/>
        </w:rPr>
      </w:pPr>
    </w:p>
    <w:p>
      <w:pPr>
        <w:ind w:left="1600" w:hanging="322"/>
        <w:spacing w:after="0" w:line="257" w:lineRule="auto"/>
        <w:tabs>
          <w:tab w:leader="none" w:pos="16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Since the Company is engaged in research and development activities, it has not yet derived income from its activity and has incurred through December 31, 2017, accumulated losses in the amount of $41,813 thousand. The Company has cash outflows from operating activities. The Company's management is of the opinion that its available funds as of December 31, 2017 will not allow the Company to execute its development plans in the upcoming year. These factors raise substantial doubt as to the Company's ability to continue as a going concern.</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left="1600" w:right="140"/>
        <w:spacing w:after="0" w:line="264" w:lineRule="auto"/>
        <w:rPr>
          <w:rFonts w:ascii="Arial" w:cs="Arial" w:eastAsia="Arial" w:hAnsi="Arial"/>
          <w:sz w:val="18"/>
          <w:szCs w:val="18"/>
          <w:color w:val="auto"/>
        </w:rPr>
      </w:pPr>
      <w:r>
        <w:rPr>
          <w:rFonts w:ascii="Arial" w:cs="Arial" w:eastAsia="Arial" w:hAnsi="Arial"/>
          <w:sz w:val="18"/>
          <w:szCs w:val="18"/>
          <w:color w:val="auto"/>
        </w:rPr>
        <w:t>Management is in the process of evaluating various financing alternatives in the public or private equity markets, as the Company will need to finance future research and development activities and general and administrative expenses through fund raising. However, there is no certainty about the Company's ability to obtain such funding.</w:t>
      </w:r>
    </w:p>
    <w:p>
      <w:pPr>
        <w:spacing w:after="0" w:line="181" w:lineRule="exact"/>
        <w:rPr>
          <w:rFonts w:ascii="Arial" w:cs="Arial" w:eastAsia="Arial" w:hAnsi="Arial"/>
          <w:sz w:val="18"/>
          <w:szCs w:val="18"/>
          <w:color w:val="auto"/>
        </w:rPr>
      </w:pPr>
    </w:p>
    <w:p>
      <w:pPr>
        <w:ind w:left="1600" w:right="100"/>
        <w:spacing w:after="0" w:line="261" w:lineRule="auto"/>
        <w:rPr>
          <w:rFonts w:ascii="Arial" w:cs="Arial" w:eastAsia="Arial" w:hAnsi="Arial"/>
          <w:sz w:val="18"/>
          <w:szCs w:val="18"/>
          <w:color w:val="auto"/>
        </w:rPr>
      </w:pPr>
      <w:r>
        <w:rPr>
          <w:rFonts w:ascii="Arial" w:cs="Arial" w:eastAsia="Arial" w:hAnsi="Arial"/>
          <w:sz w:val="18"/>
          <w:szCs w:val="18"/>
          <w:color w:val="auto"/>
        </w:rPr>
        <w:t>The financial information has been prepared on a going concern basis, which assumes the Company will continue to realize its assets and discharge its liabilities in the normal course of business. If the Company does not raise the requisite funds, it will need to curtail or cease operations. These financial statements do not include any adjustments that may be necessary should the Company be unable to continue as a going concern</w:t>
      </w:r>
      <w:r>
        <w:rPr>
          <w:rFonts w:ascii="Arial" w:cs="Arial" w:eastAsia="Arial" w:hAnsi="Arial"/>
          <w:sz w:val="19"/>
          <w:szCs w:val="19"/>
          <w:color w:val="auto"/>
        </w:rPr>
        <w:t>.</w:t>
      </w:r>
    </w:p>
    <w:p>
      <w:pPr>
        <w:spacing w:after="0" w:line="190" w:lineRule="exact"/>
        <w:rPr>
          <w:rFonts w:ascii="Arial" w:cs="Arial" w:eastAsia="Arial" w:hAnsi="Arial"/>
          <w:sz w:val="18"/>
          <w:szCs w:val="18"/>
          <w:color w:val="auto"/>
        </w:rPr>
      </w:pPr>
    </w:p>
    <w:p>
      <w:pPr>
        <w:ind w:left="1300" w:hanging="320"/>
        <w:spacing w:after="0"/>
        <w:tabs>
          <w:tab w:leader="none" w:pos="130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financial statements</w:t>
      </w:r>
    </w:p>
    <w:p>
      <w:pPr>
        <w:spacing w:after="0" w:line="229"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These financial statements were approved by the Board of Directors on March 30,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ind w:left="1280" w:hanging="381"/>
        <w:spacing w:after="0"/>
        <w:tabs>
          <w:tab w:leader="none" w:pos="12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of the financial statements:</w:t>
      </w:r>
    </w:p>
    <w:p>
      <w:pPr>
        <w:spacing w:after="0" w:line="229" w:lineRule="exact"/>
        <w:rPr>
          <w:sz w:val="20"/>
          <w:szCs w:val="20"/>
          <w:color w:val="auto"/>
        </w:rPr>
      </w:pPr>
    </w:p>
    <w:p>
      <w:pPr>
        <w:ind w:left="1320" w:right="160"/>
        <w:spacing w:after="0" w:line="264" w:lineRule="auto"/>
        <w:rPr>
          <w:sz w:val="20"/>
          <w:szCs w:val="20"/>
          <w:color w:val="auto"/>
        </w:rPr>
      </w:pPr>
      <w:r>
        <w:rPr>
          <w:rFonts w:ascii="Arial" w:cs="Arial" w:eastAsia="Arial" w:hAnsi="Arial"/>
          <w:sz w:val="18"/>
          <w:szCs w:val="18"/>
          <w:color w:val="auto"/>
        </w:rPr>
        <w:t>The financial statements of the Company as of December 31, 2017 and 2016 and for each of the two years then ended have been prepared in accordance with International Financial Reporting Standards, ("IFRS"), as issued by the International Accounting Standards Board ("IASB").</w:t>
      </w:r>
    </w:p>
    <w:p>
      <w:pPr>
        <w:spacing w:after="0" w:line="181" w:lineRule="exact"/>
        <w:rPr>
          <w:sz w:val="20"/>
          <w:szCs w:val="20"/>
          <w:color w:val="auto"/>
        </w:rPr>
      </w:pPr>
    </w:p>
    <w:p>
      <w:pPr>
        <w:ind w:left="1320" w:right="60"/>
        <w:spacing w:after="0" w:line="277" w:lineRule="auto"/>
        <w:rPr>
          <w:sz w:val="20"/>
          <w:szCs w:val="20"/>
          <w:color w:val="auto"/>
        </w:rPr>
      </w:pPr>
      <w:r>
        <w:rPr>
          <w:rFonts w:ascii="Arial" w:cs="Arial" w:eastAsia="Arial" w:hAnsi="Arial"/>
          <w:sz w:val="18"/>
          <w:szCs w:val="18"/>
          <w:color w:val="auto"/>
        </w:rPr>
        <w:t>The significant accounting policies described below have been applied consistently in relation to all the periods presented, unless otherwise stated.</w:t>
      </w:r>
    </w:p>
    <w:p>
      <w:pPr>
        <w:spacing w:after="0" w:line="170" w:lineRule="exact"/>
        <w:rPr>
          <w:sz w:val="20"/>
          <w:szCs w:val="20"/>
          <w:color w:val="auto"/>
        </w:rPr>
      </w:pPr>
    </w:p>
    <w:p>
      <w:pPr>
        <w:jc w:val="both"/>
        <w:ind w:left="1320" w:right="600"/>
        <w:spacing w:after="0" w:line="312" w:lineRule="auto"/>
        <w:rPr>
          <w:sz w:val="20"/>
          <w:szCs w:val="20"/>
          <w:color w:val="auto"/>
        </w:rPr>
      </w:pPr>
      <w:r>
        <w:rPr>
          <w:rFonts w:ascii="Arial" w:cs="Arial" w:eastAsia="Arial" w:hAnsi="Arial"/>
          <w:sz w:val="16"/>
          <w:szCs w:val="16"/>
          <w:color w:val="auto"/>
        </w:rPr>
        <w:t>The financial statements have been prepared under the historical cost convention, subject to adjustments in respect of revaluation of financial liabilities at fair value through profit or loss. The Company's financial liabilities at fair value through profit or loss include convertible loans, preferred shares, warrants to preferred shares and shares and liability to issue preferred shares and warrants.</w:t>
      </w:r>
    </w:p>
    <w:p>
      <w:pPr>
        <w:spacing w:after="0" w:line="147" w:lineRule="exact"/>
        <w:rPr>
          <w:sz w:val="20"/>
          <w:szCs w:val="20"/>
          <w:color w:val="auto"/>
        </w:rPr>
      </w:pPr>
    </w:p>
    <w:p>
      <w:pPr>
        <w:ind w:left="1320" w:right="80"/>
        <w:spacing w:after="0" w:line="259" w:lineRule="auto"/>
        <w:rPr>
          <w:sz w:val="20"/>
          <w:szCs w:val="20"/>
          <w:color w:val="auto"/>
        </w:rPr>
      </w:pPr>
      <w:r>
        <w:rPr>
          <w:rFonts w:ascii="Arial" w:cs="Arial" w:eastAsia="Arial" w:hAnsi="Arial"/>
          <w:sz w:val="18"/>
          <w:szCs w:val="18"/>
          <w:color w:val="auto"/>
        </w:rPr>
        <w:t>The preparation of financial statements in conformity with IFRS requires the use of certain critical accounting estimates. It also requires management to exercise its judgment in the process of applying the Company’s accounting policies. The areas involving a higher degree of judgment or complexity, or areas where assumptions and estimates are significant to the financial statements are disclosed in note 3. Actual results could differ from those estimates and assumptions.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78" w:name="page179"/>
    <w:bookmarkEnd w:id="17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5" w:lineRule="exact"/>
        <w:rPr>
          <w:sz w:val="20"/>
          <w:szCs w:val="20"/>
          <w:color w:val="auto"/>
        </w:rPr>
      </w:pPr>
    </w:p>
    <w:p>
      <w:pPr>
        <w:ind w:left="1280" w:hanging="381"/>
        <w:spacing w:after="0"/>
        <w:tabs>
          <w:tab w:leader="none" w:pos="12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and presentation currency:</w:t>
      </w:r>
    </w:p>
    <w:p>
      <w:pPr>
        <w:spacing w:after="0" w:line="229" w:lineRule="exact"/>
        <w:rPr>
          <w:rFonts w:ascii="Arial" w:cs="Arial" w:eastAsia="Arial" w:hAnsi="Arial"/>
          <w:sz w:val="18"/>
          <w:szCs w:val="18"/>
          <w:b w:val="1"/>
          <w:bCs w:val="1"/>
          <w:color w:val="auto"/>
        </w:rPr>
      </w:pPr>
    </w:p>
    <w:p>
      <w:pPr>
        <w:ind w:left="1660" w:hanging="382"/>
        <w:spacing w:after="0"/>
        <w:tabs>
          <w:tab w:leader="none" w:pos="1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Functional and presentation currency</w:t>
      </w:r>
    </w:p>
    <w:p>
      <w:pPr>
        <w:spacing w:after="0" w:line="225" w:lineRule="exact"/>
        <w:rPr>
          <w:rFonts w:ascii="Arial" w:cs="Arial" w:eastAsia="Arial" w:hAnsi="Arial"/>
          <w:sz w:val="18"/>
          <w:szCs w:val="18"/>
          <w:color w:val="auto"/>
        </w:rPr>
      </w:pPr>
    </w:p>
    <w:p>
      <w:pPr>
        <w:jc w:val="both"/>
        <w:ind w:left="1660" w:right="100"/>
        <w:spacing w:after="0" w:line="286" w:lineRule="auto"/>
        <w:rPr>
          <w:rFonts w:ascii="Arial" w:cs="Arial" w:eastAsia="Arial" w:hAnsi="Arial"/>
          <w:sz w:val="18"/>
          <w:szCs w:val="18"/>
          <w:color w:val="auto"/>
        </w:rPr>
      </w:pPr>
      <w:r>
        <w:rPr>
          <w:rFonts w:ascii="Arial" w:cs="Arial" w:eastAsia="Arial" w:hAnsi="Arial"/>
          <w:sz w:val="17"/>
          <w:szCs w:val="17"/>
          <w:color w:val="auto"/>
        </w:rPr>
        <w:t>Items included in the financial statements of the Company are measured using the currency of the primary economic environment in which the entity operates (“the functional currency”). The U.S. dollar is the currency of the primary economic environment in which the operations of the Company is conducted. The financial statements are presented in U.S. dollars.</w:t>
      </w:r>
    </w:p>
    <w:p>
      <w:pPr>
        <w:spacing w:after="0" w:line="165" w:lineRule="exact"/>
        <w:rPr>
          <w:rFonts w:ascii="Arial" w:cs="Arial" w:eastAsia="Arial" w:hAnsi="Arial"/>
          <w:sz w:val="18"/>
          <w:szCs w:val="18"/>
          <w:color w:val="auto"/>
        </w:rPr>
      </w:pPr>
    </w:p>
    <w:p>
      <w:pPr>
        <w:ind w:left="1660" w:hanging="382"/>
        <w:spacing w:after="0"/>
        <w:tabs>
          <w:tab w:leader="none" w:pos="1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Transactions and balances</w:t>
      </w:r>
    </w:p>
    <w:p>
      <w:pPr>
        <w:spacing w:after="0" w:line="225" w:lineRule="exact"/>
        <w:rPr>
          <w:rFonts w:ascii="Arial" w:cs="Arial" w:eastAsia="Arial" w:hAnsi="Arial"/>
          <w:sz w:val="18"/>
          <w:szCs w:val="18"/>
          <w:color w:val="auto"/>
        </w:rPr>
      </w:pPr>
    </w:p>
    <w:p>
      <w:pPr>
        <w:ind w:left="1660"/>
        <w:spacing w:after="0" w:line="259" w:lineRule="auto"/>
        <w:rPr>
          <w:rFonts w:ascii="Arial" w:cs="Arial" w:eastAsia="Arial" w:hAnsi="Arial"/>
          <w:sz w:val="18"/>
          <w:szCs w:val="18"/>
          <w:color w:val="auto"/>
        </w:rPr>
      </w:pPr>
      <w:r>
        <w:rPr>
          <w:rFonts w:ascii="Arial" w:cs="Arial" w:eastAsia="Arial" w:hAnsi="Arial"/>
          <w:sz w:val="18"/>
          <w:szCs w:val="18"/>
          <w:color w:val="auto"/>
        </w:rPr>
        <w:t>Foreign currency transactions are translated into the functional currency using exchange rates prevailing at the dates of the transactions. Foreign exchange gains and losses resulting from the settlement of such transactions and from the translation at year-end exchange rates of monetary assets and liabilities denominated in foreign currencies are recognized in the statements of comprehensive loss within financial income or expenses.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660" w:right="160"/>
        <w:spacing w:after="0" w:line="277" w:lineRule="auto"/>
        <w:rPr>
          <w:rFonts w:ascii="Arial" w:cs="Arial" w:eastAsia="Arial" w:hAnsi="Arial"/>
          <w:sz w:val="18"/>
          <w:szCs w:val="18"/>
          <w:color w:val="auto"/>
        </w:rPr>
      </w:pPr>
      <w:r>
        <w:rPr>
          <w:rFonts w:ascii="Arial" w:cs="Arial" w:eastAsia="Arial" w:hAnsi="Arial"/>
          <w:sz w:val="18"/>
          <w:szCs w:val="18"/>
          <w:color w:val="auto"/>
        </w:rPr>
        <w:t>Translation differences on non-monetary financial assets and liabilities at fair value through profit or loss are recognized in profit or loss as part of the fair value gain or loss within financial income or expenses.</w:t>
      </w:r>
    </w:p>
    <w:p>
      <w:pPr>
        <w:spacing w:after="0" w:line="166" w:lineRule="exact"/>
        <w:rPr>
          <w:rFonts w:ascii="Arial" w:cs="Arial" w:eastAsia="Arial" w:hAnsi="Arial"/>
          <w:sz w:val="18"/>
          <w:szCs w:val="18"/>
          <w:color w:val="auto"/>
        </w:rPr>
      </w:pPr>
    </w:p>
    <w:p>
      <w:pPr>
        <w:ind w:left="1280" w:hanging="381"/>
        <w:spacing w:after="0"/>
        <w:tabs>
          <w:tab w:leader="none" w:pos="12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29" w:lineRule="exact"/>
        <w:rPr>
          <w:rFonts w:ascii="Arial" w:cs="Arial" w:eastAsia="Arial" w:hAnsi="Arial"/>
          <w:sz w:val="18"/>
          <w:szCs w:val="18"/>
          <w:b w:val="1"/>
          <w:bCs w:val="1"/>
          <w:color w:val="auto"/>
        </w:rPr>
      </w:pPr>
    </w:p>
    <w:p>
      <w:pPr>
        <w:ind w:left="128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on hand and short-term bank deposits (with original maturities of three months or less) that are not restricted as to withdrawal or use, and are therefore considered to be cash equivalents.</w:t>
      </w:r>
    </w:p>
    <w:p>
      <w:pPr>
        <w:spacing w:after="0" w:line="166" w:lineRule="exact"/>
        <w:rPr>
          <w:rFonts w:ascii="Arial" w:cs="Arial" w:eastAsia="Arial" w:hAnsi="Arial"/>
          <w:sz w:val="18"/>
          <w:szCs w:val="18"/>
          <w:b w:val="1"/>
          <w:bCs w:val="1"/>
          <w:color w:val="auto"/>
        </w:rPr>
      </w:pPr>
    </w:p>
    <w:p>
      <w:pPr>
        <w:ind w:left="1280" w:hanging="381"/>
        <w:spacing w:after="0"/>
        <w:tabs>
          <w:tab w:leader="none" w:pos="12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deposits:</w:t>
      </w:r>
    </w:p>
    <w:p>
      <w:pPr>
        <w:spacing w:after="0" w:line="229"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Restricted deposits relate to accounts where withdrawals are restricted under contractual agreements.</w:t>
      </w:r>
    </w:p>
    <w:p>
      <w:pPr>
        <w:spacing w:after="0" w:line="221" w:lineRule="exact"/>
        <w:rPr>
          <w:rFonts w:ascii="Arial" w:cs="Arial" w:eastAsia="Arial" w:hAnsi="Arial"/>
          <w:sz w:val="18"/>
          <w:szCs w:val="18"/>
          <w:b w:val="1"/>
          <w:bCs w:val="1"/>
          <w:color w:val="auto"/>
        </w:rPr>
      </w:pPr>
    </w:p>
    <w:p>
      <w:pPr>
        <w:ind w:left="1280" w:hanging="381"/>
        <w:spacing w:after="0"/>
        <w:tabs>
          <w:tab w:leader="none" w:pos="12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b w:val="1"/>
          <w:bCs w:val="1"/>
          <w:color w:val="auto"/>
        </w:rPr>
      </w:pPr>
    </w:p>
    <w:p>
      <w:pPr>
        <w:ind w:left="1660" w:right="380" w:hanging="382"/>
        <w:spacing w:after="0" w:line="264" w:lineRule="auto"/>
        <w:tabs>
          <w:tab w:leader="none" w:pos="1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Property and equipment are stated at historical cost less accumulated depreciation and impairment. Historical cost includes expenditures that are directly attributable to the acquisition of the items. Repairs and maintenance are charged to the statement of comprehensive loss during the period in which they are incurred.</w:t>
      </w:r>
    </w:p>
    <w:p>
      <w:pPr>
        <w:spacing w:after="0" w:line="181" w:lineRule="exact"/>
        <w:rPr>
          <w:rFonts w:ascii="Arial" w:cs="Arial" w:eastAsia="Arial" w:hAnsi="Arial"/>
          <w:sz w:val="18"/>
          <w:szCs w:val="18"/>
          <w:color w:val="auto"/>
        </w:rPr>
      </w:pPr>
    </w:p>
    <w:p>
      <w:pPr>
        <w:ind w:left="1660" w:hanging="382"/>
        <w:spacing w:after="0"/>
        <w:tabs>
          <w:tab w:leader="none" w:pos="16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Assets are depreciated using the straight-line method to allocate their cost over their estimated useful lives.</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sectPr>
      </w:pPr>
    </w:p>
    <w:bookmarkStart w:id="179" w:name="page180"/>
    <w:bookmarkEnd w:id="17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5" w:lineRule="exact"/>
        <w:rPr>
          <w:sz w:val="20"/>
          <w:szCs w:val="20"/>
          <w:color w:val="auto"/>
        </w:rPr>
      </w:pPr>
    </w:p>
    <w:p>
      <w:pPr>
        <w:ind w:left="1280" w:hanging="381"/>
        <w:spacing w:after="0"/>
        <w:tabs>
          <w:tab w:leader="none" w:pos="12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rFonts w:ascii="Arial" w:cs="Arial" w:eastAsia="Arial" w:hAnsi="Arial"/>
          <w:sz w:val="18"/>
          <w:szCs w:val="18"/>
          <w:b w:val="1"/>
          <w:bCs w:val="1"/>
          <w:color w:val="auto"/>
        </w:rPr>
      </w:pPr>
    </w:p>
    <w:p>
      <w:pPr>
        <w:ind w:left="1600" w:hanging="322"/>
        <w:spacing w:after="0"/>
        <w:tabs>
          <w:tab w:leader="none" w:pos="16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225" w:lineRule="exact"/>
        <w:rPr>
          <w:rFonts w:ascii="Arial" w:cs="Arial" w:eastAsia="Arial" w:hAnsi="Arial"/>
          <w:sz w:val="18"/>
          <w:szCs w:val="18"/>
          <w:color w:val="auto"/>
        </w:rPr>
      </w:pPr>
    </w:p>
    <w:p>
      <w:pPr>
        <w:ind w:left="1600" w:right="80"/>
        <w:spacing w:after="0" w:line="277" w:lineRule="auto"/>
        <w:rPr>
          <w:rFonts w:ascii="Arial" w:cs="Arial" w:eastAsia="Arial" w:hAnsi="Arial"/>
          <w:sz w:val="18"/>
          <w:szCs w:val="18"/>
          <w:color w:val="auto"/>
        </w:rPr>
      </w:pPr>
      <w:r>
        <w:rPr>
          <w:rFonts w:ascii="Arial" w:cs="Arial" w:eastAsia="Arial" w:hAnsi="Arial"/>
          <w:sz w:val="18"/>
          <w:szCs w:val="18"/>
          <w:color w:val="auto"/>
        </w:rPr>
        <w:t>Research expenses are charged to profit or loss as incurred. An intangible asset arising from development of the Company's products is recognized if all of the following conditions are met:</w:t>
      </w:r>
    </w:p>
    <w:p>
      <w:pPr>
        <w:spacing w:after="0" w:line="170" w:lineRule="exact"/>
        <w:rPr>
          <w:rFonts w:ascii="Arial" w:cs="Arial" w:eastAsia="Arial" w:hAnsi="Arial"/>
          <w:sz w:val="18"/>
          <w:szCs w:val="18"/>
          <w:color w:val="auto"/>
        </w:rPr>
      </w:pPr>
    </w:p>
    <w:p>
      <w:pPr>
        <w:ind w:left="1920" w:hanging="237"/>
        <w:spacing w:after="0"/>
        <w:tabs>
          <w:tab w:leader="none" w:pos="1920" w:val="left"/>
        </w:tabs>
        <w:numPr>
          <w:ilvl w:val="2"/>
          <w:numId w:val="98"/>
        </w:numPr>
        <w:rPr>
          <w:rFonts w:ascii="Arial" w:cs="Arial" w:eastAsia="Arial" w:hAnsi="Arial"/>
          <w:sz w:val="18"/>
          <w:szCs w:val="18"/>
          <w:color w:val="auto"/>
        </w:rPr>
      </w:pPr>
      <w:r>
        <w:rPr>
          <w:rFonts w:ascii="Arial" w:cs="Arial" w:eastAsia="Arial" w:hAnsi="Arial"/>
          <w:sz w:val="18"/>
          <w:szCs w:val="18"/>
          <w:color w:val="auto"/>
        </w:rPr>
        <w:t>It is technically feasible to complete the intangible asset so that it will be available for use;</w:t>
      </w:r>
    </w:p>
    <w:p>
      <w:pPr>
        <w:spacing w:after="0" w:line="225" w:lineRule="exact"/>
        <w:rPr>
          <w:rFonts w:ascii="Arial" w:cs="Arial" w:eastAsia="Arial" w:hAnsi="Arial"/>
          <w:sz w:val="18"/>
          <w:szCs w:val="18"/>
          <w:color w:val="auto"/>
        </w:rPr>
      </w:pPr>
    </w:p>
    <w:p>
      <w:pPr>
        <w:ind w:left="1920" w:hanging="237"/>
        <w:spacing w:after="0"/>
        <w:tabs>
          <w:tab w:leader="none" w:pos="1920" w:val="left"/>
        </w:tabs>
        <w:numPr>
          <w:ilvl w:val="2"/>
          <w:numId w:val="98"/>
        </w:numPr>
        <w:rPr>
          <w:rFonts w:ascii="Arial" w:cs="Arial" w:eastAsia="Arial" w:hAnsi="Arial"/>
          <w:sz w:val="18"/>
          <w:szCs w:val="18"/>
          <w:color w:val="auto"/>
        </w:rPr>
      </w:pPr>
      <w:r>
        <w:rPr>
          <w:rFonts w:ascii="Arial" w:cs="Arial" w:eastAsia="Arial" w:hAnsi="Arial"/>
          <w:sz w:val="18"/>
          <w:szCs w:val="18"/>
          <w:color w:val="auto"/>
        </w:rPr>
        <w:t>Management intends to complete the intangible asset and use it or sell it;</w:t>
      </w:r>
    </w:p>
    <w:p>
      <w:pPr>
        <w:spacing w:after="0" w:line="225" w:lineRule="exact"/>
        <w:rPr>
          <w:rFonts w:ascii="Arial" w:cs="Arial" w:eastAsia="Arial" w:hAnsi="Arial"/>
          <w:sz w:val="18"/>
          <w:szCs w:val="18"/>
          <w:color w:val="auto"/>
        </w:rPr>
      </w:pPr>
    </w:p>
    <w:p>
      <w:pPr>
        <w:ind w:left="1920" w:hanging="237"/>
        <w:spacing w:after="0"/>
        <w:tabs>
          <w:tab w:leader="none" w:pos="1920" w:val="left"/>
        </w:tabs>
        <w:numPr>
          <w:ilvl w:val="2"/>
          <w:numId w:val="98"/>
        </w:numPr>
        <w:rPr>
          <w:rFonts w:ascii="Arial" w:cs="Arial" w:eastAsia="Arial" w:hAnsi="Arial"/>
          <w:sz w:val="18"/>
          <w:szCs w:val="18"/>
          <w:color w:val="auto"/>
        </w:rPr>
      </w:pPr>
      <w:r>
        <w:rPr>
          <w:rFonts w:ascii="Arial" w:cs="Arial" w:eastAsia="Arial" w:hAnsi="Arial"/>
          <w:sz w:val="18"/>
          <w:szCs w:val="18"/>
          <w:color w:val="auto"/>
        </w:rPr>
        <w:t>There is an ability to use or sell the intangible asset;</w:t>
      </w:r>
    </w:p>
    <w:p>
      <w:pPr>
        <w:spacing w:after="0" w:line="225" w:lineRule="exact"/>
        <w:rPr>
          <w:rFonts w:ascii="Arial" w:cs="Arial" w:eastAsia="Arial" w:hAnsi="Arial"/>
          <w:sz w:val="18"/>
          <w:szCs w:val="18"/>
          <w:color w:val="auto"/>
        </w:rPr>
      </w:pPr>
    </w:p>
    <w:p>
      <w:pPr>
        <w:ind w:left="1920" w:hanging="237"/>
        <w:spacing w:after="0"/>
        <w:tabs>
          <w:tab w:leader="none" w:pos="1920" w:val="left"/>
        </w:tabs>
        <w:numPr>
          <w:ilvl w:val="2"/>
          <w:numId w:val="98"/>
        </w:numPr>
        <w:rPr>
          <w:rFonts w:ascii="Arial" w:cs="Arial" w:eastAsia="Arial" w:hAnsi="Arial"/>
          <w:sz w:val="18"/>
          <w:szCs w:val="18"/>
          <w:color w:val="auto"/>
        </w:rPr>
      </w:pPr>
      <w:r>
        <w:rPr>
          <w:rFonts w:ascii="Arial" w:cs="Arial" w:eastAsia="Arial" w:hAnsi="Arial"/>
          <w:sz w:val="18"/>
          <w:szCs w:val="18"/>
          <w:color w:val="auto"/>
        </w:rPr>
        <w:t>It can be demonstrated how the intangible asset will generate probable future economic benefits;</w:t>
      </w:r>
    </w:p>
    <w:p>
      <w:pPr>
        <w:spacing w:after="0" w:line="225" w:lineRule="exact"/>
        <w:rPr>
          <w:rFonts w:ascii="Arial" w:cs="Arial" w:eastAsia="Arial" w:hAnsi="Arial"/>
          <w:sz w:val="18"/>
          <w:szCs w:val="18"/>
          <w:color w:val="auto"/>
        </w:rPr>
      </w:pPr>
    </w:p>
    <w:p>
      <w:pPr>
        <w:ind w:left="1920" w:hanging="237"/>
        <w:spacing w:after="0" w:line="277" w:lineRule="auto"/>
        <w:tabs>
          <w:tab w:leader="none" w:pos="1920" w:val="left"/>
        </w:tabs>
        <w:numPr>
          <w:ilvl w:val="2"/>
          <w:numId w:val="98"/>
        </w:numPr>
        <w:rPr>
          <w:rFonts w:ascii="Arial" w:cs="Arial" w:eastAsia="Arial" w:hAnsi="Arial"/>
          <w:sz w:val="18"/>
          <w:szCs w:val="18"/>
          <w:color w:val="auto"/>
        </w:rPr>
      </w:pPr>
      <w:r>
        <w:rPr>
          <w:rFonts w:ascii="Arial" w:cs="Arial" w:eastAsia="Arial" w:hAnsi="Arial"/>
          <w:sz w:val="18"/>
          <w:szCs w:val="18"/>
          <w:color w:val="auto"/>
        </w:rPr>
        <w:t>Adequate technical, financial and other resources to complete the development and to use or sell the intangible asset are available; and costs associated with the intangible asset during development can be measured reliably.</w:t>
      </w:r>
    </w:p>
    <w:p>
      <w:pPr>
        <w:spacing w:after="0" w:line="170" w:lineRule="exact"/>
        <w:rPr>
          <w:sz w:val="20"/>
          <w:szCs w:val="20"/>
          <w:color w:val="auto"/>
        </w:rPr>
      </w:pPr>
    </w:p>
    <w:p>
      <w:pPr>
        <w:ind w:left="1600" w:right="420"/>
        <w:spacing w:after="0" w:line="277" w:lineRule="auto"/>
        <w:rPr>
          <w:sz w:val="20"/>
          <w:szCs w:val="20"/>
          <w:color w:val="auto"/>
        </w:rPr>
      </w:pPr>
      <w:r>
        <w:rPr>
          <w:rFonts w:ascii="Arial" w:cs="Arial" w:eastAsia="Arial" w:hAnsi="Arial"/>
          <w:sz w:val="18"/>
          <w:szCs w:val="18"/>
          <w:color w:val="auto"/>
        </w:rPr>
        <w:t>Other development costs that do not meet the above criteria are recognized as expenses as incurred. Development costs previously recognized as an expense are not recognized as an asset in a subsequent period.</w:t>
      </w:r>
    </w:p>
    <w:p>
      <w:pPr>
        <w:spacing w:after="0" w:line="17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During the years ended December 31, 2017 and 2016, the Company has not capitalized development costs.</w:t>
      </w:r>
    </w:p>
    <w:p>
      <w:pPr>
        <w:spacing w:after="0" w:line="225" w:lineRule="exact"/>
        <w:rPr>
          <w:sz w:val="20"/>
          <w:szCs w:val="20"/>
          <w:color w:val="auto"/>
        </w:rPr>
      </w:pPr>
    </w:p>
    <w:p>
      <w:pPr>
        <w:ind w:left="1600" w:hanging="322"/>
        <w:spacing w:after="0"/>
        <w:tabs>
          <w:tab w:leader="none" w:pos="16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In process research and development (IPR&amp;D)</w:t>
      </w:r>
    </w:p>
    <w:p>
      <w:pPr>
        <w:spacing w:after="0" w:line="225" w:lineRule="exact"/>
        <w:rPr>
          <w:rFonts w:ascii="Arial" w:cs="Arial" w:eastAsia="Arial" w:hAnsi="Arial"/>
          <w:sz w:val="18"/>
          <w:szCs w:val="18"/>
          <w:color w:val="auto"/>
        </w:rPr>
      </w:pPr>
    </w:p>
    <w:p>
      <w:pPr>
        <w:ind w:left="1600" w:right="600"/>
        <w:spacing w:after="0" w:line="277" w:lineRule="auto"/>
        <w:rPr>
          <w:rFonts w:ascii="Arial" w:cs="Arial" w:eastAsia="Arial" w:hAnsi="Arial"/>
          <w:sz w:val="18"/>
          <w:szCs w:val="18"/>
          <w:color w:val="auto"/>
        </w:rPr>
      </w:pPr>
      <w:r>
        <w:rPr>
          <w:rFonts w:ascii="Arial" w:cs="Arial" w:eastAsia="Arial" w:hAnsi="Arial"/>
          <w:sz w:val="18"/>
          <w:szCs w:val="18"/>
          <w:color w:val="auto"/>
        </w:rPr>
        <w:t>IPR&amp;D acquired is presented based on the fair value at the date of the acquisition and is not depreciated during the research and development period. Such assets are tested annually for impairment.</w:t>
      </w:r>
    </w:p>
    <w:p>
      <w:pPr>
        <w:spacing w:after="0" w:line="382" w:lineRule="exact"/>
        <w:rPr>
          <w:rFonts w:ascii="Arial" w:cs="Arial" w:eastAsia="Arial" w:hAnsi="Arial"/>
          <w:sz w:val="18"/>
          <w:szCs w:val="18"/>
          <w:color w:val="auto"/>
        </w:rPr>
      </w:pPr>
    </w:p>
    <w:p>
      <w:pPr>
        <w:ind w:left="1280" w:hanging="381"/>
        <w:spacing w:after="0"/>
        <w:tabs>
          <w:tab w:leader="none" w:pos="12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non-financial assets</w:t>
      </w:r>
    </w:p>
    <w:p>
      <w:pPr>
        <w:spacing w:after="0" w:line="229" w:lineRule="exact"/>
        <w:rPr>
          <w:rFonts w:ascii="Arial" w:cs="Arial" w:eastAsia="Arial" w:hAnsi="Arial"/>
          <w:sz w:val="18"/>
          <w:szCs w:val="18"/>
          <w:b w:val="1"/>
          <w:bCs w:val="1"/>
          <w:color w:val="auto"/>
        </w:rPr>
      </w:pPr>
    </w:p>
    <w:p>
      <w:pPr>
        <w:ind w:left="1280"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Intangible assets not ready to use are not subject to amortization and are tested annually for impairment. Assets that are subject to depreciation are reviewed for impairment whenever events or changes in circumstances indicate that the carrying amount may not be recoverable. An impairment loss is recognized for the amount by which the asset carrying amount exceeds its recoverable amount. The recoverable amount is the higher of an asset's fair value less costs to </w:t>
      </w:r>
      <w:r>
        <w:rPr>
          <w:rFonts w:ascii="Arial" w:cs="Arial" w:eastAsia="Arial" w:hAnsi="Arial"/>
          <w:sz w:val="18"/>
          <w:szCs w:val="18"/>
          <w:color w:val="auto"/>
        </w:rPr>
        <w:t>dispose</w:t>
      </w:r>
      <w:r>
        <w:rPr>
          <w:rFonts w:ascii="Arial" w:cs="Arial" w:eastAsia="Arial" w:hAnsi="Arial"/>
          <w:sz w:val="17"/>
          <w:szCs w:val="17"/>
          <w:color w:val="auto"/>
        </w:rPr>
        <w:t xml:space="preserve"> and its value in use. For the purposes of assessing impairment, assets are grouped at the lowest levels for which there are separately identifiable cash flows (cash-generating units).</w:t>
      </w:r>
    </w:p>
    <w:p>
      <w:pPr>
        <w:spacing w:after="0" w:line="172"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For the years ended December 31, 2017 and 2016, no impairment has been recognized.</w:t>
      </w:r>
    </w:p>
    <w:p>
      <w:pPr>
        <w:spacing w:after="0" w:line="221" w:lineRule="exact"/>
        <w:rPr>
          <w:rFonts w:ascii="Arial" w:cs="Arial" w:eastAsia="Arial" w:hAnsi="Arial"/>
          <w:sz w:val="18"/>
          <w:szCs w:val="18"/>
          <w:b w:val="1"/>
          <w:bCs w:val="1"/>
          <w:color w:val="auto"/>
        </w:rPr>
      </w:pPr>
    </w:p>
    <w:p>
      <w:pPr>
        <w:ind w:left="1280" w:hanging="381"/>
        <w:spacing w:after="0"/>
        <w:tabs>
          <w:tab w:leader="none" w:pos="12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rFonts w:ascii="Arial" w:cs="Arial" w:eastAsia="Arial" w:hAnsi="Arial"/>
          <w:sz w:val="18"/>
          <w:szCs w:val="18"/>
          <w:b w:val="1"/>
          <w:bCs w:val="1"/>
          <w:color w:val="auto"/>
        </w:rPr>
      </w:pPr>
    </w:p>
    <w:p>
      <w:pPr>
        <w:ind w:left="1280" w:right="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Operating segments are reported in a manner consistent with the internal reporting provided to the chief operating decision-maker, who is responsible for allocating resources and assessing performance of the operating segments. The Company operates in one operating segment.</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80" w:name="page181"/>
    <w:bookmarkEnd w:id="18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5" w:lineRule="exact"/>
        <w:rPr>
          <w:sz w:val="20"/>
          <w:szCs w:val="20"/>
          <w:color w:val="auto"/>
        </w:rPr>
      </w:pPr>
    </w:p>
    <w:p>
      <w:pPr>
        <w:ind w:left="1280" w:hanging="381"/>
        <w:spacing w:after="0"/>
        <w:tabs>
          <w:tab w:leader="none" w:pos="12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Liabilities:</w:t>
      </w:r>
    </w:p>
    <w:p>
      <w:pPr>
        <w:spacing w:after="0" w:line="229" w:lineRule="exact"/>
        <w:rPr>
          <w:sz w:val="20"/>
          <w:szCs w:val="20"/>
          <w:color w:val="auto"/>
        </w:rPr>
      </w:pPr>
    </w:p>
    <w:p>
      <w:pPr>
        <w:ind w:left="1280"/>
        <w:spacing w:after="0"/>
        <w:tabs>
          <w:tab w:leader="none" w:pos="15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Financial liabilities at fair value through profit or loss</w:t>
      </w:r>
    </w:p>
    <w:p>
      <w:pPr>
        <w:spacing w:after="0" w:line="225" w:lineRule="exact"/>
        <w:rPr>
          <w:sz w:val="20"/>
          <w:szCs w:val="20"/>
          <w:color w:val="auto"/>
        </w:rPr>
      </w:pPr>
    </w:p>
    <w:p>
      <w:pPr>
        <w:ind w:left="1660"/>
        <w:spacing w:after="0" w:line="276" w:lineRule="auto"/>
        <w:rPr>
          <w:sz w:val="20"/>
          <w:szCs w:val="20"/>
          <w:color w:val="auto"/>
        </w:rPr>
      </w:pPr>
      <w:r>
        <w:rPr>
          <w:rFonts w:ascii="Arial" w:cs="Arial" w:eastAsia="Arial" w:hAnsi="Arial"/>
          <w:sz w:val="17"/>
          <w:szCs w:val="17"/>
          <w:color w:val="auto"/>
        </w:rPr>
        <w:t>This category includes the Company's 2016 Convertible Loan, 2012 Convertible Loan (see note 7), preferred shares, warrants to purchase preferred shares and shares and liability to issue preferred shares and warrants (see note 8). The convertible loans and preferred shares are convertible into a variable number of ordinary shares. Gains or losses arising from changes in the fair value of financial liabilities at fair value through profit or loss are presented in the statement of comprehensive loss under "financial income" or "financial expenses". Transactional costs recorded as an expense when they occur.</w:t>
      </w:r>
    </w:p>
    <w:p>
      <w:pPr>
        <w:spacing w:after="0" w:line="173" w:lineRule="exact"/>
        <w:rPr>
          <w:sz w:val="20"/>
          <w:szCs w:val="20"/>
          <w:color w:val="auto"/>
        </w:rPr>
      </w:pPr>
    </w:p>
    <w:p>
      <w:pPr>
        <w:ind w:left="1660" w:hanging="382"/>
        <w:spacing w:after="0"/>
        <w:tabs>
          <w:tab w:leader="none" w:pos="16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Other financial liabilities</w:t>
      </w:r>
    </w:p>
    <w:p>
      <w:pPr>
        <w:spacing w:after="0" w:line="225" w:lineRule="exact"/>
        <w:rPr>
          <w:rFonts w:ascii="Arial" w:cs="Arial" w:eastAsia="Arial" w:hAnsi="Arial"/>
          <w:sz w:val="18"/>
          <w:szCs w:val="18"/>
          <w:color w:val="auto"/>
        </w:rPr>
      </w:pPr>
    </w:p>
    <w:p>
      <w:pPr>
        <w:ind w:left="1660" w:right="200"/>
        <w:spacing w:after="0" w:line="302" w:lineRule="auto"/>
        <w:rPr>
          <w:rFonts w:ascii="Arial" w:cs="Arial" w:eastAsia="Arial" w:hAnsi="Arial"/>
          <w:sz w:val="18"/>
          <w:szCs w:val="18"/>
          <w:color w:val="auto"/>
        </w:rPr>
      </w:pPr>
      <w:r>
        <w:rPr>
          <w:rFonts w:ascii="Arial" w:cs="Arial" w:eastAsia="Arial" w:hAnsi="Arial"/>
          <w:sz w:val="16"/>
          <w:szCs w:val="16"/>
          <w:color w:val="auto"/>
        </w:rPr>
        <w:t>Other financial liabilities, including the 2015 Convertible Loan (see note 7a(2)), are initially measured at fair value. In subsequent periods, the other financial liabilities are measured at amortized cost. Any difference between the consideration (net of transaction costs) and the redemption value is accreted to profit or loss over the term of the liability, using the effective interest method. Interest expense is calculated using the effective interest rate method as described in IAS 39 "Financial instruments".</w:t>
      </w:r>
    </w:p>
    <w:p>
      <w:pPr>
        <w:spacing w:after="0" w:line="154" w:lineRule="exact"/>
        <w:rPr>
          <w:rFonts w:ascii="Arial" w:cs="Arial" w:eastAsia="Arial" w:hAnsi="Arial"/>
          <w:sz w:val="18"/>
          <w:szCs w:val="18"/>
          <w:color w:val="auto"/>
        </w:rPr>
      </w:pPr>
    </w:p>
    <w:p>
      <w:pPr>
        <w:ind w:left="1660" w:right="560"/>
        <w:spacing w:after="0" w:line="342" w:lineRule="auto"/>
        <w:rPr>
          <w:rFonts w:ascii="Arial" w:cs="Arial" w:eastAsia="Arial" w:hAnsi="Arial"/>
          <w:sz w:val="18"/>
          <w:szCs w:val="18"/>
          <w:color w:val="auto"/>
        </w:rPr>
      </w:pPr>
      <w:r>
        <w:rPr>
          <w:rFonts w:ascii="Arial" w:cs="Arial" w:eastAsia="Arial" w:hAnsi="Arial"/>
          <w:sz w:val="16"/>
          <w:szCs w:val="16"/>
          <w:color w:val="auto"/>
        </w:rPr>
        <w:t>Financial liabilities are classified as current liabilities, unless the Company has an unconditional right to defer settlement of the liability for at least 12 months after the end of the reporting period, in which case they are classified as noncurrent liabilities.</w:t>
      </w:r>
    </w:p>
    <w:p>
      <w:pPr>
        <w:spacing w:after="0" w:line="119" w:lineRule="exact"/>
        <w:rPr>
          <w:rFonts w:ascii="Arial" w:cs="Arial" w:eastAsia="Arial" w:hAnsi="Arial"/>
          <w:sz w:val="18"/>
          <w:szCs w:val="18"/>
          <w:color w:val="auto"/>
        </w:rPr>
      </w:pPr>
    </w:p>
    <w:p>
      <w:pPr>
        <w:ind w:left="1280" w:hanging="381"/>
        <w:spacing w:after="0"/>
        <w:tabs>
          <w:tab w:leader="none" w:pos="12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9" w:lineRule="exact"/>
        <w:rPr>
          <w:rFonts w:ascii="Arial" w:cs="Arial" w:eastAsia="Arial" w:hAnsi="Arial"/>
          <w:sz w:val="18"/>
          <w:szCs w:val="18"/>
          <w:b w:val="1"/>
          <w:bCs w:val="1"/>
          <w:color w:val="auto"/>
        </w:rPr>
      </w:pPr>
    </w:p>
    <w:p>
      <w:pPr>
        <w:ind w:left="1280" w:righ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Ordinary shares are classified as equity. Incremental costs directly attributable to the issue of new shares are included in equity as a deduction from the proceeds.</w:t>
      </w:r>
    </w:p>
    <w:p>
      <w:pPr>
        <w:spacing w:after="0" w:line="166" w:lineRule="exact"/>
        <w:rPr>
          <w:rFonts w:ascii="Arial" w:cs="Arial" w:eastAsia="Arial" w:hAnsi="Arial"/>
          <w:sz w:val="18"/>
          <w:szCs w:val="18"/>
          <w:b w:val="1"/>
          <w:bCs w:val="1"/>
          <w:color w:val="auto"/>
        </w:rPr>
      </w:pPr>
    </w:p>
    <w:p>
      <w:pPr>
        <w:ind w:left="1280" w:hanging="381"/>
        <w:spacing w:after="0"/>
        <w:tabs>
          <w:tab w:leader="none" w:pos="12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Deferred income tax</w:t>
      </w:r>
    </w:p>
    <w:p>
      <w:pPr>
        <w:spacing w:after="0" w:line="229" w:lineRule="exact"/>
        <w:rPr>
          <w:rFonts w:ascii="Arial" w:cs="Arial" w:eastAsia="Arial" w:hAnsi="Arial"/>
          <w:sz w:val="18"/>
          <w:szCs w:val="18"/>
          <w:b w:val="1"/>
          <w:bCs w:val="1"/>
          <w:color w:val="auto"/>
        </w:rPr>
      </w:pPr>
    </w:p>
    <w:p>
      <w:pPr>
        <w:ind w:left="1280" w:right="3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Deferred income taxes are recognized using the liability method on temporary differences arising between the tax bases of assets and liabilities and their carrying amounts in the financial statements. Deferred income tax assets are recognized only to the extent that it is probable that future taxable income will be available against which the temporary differences can be utilized. Deferred income tax is determined using tax rates and laws that have been enacted or substantively enacted by the balance sheet date and are expected to apply when the related deferred income tax asset is realized or the deferred income tax liability is settled.</w:t>
      </w:r>
    </w:p>
    <w:p>
      <w:pPr>
        <w:spacing w:after="0" w:line="172" w:lineRule="exact"/>
        <w:rPr>
          <w:rFonts w:ascii="Arial" w:cs="Arial" w:eastAsia="Arial" w:hAnsi="Arial"/>
          <w:sz w:val="18"/>
          <w:szCs w:val="18"/>
          <w:b w:val="1"/>
          <w:bCs w:val="1"/>
          <w:color w:val="auto"/>
        </w:rPr>
      </w:pPr>
    </w:p>
    <w:p>
      <w:pPr>
        <w:ind w:left="1280"/>
        <w:spacing w:after="0"/>
        <w:rPr>
          <w:rFonts w:ascii="Arial" w:cs="Arial" w:eastAsia="Arial" w:hAnsi="Arial"/>
          <w:sz w:val="18"/>
          <w:szCs w:val="18"/>
          <w:b w:val="1"/>
          <w:bCs w:val="1"/>
          <w:color w:val="auto"/>
        </w:rPr>
      </w:pPr>
      <w:r>
        <w:rPr>
          <w:rFonts w:ascii="Arial" w:cs="Arial" w:eastAsia="Arial" w:hAnsi="Arial"/>
          <w:sz w:val="18"/>
          <w:szCs w:val="18"/>
          <w:color w:val="auto"/>
        </w:rPr>
        <w:t>In the absence of expectation of taxable income in the future, no deferred tax assets are recorded in the financial statements.</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181" w:name="page182"/>
    <w:bookmarkEnd w:id="18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5" w:lineRule="exact"/>
        <w:rPr>
          <w:sz w:val="20"/>
          <w:szCs w:val="20"/>
          <w:color w:val="auto"/>
        </w:rPr>
      </w:pPr>
    </w:p>
    <w:p>
      <w:pPr>
        <w:ind w:left="1280" w:hanging="381"/>
        <w:spacing w:after="0"/>
        <w:tabs>
          <w:tab w:leader="none" w:pos="128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w:t>
      </w:r>
    </w:p>
    <w:p>
      <w:pPr>
        <w:spacing w:after="0" w:line="229" w:lineRule="exact"/>
        <w:rPr>
          <w:rFonts w:ascii="Arial" w:cs="Arial" w:eastAsia="Arial" w:hAnsi="Arial"/>
          <w:sz w:val="18"/>
          <w:szCs w:val="18"/>
          <w:b w:val="1"/>
          <w:bCs w:val="1"/>
          <w:color w:val="auto"/>
        </w:rPr>
      </w:pPr>
    </w:p>
    <w:p>
      <w:pPr>
        <w:ind w:left="12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adopted a share-based compensation plan for employees, directors and service providers. As part of the plan, the Company grants employees, directors and service providers, from time to time and at its discretion, options to purchase Company's ordinary shares. The fair value of the employees', directors' and service providers' services received in exchange for the grant of the options is recognized as an expense in the statement of comprehensive loss. The total amount recognized as an expense over the vesting period of the options was determined by reference to the fair value of the options granted at the date of grant.</w:t>
      </w:r>
    </w:p>
    <w:p>
      <w:pPr>
        <w:spacing w:after="0" w:line="172" w:lineRule="exact"/>
        <w:rPr>
          <w:rFonts w:ascii="Arial" w:cs="Arial" w:eastAsia="Arial" w:hAnsi="Arial"/>
          <w:sz w:val="18"/>
          <w:szCs w:val="18"/>
          <w:b w:val="1"/>
          <w:bCs w:val="1"/>
          <w:color w:val="auto"/>
        </w:rPr>
      </w:pPr>
    </w:p>
    <w:p>
      <w:pPr>
        <w:jc w:val="both"/>
        <w:ind w:left="130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Service conditions and performance vesting conditions are included in assumptions about the number of options that are expected to vest. The total expense is recognized over the vesting period when the performance condition is probable. The vesting period is the period over which all of the specified vesting conditions are to be satisfied.</w:t>
      </w:r>
    </w:p>
    <w:p>
      <w:pPr>
        <w:spacing w:after="0" w:line="181" w:lineRule="exact"/>
        <w:rPr>
          <w:rFonts w:ascii="Arial" w:cs="Arial" w:eastAsia="Arial" w:hAnsi="Arial"/>
          <w:sz w:val="18"/>
          <w:szCs w:val="18"/>
          <w:b w:val="1"/>
          <w:bCs w:val="1"/>
          <w:color w:val="auto"/>
        </w:rPr>
      </w:pPr>
    </w:p>
    <w:p>
      <w:pPr>
        <w:jc w:val="both"/>
        <w:ind w:left="1300" w:right="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At the end of each reporting period, the Company revises its estimates of the number of options that are expected to vest based on the service conditions and performance conditions. The Company recognizes the impact of the revision to original estimates, if any, in the statement of comprehensive loss, with a corresponding adjustment to "other reserves".</w:t>
      </w:r>
    </w:p>
    <w:p>
      <w:pPr>
        <w:spacing w:after="0" w:line="181" w:lineRule="exact"/>
        <w:rPr>
          <w:sz w:val="20"/>
          <w:szCs w:val="20"/>
          <w:color w:val="auto"/>
        </w:rPr>
      </w:pPr>
    </w:p>
    <w:p>
      <w:pPr>
        <w:ind w:left="1300" w:right="100"/>
        <w:spacing w:after="0" w:line="277" w:lineRule="auto"/>
        <w:rPr>
          <w:sz w:val="20"/>
          <w:szCs w:val="20"/>
          <w:color w:val="auto"/>
        </w:rPr>
      </w:pPr>
      <w:r>
        <w:rPr>
          <w:rFonts w:ascii="Arial" w:cs="Arial" w:eastAsia="Arial" w:hAnsi="Arial"/>
          <w:sz w:val="18"/>
          <w:szCs w:val="18"/>
          <w:color w:val="auto"/>
        </w:rPr>
        <w:t>When options are exercised, the Company issues new shares, with proceeds less directly attributable transaction costs recognized as share capital (par value) and additional paid in capital.</w:t>
      </w:r>
    </w:p>
    <w:p>
      <w:pPr>
        <w:spacing w:after="0" w:line="166"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18"/>
          <w:szCs w:val="18"/>
          <w:b w:val="1"/>
          <w:bCs w:val="1"/>
          <w:color w:val="auto"/>
        </w:rPr>
        <w:t>m</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Government grants</w:t>
      </w:r>
    </w:p>
    <w:p>
      <w:pPr>
        <w:spacing w:after="0" w:line="229" w:lineRule="exact"/>
        <w:rPr>
          <w:sz w:val="20"/>
          <w:szCs w:val="20"/>
          <w:color w:val="auto"/>
        </w:rPr>
      </w:pPr>
    </w:p>
    <w:p>
      <w:pPr>
        <w:ind w:left="1280" w:right="40"/>
        <w:spacing w:after="0" w:line="272" w:lineRule="auto"/>
        <w:rPr>
          <w:sz w:val="20"/>
          <w:szCs w:val="20"/>
          <w:color w:val="auto"/>
        </w:rPr>
      </w:pPr>
      <w:r>
        <w:rPr>
          <w:rFonts w:ascii="Arial" w:cs="Arial" w:eastAsia="Arial" w:hAnsi="Arial"/>
          <w:sz w:val="17"/>
          <w:szCs w:val="17"/>
          <w:color w:val="auto"/>
        </w:rPr>
        <w:t>Government grants, which are received from Israel Innovation Authority (the "IIA") by way of participation in research and development that is conducted by the Company, fall within the scope of "forgivable loans", as set forth in International Accounting Standard Number 20 "The Accounting Treatment of Government Grants and Disclosure in respect of Government Assistance" ("IAS 20"). Since at the time of the receipt of the grants there is no reasonable assurance that the grants that have been received will be repaid, at the time of their receipt they are offset against the related research and development expenses in the statement of comprehensive loss. To the extent that it will be considered "more likely than not" that the grants will be repaid in the future, the Company would record a financial liability. To date, the Company has not recorded government grants as a financial liability.</w:t>
      </w:r>
    </w:p>
    <w:p>
      <w:pPr>
        <w:spacing w:after="0" w:line="174" w:lineRule="exact"/>
        <w:rPr>
          <w:sz w:val="20"/>
          <w:szCs w:val="20"/>
          <w:color w:val="auto"/>
        </w:rPr>
      </w:pPr>
    </w:p>
    <w:p>
      <w:pPr>
        <w:ind w:left="1280" w:hanging="381"/>
        <w:spacing w:after="0"/>
        <w:tabs>
          <w:tab w:leader="none" w:pos="128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Loss per ordinary share</w:t>
      </w:r>
    </w:p>
    <w:p>
      <w:pPr>
        <w:spacing w:after="0" w:line="229" w:lineRule="exact"/>
        <w:rPr>
          <w:sz w:val="20"/>
          <w:szCs w:val="20"/>
          <w:color w:val="auto"/>
        </w:rPr>
      </w:pPr>
    </w:p>
    <w:p>
      <w:pPr>
        <w:ind w:left="1300" w:right="40"/>
        <w:spacing w:after="0" w:line="271" w:lineRule="auto"/>
        <w:rPr>
          <w:sz w:val="20"/>
          <w:szCs w:val="20"/>
          <w:color w:val="auto"/>
        </w:rPr>
      </w:pPr>
      <w:r>
        <w:rPr>
          <w:rFonts w:ascii="Arial" w:cs="Arial" w:eastAsia="Arial" w:hAnsi="Arial"/>
          <w:sz w:val="17"/>
          <w:szCs w:val="17"/>
          <w:color w:val="auto"/>
        </w:rPr>
        <w:t>Basic loss per share is calculated by dividing the loss attributable to equity holders of the Company by the weighted average number of ordinary shares issued and outstanding during the year. In computing diluted loss per share, basic loss per share are adjusted to take into account the potential dilution that could occur upon the conversion of the dilutive series of convertible debentures and preferred stock, and warrants, by subtracting from net loss fair value changes of such financial instruments, and by adjusting the weighted average number of outstanding ordinary shares, assuming conversion of all such dilutive potential shares. The Company’s dilutive potential shares consist of shares issuable upon conversion of convertible loan and preferred shares, warrants and options. Potential shares are only dilutive if their conversion would increase the loss per share. If the loss per share would decrease, the shares are anti-dilutive and are excluded from the diluted loss per share calculation.</w:t>
      </w: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sectPr>
      </w:pPr>
    </w:p>
    <w:bookmarkStart w:id="182" w:name="page183"/>
    <w:bookmarkEnd w:id="18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NOTE 2 - SUMMARY OF SIGNIFICANT ACCOUNTING POLICIES </w:t>
      </w:r>
      <w:r>
        <w:rPr>
          <w:rFonts w:ascii="Arial" w:cs="Arial" w:eastAsia="Arial" w:hAnsi="Arial"/>
          <w:sz w:val="20"/>
          <w:szCs w:val="20"/>
          <w:color w:val="auto"/>
        </w:rPr>
        <w:t>(continued)</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59" w:lineRule="exact"/>
        <w:rPr>
          <w:sz w:val="20"/>
          <w:szCs w:val="20"/>
          <w:color w:val="auto"/>
        </w:rPr>
      </w:pPr>
    </w:p>
    <w:p>
      <w:pPr>
        <w:ind w:left="900"/>
        <w:spacing w:after="0"/>
        <w:tabs>
          <w:tab w:leader="none" w:pos="1260" w:val="left"/>
        </w:tabs>
        <w:rPr>
          <w:sz w:val="20"/>
          <w:szCs w:val="20"/>
          <w:color w:val="auto"/>
        </w:rPr>
      </w:pPr>
      <w:r>
        <w:rPr>
          <w:rFonts w:ascii="Arial" w:cs="Arial" w:eastAsia="Arial" w:hAnsi="Arial"/>
          <w:sz w:val="20"/>
          <w:szCs w:val="20"/>
          <w:b w:val="1"/>
          <w:bCs w:val="1"/>
          <w:color w:val="auto"/>
        </w:rPr>
        <w:t>o</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New standards, amendments to standards or interpretations</w:t>
      </w:r>
    </w:p>
    <w:p>
      <w:pPr>
        <w:spacing w:after="0" w:line="238" w:lineRule="exact"/>
        <w:rPr>
          <w:sz w:val="20"/>
          <w:szCs w:val="20"/>
          <w:color w:val="auto"/>
        </w:rPr>
      </w:pPr>
    </w:p>
    <w:p>
      <w:pPr>
        <w:ind w:left="1280" w:right="160"/>
        <w:spacing w:after="0" w:line="277" w:lineRule="auto"/>
        <w:rPr>
          <w:sz w:val="20"/>
          <w:szCs w:val="20"/>
          <w:color w:val="auto"/>
        </w:rPr>
      </w:pPr>
      <w:r>
        <w:rPr>
          <w:rFonts w:ascii="Arial" w:cs="Arial" w:eastAsia="Arial" w:hAnsi="Arial"/>
          <w:sz w:val="18"/>
          <w:szCs w:val="18"/>
          <w:color w:val="auto"/>
        </w:rPr>
        <w:t>The following new standards, amendments to standards or interpretations have been issued, but are not effective, and have not been early adopted:</w:t>
      </w:r>
    </w:p>
    <w:p>
      <w:pPr>
        <w:spacing w:after="0" w:line="170" w:lineRule="exact"/>
        <w:rPr>
          <w:sz w:val="20"/>
          <w:szCs w:val="20"/>
          <w:color w:val="auto"/>
        </w:rPr>
      </w:pPr>
    </w:p>
    <w:p>
      <w:pPr>
        <w:ind w:left="1600" w:hanging="322"/>
        <w:spacing w:after="0"/>
        <w:tabs>
          <w:tab w:leader="none" w:pos="16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IFRS 9, "Financial Instruments"</w:t>
      </w:r>
    </w:p>
    <w:p>
      <w:pPr>
        <w:spacing w:after="0" w:line="225" w:lineRule="exact"/>
        <w:rPr>
          <w:rFonts w:ascii="Arial" w:cs="Arial" w:eastAsia="Arial" w:hAnsi="Arial"/>
          <w:sz w:val="18"/>
          <w:szCs w:val="18"/>
          <w:color w:val="auto"/>
        </w:rPr>
      </w:pPr>
    </w:p>
    <w:p>
      <w:pPr>
        <w:ind w:left="1600" w:right="40"/>
        <w:spacing w:after="0" w:line="289" w:lineRule="auto"/>
        <w:rPr>
          <w:rFonts w:ascii="Arial" w:cs="Arial" w:eastAsia="Arial" w:hAnsi="Arial"/>
          <w:sz w:val="18"/>
          <w:szCs w:val="18"/>
          <w:color w:val="auto"/>
        </w:rPr>
      </w:pPr>
      <w:r>
        <w:rPr>
          <w:rFonts w:ascii="Arial" w:cs="Arial" w:eastAsia="Arial" w:hAnsi="Arial"/>
          <w:sz w:val="16"/>
          <w:szCs w:val="16"/>
          <w:color w:val="auto"/>
        </w:rPr>
        <w:t>The complete version of IFRS 9 replaces most of the guidance in IAS 39. IFRS 9 retains but simplifies the mixed measurement model and establishes three primary measurement categories for financial assets: amortized cost, fair value through other comprehensive income and fair value through profit and loss. The basis of classification depends on the entity’s business model and the contractual cash flow characteristics of the financial asset. Investments in equity instruments are required to be measured at fair value through profit or loss with the irrevocable option at inception to present changes in fair value in other comprehensive income. There is now a new expected credit losses model that replaces the incurred loss impairment model used in IAS 39. For financial liabilities, there were no changes to classification and measurement except for the recognition of changes in own credit risk in other comprehensive income, for liabilities designated at fair value through profit or loss. The standard is effective for accounting periods beginning on or after January 1, 2018. The implementation of this standard is expected to have no material impact on the financial statements.</w:t>
      </w:r>
    </w:p>
    <w:p>
      <w:pPr>
        <w:spacing w:after="0" w:line="166" w:lineRule="exact"/>
        <w:rPr>
          <w:rFonts w:ascii="Arial" w:cs="Arial" w:eastAsia="Arial" w:hAnsi="Arial"/>
          <w:sz w:val="18"/>
          <w:szCs w:val="18"/>
          <w:color w:val="auto"/>
        </w:rPr>
      </w:pPr>
    </w:p>
    <w:p>
      <w:pPr>
        <w:ind w:left="1600" w:hanging="322"/>
        <w:spacing w:after="0"/>
        <w:tabs>
          <w:tab w:leader="none" w:pos="16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IFRS 16, "Leases"</w:t>
      </w:r>
    </w:p>
    <w:p>
      <w:pPr>
        <w:spacing w:after="0" w:line="225" w:lineRule="exact"/>
        <w:rPr>
          <w:rFonts w:ascii="Arial" w:cs="Arial" w:eastAsia="Arial" w:hAnsi="Arial"/>
          <w:sz w:val="18"/>
          <w:szCs w:val="18"/>
          <w:color w:val="auto"/>
        </w:rPr>
      </w:pPr>
    </w:p>
    <w:p>
      <w:pPr>
        <w:ind w:left="1600"/>
        <w:spacing w:after="0" w:line="289" w:lineRule="auto"/>
        <w:rPr>
          <w:rFonts w:ascii="Arial" w:cs="Arial" w:eastAsia="Arial" w:hAnsi="Arial"/>
          <w:sz w:val="18"/>
          <w:szCs w:val="18"/>
          <w:color w:val="auto"/>
        </w:rPr>
      </w:pPr>
      <w:r>
        <w:rPr>
          <w:rFonts w:ascii="Arial" w:cs="Arial" w:eastAsia="Arial" w:hAnsi="Arial"/>
          <w:sz w:val="16"/>
          <w:szCs w:val="16"/>
          <w:color w:val="auto"/>
        </w:rPr>
        <w:t>In January 2016, the IASB issued IFRS 16, Leases, which sets out the principles for the recognition, measurement, presentation and disclosure of leases for both parties to a contract and replaces the previous leases standard, IAS 17, Leases. IFRS 16 eliminates the classification of leases for the lessee as either operating leases or finance leases as required by IAS 17 and instead introduces a single lessee accounting model whereby a lessee is required to recognize assets and liabilities for all leases with a term that is greater than 12 months, unless the underlying asset is of low value, and to recognize depreciation of leased assets separately from interest on lease liabilities in the income statement. As IFRS 16 substantially carries forward the lessor accounting requirements in IAS 17, a lessor will continue to classify its leases as operating leases or finance leases and to account for those two types of leases differently. IFRS 16 is effective from January 1, 2019 with early adoption allowed only if IFRS 15, Revenue from Contracts with Customers, is also applied. The Company is currently evaluating the impact of adoption on its financial statements.</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sectPr>
      </w:pPr>
    </w:p>
    <w:bookmarkStart w:id="183" w:name="page184"/>
    <w:bookmarkEnd w:id="18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CRITICAL ACCOUNTING ESTIMATES AND JUDGEMENTS</w:t>
      </w:r>
    </w:p>
    <w:p>
      <w:pPr>
        <w:spacing w:after="0" w:line="229" w:lineRule="exact"/>
        <w:rPr>
          <w:sz w:val="20"/>
          <w:szCs w:val="20"/>
          <w:color w:val="auto"/>
        </w:rPr>
      </w:pPr>
    </w:p>
    <w:p>
      <w:pPr>
        <w:ind w:left="900" w:right="300"/>
        <w:spacing w:after="0" w:line="277" w:lineRule="auto"/>
        <w:rPr>
          <w:sz w:val="20"/>
          <w:szCs w:val="20"/>
          <w:color w:val="auto"/>
        </w:rPr>
      </w:pPr>
      <w:r>
        <w:rPr>
          <w:rFonts w:ascii="Arial" w:cs="Arial" w:eastAsia="Arial" w:hAnsi="Arial"/>
          <w:sz w:val="18"/>
          <w:szCs w:val="18"/>
          <w:color w:val="auto"/>
        </w:rPr>
        <w:t>Estimates and judgments are continually evaluated and are based on historical experience and other factors, including expectations of future events that are believed to be reasonable under the circumstances.</w:t>
      </w:r>
    </w:p>
    <w:p>
      <w:pPr>
        <w:spacing w:after="0" w:line="170" w:lineRule="exact"/>
        <w:rPr>
          <w:sz w:val="20"/>
          <w:szCs w:val="20"/>
          <w:color w:val="auto"/>
        </w:rPr>
      </w:pPr>
    </w:p>
    <w:p>
      <w:pPr>
        <w:ind w:left="900" w:right="60"/>
        <w:spacing w:after="0" w:line="264" w:lineRule="auto"/>
        <w:rPr>
          <w:sz w:val="20"/>
          <w:szCs w:val="20"/>
          <w:color w:val="auto"/>
        </w:rPr>
      </w:pPr>
      <w:r>
        <w:rPr>
          <w:rFonts w:ascii="Arial" w:cs="Arial" w:eastAsia="Arial" w:hAnsi="Arial"/>
          <w:sz w:val="18"/>
          <w:szCs w:val="18"/>
          <w:color w:val="auto"/>
        </w:rPr>
        <w:t>The Company makes estimates and assumptions concerning the future. The resulting accounting estimates will, by definition, seldom equal the related actual results. The estimates and assumptions that have a significant risk of causing a material adjustment to the carrying amounts of assets and liabilities within the next financial year are discussed below:</w:t>
      </w:r>
    </w:p>
    <w:p>
      <w:pPr>
        <w:spacing w:after="0" w:line="17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Share-based payment</w:t>
      </w:r>
    </w:p>
    <w:p>
      <w:pPr>
        <w:spacing w:after="0" w:line="229" w:lineRule="exact"/>
        <w:rPr>
          <w:sz w:val="20"/>
          <w:szCs w:val="20"/>
          <w:color w:val="auto"/>
        </w:rPr>
      </w:pPr>
    </w:p>
    <w:p>
      <w:pPr>
        <w:ind w:left="900"/>
        <w:spacing w:after="0" w:line="286" w:lineRule="auto"/>
        <w:rPr>
          <w:sz w:val="20"/>
          <w:szCs w:val="20"/>
          <w:color w:val="auto"/>
        </w:rPr>
      </w:pPr>
      <w:r>
        <w:rPr>
          <w:rFonts w:ascii="Arial" w:cs="Arial" w:eastAsia="Arial" w:hAnsi="Arial"/>
          <w:sz w:val="17"/>
          <w:szCs w:val="17"/>
          <w:color w:val="auto"/>
        </w:rPr>
        <w:t>With respect to grants to employees, service providers and directors, the value of the labor services received in return is measured on the date of grant, based on the fair value of the equity instruments granted to the employees and directors. In order to measure the fair value of the labor service received, the Company uses the Black-Scholes model to value the equity instrument. See also note 10b.</w:t>
      </w:r>
    </w:p>
    <w:p>
      <w:pPr>
        <w:spacing w:after="0" w:line="37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Fair value of financial liabilities at fair value through profit or loss</w:t>
      </w:r>
    </w:p>
    <w:p>
      <w:pPr>
        <w:spacing w:after="0" w:line="229" w:lineRule="exact"/>
        <w:rPr>
          <w:sz w:val="20"/>
          <w:szCs w:val="20"/>
          <w:color w:val="auto"/>
        </w:rPr>
      </w:pPr>
    </w:p>
    <w:p>
      <w:pPr>
        <w:ind w:left="900" w:right="80"/>
        <w:spacing w:after="0" w:line="302" w:lineRule="auto"/>
        <w:rPr>
          <w:sz w:val="20"/>
          <w:szCs w:val="20"/>
          <w:color w:val="auto"/>
        </w:rPr>
      </w:pPr>
      <w:r>
        <w:rPr>
          <w:rFonts w:ascii="Arial" w:cs="Arial" w:eastAsia="Arial" w:hAnsi="Arial"/>
          <w:sz w:val="16"/>
          <w:szCs w:val="16"/>
          <w:color w:val="auto"/>
        </w:rPr>
        <w:t>To determine the fair value of the 2016 Convertible Loan, 2012 Convertible Loan, preferred shares, warrants to purchase preferred shares and shares and liability to issue preferred shares and warrants, the Company uses its judgment to select a variety of methods and make assumptions that are mainly based on market conditions existing at the end of each reporting period. The estimated fair value of these financial liabilities might have been different had Company's management used different estimates and assumptions. See also note 7 and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5" w:right="379" w:bottom="1440" w:gutter="0" w:footer="0" w:header="0"/>
        </w:sectPr>
      </w:pPr>
    </w:p>
    <w:bookmarkStart w:id="184" w:name="page185"/>
    <w:bookmarkEnd w:id="18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FINANCIAL INSTRUMENTS:</w:t>
      </w:r>
    </w:p>
    <w:p>
      <w:pPr>
        <w:spacing w:after="0" w:line="225" w:lineRule="exact"/>
        <w:rPr>
          <w:sz w:val="20"/>
          <w:szCs w:val="20"/>
          <w:color w:val="auto"/>
        </w:rPr>
      </w:pPr>
    </w:p>
    <w:p>
      <w:pPr>
        <w:ind w:left="1300" w:hanging="401"/>
        <w:spacing w:after="0"/>
        <w:tabs>
          <w:tab w:leader="none" w:pos="130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229" w:lineRule="exact"/>
        <w:rPr>
          <w:rFonts w:ascii="Arial" w:cs="Arial" w:eastAsia="Arial" w:hAnsi="Arial"/>
          <w:sz w:val="18"/>
          <w:szCs w:val="18"/>
          <w:b w:val="1"/>
          <w:bCs w:val="1"/>
          <w:color w:val="auto"/>
        </w:rPr>
      </w:pPr>
    </w:p>
    <w:p>
      <w:pPr>
        <w:ind w:left="1660" w:hanging="382"/>
        <w:spacing w:after="0"/>
        <w:tabs>
          <w:tab w:leader="none" w:pos="16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Financial risk factors</w:t>
      </w:r>
    </w:p>
    <w:p>
      <w:pPr>
        <w:spacing w:after="0" w:line="225" w:lineRule="exact"/>
        <w:rPr>
          <w:rFonts w:ascii="Arial" w:cs="Arial" w:eastAsia="Arial" w:hAnsi="Arial"/>
          <w:sz w:val="18"/>
          <w:szCs w:val="18"/>
          <w:color w:val="auto"/>
        </w:rPr>
      </w:pPr>
    </w:p>
    <w:p>
      <w:pPr>
        <w:ind w:left="1660" w:right="280"/>
        <w:spacing w:after="0" w:line="342" w:lineRule="auto"/>
        <w:rPr>
          <w:rFonts w:ascii="Arial" w:cs="Arial" w:eastAsia="Arial" w:hAnsi="Arial"/>
          <w:sz w:val="18"/>
          <w:szCs w:val="18"/>
          <w:color w:val="auto"/>
        </w:rPr>
      </w:pPr>
      <w:r>
        <w:rPr>
          <w:rFonts w:ascii="Arial" w:cs="Arial" w:eastAsia="Arial" w:hAnsi="Arial"/>
          <w:sz w:val="16"/>
          <w:szCs w:val="16"/>
          <w:color w:val="auto"/>
        </w:rPr>
        <w:t>The Company’s activities expose it to a variety of financial risks. The Company’s overall risk management program focuses on the unpredictability of financial markets and seeks to minimize potential adverse effects on the Company’s financial performance.</w:t>
      </w:r>
    </w:p>
    <w:p>
      <w:pPr>
        <w:spacing w:after="0" w:line="123" w:lineRule="exact"/>
        <w:rPr>
          <w:rFonts w:ascii="Arial" w:cs="Arial" w:eastAsia="Arial" w:hAnsi="Arial"/>
          <w:sz w:val="18"/>
          <w:szCs w:val="18"/>
          <w:color w:val="auto"/>
        </w:rPr>
      </w:pPr>
    </w:p>
    <w:p>
      <w:pPr>
        <w:ind w:left="1660" w:right="260"/>
        <w:spacing w:after="0" w:line="277" w:lineRule="auto"/>
        <w:rPr>
          <w:rFonts w:ascii="Arial" w:cs="Arial" w:eastAsia="Arial" w:hAnsi="Arial"/>
          <w:sz w:val="18"/>
          <w:szCs w:val="18"/>
          <w:color w:val="auto"/>
        </w:rPr>
      </w:pPr>
      <w:r>
        <w:rPr>
          <w:rFonts w:ascii="Arial" w:cs="Arial" w:eastAsia="Arial" w:hAnsi="Arial"/>
          <w:sz w:val="18"/>
          <w:szCs w:val="18"/>
          <w:color w:val="auto"/>
        </w:rPr>
        <w:t>Risk management is performed by the Chief Financial Officer of the Company, who identifies and evaluates financial risks in close cooperation with the Company's Chief Executive Officer.</w:t>
      </w:r>
    </w:p>
    <w:p>
      <w:pPr>
        <w:spacing w:after="0" w:line="170"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The Company does not use financial instruments for hedging activity.</w:t>
      </w:r>
    </w:p>
    <w:p>
      <w:pPr>
        <w:spacing w:after="0" w:line="225" w:lineRule="exact"/>
        <w:rPr>
          <w:rFonts w:ascii="Arial" w:cs="Arial" w:eastAsia="Arial" w:hAnsi="Arial"/>
          <w:sz w:val="18"/>
          <w:szCs w:val="18"/>
          <w:color w:val="auto"/>
        </w:rPr>
      </w:pPr>
    </w:p>
    <w:p>
      <w:pPr>
        <w:ind w:left="1660" w:hanging="382"/>
        <w:spacing w:after="0"/>
        <w:tabs>
          <w:tab w:leader="none" w:pos="16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225" w:lineRule="exact"/>
        <w:rPr>
          <w:rFonts w:ascii="Arial" w:cs="Arial" w:eastAsia="Arial" w:hAnsi="Arial"/>
          <w:sz w:val="18"/>
          <w:szCs w:val="18"/>
          <w:color w:val="auto"/>
        </w:rPr>
      </w:pPr>
    </w:p>
    <w:p>
      <w:pPr>
        <w:ind w:left="1660" w:right="400"/>
        <w:spacing w:after="0" w:line="259" w:lineRule="auto"/>
        <w:rPr>
          <w:rFonts w:ascii="Arial" w:cs="Arial" w:eastAsia="Arial" w:hAnsi="Arial"/>
          <w:sz w:val="18"/>
          <w:szCs w:val="18"/>
          <w:color w:val="auto"/>
        </w:rPr>
      </w:pPr>
      <w:r>
        <w:rPr>
          <w:rFonts w:ascii="Arial" w:cs="Arial" w:eastAsia="Arial" w:hAnsi="Arial"/>
          <w:sz w:val="18"/>
          <w:szCs w:val="18"/>
          <w:color w:val="auto"/>
        </w:rPr>
        <w:t>Credit and interest risk arises from cash and cash equivalents and deposits with banks. A portion of the liquid instruments of the Company is invested in short-term deposits in leading Israeli banks. The Company estimates that since the liquid instruments are mainly invested for the short-term and with a highly-rated institution, the credit and interest risk associated with these balances is immaterial.</w:t>
      </w:r>
    </w:p>
    <w:p>
      <w:pPr>
        <w:spacing w:after="0" w:line="186" w:lineRule="exact"/>
        <w:rPr>
          <w:rFonts w:ascii="Arial" w:cs="Arial" w:eastAsia="Arial" w:hAnsi="Arial"/>
          <w:sz w:val="18"/>
          <w:szCs w:val="18"/>
          <w:color w:val="auto"/>
        </w:rPr>
      </w:pPr>
    </w:p>
    <w:p>
      <w:pPr>
        <w:ind w:left="1660" w:hanging="382"/>
        <w:spacing w:after="0"/>
        <w:tabs>
          <w:tab w:leader="none" w:pos="16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Liquidity risk</w:t>
      </w:r>
    </w:p>
    <w:p>
      <w:pPr>
        <w:spacing w:after="0" w:line="225"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Prudent liquidity risk management implies maintaining sufficient cash.</w:t>
      </w:r>
    </w:p>
    <w:p>
      <w:pPr>
        <w:spacing w:after="0" w:line="225" w:lineRule="exact"/>
        <w:rPr>
          <w:rFonts w:ascii="Arial" w:cs="Arial" w:eastAsia="Arial" w:hAnsi="Arial"/>
          <w:sz w:val="18"/>
          <w:szCs w:val="18"/>
          <w:color w:val="auto"/>
        </w:rPr>
      </w:pPr>
    </w:p>
    <w:p>
      <w:pPr>
        <w:ind w:left="1660" w:right="880"/>
        <w:spacing w:after="0" w:line="308" w:lineRule="auto"/>
        <w:rPr>
          <w:rFonts w:ascii="Arial" w:cs="Arial" w:eastAsia="Arial" w:hAnsi="Arial"/>
          <w:sz w:val="18"/>
          <w:szCs w:val="18"/>
          <w:color w:val="auto"/>
        </w:rPr>
      </w:pPr>
      <w:r>
        <w:rPr>
          <w:rFonts w:ascii="Arial" w:cs="Arial" w:eastAsia="Arial" w:hAnsi="Arial"/>
          <w:sz w:val="17"/>
          <w:szCs w:val="17"/>
          <w:color w:val="auto"/>
        </w:rPr>
        <w:t>The Company is in a research stage and has not yet generated revenues. It is therefore exposed to liquidity risk, taking into consideration the forecasts of cash flows required to finance its investments and other activities.</w:t>
      </w:r>
    </w:p>
    <w:p>
      <w:pPr>
        <w:spacing w:after="0" w:line="146" w:lineRule="exact"/>
        <w:rPr>
          <w:rFonts w:ascii="Arial" w:cs="Arial" w:eastAsia="Arial" w:hAnsi="Arial"/>
          <w:sz w:val="18"/>
          <w:szCs w:val="18"/>
          <w:color w:val="auto"/>
        </w:rPr>
      </w:pPr>
    </w:p>
    <w:p>
      <w:pPr>
        <w:ind w:left="1660" w:hanging="382"/>
        <w:spacing w:after="0"/>
        <w:tabs>
          <w:tab w:leader="none" w:pos="16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Market risk—Foreign exchange risk</w:t>
      </w:r>
    </w:p>
    <w:p>
      <w:pPr>
        <w:spacing w:after="0" w:line="225" w:lineRule="exact"/>
        <w:rPr>
          <w:rFonts w:ascii="Arial" w:cs="Arial" w:eastAsia="Arial" w:hAnsi="Arial"/>
          <w:sz w:val="18"/>
          <w:szCs w:val="18"/>
          <w:color w:val="auto"/>
        </w:rPr>
      </w:pPr>
    </w:p>
    <w:p>
      <w:pPr>
        <w:ind w:left="1660" w:right="20"/>
        <w:spacing w:after="0" w:line="259" w:lineRule="auto"/>
        <w:rPr>
          <w:rFonts w:ascii="Arial" w:cs="Arial" w:eastAsia="Arial" w:hAnsi="Arial"/>
          <w:sz w:val="18"/>
          <w:szCs w:val="18"/>
          <w:color w:val="auto"/>
        </w:rPr>
      </w:pPr>
      <w:r>
        <w:rPr>
          <w:rFonts w:ascii="Arial" w:cs="Arial" w:eastAsia="Arial" w:hAnsi="Arial"/>
          <w:sz w:val="18"/>
          <w:szCs w:val="18"/>
          <w:color w:val="auto"/>
        </w:rPr>
        <w:t>The Company might be exposed to foreign exchange risk as a result of making payments to employees or service providers and investment of some liquidity in currencies other than the Company's functional currency. The Company manages the foreign exchange risk by aligning the currencies for holding liquidity with the currencies of expected expenses, based on the expected cash flows of the Company.</w:t>
      </w:r>
    </w:p>
    <w:p>
      <w:pPr>
        <w:spacing w:after="0" w:line="182" w:lineRule="exact"/>
        <w:rPr>
          <w:rFonts w:ascii="Arial" w:cs="Arial" w:eastAsia="Arial" w:hAnsi="Arial"/>
          <w:sz w:val="18"/>
          <w:szCs w:val="18"/>
          <w:color w:val="auto"/>
        </w:rPr>
      </w:pPr>
    </w:p>
    <w:p>
      <w:pPr>
        <w:ind w:left="1220" w:hanging="321"/>
        <w:spacing w:after="0"/>
        <w:tabs>
          <w:tab w:leader="none" w:pos="122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Capital risk management</w:t>
      </w:r>
    </w:p>
    <w:p>
      <w:pPr>
        <w:spacing w:after="0" w:line="229" w:lineRule="exact"/>
        <w:rPr>
          <w:sz w:val="20"/>
          <w:szCs w:val="20"/>
          <w:color w:val="auto"/>
        </w:rPr>
      </w:pPr>
    </w:p>
    <w:p>
      <w:pPr>
        <w:ind w:left="1280"/>
        <w:spacing w:after="0" w:line="264" w:lineRule="auto"/>
        <w:rPr>
          <w:sz w:val="20"/>
          <w:szCs w:val="20"/>
          <w:color w:val="auto"/>
        </w:rPr>
      </w:pPr>
      <w:r>
        <w:rPr>
          <w:rFonts w:ascii="Arial" w:cs="Arial" w:eastAsia="Arial" w:hAnsi="Arial"/>
          <w:sz w:val="18"/>
          <w:szCs w:val="18"/>
          <w:color w:val="auto"/>
        </w:rPr>
        <w:t>The Company’s objectives when managing capital are to safeguard the Company’s ability to continue as a going concern in order to provide returns for shareholders and to maintain an optimal capital structure to reduce the cost of capital. It should be noted that the Company is in the research and development stage and has not yet generated revenues.</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185" w:name="page186"/>
    <w:bookmarkEnd w:id="18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 FINANCIAL INSTRUMENTS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5" w:lineRule="exact"/>
        <w:rPr>
          <w:sz w:val="20"/>
          <w:szCs w:val="20"/>
          <w:color w:val="auto"/>
        </w:rPr>
      </w:pPr>
    </w:p>
    <w:p>
      <w:pPr>
        <w:ind w:left="1220" w:hanging="321"/>
        <w:spacing w:after="0"/>
        <w:tabs>
          <w:tab w:leader="none" w:pos="122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The different levels of valuation of financial instruments are defined as follows:</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Level 1 Quoted prices (unadjusted) in active markets for identical assets or liabilities.</w:t>
      </w:r>
    </w:p>
    <w:p>
      <w:pPr>
        <w:spacing w:after="0" w:line="9" w:lineRule="exact"/>
        <w:rPr>
          <w:sz w:val="20"/>
          <w:szCs w:val="20"/>
          <w:color w:val="auto"/>
        </w:rPr>
      </w:pPr>
    </w:p>
    <w:p>
      <w:pPr>
        <w:ind w:left="2040" w:hanging="764"/>
        <w:spacing w:after="0" w:line="250" w:lineRule="auto"/>
        <w:rPr>
          <w:sz w:val="20"/>
          <w:szCs w:val="20"/>
          <w:color w:val="auto"/>
        </w:rPr>
      </w:pPr>
      <w:r>
        <w:rPr>
          <w:rFonts w:ascii="Arial" w:cs="Arial" w:eastAsia="Arial" w:hAnsi="Arial"/>
          <w:sz w:val="18"/>
          <w:szCs w:val="18"/>
          <w:color w:val="auto"/>
        </w:rPr>
        <w:t>Level 2 Inputs, other than quoted prices included within level 1 that are observable for the asset or liability, either directly (as prices) or indirectly (derived from prices).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Level 3 Inputs for the asset or liability that are not based on observable market data (unobservable inputs).</w:t>
      </w:r>
    </w:p>
    <w:p>
      <w:pPr>
        <w:spacing w:after="0" w:line="9" w:lineRule="exact"/>
        <w:rPr>
          <w:sz w:val="20"/>
          <w:szCs w:val="20"/>
          <w:color w:val="auto"/>
        </w:rPr>
      </w:pPr>
    </w:p>
    <w:p>
      <w:pPr>
        <w:ind w:left="1280" w:right="220"/>
        <w:spacing w:after="0" w:line="261" w:lineRule="auto"/>
        <w:rPr>
          <w:sz w:val="20"/>
          <w:szCs w:val="20"/>
          <w:color w:val="auto"/>
        </w:rPr>
      </w:pPr>
      <w:r>
        <w:rPr>
          <w:rFonts w:ascii="Arial" w:cs="Arial" w:eastAsia="Arial" w:hAnsi="Arial"/>
          <w:sz w:val="18"/>
          <w:szCs w:val="18"/>
          <w:color w:val="auto"/>
        </w:rPr>
        <w:t>The fair value of financial instruments traded in active markets is based on quoted market prices at the dates of the statements of financial position.</w:t>
      </w:r>
    </w:p>
    <w:p>
      <w:pPr>
        <w:spacing w:after="0" w:line="184" w:lineRule="exact"/>
        <w:rPr>
          <w:sz w:val="20"/>
          <w:szCs w:val="20"/>
          <w:color w:val="auto"/>
        </w:rPr>
      </w:pPr>
    </w:p>
    <w:p>
      <w:pPr>
        <w:jc w:val="both"/>
        <w:ind w:left="1320" w:right="100"/>
        <w:spacing w:after="0" w:line="264" w:lineRule="auto"/>
        <w:rPr>
          <w:sz w:val="20"/>
          <w:szCs w:val="20"/>
          <w:color w:val="auto"/>
        </w:rPr>
      </w:pPr>
      <w:r>
        <w:rPr>
          <w:rFonts w:ascii="Arial" w:cs="Arial" w:eastAsia="Arial" w:hAnsi="Arial"/>
          <w:sz w:val="18"/>
          <w:szCs w:val="18"/>
          <w:color w:val="auto"/>
        </w:rPr>
        <w:t>A market is regarded as active if quoted prices are readily and regularly available from an exchange, dealer, broker, industry group, pricing service, or regulatory agency, and those prices represent actual and regularly occurring market transactions on an arm’s length basis. These instruments are included in level 1.</w:t>
      </w:r>
    </w:p>
    <w:p>
      <w:pPr>
        <w:spacing w:after="0" w:line="181" w:lineRule="exact"/>
        <w:rPr>
          <w:sz w:val="20"/>
          <w:szCs w:val="20"/>
          <w:color w:val="auto"/>
        </w:rPr>
      </w:pPr>
    </w:p>
    <w:p>
      <w:pPr>
        <w:jc w:val="both"/>
        <w:ind w:left="1320" w:right="120"/>
        <w:spacing w:after="0" w:line="286" w:lineRule="auto"/>
        <w:rPr>
          <w:sz w:val="20"/>
          <w:szCs w:val="20"/>
          <w:color w:val="auto"/>
        </w:rPr>
      </w:pPr>
      <w:r>
        <w:rPr>
          <w:rFonts w:ascii="Arial" w:cs="Arial" w:eastAsia="Arial" w:hAnsi="Arial"/>
          <w:sz w:val="17"/>
          <w:szCs w:val="17"/>
          <w:color w:val="auto"/>
        </w:rPr>
        <w:t>The fair value of financial instruments that are not traded in an active market is determined by using valuation techniques. These valuation techniques maximize the use of observable market data where it is available and rely as little as possible on entity specific estimates. If all significant inputs required to fair value an instrument are observable, the instrument is included in level 2.</w:t>
      </w:r>
    </w:p>
    <w:p>
      <w:pPr>
        <w:spacing w:after="0" w:line="16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If one or more of the significant inputs is not based on observable market data, the instrument is included in level 3.</w:t>
      </w:r>
    </w:p>
    <w:p>
      <w:pPr>
        <w:spacing w:after="0" w:line="225" w:lineRule="exact"/>
        <w:rPr>
          <w:sz w:val="20"/>
          <w:szCs w:val="20"/>
          <w:color w:val="auto"/>
        </w:rPr>
      </w:pPr>
    </w:p>
    <w:p>
      <w:pPr>
        <w:ind w:left="1280" w:right="380"/>
        <w:spacing w:after="0" w:line="277" w:lineRule="auto"/>
        <w:rPr>
          <w:sz w:val="20"/>
          <w:szCs w:val="20"/>
          <w:color w:val="auto"/>
        </w:rPr>
      </w:pPr>
      <w:r>
        <w:rPr>
          <w:rFonts w:ascii="Arial" w:cs="Arial" w:eastAsia="Arial" w:hAnsi="Arial"/>
          <w:sz w:val="18"/>
          <w:szCs w:val="18"/>
          <w:color w:val="auto"/>
        </w:rPr>
        <w:t>As of December 31, 2017, and 2016, the fair value of certain financial instruments (cash and cash equivalents, restricted deposits, other receivables and accounts payable) approximates their carrying value.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86" w:name="page187"/>
    <w:bookmarkEnd w:id="18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 FINANCIAL INSTRUMENTS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5" w:lineRule="exact"/>
        <w:rPr>
          <w:sz w:val="20"/>
          <w:szCs w:val="20"/>
          <w:color w:val="auto"/>
        </w:rPr>
      </w:pPr>
    </w:p>
    <w:p>
      <w:pPr>
        <w:ind w:left="1300" w:hanging="401"/>
        <w:spacing w:after="0"/>
        <w:tabs>
          <w:tab w:leader="none" w:pos="130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Classification of financial instruments by groups:</w:t>
      </w:r>
    </w:p>
    <w:p>
      <w:pPr>
        <w:spacing w:after="0" w:line="225" w:lineRule="exact"/>
        <w:rPr>
          <w:sz w:val="20"/>
          <w:szCs w:val="20"/>
          <w:color w:val="auto"/>
        </w:rPr>
      </w:pPr>
    </w:p>
    <w:tbl>
      <w:tblPr>
        <w:tblLayout w:type="fixed"/>
        <w:tblInd w:w="134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Loans and</w:t>
            </w: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receivables</w:t>
            </w:r>
          </w:p>
        </w:tc>
        <w:tc>
          <w:tcPr>
            <w:tcW w:w="0" w:type="dxa"/>
            <w:vAlign w:val="bottom"/>
          </w:tcPr>
          <w:p>
            <w:pPr>
              <w:spacing w:after="0"/>
              <w:rPr>
                <w:sz w:val="1"/>
                <w:szCs w:val="1"/>
                <w:color w:val="auto"/>
              </w:rPr>
            </w:pPr>
          </w:p>
        </w:tc>
      </w:tr>
      <w:tr>
        <w:trPr>
          <w:trHeight w:val="205"/>
        </w:trPr>
        <w:tc>
          <w:tcPr>
            <w:tcW w:w="6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2"/>
          </w:tcPr>
          <w:p>
            <w:pPr>
              <w:jc w:val="center"/>
              <w:spacing w:after="0" w:line="205" w:lineRule="exact"/>
              <w:rPr>
                <w:sz w:val="20"/>
                <w:szCs w:val="20"/>
                <w:color w:val="auto"/>
              </w:rPr>
            </w:pPr>
            <w:r>
              <w:rPr>
                <w:rFonts w:ascii="Arial" w:cs="Arial" w:eastAsia="Arial" w:hAnsi="Arial"/>
                <w:sz w:val="18"/>
                <w:szCs w:val="18"/>
                <w:b w:val="1"/>
                <w:bCs w:val="1"/>
                <w:color w:val="auto"/>
                <w:w w:val="90"/>
              </w:rPr>
              <w:t>U.S. dollars</w:t>
            </w: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b w:val="1"/>
                <w:bCs w:val="1"/>
                <w:color w:val="auto"/>
              </w:rPr>
              <w:t>As of December 31, 2017:</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D5EAEA"/>
          </w:tcPr>
          <w:p>
            <w:pPr>
              <w:ind w:left="140"/>
              <w:spacing w:after="0"/>
              <w:rPr>
                <w:sz w:val="20"/>
                <w:szCs w:val="20"/>
                <w:color w:val="auto"/>
              </w:rPr>
            </w:pPr>
            <w:r>
              <w:rPr>
                <w:rFonts w:ascii="Arial" w:cs="Arial" w:eastAsia="Arial" w:hAnsi="Arial"/>
                <w:sz w:val="18"/>
                <w:szCs w:val="18"/>
                <w:color w:val="auto"/>
              </w:rPr>
              <w:t>Cash and cash equivalents</w:t>
            </w:r>
          </w:p>
        </w:tc>
        <w:tc>
          <w:tcPr>
            <w:tcW w:w="15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11,746</w:t>
            </w:r>
          </w:p>
        </w:tc>
        <w:tc>
          <w:tcPr>
            <w:tcW w:w="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00" w:type="dxa"/>
            <w:vAlign w:val="bottom"/>
          </w:tcPr>
          <w:p>
            <w:pPr>
              <w:ind w:left="140"/>
              <w:spacing w:after="0" w:line="201" w:lineRule="exact"/>
              <w:rPr>
                <w:sz w:val="20"/>
                <w:szCs w:val="20"/>
                <w:color w:val="auto"/>
              </w:rPr>
            </w:pPr>
            <w:r>
              <w:rPr>
                <w:rFonts w:ascii="Arial" w:cs="Arial" w:eastAsia="Arial" w:hAnsi="Arial"/>
                <w:sz w:val="18"/>
                <w:szCs w:val="18"/>
                <w:color w:val="auto"/>
              </w:rPr>
              <w:t>Receivables (excluding prepaid</w:t>
            </w: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400" w:type="dxa"/>
            <w:vAlign w:val="bottom"/>
          </w:tcPr>
          <w:p>
            <w:pPr>
              <w:ind w:left="400"/>
              <w:spacing w:after="0"/>
              <w:rPr>
                <w:sz w:val="20"/>
                <w:szCs w:val="20"/>
                <w:color w:val="auto"/>
              </w:rPr>
            </w:pPr>
            <w:r>
              <w:rPr>
                <w:rFonts w:ascii="Arial" w:cs="Arial" w:eastAsia="Arial" w:hAnsi="Arial"/>
                <w:sz w:val="18"/>
                <w:szCs w:val="18"/>
                <w:color w:val="auto"/>
              </w:rPr>
              <w:t>expenses)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00" w:type="dxa"/>
            <w:vAlign w:val="bottom"/>
            <w:tcBorders>
              <w:top w:val="single" w:sz="8" w:color="D5EAEA"/>
              <w:bottom w:val="single" w:sz="8" w:color="D5EAEA"/>
            </w:tcBorders>
            <w:shd w:val="clear" w:color="auto" w:fill="D5EAEA"/>
          </w:tcPr>
          <w:p>
            <w:pPr>
              <w:spacing w:after="0"/>
              <w:rPr>
                <w:sz w:val="19"/>
                <w:szCs w:val="19"/>
                <w:color w:val="auto"/>
              </w:rPr>
            </w:pPr>
          </w:p>
        </w:tc>
        <w:tc>
          <w:tcPr>
            <w:tcW w:w="80" w:type="dxa"/>
            <w:vAlign w:val="bottom"/>
            <w:tcBorders>
              <w:top w:val="single" w:sz="8" w:color="D5EAEA"/>
              <w:bottom w:val="single" w:sz="8" w:color="D5EAEA"/>
            </w:tcBorders>
            <w:shd w:val="clear" w:color="auto" w:fill="D5EAEA"/>
          </w:tcPr>
          <w:p>
            <w:pPr>
              <w:spacing w:after="0"/>
              <w:rPr>
                <w:sz w:val="19"/>
                <w:szCs w:val="19"/>
                <w:color w:val="auto"/>
              </w:rPr>
            </w:pPr>
          </w:p>
        </w:tc>
        <w:tc>
          <w:tcPr>
            <w:tcW w:w="14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11,928</w:t>
            </w:r>
          </w:p>
        </w:tc>
        <w:tc>
          <w:tcPr>
            <w:tcW w:w="60" w:type="dxa"/>
            <w:vAlign w:val="bottom"/>
            <w:tcBorders>
              <w:top w:val="single" w:sz="8" w:color="D5EAEA"/>
              <w:bottom w:val="single" w:sz="8" w:color="D5EAEA"/>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2016:</w:t>
            </w: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D5EAEA"/>
          </w:tcPr>
          <w:p>
            <w:pPr>
              <w:ind w:left="140"/>
              <w:spacing w:after="0"/>
              <w:rPr>
                <w:sz w:val="20"/>
                <w:szCs w:val="20"/>
                <w:color w:val="auto"/>
              </w:rPr>
            </w:pPr>
            <w:r>
              <w:rPr>
                <w:rFonts w:ascii="Arial" w:cs="Arial" w:eastAsia="Arial" w:hAnsi="Arial"/>
                <w:sz w:val="18"/>
                <w:szCs w:val="18"/>
                <w:color w:val="auto"/>
              </w:rPr>
              <w:t>Cash and cash equivalents</w:t>
            </w:r>
          </w:p>
        </w:tc>
        <w:tc>
          <w:tcPr>
            <w:tcW w:w="15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4,163</w:t>
            </w:r>
          </w:p>
        </w:tc>
        <w:tc>
          <w:tcPr>
            <w:tcW w:w="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140"/>
              <w:spacing w:after="0"/>
              <w:rPr>
                <w:sz w:val="20"/>
                <w:szCs w:val="20"/>
                <w:color w:val="auto"/>
              </w:rPr>
            </w:pPr>
            <w:r>
              <w:rPr>
                <w:rFonts w:ascii="Arial" w:cs="Arial" w:eastAsia="Arial" w:hAnsi="Arial"/>
                <w:sz w:val="18"/>
                <w:szCs w:val="18"/>
                <w:color w:val="auto"/>
              </w:rPr>
              <w:t>Restricted deposits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D5EAEA"/>
          </w:tcPr>
          <w:p>
            <w:pPr>
              <w:ind w:left="140"/>
              <w:spacing w:after="0"/>
              <w:rPr>
                <w:sz w:val="20"/>
                <w:szCs w:val="20"/>
                <w:color w:val="auto"/>
              </w:rPr>
            </w:pPr>
            <w:r>
              <w:rPr>
                <w:rFonts w:ascii="Arial" w:cs="Arial" w:eastAsia="Arial" w:hAnsi="Arial"/>
                <w:sz w:val="18"/>
                <w:szCs w:val="18"/>
                <w:color w:val="auto"/>
              </w:rPr>
              <w:t>Receivables (excluding prepaid</w:t>
            </w:r>
          </w:p>
        </w:tc>
        <w:tc>
          <w:tcPr>
            <w:tcW w:w="80" w:type="dxa"/>
            <w:vAlign w:val="bottom"/>
            <w:shd w:val="clear" w:color="auto" w:fill="D5EAEA"/>
          </w:tcPr>
          <w:p>
            <w:pPr>
              <w:spacing w:after="0"/>
              <w:rPr>
                <w:sz w:val="18"/>
                <w:szCs w:val="18"/>
                <w:color w:val="auto"/>
              </w:rPr>
            </w:pPr>
          </w:p>
        </w:tc>
        <w:tc>
          <w:tcPr>
            <w:tcW w:w="1440" w:type="dxa"/>
            <w:vAlign w:val="bottom"/>
            <w:shd w:val="clear" w:color="auto" w:fill="D5EAEA"/>
          </w:tcPr>
          <w:p>
            <w:pPr>
              <w:spacing w:after="0"/>
              <w:rPr>
                <w:sz w:val="18"/>
                <w:szCs w:val="18"/>
                <w:color w:val="auto"/>
              </w:rPr>
            </w:pPr>
          </w:p>
        </w:tc>
        <w:tc>
          <w:tcPr>
            <w:tcW w:w="6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D5EAEA"/>
          </w:tcPr>
          <w:p>
            <w:pPr>
              <w:ind w:left="400"/>
              <w:spacing w:after="0"/>
              <w:rPr>
                <w:sz w:val="20"/>
                <w:szCs w:val="20"/>
                <w:color w:val="auto"/>
              </w:rPr>
            </w:pPr>
            <w:r>
              <w:rPr>
                <w:rFonts w:ascii="Arial" w:cs="Arial" w:eastAsia="Arial" w:hAnsi="Arial"/>
                <w:sz w:val="18"/>
                <w:szCs w:val="18"/>
                <w:color w:val="auto"/>
              </w:rPr>
              <w:t>expenses)</w:t>
            </w:r>
          </w:p>
        </w:tc>
        <w:tc>
          <w:tcPr>
            <w:tcW w:w="15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157</w:t>
            </w:r>
          </w:p>
        </w:tc>
        <w:tc>
          <w:tcPr>
            <w:tcW w:w="60" w:type="dxa"/>
            <w:vAlign w:val="bottom"/>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Financial</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liabilities at fair</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value through</w:t>
            </w:r>
          </w:p>
        </w:tc>
        <w:tc>
          <w:tcPr>
            <w:tcW w:w="164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2"/>
              </w:rPr>
              <w:t>Financial</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profit or loss</w:t>
            </w:r>
          </w:p>
        </w:tc>
        <w:tc>
          <w:tcPr>
            <w:tcW w:w="16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1"/>
              </w:rPr>
              <w:t>liabilities at</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80" w:type="dxa"/>
            <w:vAlign w:val="bottom"/>
          </w:tcPr>
          <w:p>
            <w:pPr>
              <w:spacing w:after="0"/>
              <w:rPr>
                <w:sz w:val="20"/>
                <w:szCs w:val="20"/>
                <w:color w:val="auto"/>
              </w:rPr>
            </w:pPr>
          </w:p>
        </w:tc>
        <w:tc>
          <w:tcPr>
            <w:tcW w:w="13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(Level 3)</w:t>
            </w:r>
          </w:p>
        </w:tc>
        <w:tc>
          <w:tcPr>
            <w:tcW w:w="164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8"/>
                <w:szCs w:val="18"/>
                <w:b w:val="1"/>
                <w:bCs w:val="1"/>
                <w:color w:val="auto"/>
                <w:w w:val="88"/>
              </w:rPr>
              <w:t>amortized cost</w:t>
            </w:r>
          </w:p>
        </w:tc>
        <w:tc>
          <w:tcPr>
            <w:tcW w:w="8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638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2017:</w:t>
            </w:r>
          </w:p>
        </w:tc>
        <w:tc>
          <w:tcPr>
            <w:tcW w:w="3000" w:type="dxa"/>
            <w:vAlign w:val="bottom"/>
            <w:tcBorders>
              <w:bottom w:val="single" w:sz="8" w:color="auto"/>
            </w:tcBorders>
            <w:gridSpan w:val="5"/>
          </w:tcPr>
          <w:p>
            <w:pPr>
              <w:jc w:val="center"/>
              <w:ind w:left="790"/>
              <w:spacing w:after="0"/>
              <w:rPr>
                <w:sz w:val="20"/>
                <w:szCs w:val="20"/>
                <w:color w:val="auto"/>
              </w:rPr>
            </w:pPr>
            <w:r>
              <w:rPr>
                <w:rFonts w:ascii="Arial" w:cs="Arial" w:eastAsia="Arial" w:hAnsi="Arial"/>
                <w:sz w:val="18"/>
                <w:szCs w:val="18"/>
                <w:b w:val="1"/>
                <w:bCs w:val="1"/>
                <w:color w:val="auto"/>
                <w:w w:val="88"/>
              </w:rPr>
              <w:t>U.S. dollars in thousands</w:t>
            </w:r>
          </w:p>
        </w:tc>
        <w:tc>
          <w:tcPr>
            <w:tcW w:w="7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D5EAEA"/>
          </w:tcPr>
          <w:p>
            <w:pPr>
              <w:ind w:left="160"/>
              <w:spacing w:after="0"/>
              <w:rPr>
                <w:sz w:val="20"/>
                <w:szCs w:val="20"/>
                <w:color w:val="auto"/>
              </w:rPr>
            </w:pPr>
            <w:r>
              <w:rPr>
                <w:rFonts w:ascii="Arial" w:cs="Arial" w:eastAsia="Arial" w:hAnsi="Arial"/>
                <w:sz w:val="18"/>
                <w:szCs w:val="18"/>
                <w:color w:val="241E1C"/>
              </w:rPr>
              <w:t>Trade and other payable</w:t>
            </w:r>
          </w:p>
        </w:tc>
        <w:tc>
          <w:tcPr>
            <w:tcW w:w="1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5EAEA"/>
          </w:tcPr>
          <w:p>
            <w:pPr>
              <w:spacing w:after="0"/>
              <w:rPr>
                <w:sz w:val="18"/>
                <w:szCs w:val="18"/>
                <w:color w:val="auto"/>
              </w:rPr>
            </w:pPr>
          </w:p>
        </w:tc>
        <w:tc>
          <w:tcPr>
            <w:tcW w:w="1300" w:type="dxa"/>
            <w:vAlign w:val="bottom"/>
            <w:gridSpan w:val="2"/>
            <w:shd w:val="clear" w:color="auto" w:fill="D5EAEA"/>
          </w:tcPr>
          <w:p>
            <w:pPr>
              <w:jc w:val="right"/>
              <w:ind w:right="180"/>
              <w:spacing w:after="0"/>
              <w:rPr>
                <w:sz w:val="20"/>
                <w:szCs w:val="20"/>
                <w:color w:val="auto"/>
              </w:rPr>
            </w:pPr>
            <w:r>
              <w:rPr>
                <w:rFonts w:ascii="Arial" w:cs="Arial" w:eastAsia="Arial" w:hAnsi="Arial"/>
                <w:sz w:val="18"/>
                <w:szCs w:val="18"/>
                <w:color w:val="auto"/>
              </w:rPr>
              <w:t>2,020</w:t>
            </w:r>
          </w:p>
        </w:tc>
        <w:tc>
          <w:tcPr>
            <w:tcW w:w="340" w:type="dxa"/>
            <w:vAlign w:val="bottom"/>
            <w:shd w:val="clear" w:color="auto" w:fill="D5EAEA"/>
          </w:tcPr>
          <w:p>
            <w:pPr>
              <w:spacing w:after="0"/>
              <w:rPr>
                <w:sz w:val="18"/>
                <w:szCs w:val="18"/>
                <w:color w:val="auto"/>
              </w:rPr>
            </w:pPr>
          </w:p>
        </w:tc>
        <w:tc>
          <w:tcPr>
            <w:tcW w:w="8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60"/>
              <w:spacing w:after="0"/>
              <w:rPr>
                <w:sz w:val="20"/>
                <w:szCs w:val="20"/>
                <w:color w:val="auto"/>
              </w:rPr>
            </w:pPr>
            <w:r>
              <w:rPr>
                <w:rFonts w:ascii="Arial" w:cs="Arial" w:eastAsia="Arial" w:hAnsi="Arial"/>
                <w:sz w:val="18"/>
                <w:szCs w:val="18"/>
                <w:color w:val="auto"/>
              </w:rPr>
              <w:t>Convertible loan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3,893</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Preferred shares</w:t>
            </w:r>
          </w:p>
        </w:tc>
        <w:tc>
          <w:tcPr>
            <w:tcW w:w="136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33,455</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5EAEA"/>
          </w:tcPr>
          <w:p>
            <w:pPr>
              <w:spacing w:after="0"/>
              <w:rPr>
                <w:sz w:val="18"/>
                <w:szCs w:val="18"/>
                <w:color w:val="auto"/>
              </w:rPr>
            </w:pPr>
          </w:p>
        </w:tc>
        <w:tc>
          <w:tcPr>
            <w:tcW w:w="340" w:type="dxa"/>
            <w:vAlign w:val="bottom"/>
            <w:shd w:val="clear" w:color="auto" w:fill="D5EAEA"/>
          </w:tcPr>
          <w:p>
            <w:pPr>
              <w:spacing w:after="0"/>
              <w:rPr>
                <w:sz w:val="18"/>
                <w:szCs w:val="18"/>
                <w:color w:val="auto"/>
              </w:rPr>
            </w:pPr>
          </w:p>
        </w:tc>
        <w:tc>
          <w:tcPr>
            <w:tcW w:w="8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33,455</w:t>
            </w: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80" w:type="dxa"/>
            <w:vAlign w:val="bottom"/>
          </w:tcPr>
          <w:p>
            <w:pPr>
              <w:ind w:left="160"/>
              <w:spacing w:after="0" w:line="201" w:lineRule="exact"/>
              <w:rPr>
                <w:sz w:val="20"/>
                <w:szCs w:val="20"/>
                <w:color w:val="auto"/>
              </w:rPr>
            </w:pPr>
            <w:r>
              <w:rPr>
                <w:rFonts w:ascii="Arial" w:cs="Arial" w:eastAsia="Arial" w:hAnsi="Arial"/>
                <w:sz w:val="18"/>
                <w:szCs w:val="18"/>
                <w:color w:val="auto"/>
              </w:rPr>
              <w:t>Warrants to purchase preferred shares and</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380" w:type="dxa"/>
            <w:vAlign w:val="bottom"/>
          </w:tcPr>
          <w:p>
            <w:pPr>
              <w:ind w:left="440"/>
              <w:spacing w:after="0"/>
              <w:rPr>
                <w:sz w:val="20"/>
                <w:szCs w:val="20"/>
                <w:color w:val="auto"/>
              </w:rPr>
            </w:pPr>
            <w:r>
              <w:rPr>
                <w:rFonts w:ascii="Arial" w:cs="Arial" w:eastAsia="Arial" w:hAnsi="Arial"/>
                <w:sz w:val="18"/>
                <w:szCs w:val="18"/>
                <w:color w:val="auto"/>
              </w:rPr>
              <w:t>shares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5,398</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5,398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380" w:type="dxa"/>
            <w:vAlign w:val="bottom"/>
            <w:tcBorders>
              <w:top w:val="single" w:sz="8" w:color="D5EAEA"/>
              <w:bottom w:val="single" w:sz="8" w:color="D5EAEA"/>
            </w:tcBorders>
            <w:shd w:val="clear" w:color="auto" w:fill="D5EAEA"/>
          </w:tcPr>
          <w:p>
            <w:pPr>
              <w:spacing w:after="0"/>
              <w:rPr>
                <w:sz w:val="19"/>
                <w:szCs w:val="19"/>
                <w:color w:val="auto"/>
              </w:rPr>
            </w:pPr>
          </w:p>
        </w:tc>
        <w:tc>
          <w:tcPr>
            <w:tcW w:w="11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42,746</w:t>
            </w:r>
          </w:p>
        </w:tc>
        <w:tc>
          <w:tcPr>
            <w:tcW w:w="22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D5EAEA"/>
              <w:bottom w:val="single" w:sz="8" w:color="D5EAEA"/>
            </w:tcBorders>
            <w:shd w:val="clear" w:color="auto" w:fill="D5EAEA"/>
          </w:tcPr>
          <w:p>
            <w:pPr>
              <w:spacing w:after="0"/>
              <w:rPr>
                <w:sz w:val="19"/>
                <w:szCs w:val="19"/>
                <w:color w:val="auto"/>
              </w:rPr>
            </w:pPr>
          </w:p>
        </w:tc>
        <w:tc>
          <w:tcPr>
            <w:tcW w:w="340" w:type="dxa"/>
            <w:vAlign w:val="bottom"/>
            <w:tcBorders>
              <w:top w:val="single" w:sz="8" w:color="auto"/>
              <w:bottom w:val="single" w:sz="8" w:color="auto"/>
            </w:tcBorders>
            <w:shd w:val="clear" w:color="auto" w:fill="D5EAEA"/>
          </w:tcPr>
          <w:p>
            <w:pPr>
              <w:spacing w:after="0"/>
              <w:rPr>
                <w:sz w:val="19"/>
                <w:szCs w:val="19"/>
                <w:color w:val="auto"/>
              </w:rPr>
            </w:pPr>
          </w:p>
        </w:tc>
        <w:tc>
          <w:tcPr>
            <w:tcW w:w="7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44,766</w:t>
            </w:r>
          </w:p>
        </w:tc>
        <w:tc>
          <w:tcPr>
            <w:tcW w:w="20" w:type="dxa"/>
            <w:vAlign w:val="bottom"/>
            <w:tcBorders>
              <w:top w:val="single" w:sz="8" w:color="D5EAEA"/>
              <w:bottom w:val="single" w:sz="8" w:color="D5EAEA"/>
            </w:tcBorders>
            <w:shd w:val="clear" w:color="auto" w:fill="D5EAEA"/>
          </w:tcPr>
          <w:p>
            <w:pPr>
              <w:spacing w:after="0"/>
              <w:rPr>
                <w:sz w:val="19"/>
                <w:szCs w:val="19"/>
                <w:color w:val="auto"/>
              </w:rPr>
            </w:pPr>
          </w:p>
        </w:tc>
        <w:tc>
          <w:tcPr>
            <w:tcW w:w="80" w:type="dxa"/>
            <w:vAlign w:val="bottom"/>
            <w:tcBorders>
              <w:top w:val="single" w:sz="8" w:color="D5EAEA"/>
              <w:bottom w:val="single" w:sz="8" w:color="D5EAEA"/>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2016:</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8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D5EAEA"/>
          </w:tcPr>
          <w:p>
            <w:pPr>
              <w:ind w:left="160"/>
              <w:spacing w:after="0"/>
              <w:rPr>
                <w:sz w:val="20"/>
                <w:szCs w:val="20"/>
                <w:color w:val="auto"/>
              </w:rPr>
            </w:pPr>
            <w:r>
              <w:rPr>
                <w:rFonts w:ascii="Arial" w:cs="Arial" w:eastAsia="Arial" w:hAnsi="Arial"/>
                <w:sz w:val="18"/>
                <w:szCs w:val="18"/>
                <w:color w:val="241E1C"/>
              </w:rPr>
              <w:t>Trade and other payable</w:t>
            </w:r>
          </w:p>
        </w:tc>
        <w:tc>
          <w:tcPr>
            <w:tcW w:w="1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5EAEA"/>
          </w:tcPr>
          <w:p>
            <w:pPr>
              <w:spacing w:after="0"/>
              <w:rPr>
                <w:sz w:val="18"/>
                <w:szCs w:val="18"/>
                <w:color w:val="auto"/>
              </w:rPr>
            </w:pPr>
          </w:p>
        </w:tc>
        <w:tc>
          <w:tcPr>
            <w:tcW w:w="1300" w:type="dxa"/>
            <w:vAlign w:val="bottom"/>
            <w:gridSpan w:val="2"/>
            <w:shd w:val="clear" w:color="auto" w:fill="D5EAEA"/>
          </w:tcPr>
          <w:p>
            <w:pPr>
              <w:jc w:val="right"/>
              <w:ind w:right="180"/>
              <w:spacing w:after="0"/>
              <w:rPr>
                <w:sz w:val="20"/>
                <w:szCs w:val="20"/>
                <w:color w:val="auto"/>
              </w:rPr>
            </w:pPr>
            <w:r>
              <w:rPr>
                <w:rFonts w:ascii="Arial" w:cs="Arial" w:eastAsia="Arial" w:hAnsi="Arial"/>
                <w:sz w:val="18"/>
                <w:szCs w:val="18"/>
                <w:color w:val="auto"/>
              </w:rPr>
              <w:t>657</w:t>
            </w:r>
          </w:p>
        </w:tc>
        <w:tc>
          <w:tcPr>
            <w:tcW w:w="340" w:type="dxa"/>
            <w:vAlign w:val="bottom"/>
            <w:shd w:val="clear" w:color="auto" w:fill="D5EAEA"/>
          </w:tcPr>
          <w:p>
            <w:pPr>
              <w:spacing w:after="0"/>
              <w:rPr>
                <w:sz w:val="18"/>
                <w:szCs w:val="18"/>
                <w:color w:val="auto"/>
              </w:rPr>
            </w:pPr>
          </w:p>
        </w:tc>
        <w:tc>
          <w:tcPr>
            <w:tcW w:w="8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657</w:t>
            </w: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160"/>
              <w:spacing w:after="0"/>
              <w:rPr>
                <w:sz w:val="20"/>
                <w:szCs w:val="20"/>
                <w:color w:val="auto"/>
              </w:rPr>
            </w:pPr>
            <w:r>
              <w:rPr>
                <w:rFonts w:ascii="Arial" w:cs="Arial" w:eastAsia="Arial" w:hAnsi="Arial"/>
                <w:sz w:val="18"/>
                <w:szCs w:val="18"/>
                <w:color w:val="auto"/>
              </w:rPr>
              <w:t>Convertible loans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13,715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1,005</w:t>
            </w: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14,720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Preferred shares</w:t>
            </w:r>
          </w:p>
        </w:tc>
        <w:tc>
          <w:tcPr>
            <w:tcW w:w="136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11,031</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5EAEA"/>
          </w:tcPr>
          <w:p>
            <w:pPr>
              <w:spacing w:after="0"/>
              <w:rPr>
                <w:sz w:val="18"/>
                <w:szCs w:val="18"/>
                <w:color w:val="auto"/>
              </w:rPr>
            </w:pPr>
          </w:p>
        </w:tc>
        <w:tc>
          <w:tcPr>
            <w:tcW w:w="340" w:type="dxa"/>
            <w:vAlign w:val="bottom"/>
            <w:shd w:val="clear" w:color="auto" w:fill="D5EAEA"/>
          </w:tcPr>
          <w:p>
            <w:pPr>
              <w:spacing w:after="0"/>
              <w:rPr>
                <w:sz w:val="18"/>
                <w:szCs w:val="18"/>
                <w:color w:val="auto"/>
              </w:rPr>
            </w:pPr>
          </w:p>
        </w:tc>
        <w:tc>
          <w:tcPr>
            <w:tcW w:w="8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11,031</w:t>
            </w:r>
          </w:p>
        </w:tc>
        <w:tc>
          <w:tcPr>
            <w:tcW w:w="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80" w:type="dxa"/>
            <w:vAlign w:val="bottom"/>
          </w:tcPr>
          <w:p>
            <w:pPr>
              <w:ind w:left="160"/>
              <w:spacing w:after="0" w:line="201" w:lineRule="exact"/>
              <w:rPr>
                <w:sz w:val="20"/>
                <w:szCs w:val="20"/>
                <w:color w:val="auto"/>
              </w:rPr>
            </w:pPr>
            <w:r>
              <w:rPr>
                <w:rFonts w:ascii="Arial" w:cs="Arial" w:eastAsia="Arial" w:hAnsi="Arial"/>
                <w:sz w:val="18"/>
                <w:szCs w:val="18"/>
                <w:color w:val="auto"/>
              </w:rPr>
              <w:t>Warrants to purchase preferred shares and</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400"/>
              <w:spacing w:after="0"/>
              <w:rPr>
                <w:sz w:val="20"/>
                <w:szCs w:val="20"/>
                <w:color w:val="auto"/>
              </w:rPr>
            </w:pPr>
            <w:r>
              <w:rPr>
                <w:rFonts w:ascii="Arial" w:cs="Arial" w:eastAsia="Arial" w:hAnsi="Arial"/>
                <w:sz w:val="18"/>
                <w:szCs w:val="18"/>
                <w:color w:val="auto"/>
              </w:rPr>
              <w:t>shares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4,800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4,800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D5EAEA"/>
          </w:tcPr>
          <w:p>
            <w:pPr>
              <w:ind w:left="160"/>
              <w:spacing w:after="0"/>
              <w:rPr>
                <w:sz w:val="20"/>
                <w:szCs w:val="20"/>
                <w:color w:val="auto"/>
              </w:rPr>
            </w:pPr>
            <w:r>
              <w:rPr>
                <w:rFonts w:ascii="Arial" w:cs="Arial" w:eastAsia="Arial" w:hAnsi="Arial"/>
                <w:sz w:val="18"/>
                <w:szCs w:val="18"/>
                <w:color w:val="auto"/>
              </w:rPr>
              <w:t>Liability to issue preferred shares and warrants</w:t>
            </w:r>
          </w:p>
        </w:tc>
        <w:tc>
          <w:tcPr>
            <w:tcW w:w="136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273</w:t>
            </w: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5EAEA"/>
          </w:tcPr>
          <w:p>
            <w:pPr>
              <w:spacing w:after="0"/>
              <w:rPr>
                <w:sz w:val="19"/>
                <w:szCs w:val="19"/>
                <w:color w:val="auto"/>
              </w:rPr>
            </w:pPr>
          </w:p>
        </w:tc>
        <w:tc>
          <w:tcPr>
            <w:tcW w:w="340" w:type="dxa"/>
            <w:vAlign w:val="bottom"/>
            <w:shd w:val="clear" w:color="auto" w:fill="D5EAEA"/>
          </w:tcPr>
          <w:p>
            <w:pPr>
              <w:spacing w:after="0"/>
              <w:rPr>
                <w:sz w:val="19"/>
                <w:szCs w:val="19"/>
                <w:color w:val="auto"/>
              </w:rPr>
            </w:pPr>
          </w:p>
        </w:tc>
        <w:tc>
          <w:tcPr>
            <w:tcW w:w="8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29,819</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1,662</w:t>
            </w: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225" w:right="499" w:bottom="1440" w:gutter="0" w:footer="0" w:header="0"/>
        </w:sectPr>
      </w:pPr>
    </w:p>
    <w:bookmarkStart w:id="187" w:name="page188"/>
    <w:bookmarkEnd w:id="18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NOTE 5</w:t>
            </w:r>
          </w:p>
        </w:tc>
        <w:tc>
          <w:tcPr>
            <w:tcW w:w="7040" w:type="dxa"/>
            <w:vAlign w:val="bottom"/>
            <w:gridSpan w:val="2"/>
          </w:tcPr>
          <w:p>
            <w:pPr>
              <w:ind w:left="20"/>
              <w:spacing w:after="0"/>
              <w:rPr>
                <w:sz w:val="20"/>
                <w:szCs w:val="20"/>
                <w:color w:val="auto"/>
              </w:rPr>
            </w:pPr>
            <w:r>
              <w:rPr>
                <w:rFonts w:ascii="Arial" w:cs="Arial" w:eastAsia="Arial" w:hAnsi="Arial"/>
                <w:sz w:val="18"/>
                <w:szCs w:val="18"/>
                <w:b w:val="1"/>
                <w:bCs w:val="1"/>
                <w:color w:val="auto"/>
              </w:rPr>
              <w:t>- CASH AND CASH EQUIVALENTS</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26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100" w:type="dxa"/>
            <w:vAlign w:val="bottom"/>
            <w:gridSpan w:val="2"/>
          </w:tcPr>
          <w:p>
            <w:pPr>
              <w:ind w:left="700"/>
              <w:spacing w:after="0" w:line="205" w:lineRule="exact"/>
              <w:rPr>
                <w:sz w:val="20"/>
                <w:szCs w:val="20"/>
                <w:color w:val="auto"/>
              </w:rPr>
            </w:pPr>
            <w:r>
              <w:rPr>
                <w:rFonts w:ascii="Arial" w:cs="Arial" w:eastAsia="Arial" w:hAnsi="Arial"/>
                <w:sz w:val="18"/>
                <w:szCs w:val="18"/>
                <w:b w:val="1"/>
                <w:bCs w:val="1"/>
                <w:color w:val="auto"/>
              </w:rPr>
              <w:t>U.S.</w:t>
            </w:r>
          </w:p>
        </w:tc>
        <w:tc>
          <w:tcPr>
            <w:tcW w:w="1160" w:type="dxa"/>
            <w:vAlign w:val="bottom"/>
            <w:gridSpan w:val="3"/>
          </w:tcPr>
          <w:p>
            <w:pPr>
              <w:jc w:val="right"/>
              <w:ind w:right="680"/>
              <w:spacing w:after="0" w:line="205" w:lineRule="exact"/>
              <w:rPr>
                <w:sz w:val="20"/>
                <w:szCs w:val="20"/>
                <w:color w:val="auto"/>
              </w:rPr>
            </w:pPr>
            <w:r>
              <w:rPr>
                <w:rFonts w:ascii="Arial" w:cs="Arial" w:eastAsia="Arial" w:hAnsi="Arial"/>
                <w:sz w:val="18"/>
                <w:szCs w:val="18"/>
                <w:b w:val="1"/>
                <w:bCs w:val="1"/>
                <w:color w:val="auto"/>
                <w:w w:val="77"/>
              </w:rPr>
              <w:t>dollars</w:t>
            </w:r>
          </w:p>
        </w:tc>
        <w:tc>
          <w:tcPr>
            <w:tcW w:w="0" w:type="dxa"/>
            <w:vAlign w:val="bottom"/>
          </w:tcPr>
          <w:p>
            <w:pPr>
              <w:spacing w:after="0"/>
              <w:rPr>
                <w:sz w:val="1"/>
                <w:szCs w:val="1"/>
                <w:color w:val="auto"/>
              </w:rPr>
            </w:pPr>
          </w:p>
        </w:tc>
      </w:tr>
      <w:tr>
        <w:trPr>
          <w:trHeight w:val="241"/>
        </w:trPr>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26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60" w:type="dxa"/>
            <w:vAlign w:val="bottom"/>
            <w:shd w:val="clear" w:color="auto" w:fill="D5EAEA"/>
          </w:tcPr>
          <w:p>
            <w:pPr>
              <w:spacing w:after="0"/>
              <w:rPr>
                <w:sz w:val="20"/>
                <w:szCs w:val="20"/>
                <w:color w:val="auto"/>
              </w:rPr>
            </w:pPr>
            <w:r>
              <w:rPr>
                <w:rFonts w:ascii="Arial" w:cs="Arial" w:eastAsia="Arial" w:hAnsi="Arial"/>
                <w:sz w:val="18"/>
                <w:szCs w:val="18"/>
                <w:color w:val="auto"/>
              </w:rPr>
              <w:t>Cash in bank</w:t>
            </w:r>
          </w:p>
        </w:tc>
        <w:tc>
          <w:tcPr>
            <w:tcW w:w="11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11,741</w:t>
            </w:r>
          </w:p>
        </w:tc>
        <w:tc>
          <w:tcPr>
            <w:tcW w:w="1160" w:type="dxa"/>
            <w:vAlign w:val="bottom"/>
            <w:gridSpan w:val="3"/>
            <w:shd w:val="clear" w:color="auto" w:fill="D5EAEA"/>
          </w:tcPr>
          <w:p>
            <w:pPr>
              <w:jc w:val="right"/>
              <w:ind w:right="60"/>
              <w:spacing w:after="0"/>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Short-term bank deposits</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60" w:type="dxa"/>
            <w:vAlign w:val="bottom"/>
            <w:tcBorders>
              <w:top w:val="single" w:sz="8" w:color="D5EAEA"/>
              <w:bottom w:val="single" w:sz="8" w:color="D5EAEA"/>
            </w:tcBorders>
            <w:shd w:val="clear" w:color="auto" w:fill="D5EAEA"/>
          </w:tcPr>
          <w:p>
            <w:pPr>
              <w:spacing w:after="0"/>
              <w:rPr>
                <w:sz w:val="19"/>
                <w:szCs w:val="19"/>
                <w:color w:val="auto"/>
              </w:rPr>
            </w:pPr>
          </w:p>
        </w:tc>
        <w:tc>
          <w:tcPr>
            <w:tcW w:w="10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11,746</w:t>
            </w:r>
          </w:p>
        </w:tc>
        <w:tc>
          <w:tcPr>
            <w:tcW w:w="80" w:type="dxa"/>
            <w:vAlign w:val="bottom"/>
            <w:tcBorders>
              <w:top w:val="single" w:sz="8" w:color="D5EAEA"/>
              <w:bottom w:val="single" w:sz="8" w:color="D5EAEA"/>
            </w:tcBorders>
            <w:shd w:val="clear" w:color="auto" w:fill="D5EAEA"/>
          </w:tcPr>
          <w:p>
            <w:pPr>
              <w:spacing w:after="0"/>
              <w:rPr>
                <w:sz w:val="19"/>
                <w:szCs w:val="19"/>
                <w:color w:val="auto"/>
              </w:rPr>
            </w:pP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9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4,163</w:t>
            </w:r>
          </w:p>
        </w:tc>
        <w:tc>
          <w:tcPr>
            <w:tcW w:w="80" w:type="dxa"/>
            <w:vAlign w:val="bottom"/>
            <w:tcBorders>
              <w:top w:val="single" w:sz="8" w:color="D5EAEA"/>
              <w:bottom w:val="single" w:sz="8" w:color="D5EAEA"/>
            </w:tcBorders>
            <w:shd w:val="clear" w:color="auto" w:fill="D5EAE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rPr>
                <w:sz w:val="20"/>
                <w:szCs w:val="20"/>
                <w:color w:val="auto"/>
              </w:rPr>
            </w:pPr>
            <w:r>
              <w:rPr>
                <w:rFonts w:ascii="Arial" w:cs="Arial" w:eastAsia="Arial" w:hAnsi="Arial"/>
                <w:sz w:val="18"/>
                <w:szCs w:val="18"/>
                <w:b w:val="1"/>
                <w:bCs w:val="1"/>
                <w:color w:val="auto"/>
              </w:rPr>
              <w:t>NOTE 6</w:t>
            </w:r>
          </w:p>
        </w:tc>
        <w:tc>
          <w:tcPr>
            <w:tcW w:w="7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INTANGIBLE ASSETS:</w:t>
            </w: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 w:type="dxa"/>
            <w:vAlign w:val="bottom"/>
            <w:vMerge w:val="continue"/>
          </w:tcPr>
          <w:p>
            <w:pPr>
              <w:spacing w:after="0"/>
              <w:rPr>
                <w:sz w:val="24"/>
                <w:szCs w:val="24"/>
                <w:color w:val="auto"/>
              </w:rPr>
            </w:pPr>
          </w:p>
        </w:tc>
        <w:tc>
          <w:tcPr>
            <w:tcW w:w="704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60" w:hanging="401"/>
        <w:spacing w:after="0" w:line="257" w:lineRule="auto"/>
        <w:tabs>
          <w:tab w:leader="none" w:pos="1260"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On June 1, 2010 D.N.A. Biomedical Solutions Ltd. ("D.N.A.") and Oramed Ltd., ("Oramed") entered into a joint venture agreement, (the "Joint Venture Agreement") for the establishment of Entera Bio Ltd.. According to the Joint Venture Agreement each of D.N.A. and Oramed acquired 50% of the Company's ordinary shares. D.N.A invested $600,000 in the Company, and Oramed and the Company entered into a Patent License Agreement pursuant to which Oramed licensed to the Company certain of Oramed's patent (the “IPR&amp;D”). The IPR&amp;D was recorded as an intangible asset based on its fair value.</w:t>
      </w:r>
    </w:p>
    <w:p>
      <w:pPr>
        <w:spacing w:after="0" w:line="188" w:lineRule="exact"/>
        <w:rPr>
          <w:rFonts w:ascii="Arial" w:cs="Arial" w:eastAsia="Arial" w:hAnsi="Arial"/>
          <w:sz w:val="18"/>
          <w:szCs w:val="18"/>
          <w:b w:val="1"/>
          <w:bCs w:val="1"/>
          <w:color w:val="auto"/>
        </w:rPr>
      </w:pPr>
    </w:p>
    <w:p>
      <w:pPr>
        <w:ind w:left="12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February 22, 2011, Oramed and the Company entered into a patent transfer agreement, (the "Patent Transfer Agreement"), that superseded the Patent License Agreement, whereby Oramed assigned to the Company all of its rights, title and interest to its patent that Oramed licensed to the Company since 2010, under certain conditions. Under this agreement, the Company is obligated to pay Oramed royalties equal to 3% of its net revenues (as defined in the Patent Transfer Agreement). The IPR&amp;D is not yet ready to use and as such is not subject to amortization.</w:t>
      </w:r>
    </w:p>
    <w:p>
      <w:pPr>
        <w:spacing w:after="0" w:line="188" w:lineRule="exact"/>
        <w:rPr>
          <w:rFonts w:ascii="Arial" w:cs="Arial" w:eastAsia="Arial" w:hAnsi="Arial"/>
          <w:sz w:val="18"/>
          <w:szCs w:val="18"/>
          <w:b w:val="1"/>
          <w:bCs w:val="1"/>
          <w:color w:val="auto"/>
        </w:rPr>
      </w:pPr>
    </w:p>
    <w:p>
      <w:pPr>
        <w:ind w:left="1260" w:right="80" w:hanging="401"/>
        <w:spacing w:after="0" w:line="290" w:lineRule="auto"/>
        <w:tabs>
          <w:tab w:leader="none" w:pos="1260" w:val="left"/>
        </w:tabs>
        <w:numPr>
          <w:ilvl w:val="0"/>
          <w:numId w:val="110"/>
        </w:numPr>
        <w:rPr>
          <w:rFonts w:ascii="Arial" w:cs="Arial" w:eastAsia="Arial" w:hAnsi="Arial"/>
          <w:sz w:val="16"/>
          <w:szCs w:val="16"/>
          <w:b w:val="1"/>
          <w:bCs w:val="1"/>
          <w:color w:val="auto"/>
        </w:rPr>
      </w:pPr>
      <w:r>
        <w:rPr>
          <w:rFonts w:ascii="Arial" w:cs="Arial" w:eastAsia="Arial" w:hAnsi="Arial"/>
          <w:sz w:val="16"/>
          <w:szCs w:val="16"/>
          <w:color w:val="auto"/>
        </w:rPr>
        <w:t>The Company tests intangible assets for impairment at least once a year at December 31 by calculating the recoverable amount of the cash generating unit to which the intangible asset belongs, which is the Company as a whole. The recoverable amount was calculated based on a fair value less cost to sell. For the purpose of calculating fair value of the Company's equity as of December 31, 2017 the Company applied the market approach and used a price per share of $908.78 per Series B preferred share from the Company’s preferred share issuance in October and December 2017 as a basis for fair market value. For the purpose of calculating fair value of the Company's equity as of December 31, 2016 the Company prepared a valuation of the cash generating unit based on discounted cash flows (DCF). For both years, based on such assessments, the Company concluded that the recoverable amount of the cash generating unit to which the IPR&amp;D intangible asset belongs is significantly higher than its book value, and there is no need for impairment.</w:t>
      </w:r>
    </w:p>
    <w:p>
      <w:pPr>
        <w:spacing w:after="0" w:line="166" w:lineRule="exact"/>
        <w:rPr>
          <w:rFonts w:ascii="Arial" w:cs="Arial" w:eastAsia="Arial" w:hAnsi="Arial"/>
          <w:sz w:val="16"/>
          <w:szCs w:val="16"/>
          <w:b w:val="1"/>
          <w:bCs w:val="1"/>
          <w:color w:val="auto"/>
        </w:rPr>
      </w:pPr>
    </w:p>
    <w:p>
      <w:pPr>
        <w:ind w:left="1280" w:right="70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Main assumptions used for the assessment of recoverable amount in 2016 were: weighted average cost of capital (WACC) of 22%, commencement of sales in 2021-2025 and probability of reaching sales of 20.1%-37.9%.</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88" w:name="page189"/>
    <w:bookmarkEnd w:id="18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CONVERTIBLE LOANS: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w:t>
      </w:r>
    </w:p>
    <w:p>
      <w:pPr>
        <w:spacing w:after="0" w:line="229" w:lineRule="exact"/>
        <w:rPr>
          <w:sz w:val="20"/>
          <w:szCs w:val="20"/>
          <w:color w:val="auto"/>
        </w:rPr>
      </w:pPr>
    </w:p>
    <w:p>
      <w:pPr>
        <w:ind w:left="1620" w:hanging="315"/>
        <w:spacing w:after="0"/>
        <w:tabs>
          <w:tab w:leader="none" w:pos="16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2012 Convertible Loan</w:t>
      </w:r>
    </w:p>
    <w:p>
      <w:pPr>
        <w:spacing w:after="0" w:line="225" w:lineRule="exact"/>
        <w:rPr>
          <w:rFonts w:ascii="Arial" w:cs="Arial" w:eastAsia="Arial" w:hAnsi="Arial"/>
          <w:sz w:val="18"/>
          <w:szCs w:val="18"/>
          <w:color w:val="auto"/>
        </w:rPr>
      </w:pPr>
    </w:p>
    <w:p>
      <w:pPr>
        <w:ind w:left="1620" w:right="100"/>
        <w:spacing w:after="0" w:line="253" w:lineRule="auto"/>
        <w:rPr>
          <w:rFonts w:ascii="Arial" w:cs="Arial" w:eastAsia="Arial" w:hAnsi="Arial"/>
          <w:sz w:val="18"/>
          <w:szCs w:val="18"/>
          <w:color w:val="auto"/>
        </w:rPr>
      </w:pPr>
      <w:r>
        <w:rPr>
          <w:rFonts w:ascii="Arial" w:cs="Arial" w:eastAsia="Arial" w:hAnsi="Arial"/>
          <w:sz w:val="18"/>
          <w:szCs w:val="18"/>
          <w:color w:val="auto"/>
        </w:rPr>
        <w:t>In 2012, the Company entered into loan agreements with certain lenders for an aggregate amount of $1.15 million. Each of the loans bears interest at a rate of 0.6% per year, which is to be repaid every five years, and is due and payable after a term of twenty years. Each of the investors has the right during the term to convert its respective loan amount into ordinary shares at a conversion price of $240.26 per ordinary share (subject to adjustment), and for a period of the initial five years of the term of the loan agreement to exchange all such ordinary shares received into ordinary shares of D.N.A at the rate of one of the Company's ordinary shares for 5,590 ordinary shares of D.N.A or 2,795 ordinary shares after the stock merge performed by D.N.A in October 2015 (also subject to adjustment) (the "D.N.A option"). In addition, under the terms of the loan agreements the outstanding loan amounts will be automatically converted into the Company's ordinary shares upon the closing of an initial public offering and certain merger and acquisition transactions. The Company has designated the 2012 Convertible Loan on initial recognition as a financial liability at fair value through profit or loss.</w:t>
      </w:r>
    </w:p>
    <w:p>
      <w:pPr>
        <w:spacing w:after="0" w:line="194" w:lineRule="exact"/>
        <w:rPr>
          <w:rFonts w:ascii="Arial" w:cs="Arial" w:eastAsia="Arial" w:hAnsi="Arial"/>
          <w:sz w:val="18"/>
          <w:szCs w:val="18"/>
          <w:color w:val="auto"/>
        </w:rPr>
      </w:pPr>
    </w:p>
    <w:p>
      <w:pPr>
        <w:ind w:left="1620" w:hanging="315"/>
        <w:spacing w:after="0"/>
        <w:tabs>
          <w:tab w:leader="none" w:pos="16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2015 Convertible Loan</w:t>
      </w:r>
    </w:p>
    <w:p>
      <w:pPr>
        <w:spacing w:after="0" w:line="225" w:lineRule="exact"/>
        <w:rPr>
          <w:rFonts w:ascii="Arial" w:cs="Arial" w:eastAsia="Arial" w:hAnsi="Arial"/>
          <w:sz w:val="18"/>
          <w:szCs w:val="18"/>
          <w:color w:val="auto"/>
        </w:rPr>
      </w:pPr>
    </w:p>
    <w:p>
      <w:pPr>
        <w:ind w:left="1620" w:right="280"/>
        <w:spacing w:after="0" w:line="257" w:lineRule="auto"/>
        <w:rPr>
          <w:rFonts w:ascii="Arial" w:cs="Arial" w:eastAsia="Arial" w:hAnsi="Arial"/>
          <w:sz w:val="18"/>
          <w:szCs w:val="18"/>
          <w:color w:val="auto"/>
        </w:rPr>
      </w:pPr>
      <w:r>
        <w:rPr>
          <w:rFonts w:ascii="Arial" w:cs="Arial" w:eastAsia="Arial" w:hAnsi="Arial"/>
          <w:sz w:val="18"/>
          <w:szCs w:val="18"/>
          <w:color w:val="auto"/>
        </w:rPr>
        <w:t>On August 5, 2015, the Company entered into a Convertible Promissory Note and Loan Agreement ("2015 Convertible Loan") with certain lenders. Pursuant to the loan agreement, the lenders loaned the Company an aggregate amount of $2.005 million. The loan would have been automatically converted upon occurrence of certain events. The loan would have converted into the same class of shares issued in such a transaction at a 25% discount to the applicable price per share in the Triggering Event. The loan was due to mature in February 2017 and bore interest at a rate of 5% per year.</w:t>
      </w:r>
    </w:p>
    <w:p>
      <w:pPr>
        <w:spacing w:after="0" w:line="188" w:lineRule="exact"/>
        <w:rPr>
          <w:rFonts w:ascii="Arial" w:cs="Arial" w:eastAsia="Arial" w:hAnsi="Arial"/>
          <w:sz w:val="18"/>
          <w:szCs w:val="18"/>
          <w:color w:val="auto"/>
        </w:rPr>
      </w:pPr>
    </w:p>
    <w:p>
      <w:pPr>
        <w:ind w:left="1620"/>
        <w:spacing w:after="0" w:line="277" w:lineRule="auto"/>
        <w:rPr>
          <w:rFonts w:ascii="Arial" w:cs="Arial" w:eastAsia="Arial" w:hAnsi="Arial"/>
          <w:sz w:val="18"/>
          <w:szCs w:val="18"/>
          <w:color w:val="auto"/>
        </w:rPr>
      </w:pPr>
      <w:r>
        <w:rPr>
          <w:rFonts w:ascii="Arial" w:cs="Arial" w:eastAsia="Arial" w:hAnsi="Arial"/>
          <w:sz w:val="18"/>
          <w:szCs w:val="18"/>
          <w:color w:val="auto"/>
        </w:rPr>
        <w:t>In addition the Company issued to the lenders warrants to purchase additional shares equal to 40% of the shares issued upon conversion of the loan.</w:t>
      </w:r>
    </w:p>
    <w:p>
      <w:pPr>
        <w:spacing w:after="0" w:line="170" w:lineRule="exact"/>
        <w:rPr>
          <w:rFonts w:ascii="Arial" w:cs="Arial" w:eastAsia="Arial" w:hAnsi="Arial"/>
          <w:sz w:val="18"/>
          <w:szCs w:val="18"/>
          <w:color w:val="auto"/>
        </w:rPr>
      </w:pPr>
    </w:p>
    <w:p>
      <w:pPr>
        <w:ind w:left="1620" w:right="660"/>
        <w:spacing w:after="0" w:line="258" w:lineRule="auto"/>
        <w:rPr>
          <w:rFonts w:ascii="Arial" w:cs="Arial" w:eastAsia="Arial" w:hAnsi="Arial"/>
          <w:sz w:val="18"/>
          <w:szCs w:val="18"/>
          <w:color w:val="auto"/>
        </w:rPr>
      </w:pPr>
      <w:r>
        <w:rPr>
          <w:rFonts w:ascii="Arial" w:cs="Arial" w:eastAsia="Arial" w:hAnsi="Arial"/>
          <w:sz w:val="18"/>
          <w:szCs w:val="18"/>
          <w:color w:val="auto"/>
        </w:rPr>
        <w:t>The Company measured the loan according to the amortized cost using the effective interest method. The Company treated the warrants as a liability at fair value through profit or loss.</w:t>
      </w:r>
    </w:p>
    <w:p>
      <w:pPr>
        <w:spacing w:after="0" w:line="1" w:lineRule="exact"/>
        <w:rPr>
          <w:rFonts w:ascii="Arial" w:cs="Arial" w:eastAsia="Arial" w:hAnsi="Arial"/>
          <w:sz w:val="18"/>
          <w:szCs w:val="18"/>
          <w:color w:val="auto"/>
        </w:rPr>
      </w:pPr>
    </w:p>
    <w:p>
      <w:pPr>
        <w:ind w:left="1620" w:right="80"/>
        <w:spacing w:after="0" w:line="254" w:lineRule="auto"/>
        <w:rPr>
          <w:rFonts w:ascii="Arial" w:cs="Arial" w:eastAsia="Arial" w:hAnsi="Arial"/>
          <w:sz w:val="18"/>
          <w:szCs w:val="18"/>
          <w:color w:val="auto"/>
        </w:rPr>
      </w:pPr>
      <w:r>
        <w:rPr>
          <w:rFonts w:ascii="Arial" w:cs="Arial" w:eastAsia="Arial" w:hAnsi="Arial"/>
          <w:sz w:val="18"/>
          <w:szCs w:val="18"/>
          <w:color w:val="auto"/>
        </w:rPr>
        <w:t>As part of the 2016 Convertible Loan agreement (See Note 7(a)(3)), the Company provided the right to the lenders of the 2015 Convertible Loan to exchange the 2015 Convertible Loan to the 2016 Convertible Loan including the maturity date. As a result, from total amount of $2,005 thousand, an amount of $1,057 thousand (consisting of $ 1,025 thousand principal amount plus interest accrued up to June 14, 2016 less withholding tax) exchanged to the new convertible loan.</w:t>
      </w:r>
    </w:p>
    <w:p>
      <w:pPr>
        <w:spacing w:after="0" w:line="189" w:lineRule="exact"/>
        <w:rPr>
          <w:rFonts w:ascii="Arial" w:cs="Arial" w:eastAsia="Arial" w:hAnsi="Arial"/>
          <w:sz w:val="18"/>
          <w:szCs w:val="18"/>
          <w:color w:val="auto"/>
        </w:rPr>
      </w:pPr>
    </w:p>
    <w:p>
      <w:pPr>
        <w:jc w:val="both"/>
        <w:ind w:left="1620" w:right="360"/>
        <w:spacing w:after="0" w:line="256" w:lineRule="auto"/>
        <w:rPr>
          <w:rFonts w:ascii="Arial" w:cs="Arial" w:eastAsia="Arial" w:hAnsi="Arial"/>
          <w:sz w:val="18"/>
          <w:szCs w:val="18"/>
          <w:color w:val="auto"/>
        </w:rPr>
      </w:pPr>
      <w:r>
        <w:rPr>
          <w:rFonts w:ascii="Arial" w:cs="Arial" w:eastAsia="Arial" w:hAnsi="Arial"/>
          <w:sz w:val="18"/>
          <w:szCs w:val="18"/>
          <w:color w:val="auto"/>
        </w:rPr>
        <w:t>Since the terms of the loans are substantially different, the exchange was considered as an extinguishment, which in essence means recording a loss due to 2015 Convertible Loan that were exchanged for the new convertible loan recorded at fair value. The loss of extinguishment of $64 thousand was recognized as a finance expenses.</w:t>
      </w:r>
    </w:p>
    <w:p>
      <w:pPr>
        <w:ind w:left="1620"/>
        <w:spacing w:after="0"/>
        <w:rPr>
          <w:rFonts w:ascii="Arial" w:cs="Arial" w:eastAsia="Arial" w:hAnsi="Arial"/>
          <w:sz w:val="18"/>
          <w:szCs w:val="18"/>
          <w:color w:val="auto"/>
        </w:rPr>
      </w:pPr>
      <w:r>
        <w:rPr>
          <w:rFonts w:ascii="Arial" w:cs="Arial" w:eastAsia="Arial" w:hAnsi="Arial"/>
          <w:sz w:val="18"/>
          <w:szCs w:val="18"/>
          <w:color w:val="auto"/>
        </w:rPr>
        <w:t>According to the 2016 Convertible Loan agreement, the Company deposited at the trustee an amount of $1,053 thousand.</w:t>
      </w:r>
    </w:p>
    <w:p>
      <w:pPr>
        <w:spacing w:after="0" w:line="9"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6"/>
          <w:szCs w:val="16"/>
          <w:color w:val="auto"/>
        </w:rPr>
        <w:t>On the maturity date, February 5, 2017, the Company repaid the amount of $1,053 thousand using the cash deposited at the trustee.</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89" w:name="page190"/>
    <w:bookmarkEnd w:id="18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241E1C"/>
        </w:rPr>
        <w:t>NOTES TO THE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 CONVERTIBLE LOANS </w:t>
      </w:r>
      <w:r>
        <w:rPr>
          <w:rFonts w:ascii="Arial" w:cs="Arial" w:eastAsia="Arial" w:hAnsi="Arial"/>
          <w:sz w:val="18"/>
          <w:szCs w:val="18"/>
          <w:color w:val="auto"/>
        </w:rPr>
        <w:t>(continued):</w:t>
      </w:r>
    </w:p>
    <w:p>
      <w:pPr>
        <w:spacing w:after="0" w:line="229" w:lineRule="exact"/>
        <w:rPr>
          <w:sz w:val="20"/>
          <w:szCs w:val="20"/>
          <w:color w:val="auto"/>
        </w:rPr>
      </w:pPr>
    </w:p>
    <w:p>
      <w:pPr>
        <w:ind w:left="1620" w:hanging="315"/>
        <w:spacing w:after="0"/>
        <w:tabs>
          <w:tab w:leader="none" w:pos="16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2016 Convertible Loan</w:t>
      </w:r>
    </w:p>
    <w:p>
      <w:pPr>
        <w:spacing w:after="0" w:line="225" w:lineRule="exact"/>
        <w:rPr>
          <w:rFonts w:ascii="Arial" w:cs="Arial" w:eastAsia="Arial" w:hAnsi="Arial"/>
          <w:sz w:val="18"/>
          <w:szCs w:val="18"/>
          <w:color w:val="auto"/>
        </w:rPr>
      </w:pPr>
    </w:p>
    <w:p>
      <w:pPr>
        <w:ind w:left="1620" w:right="200"/>
        <w:spacing w:after="0" w:line="277" w:lineRule="auto"/>
        <w:rPr>
          <w:rFonts w:ascii="Arial" w:cs="Arial" w:eastAsia="Arial" w:hAnsi="Arial"/>
          <w:sz w:val="18"/>
          <w:szCs w:val="18"/>
          <w:color w:val="auto"/>
        </w:rPr>
      </w:pPr>
      <w:r>
        <w:rPr>
          <w:rFonts w:ascii="Arial" w:cs="Arial" w:eastAsia="Arial" w:hAnsi="Arial"/>
          <w:sz w:val="18"/>
          <w:szCs w:val="18"/>
          <w:color w:val="auto"/>
        </w:rPr>
        <w:t>In June 2016, the Company closed a private placement (the "2016 Convertible Loan") with certain lenders in an aggregate amount of approximately $7.44 million in exchange for the following instruments:</w:t>
      </w:r>
    </w:p>
    <w:p>
      <w:pPr>
        <w:spacing w:after="0" w:line="170" w:lineRule="exact"/>
        <w:rPr>
          <w:rFonts w:ascii="Arial" w:cs="Arial" w:eastAsia="Arial" w:hAnsi="Arial"/>
          <w:sz w:val="18"/>
          <w:szCs w:val="18"/>
          <w:color w:val="auto"/>
        </w:rPr>
      </w:pPr>
    </w:p>
    <w:p>
      <w:pPr>
        <w:ind w:left="1620" w:right="20"/>
        <w:spacing w:after="0" w:line="273" w:lineRule="auto"/>
        <w:rPr>
          <w:rFonts w:ascii="Arial" w:cs="Arial" w:eastAsia="Arial" w:hAnsi="Arial"/>
          <w:sz w:val="18"/>
          <w:szCs w:val="18"/>
          <w:color w:val="auto"/>
        </w:rPr>
      </w:pPr>
      <w:r>
        <w:rPr>
          <w:rFonts w:ascii="Arial" w:cs="Arial" w:eastAsia="Arial" w:hAnsi="Arial"/>
          <w:sz w:val="17"/>
          <w:szCs w:val="17"/>
          <w:color w:val="auto"/>
        </w:rPr>
        <w:t>a) Loan for a term of 18 months. The loan bears interest at a rate of 5% per year. The loan will be automatically converted upon occurrence of the following events as described in the agreement: initial public offering (IPO) of at least $20 million, private placement in an aggregate amount of no less than $10 million or change of control (the "Triggering Event"). Furthermore, in case of private placement in an aggregate amount of $4-$10 million the lenders shall have the right to convert the loan to shares. The loan will convert into the same class of shares issued in such a transaction at the lower of a 25% discount to the applicable price per share in the Triggering Event or value of equity on a fully diluted basis of $65 million.</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Company has designated the 2016 Convertible Loan on initial recognition as a financial liability at fair value through profit or loss.</w:t>
      </w:r>
    </w:p>
    <w:p>
      <w:pPr>
        <w:spacing w:after="0" w:line="225" w:lineRule="exact"/>
        <w:rPr>
          <w:sz w:val="20"/>
          <w:szCs w:val="20"/>
          <w:color w:val="auto"/>
        </w:rPr>
      </w:pPr>
    </w:p>
    <w:p>
      <w:pPr>
        <w:jc w:val="both"/>
        <w:ind w:left="1620" w:right="360" w:firstLine="9"/>
        <w:spacing w:after="0" w:line="342" w:lineRule="auto"/>
        <w:tabs>
          <w:tab w:leader="none" w:pos="181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Warrants to purchase additional shares (“2016 Warrants”) equal to 40% of the shares issued upon conversion in exchange for an exercise price of the fair value of the shares in a Triggering Event. The warrant will be exercisable for 4 years from the grant date.</w:t>
      </w:r>
    </w:p>
    <w:p>
      <w:pPr>
        <w:spacing w:after="0" w:line="124" w:lineRule="exact"/>
        <w:rPr>
          <w:sz w:val="20"/>
          <w:szCs w:val="20"/>
          <w:color w:val="auto"/>
        </w:rPr>
      </w:pPr>
    </w:p>
    <w:p>
      <w:pPr>
        <w:ind w:left="1620" w:right="260"/>
        <w:spacing w:after="0" w:line="277" w:lineRule="auto"/>
        <w:rPr>
          <w:sz w:val="20"/>
          <w:szCs w:val="20"/>
          <w:color w:val="auto"/>
        </w:rPr>
      </w:pPr>
      <w:r>
        <w:rPr>
          <w:rFonts w:ascii="Arial" w:cs="Arial" w:eastAsia="Arial" w:hAnsi="Arial"/>
          <w:sz w:val="18"/>
          <w:szCs w:val="18"/>
          <w:color w:val="auto"/>
        </w:rPr>
        <w:t>Total transaction expenses amounted to $363 thousand, out of which $150 thousand were payable in Company shares. The proceeds were allocated to the convertible loan and the warrants according to their fair value.</w:t>
      </w:r>
    </w:p>
    <w:p>
      <w:pPr>
        <w:spacing w:after="0" w:line="170" w:lineRule="exact"/>
        <w:rPr>
          <w:sz w:val="20"/>
          <w:szCs w:val="20"/>
          <w:color w:val="auto"/>
        </w:rPr>
      </w:pPr>
    </w:p>
    <w:p>
      <w:pPr>
        <w:ind w:left="1620" w:right="40"/>
        <w:spacing w:after="0" w:line="259" w:lineRule="auto"/>
        <w:rPr>
          <w:sz w:val="20"/>
          <w:szCs w:val="20"/>
          <w:color w:val="auto"/>
        </w:rPr>
      </w:pPr>
      <w:r>
        <w:rPr>
          <w:rFonts w:ascii="Arial" w:cs="Arial" w:eastAsia="Arial" w:hAnsi="Arial"/>
          <w:sz w:val="18"/>
          <w:szCs w:val="18"/>
          <w:color w:val="auto"/>
        </w:rPr>
        <w:t>As part of the agreement, the Company gave the right to the lenders of the 2015 Convertible Loan to exchange the 2015 Convertible Loan to the 2016 Convertible Loan including the maturity date. As a result from total amount of $2,005 thousand, an amount of $1,057 thousand (consisting of $1,025 thousand principal amount plus interest accrued up to June 14, 2016 less withholding taxes) exchanged to the 2016 Convertible Loan.</w:t>
      </w:r>
    </w:p>
    <w:p>
      <w:pPr>
        <w:spacing w:after="0" w:line="187" w:lineRule="exact"/>
        <w:rPr>
          <w:sz w:val="20"/>
          <w:szCs w:val="20"/>
          <w:color w:val="auto"/>
        </w:rPr>
      </w:pPr>
    </w:p>
    <w:p>
      <w:pPr>
        <w:ind w:left="1620" w:right="140"/>
        <w:spacing w:after="0" w:line="264" w:lineRule="auto"/>
        <w:rPr>
          <w:sz w:val="20"/>
          <w:szCs w:val="20"/>
          <w:color w:val="auto"/>
        </w:rPr>
      </w:pPr>
      <w:r>
        <w:rPr>
          <w:rFonts w:ascii="Arial" w:cs="Arial" w:eastAsia="Arial" w:hAnsi="Arial"/>
          <w:sz w:val="18"/>
          <w:szCs w:val="18"/>
          <w:color w:val="auto"/>
        </w:rPr>
        <w:t>As described in note 8, as part of the Series B preferred share purchase agreement the 2016 convertible loan together with the accrued interest was converted in to 13,299 series B-1 preferred shares at a price per share of $681.585. Also, the 2016 Warrants became warrant to purchase Series B preferred shares at an exercise price of $908.78.</w:t>
      </w:r>
    </w:p>
    <w:p>
      <w:pPr>
        <w:spacing w:after="0" w:line="181" w:lineRule="exact"/>
        <w:rPr>
          <w:sz w:val="20"/>
          <w:szCs w:val="20"/>
          <w:color w:val="auto"/>
        </w:rPr>
      </w:pPr>
    </w:p>
    <w:p>
      <w:pPr>
        <w:ind w:left="1300" w:right="120" w:hanging="320"/>
        <w:spacing w:after="0" w:line="279" w:lineRule="auto"/>
        <w:tabs>
          <w:tab w:leader="none" w:pos="1300" w:val="left"/>
        </w:tabs>
        <w:numPr>
          <w:ilvl w:val="0"/>
          <w:numId w:val="114"/>
        </w:numPr>
        <w:rPr>
          <w:rFonts w:ascii="Arial" w:cs="Arial" w:eastAsia="Arial" w:hAnsi="Arial"/>
          <w:sz w:val="17"/>
          <w:szCs w:val="17"/>
          <w:b w:val="1"/>
          <w:bCs w:val="1"/>
          <w:color w:val="auto"/>
        </w:rPr>
      </w:pPr>
      <w:r>
        <w:rPr>
          <w:rFonts w:ascii="Arial" w:cs="Arial" w:eastAsia="Arial" w:hAnsi="Arial"/>
          <w:sz w:val="17"/>
          <w:szCs w:val="17"/>
          <w:color w:val="auto"/>
        </w:rPr>
        <w:t>The Company prepared a valuation of the 2012 Convertible loan and the 2016 convertible loan presented above (a Level 3 valuation). The debt component of the convertible loans was valued based on the discounting of future payments of the debt. The convertible components (conversion option to the Company's ordinary shares) were valued based on a combination of the Probability-Weighted Expected Return Method and Back Solve option pricing method model. The following parameters were used:</w:t>
      </w:r>
    </w:p>
    <w:p>
      <w:pPr>
        <w:spacing w:after="0" w:line="181"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46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r>
      <w:tr>
        <w:trPr>
          <w:trHeight w:val="210"/>
        </w:trPr>
        <w:tc>
          <w:tcPr>
            <w:tcW w:w="4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600" w:type="dxa"/>
            <w:vAlign w:val="bottom"/>
            <w:shd w:val="clear" w:color="auto" w:fill="D5EAEA"/>
          </w:tcPr>
          <w:p>
            <w:pPr>
              <w:spacing w:after="0"/>
              <w:rPr>
                <w:sz w:val="20"/>
                <w:szCs w:val="20"/>
                <w:color w:val="auto"/>
              </w:rPr>
            </w:pPr>
            <w:r>
              <w:rPr>
                <w:rFonts w:ascii="Arial" w:cs="Arial" w:eastAsia="Arial" w:hAnsi="Arial"/>
                <w:sz w:val="18"/>
                <w:szCs w:val="18"/>
                <w:color w:val="auto"/>
              </w:rPr>
              <w:t>Preferred B price per share*</w:t>
            </w:r>
          </w:p>
        </w:tc>
        <w:tc>
          <w:tcPr>
            <w:tcW w:w="228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908.78</w:t>
            </w:r>
          </w:p>
        </w:tc>
        <w:tc>
          <w:tcPr>
            <w:tcW w:w="80" w:type="dxa"/>
            <w:vAlign w:val="bottom"/>
            <w:shd w:val="clear" w:color="auto" w:fill="D5EAEA"/>
          </w:tcPr>
          <w:p>
            <w:pPr>
              <w:spacing w:after="0"/>
              <w:rPr>
                <w:sz w:val="18"/>
                <w:szCs w:val="18"/>
                <w:color w:val="auto"/>
              </w:rPr>
            </w:pPr>
          </w:p>
        </w:tc>
        <w:tc>
          <w:tcPr>
            <w:tcW w:w="1160" w:type="dxa"/>
            <w:vAlign w:val="bottom"/>
            <w:shd w:val="clear" w:color="auto" w:fill="D5EAEA"/>
          </w:tcPr>
          <w:p>
            <w:pPr>
              <w:jc w:val="right"/>
              <w:ind w:right="17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Value of equity**</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$78 million</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$71 million</w:t>
            </w:r>
          </w:p>
        </w:tc>
      </w:tr>
      <w:tr>
        <w:trPr>
          <w:trHeight w:val="216"/>
        </w:trPr>
        <w:tc>
          <w:tcPr>
            <w:tcW w:w="4600" w:type="dxa"/>
            <w:vAlign w:val="bottom"/>
            <w:shd w:val="clear" w:color="auto" w:fill="D5EAEA"/>
          </w:tcPr>
          <w:p>
            <w:pPr>
              <w:spacing w:after="0"/>
              <w:rPr>
                <w:sz w:val="20"/>
                <w:szCs w:val="20"/>
                <w:color w:val="auto"/>
              </w:rPr>
            </w:pPr>
            <w:r>
              <w:rPr>
                <w:rFonts w:ascii="Arial" w:cs="Arial" w:eastAsia="Arial" w:hAnsi="Arial"/>
                <w:sz w:val="18"/>
                <w:szCs w:val="18"/>
                <w:color w:val="auto"/>
              </w:rPr>
              <w:t>Volatility</w:t>
            </w:r>
          </w:p>
        </w:tc>
        <w:tc>
          <w:tcPr>
            <w:tcW w:w="214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0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D5EAEA"/>
          </w:tcPr>
          <w:p>
            <w:pPr>
              <w:spacing w:after="0"/>
              <w:rPr>
                <w:sz w:val="18"/>
                <w:szCs w:val="18"/>
                <w:color w:val="auto"/>
              </w:rPr>
            </w:pPr>
          </w:p>
        </w:tc>
        <w:tc>
          <w:tcPr>
            <w:tcW w:w="11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Probability of entering Phase 2b/3</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4600" w:type="dxa"/>
            <w:vAlign w:val="bottom"/>
            <w:shd w:val="clear" w:color="auto" w:fill="D5EAEA"/>
          </w:tcPr>
          <w:p>
            <w:pPr>
              <w:spacing w:after="0"/>
              <w:rPr>
                <w:sz w:val="20"/>
                <w:szCs w:val="20"/>
                <w:color w:val="auto"/>
              </w:rPr>
            </w:pPr>
            <w:r>
              <w:rPr>
                <w:rFonts w:ascii="Arial" w:cs="Arial" w:eastAsia="Arial" w:hAnsi="Arial"/>
                <w:sz w:val="18"/>
                <w:szCs w:val="18"/>
                <w:color w:val="auto"/>
              </w:rPr>
              <w:t>Probability for IPO</w:t>
            </w:r>
          </w:p>
        </w:tc>
        <w:tc>
          <w:tcPr>
            <w:tcW w:w="214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0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85%</w:t>
            </w:r>
          </w:p>
        </w:tc>
        <w:tc>
          <w:tcPr>
            <w:tcW w:w="80" w:type="dxa"/>
            <w:vAlign w:val="bottom"/>
            <w:shd w:val="clear" w:color="auto" w:fill="D5EAEA"/>
          </w:tcPr>
          <w:p>
            <w:pPr>
              <w:spacing w:after="0"/>
              <w:rPr>
                <w:sz w:val="18"/>
                <w:szCs w:val="18"/>
                <w:color w:val="auto"/>
              </w:rPr>
            </w:pPr>
          </w:p>
        </w:tc>
        <w:tc>
          <w:tcPr>
            <w:tcW w:w="116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50%</w:t>
            </w: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According to agreement as described in note 8b.</w:t>
      </w:r>
    </w:p>
    <w:p>
      <w:pPr>
        <w:spacing w:after="0" w:line="23" w:lineRule="exact"/>
        <w:rPr>
          <w:sz w:val="20"/>
          <w:szCs w:val="20"/>
          <w:color w:val="auto"/>
        </w:rPr>
      </w:pPr>
    </w:p>
    <w:p>
      <w:pPr>
        <w:jc w:val="both"/>
        <w:ind w:left="1300" w:right="60" w:firstLine="5"/>
        <w:spacing w:after="0" w:line="255" w:lineRule="auto"/>
        <w:tabs>
          <w:tab w:leader="none" w:pos="152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value of equity as of December 31, 2017 was based on market approach as described in note 6. The value of equity as of December 31, 2016 was based on a valuation performed by the Company as detailed in note 6. The value of equity includes ordinary shares, preferred shares, warrants and options to preferred shares and shares.</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90" w:name="page191"/>
    <w:bookmarkEnd w:id="19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241E1C"/>
        </w:rPr>
        <w:t>NOTES TO THE FINANCIAL STATEMENTS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 CONVERTIBLE LOANS </w:t>
      </w:r>
      <w:r>
        <w:rPr>
          <w:rFonts w:ascii="Arial" w:cs="Arial" w:eastAsia="Arial" w:hAnsi="Arial"/>
          <w:sz w:val="18"/>
          <w:szCs w:val="18"/>
          <w:color w:val="auto"/>
        </w:rPr>
        <w:t>(continued):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Convertible loans</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30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5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U.S. dollars</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300" w:type="dxa"/>
            <w:vAlign w:val="bottom"/>
          </w:tcPr>
          <w:p>
            <w:pPr>
              <w:spacing w:after="0"/>
              <w:rPr>
                <w:sz w:val="20"/>
                <w:szCs w:val="20"/>
                <w:color w:val="auto"/>
              </w:rPr>
            </w:pPr>
          </w:p>
        </w:tc>
        <w:tc>
          <w:tcPr>
            <w:tcW w:w="5340" w:type="dxa"/>
            <w:vAlign w:val="bottom"/>
            <w:tcBorders>
              <w:bottom w:val="single" w:sz="8" w:color="D5EAEA"/>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340" w:type="dxa"/>
            <w:vAlign w:val="bottom"/>
            <w:shd w:val="clear" w:color="auto" w:fill="D5EAEA"/>
          </w:tcPr>
          <w:p>
            <w:pPr>
              <w:spacing w:after="0"/>
              <w:rPr>
                <w:sz w:val="20"/>
                <w:szCs w:val="20"/>
                <w:color w:val="auto"/>
              </w:rPr>
            </w:pPr>
            <w:r>
              <w:rPr>
                <w:rFonts w:ascii="Arial" w:cs="Arial" w:eastAsia="Arial" w:hAnsi="Arial"/>
                <w:sz w:val="18"/>
                <w:szCs w:val="18"/>
                <w:color w:val="auto"/>
              </w:rPr>
              <w:t>Balance as of January 1, 2016</w:t>
            </w:r>
          </w:p>
        </w:tc>
        <w:tc>
          <w:tcPr>
            <w:tcW w:w="1500" w:type="dxa"/>
            <w:vAlign w:val="bottom"/>
            <w:tcBorders>
              <w:right w:val="single" w:sz="8" w:color="D5EAEA"/>
            </w:tcBorders>
            <w:shd w:val="clear" w:color="auto" w:fill="D5EAEA"/>
          </w:tcPr>
          <w:p>
            <w:pPr>
              <w:jc w:val="right"/>
              <w:spacing w:after="0"/>
              <w:rPr>
                <w:sz w:val="20"/>
                <w:szCs w:val="20"/>
                <w:color w:val="auto"/>
              </w:rPr>
            </w:pPr>
            <w:r>
              <w:rPr>
                <w:rFonts w:ascii="Arial" w:cs="Arial" w:eastAsia="Arial" w:hAnsi="Arial"/>
                <w:sz w:val="18"/>
                <w:szCs w:val="18"/>
                <w:color w:val="auto"/>
              </w:rPr>
              <w:t>8,053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Additions during 2016</w:t>
            </w:r>
          </w:p>
        </w:tc>
        <w:tc>
          <w:tcPr>
            <w:tcW w:w="1500" w:type="dxa"/>
            <w:vAlign w:val="bottom"/>
          </w:tcPr>
          <w:p>
            <w:pPr>
              <w:jc w:val="right"/>
              <w:spacing w:after="0"/>
              <w:rPr>
                <w:sz w:val="20"/>
                <w:szCs w:val="20"/>
                <w:color w:val="auto"/>
              </w:rPr>
            </w:pPr>
            <w:r>
              <w:rPr>
                <w:rFonts w:ascii="Arial" w:cs="Arial" w:eastAsia="Arial" w:hAnsi="Arial"/>
                <w:sz w:val="18"/>
                <w:szCs w:val="18"/>
                <w:color w:val="auto"/>
              </w:rPr>
              <w:t>6,110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340" w:type="dxa"/>
            <w:vAlign w:val="bottom"/>
            <w:shd w:val="clear" w:color="auto" w:fill="D5EAEA"/>
          </w:tcPr>
          <w:p>
            <w:pPr>
              <w:spacing w:after="0"/>
              <w:rPr>
                <w:sz w:val="20"/>
                <w:szCs w:val="20"/>
                <w:color w:val="auto"/>
              </w:rPr>
            </w:pPr>
            <w:r>
              <w:rPr>
                <w:rFonts w:ascii="Arial" w:cs="Arial" w:eastAsia="Arial" w:hAnsi="Arial"/>
                <w:sz w:val="18"/>
                <w:szCs w:val="18"/>
                <w:color w:val="auto"/>
              </w:rPr>
              <w:t>Financial expenses</w:t>
            </w:r>
          </w:p>
        </w:tc>
        <w:tc>
          <w:tcPr>
            <w:tcW w:w="1500" w:type="dxa"/>
            <w:vAlign w:val="bottom"/>
            <w:tcBorders>
              <w:right w:val="single" w:sz="8" w:color="D5EAEA"/>
            </w:tcBorders>
            <w:shd w:val="clear" w:color="auto" w:fill="D5EAEA"/>
          </w:tcPr>
          <w:p>
            <w:pPr>
              <w:jc w:val="right"/>
              <w:spacing w:after="0"/>
              <w:rPr>
                <w:sz w:val="20"/>
                <w:szCs w:val="20"/>
                <w:color w:val="auto"/>
              </w:rPr>
            </w:pPr>
            <w:r>
              <w:rPr>
                <w:rFonts w:ascii="Arial" w:cs="Arial" w:eastAsia="Arial" w:hAnsi="Arial"/>
                <w:sz w:val="18"/>
                <w:szCs w:val="18"/>
                <w:color w:val="auto"/>
              </w:rPr>
              <w:t>105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Changes in fair value</w:t>
            </w:r>
          </w:p>
        </w:tc>
        <w:tc>
          <w:tcPr>
            <w:tcW w:w="1500" w:type="dxa"/>
            <w:vAlign w:val="bottom"/>
          </w:tcPr>
          <w:p>
            <w:pPr>
              <w:jc w:val="right"/>
              <w:spacing w:after="0"/>
              <w:rPr>
                <w:sz w:val="20"/>
                <w:szCs w:val="20"/>
                <w:color w:val="auto"/>
              </w:rPr>
            </w:pPr>
            <w:r>
              <w:rPr>
                <w:rFonts w:ascii="Arial" w:cs="Arial" w:eastAsia="Arial" w:hAnsi="Arial"/>
                <w:sz w:val="18"/>
                <w:szCs w:val="18"/>
                <w:color w:val="auto"/>
              </w:rPr>
              <w:t>452</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534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Balance as of December 31, 2016</w:t>
            </w:r>
          </w:p>
        </w:tc>
        <w:tc>
          <w:tcPr>
            <w:tcW w:w="1500" w:type="dxa"/>
            <w:vAlign w:val="bottom"/>
            <w:tcBorders>
              <w:top w:val="single" w:sz="8" w:color="auto"/>
              <w:right w:val="single" w:sz="8" w:color="D5EAEA"/>
            </w:tcBorders>
            <w:shd w:val="clear" w:color="auto" w:fill="D5EAEA"/>
          </w:tcPr>
          <w:p>
            <w:pPr>
              <w:jc w:val="right"/>
              <w:spacing w:after="0"/>
              <w:rPr>
                <w:sz w:val="20"/>
                <w:szCs w:val="20"/>
                <w:color w:val="auto"/>
              </w:rPr>
            </w:pPr>
            <w:r>
              <w:rPr>
                <w:rFonts w:ascii="Arial" w:cs="Arial" w:eastAsia="Arial" w:hAnsi="Arial"/>
                <w:sz w:val="18"/>
                <w:szCs w:val="18"/>
                <w:color w:val="auto"/>
              </w:rPr>
              <w:t>14,720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Maturity during period</w:t>
            </w:r>
          </w:p>
        </w:tc>
        <w:tc>
          <w:tcPr>
            <w:tcW w:w="1500" w:type="dxa"/>
            <w:vAlign w:val="bottom"/>
          </w:tcPr>
          <w:p>
            <w:pPr>
              <w:jc w:val="right"/>
              <w:spacing w:after="0"/>
              <w:rPr>
                <w:sz w:val="20"/>
                <w:szCs w:val="20"/>
                <w:color w:val="auto"/>
              </w:rPr>
            </w:pPr>
            <w:r>
              <w:rPr>
                <w:rFonts w:ascii="Arial" w:cs="Arial" w:eastAsia="Arial" w:hAnsi="Arial"/>
                <w:sz w:val="18"/>
                <w:szCs w:val="18"/>
                <w:color w:val="auto"/>
              </w:rPr>
              <w:t>(1,053)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340" w:type="dxa"/>
            <w:vAlign w:val="bottom"/>
            <w:shd w:val="clear" w:color="auto" w:fill="D5EAEA"/>
          </w:tcPr>
          <w:p>
            <w:pPr>
              <w:spacing w:after="0"/>
              <w:rPr>
                <w:sz w:val="20"/>
                <w:szCs w:val="20"/>
                <w:color w:val="auto"/>
              </w:rPr>
            </w:pPr>
            <w:r>
              <w:rPr>
                <w:rFonts w:ascii="Arial" w:cs="Arial" w:eastAsia="Arial" w:hAnsi="Arial"/>
                <w:sz w:val="18"/>
                <w:szCs w:val="18"/>
                <w:color w:val="auto"/>
              </w:rPr>
              <w:t>Conversion to Series B-1 preferred shares</w:t>
            </w:r>
          </w:p>
        </w:tc>
        <w:tc>
          <w:tcPr>
            <w:tcW w:w="1500" w:type="dxa"/>
            <w:vAlign w:val="bottom"/>
            <w:tcBorders>
              <w:right w:val="single" w:sz="8" w:color="D5EAEA"/>
            </w:tcBorders>
            <w:shd w:val="clear" w:color="auto" w:fill="D5EAEA"/>
          </w:tcPr>
          <w:p>
            <w:pPr>
              <w:jc w:val="right"/>
              <w:spacing w:after="0"/>
              <w:rPr>
                <w:sz w:val="20"/>
                <w:szCs w:val="20"/>
                <w:color w:val="auto"/>
              </w:rPr>
            </w:pPr>
            <w:r>
              <w:rPr>
                <w:rFonts w:ascii="Arial" w:cs="Arial" w:eastAsia="Arial" w:hAnsi="Arial"/>
                <w:sz w:val="18"/>
                <w:szCs w:val="18"/>
                <w:color w:val="auto"/>
              </w:rPr>
              <w:t>(11,695)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Financial expenses</w:t>
            </w:r>
          </w:p>
        </w:tc>
        <w:tc>
          <w:tcPr>
            <w:tcW w:w="1500" w:type="dxa"/>
            <w:vAlign w:val="bottom"/>
          </w:tcPr>
          <w:p>
            <w:pPr>
              <w:jc w:val="right"/>
              <w:spacing w:after="0"/>
              <w:rPr>
                <w:sz w:val="20"/>
                <w:szCs w:val="20"/>
                <w:color w:val="auto"/>
              </w:rPr>
            </w:pPr>
            <w:r>
              <w:rPr>
                <w:rFonts w:ascii="Arial" w:cs="Arial" w:eastAsia="Arial" w:hAnsi="Arial"/>
                <w:sz w:val="18"/>
                <w:szCs w:val="18"/>
                <w:color w:val="auto"/>
              </w:rPr>
              <w:t>48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340" w:type="dxa"/>
            <w:vAlign w:val="bottom"/>
            <w:shd w:val="clear" w:color="auto" w:fill="D5EAEA"/>
          </w:tcPr>
          <w:p>
            <w:pPr>
              <w:spacing w:after="0"/>
              <w:rPr>
                <w:sz w:val="20"/>
                <w:szCs w:val="20"/>
                <w:color w:val="auto"/>
              </w:rPr>
            </w:pPr>
            <w:r>
              <w:rPr>
                <w:rFonts w:ascii="Arial" w:cs="Arial" w:eastAsia="Arial" w:hAnsi="Arial"/>
                <w:sz w:val="18"/>
                <w:szCs w:val="18"/>
                <w:color w:val="auto"/>
              </w:rPr>
              <w:t>Changes in fair value</w:t>
            </w:r>
          </w:p>
        </w:tc>
        <w:tc>
          <w:tcPr>
            <w:tcW w:w="1500" w:type="dxa"/>
            <w:vAlign w:val="bottom"/>
            <w:tcBorders>
              <w:right w:val="single" w:sz="8" w:color="D5EAEA"/>
            </w:tcBorders>
            <w:shd w:val="clear" w:color="auto" w:fill="D5EAEA"/>
          </w:tcPr>
          <w:p>
            <w:pPr>
              <w:jc w:val="right"/>
              <w:spacing w:after="0"/>
              <w:rPr>
                <w:sz w:val="20"/>
                <w:szCs w:val="20"/>
                <w:color w:val="auto"/>
              </w:rPr>
            </w:pPr>
            <w:r>
              <w:rPr>
                <w:rFonts w:ascii="Arial" w:cs="Arial" w:eastAsia="Arial" w:hAnsi="Arial"/>
                <w:sz w:val="18"/>
                <w:szCs w:val="18"/>
                <w:color w:val="auto"/>
              </w:rPr>
              <w:t>1,873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Balance as of December 31, 2017</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3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3"/>
              </w:rPr>
              <w:t>Warrants to</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 preferred</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shares and shares</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30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5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U.S. dollars</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2300" w:type="dxa"/>
            <w:vAlign w:val="bottom"/>
          </w:tcPr>
          <w:p>
            <w:pPr>
              <w:spacing w:after="0"/>
              <w:rPr>
                <w:sz w:val="22"/>
                <w:szCs w:val="22"/>
                <w:color w:val="auto"/>
              </w:rPr>
            </w:pPr>
          </w:p>
        </w:tc>
        <w:tc>
          <w:tcPr>
            <w:tcW w:w="5340" w:type="dxa"/>
            <w:vAlign w:val="bottom"/>
            <w:tcBorders>
              <w:bottom w:val="single" w:sz="8" w:color="D5EAEA"/>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5340" w:type="dxa"/>
            <w:vAlign w:val="bottom"/>
            <w:shd w:val="clear" w:color="auto" w:fill="D5EAEA"/>
          </w:tcPr>
          <w:p>
            <w:pPr>
              <w:spacing w:after="0"/>
              <w:rPr>
                <w:sz w:val="20"/>
                <w:szCs w:val="20"/>
                <w:color w:val="auto"/>
              </w:rPr>
            </w:pPr>
            <w:r>
              <w:rPr>
                <w:rFonts w:ascii="Arial" w:cs="Arial" w:eastAsia="Arial" w:hAnsi="Arial"/>
                <w:sz w:val="18"/>
                <w:szCs w:val="18"/>
                <w:color w:val="auto"/>
              </w:rPr>
              <w:t>Balance as of January 1, 2016</w:t>
            </w:r>
          </w:p>
        </w:tc>
        <w:tc>
          <w:tcPr>
            <w:tcW w:w="1500" w:type="dxa"/>
            <w:vAlign w:val="bottom"/>
            <w:tcBorders>
              <w:right w:val="single" w:sz="8" w:color="D5EAEA"/>
            </w:tcBorders>
            <w:shd w:val="clear" w:color="auto" w:fill="D5EAEA"/>
          </w:tcPr>
          <w:p>
            <w:pPr>
              <w:jc w:val="right"/>
              <w:spacing w:after="0"/>
              <w:rPr>
                <w:sz w:val="20"/>
                <w:szCs w:val="20"/>
                <w:color w:val="auto"/>
              </w:rPr>
            </w:pPr>
            <w:r>
              <w:rPr>
                <w:rFonts w:ascii="Arial" w:cs="Arial" w:eastAsia="Arial" w:hAnsi="Arial"/>
                <w:sz w:val="18"/>
                <w:szCs w:val="18"/>
                <w:color w:val="auto"/>
              </w:rPr>
              <w:t>215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Additions during 2016</w:t>
            </w:r>
          </w:p>
        </w:tc>
        <w:tc>
          <w:tcPr>
            <w:tcW w:w="1500" w:type="dxa"/>
            <w:vAlign w:val="bottom"/>
          </w:tcPr>
          <w:p>
            <w:pPr>
              <w:jc w:val="right"/>
              <w:spacing w:after="0"/>
              <w:rPr>
                <w:sz w:val="20"/>
                <w:szCs w:val="20"/>
                <w:color w:val="auto"/>
              </w:rPr>
            </w:pPr>
            <w:r>
              <w:rPr>
                <w:rFonts w:ascii="Arial" w:cs="Arial" w:eastAsia="Arial" w:hAnsi="Arial"/>
                <w:sz w:val="18"/>
                <w:szCs w:val="18"/>
                <w:color w:val="auto"/>
              </w:rPr>
              <w:t>1,319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340" w:type="dxa"/>
            <w:vAlign w:val="bottom"/>
            <w:shd w:val="clear" w:color="auto" w:fill="D5EAEA"/>
          </w:tcPr>
          <w:p>
            <w:pPr>
              <w:spacing w:after="0"/>
              <w:rPr>
                <w:sz w:val="20"/>
                <w:szCs w:val="20"/>
                <w:color w:val="auto"/>
              </w:rPr>
            </w:pPr>
            <w:r>
              <w:rPr>
                <w:rFonts w:ascii="Arial" w:cs="Arial" w:eastAsia="Arial" w:hAnsi="Arial"/>
                <w:sz w:val="18"/>
                <w:szCs w:val="18"/>
                <w:color w:val="auto"/>
              </w:rPr>
              <w:t>Changes in fair value</w:t>
            </w:r>
          </w:p>
        </w:tc>
        <w:tc>
          <w:tcPr>
            <w:tcW w:w="1500" w:type="dxa"/>
            <w:vAlign w:val="bottom"/>
            <w:tcBorders>
              <w:right w:val="single" w:sz="8" w:color="D5EAEA"/>
            </w:tcBorders>
            <w:shd w:val="clear" w:color="auto" w:fill="D5EAEA"/>
          </w:tcPr>
          <w:p>
            <w:pPr>
              <w:jc w:val="right"/>
              <w:spacing w:after="0"/>
              <w:rPr>
                <w:sz w:val="20"/>
                <w:szCs w:val="20"/>
                <w:color w:val="auto"/>
              </w:rPr>
            </w:pPr>
            <w:r>
              <w:rPr>
                <w:rFonts w:ascii="Arial" w:cs="Arial" w:eastAsia="Arial" w:hAnsi="Arial"/>
                <w:sz w:val="18"/>
                <w:szCs w:val="18"/>
                <w:color w:val="auto"/>
              </w:rPr>
              <w:t>103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Balance as of December 31, 2016</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340" w:type="dxa"/>
            <w:vAlign w:val="bottom"/>
            <w:shd w:val="clear" w:color="auto" w:fill="D5EAEA"/>
          </w:tcPr>
          <w:p>
            <w:pPr>
              <w:spacing w:after="0"/>
              <w:rPr>
                <w:sz w:val="20"/>
                <w:szCs w:val="20"/>
                <w:color w:val="auto"/>
              </w:rPr>
            </w:pPr>
            <w:r>
              <w:rPr>
                <w:rFonts w:ascii="Arial" w:cs="Arial" w:eastAsia="Arial" w:hAnsi="Arial"/>
                <w:sz w:val="18"/>
                <w:szCs w:val="18"/>
                <w:color w:val="auto"/>
              </w:rPr>
              <w:t>Conversion to warrants to purchase Series B preferred shares</w:t>
            </w:r>
          </w:p>
        </w:tc>
        <w:tc>
          <w:tcPr>
            <w:tcW w:w="1500" w:type="dxa"/>
            <w:vAlign w:val="bottom"/>
            <w:tcBorders>
              <w:right w:val="single" w:sz="8" w:color="D5EAEA"/>
            </w:tcBorders>
            <w:shd w:val="clear" w:color="auto" w:fill="D5EAEA"/>
          </w:tcPr>
          <w:p>
            <w:pPr>
              <w:jc w:val="right"/>
              <w:spacing w:after="0"/>
              <w:rPr>
                <w:sz w:val="20"/>
                <w:szCs w:val="20"/>
                <w:color w:val="auto"/>
              </w:rPr>
            </w:pPr>
            <w:r>
              <w:rPr>
                <w:rFonts w:ascii="Arial" w:cs="Arial" w:eastAsia="Arial" w:hAnsi="Arial"/>
                <w:sz w:val="18"/>
                <w:szCs w:val="18"/>
                <w:color w:val="auto"/>
              </w:rPr>
              <w:t>(1,988)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Changes in fair value</w:t>
            </w:r>
          </w:p>
        </w:tc>
        <w:tc>
          <w:tcPr>
            <w:tcW w:w="1500" w:type="dxa"/>
            <w:vAlign w:val="bottom"/>
          </w:tcPr>
          <w:p>
            <w:pPr>
              <w:jc w:val="right"/>
              <w:spacing w:after="0"/>
              <w:rPr>
                <w:sz w:val="20"/>
                <w:szCs w:val="20"/>
                <w:color w:val="auto"/>
              </w:rPr>
            </w:pPr>
            <w:r>
              <w:rPr>
                <w:rFonts w:ascii="Arial" w:cs="Arial" w:eastAsia="Arial" w:hAnsi="Arial"/>
                <w:sz w:val="18"/>
                <w:szCs w:val="18"/>
                <w:color w:val="auto"/>
              </w:rPr>
              <w:t>351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34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color w:val="auto"/>
              </w:rPr>
              <w:t>Balance as of December 31, 2017</w:t>
            </w:r>
          </w:p>
        </w:tc>
        <w:tc>
          <w:tcPr>
            <w:tcW w:w="1500" w:type="dxa"/>
            <w:vAlign w:val="bottom"/>
            <w:tcBorders>
              <w:top w:val="single" w:sz="8" w:color="auto"/>
              <w:bottom w:val="single" w:sz="8" w:color="auto"/>
              <w:right w:val="single" w:sz="8" w:color="D5EAEA"/>
            </w:tcBorders>
            <w:shd w:val="clear" w:color="auto" w:fill="D5EAEA"/>
          </w:tcPr>
          <w:p>
            <w:pPr>
              <w:jc w:val="right"/>
              <w:ind w:right="7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340" w:type="dxa"/>
            <w:vAlign w:val="bottom"/>
            <w:vMerge w:val="restart"/>
          </w:tcPr>
          <w:p>
            <w:pPr>
              <w:ind w:left="3240"/>
              <w:spacing w:after="0"/>
              <w:rPr>
                <w:sz w:val="20"/>
                <w:szCs w:val="20"/>
                <w:color w:val="auto"/>
              </w:rPr>
            </w:pPr>
            <w:r>
              <w:rPr>
                <w:rFonts w:ascii="Arial" w:cs="Arial" w:eastAsia="Arial" w:hAnsi="Arial"/>
                <w:sz w:val="18"/>
                <w:szCs w:val="18"/>
                <w:color w:val="auto"/>
              </w:rPr>
              <w:t>F-21</w:t>
            </w:r>
          </w:p>
        </w:tc>
        <w:tc>
          <w:tcPr>
            <w:tcW w:w="150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30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vMerge w:val="continue"/>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5" w:right="239" w:bottom="1440" w:gutter="0" w:footer="0" w:header="0"/>
        </w:sectPr>
      </w:pPr>
    </w:p>
    <w:bookmarkStart w:id="191" w:name="page192"/>
    <w:bookmarkEnd w:id="19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PREFERRED SHARES AND WARRANTS TO PREFERED SHARES:</w:t>
      </w:r>
    </w:p>
    <w:p>
      <w:pPr>
        <w:spacing w:after="0" w:line="229" w:lineRule="exact"/>
        <w:rPr>
          <w:sz w:val="20"/>
          <w:szCs w:val="20"/>
          <w:color w:val="auto"/>
        </w:rPr>
      </w:pPr>
    </w:p>
    <w:p>
      <w:pPr>
        <w:ind w:left="1340" w:hanging="319"/>
        <w:spacing w:after="0" w:line="268" w:lineRule="auto"/>
        <w:tabs>
          <w:tab w:leader="none" w:pos="1340" w:val="left"/>
        </w:tabs>
        <w:numPr>
          <w:ilvl w:val="0"/>
          <w:numId w:val="116"/>
        </w:numPr>
        <w:rPr>
          <w:rFonts w:ascii="Arial" w:cs="Arial" w:eastAsia="Arial" w:hAnsi="Arial"/>
          <w:sz w:val="17"/>
          <w:szCs w:val="17"/>
          <w:b w:val="1"/>
          <w:bCs w:val="1"/>
          <w:color w:val="auto"/>
        </w:rPr>
      </w:pPr>
      <w:r>
        <w:rPr>
          <w:rFonts w:ascii="Arial" w:cs="Arial" w:eastAsia="Arial" w:hAnsi="Arial"/>
          <w:sz w:val="17"/>
          <w:szCs w:val="17"/>
          <w:color w:val="auto"/>
        </w:rPr>
        <w:t>On January 29, 2014, the Company and Centillion entered into a Series A Preferred Share Purchase Agreement (the "Centillion preferred share purchase agreement"). According to the Centillion preferred share purchase agreement, Centillion purchased 4,172 of the Company's preferred shares, for an aggregate purchase price of $2,000 thousand at a purchase price of $479.38 per share (the "per share purchase price"). The Company also issued to Centillion a warrant to purchase up to 1,043 of its applicable shares upon exercise of the warrant ("applicable shares") at the per share purchase price. According to the Centillion Preferred share purchase agreement, upon the Company's filing of a registration statement for an initial public offering with the SEC no later than June 29, 2014, or the "first milestone", Centillion was required to purchase from the Company an additional 4,172 preferred shares at the per share purchase price (for additional proceeds of $2,000 thousand) and the Company was required to issue to Centillion a warrant to purchase an additional 1,043 applicable shares at the per share purchase price. Finally, pursuant to the terms of the Centillion preferred share purchase agreement, upon the consummation of an initial public offering of the Company's ordinary shares on or prior to December 29, 2014, pursuant to which the ordinary shares are listed on the Nasdaq or AMEX, or a "Qualified IPO" and such event the "second milestone", Centillion was required to purchase from the Company an additional 2,086 preferred shares at the per share purchase price (for additional proceeds of $1,000 thousand) and the Company was required to issue to Centillion a warrant to purchase an additional 522 preferred shares at the per share purchase price. Centillion also had the right to acquire the preferred shares and warrant to be issued upon either of the milestones prior to the applicable milestone date.</w:t>
      </w:r>
    </w:p>
    <w:p>
      <w:pPr>
        <w:spacing w:after="0" w:line="183" w:lineRule="exact"/>
        <w:rPr>
          <w:rFonts w:ascii="Arial" w:cs="Arial" w:eastAsia="Arial" w:hAnsi="Arial"/>
          <w:sz w:val="17"/>
          <w:szCs w:val="17"/>
          <w:b w:val="1"/>
          <w:bCs w:val="1"/>
          <w:color w:val="auto"/>
        </w:rPr>
      </w:pPr>
    </w:p>
    <w:p>
      <w:pPr>
        <w:ind w:left="1360" w:right="36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On June 18, 2014, the Company and Centillion entered into the first amendment to the Centillion preferred share purchase agreement, pursuant to which the date for the first milestone was extended from June 29, 2014 to November 1, 2014, and the date for the second milestone was extended from December 29, 2014 to May 1, 2015.</w:t>
      </w:r>
    </w:p>
    <w:p>
      <w:pPr>
        <w:spacing w:after="0" w:line="181" w:lineRule="exact"/>
        <w:rPr>
          <w:rFonts w:ascii="Arial" w:cs="Arial" w:eastAsia="Arial" w:hAnsi="Arial"/>
          <w:sz w:val="17"/>
          <w:szCs w:val="17"/>
          <w:b w:val="1"/>
          <w:bCs w:val="1"/>
          <w:color w:val="auto"/>
        </w:rPr>
      </w:pPr>
    </w:p>
    <w:p>
      <w:pPr>
        <w:ind w:left="1360" w:right="2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On January 21, 2015, the Company and Centillion entered into the second amendment to the Centillion preferred share purchase agreement, or the "second amendment". Pursuant to the second amendment, Centillion exercised its right to acquire the preferred shares and warrant to be issued upon the first milestone although as of such date the Company had not filed a registration statement for its initial public offering and paid the Company $2,000 thousand. In consideration therefor, the Company also issued to Centillion an additional warrant, or the "additional Centillion warrant". The additional Centillion warrant is exercisable upon (and for a period of one year following) the first to occur of a significant financing round, an M&amp;A event (as defined in the warrant agreement) or the Company's initial public offering, to purchase up to $2,000 thousand of the type of shares issued in such a transaction at a 25% discount to the applicable price per share. In addition, pursuant to the second amendment the date for the second milestone was extended from May 1, 2015 to October 1, 2015. According to the second amendment as the second milestone was not achieved by October 1, 2015, Centillion has extended it until October 1, 2017.</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192" w:name="page193"/>
    <w:bookmarkEnd w:id="19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 PREFERRED SHARES AND WARRANTS TO PREFERED SHARES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9" w:lineRule="exact"/>
        <w:rPr>
          <w:sz w:val="20"/>
          <w:szCs w:val="20"/>
          <w:color w:val="auto"/>
        </w:rPr>
      </w:pPr>
    </w:p>
    <w:p>
      <w:pPr>
        <w:ind w:left="1360" w:right="20"/>
        <w:spacing w:after="0" w:line="269" w:lineRule="auto"/>
        <w:rPr>
          <w:sz w:val="20"/>
          <w:szCs w:val="20"/>
          <w:color w:val="auto"/>
        </w:rPr>
      </w:pPr>
      <w:r>
        <w:rPr>
          <w:rFonts w:ascii="Arial" w:cs="Arial" w:eastAsia="Arial" w:hAnsi="Arial"/>
          <w:sz w:val="17"/>
          <w:szCs w:val="17"/>
          <w:color w:val="auto"/>
        </w:rPr>
        <w:t>In the course of 2014, the Company consummated the closings of the Series A Preferred Share Purchase Agreements it had entered into with each of WFI E Bio LLC., or WFI, and White Car Group Ltd., or "White Car", and on January 11, 2015 the Company consummated the closing of the Series A Preferred Share Purchase Agreement it had entered into with HFN Trust Company 2013 Ltd., or "HFN Trust", and such agreements together the "additional preferred share purchase agreements". Pursuant to the terms of the additional share purchase agreements WFI, White Car and HFN Trust purchased from the Company 501, 417 and 21 preferred shares for an aggregate purchase price of $240 thousand, $200 thousand and $10 thousand, respectively, and the Company issued to each of WFI, White Car and HFN Trust a warrant to purchase up to 125, 104 and five of its applicable shares, respectively, each upon substantially the same terms as the Centillion preferred share purchase agreement and the form of warrants the Company issued to Centillion. The additional preferred share purchase agreements also provide for the issuance of preferred shares and warrants upon the achievement of those milestones set forth in the Centillion preferred share purchase agreement on terms substantially identical to those contained in the Centillion preferred share purchase agreement.</w:t>
      </w:r>
    </w:p>
    <w:p>
      <w:pPr>
        <w:spacing w:after="0" w:line="183" w:lineRule="exact"/>
        <w:rPr>
          <w:sz w:val="20"/>
          <w:szCs w:val="20"/>
          <w:color w:val="auto"/>
        </w:rPr>
      </w:pPr>
    </w:p>
    <w:p>
      <w:pPr>
        <w:ind w:left="1360"/>
        <w:spacing w:after="0" w:line="293" w:lineRule="auto"/>
        <w:rPr>
          <w:sz w:val="20"/>
          <w:szCs w:val="20"/>
          <w:color w:val="auto"/>
        </w:rPr>
      </w:pPr>
      <w:r>
        <w:rPr>
          <w:rFonts w:ascii="Arial" w:cs="Arial" w:eastAsia="Arial" w:hAnsi="Arial"/>
          <w:sz w:val="16"/>
          <w:szCs w:val="16"/>
          <w:color w:val="auto"/>
        </w:rPr>
        <w:t>In March 2015, the Company entered into the first Amendment to each of the additional preferred share purchase agreements, which contained terms substantially identical to those contained in the second amendment to the Centillion preferred share purchase agreement, and the Company issued to each of WFI, White Car and HFN Trust an additional warrant, or together with the additional Centillion warrant the "additional warrants", to purchase up to $240 thousand, $200 thousand and $10 thousand, respectively, upon terms substantially identical to those contained in the additional warrant the Company issued to Centillion in connection with the second amendment to the Centillion preferred share purchase agreement including the extension of the second milestone to October 1, 2017.</w:t>
      </w:r>
    </w:p>
    <w:p>
      <w:pPr>
        <w:spacing w:after="0" w:line="165" w:lineRule="exact"/>
        <w:rPr>
          <w:sz w:val="20"/>
          <w:szCs w:val="20"/>
          <w:color w:val="auto"/>
        </w:rPr>
      </w:pPr>
    </w:p>
    <w:p>
      <w:pPr>
        <w:ind w:left="1360" w:right="60"/>
        <w:spacing w:after="0" w:line="273" w:lineRule="auto"/>
        <w:rPr>
          <w:sz w:val="20"/>
          <w:szCs w:val="20"/>
          <w:color w:val="auto"/>
        </w:rPr>
      </w:pPr>
      <w:r>
        <w:rPr>
          <w:rFonts w:ascii="Arial" w:cs="Arial" w:eastAsia="Arial" w:hAnsi="Arial"/>
          <w:sz w:val="17"/>
          <w:szCs w:val="17"/>
          <w:color w:val="auto"/>
        </w:rPr>
        <w:t>On July 20, 2017, the Company approved the amendment to the preferred share A purchase agreement with the preferred shareholders (the “Investors”). Pursuant to the amendment the date for the second milestone was extended from October 1, 2017 to July 20, 2019 and following the occurrence of the second milestone and until July 20, 2019, the Investors shall have the option, at their sole discretion, to invest any or all of the milestone investment amount. In addition, the exercise terms of the additional warrants granted to the Investors in 2015 were changed to a period of two year following the event of the first to occur of a significant financing round, an M&amp;A event (as defined in the warrant agreement) or the Company's initial public offering.</w:t>
      </w:r>
    </w:p>
    <w:p>
      <w:pPr>
        <w:spacing w:after="0" w:line="178" w:lineRule="exact"/>
        <w:rPr>
          <w:sz w:val="20"/>
          <w:szCs w:val="20"/>
          <w:color w:val="auto"/>
        </w:rPr>
      </w:pPr>
    </w:p>
    <w:p>
      <w:pPr>
        <w:ind w:left="1360"/>
        <w:spacing w:after="0" w:line="259" w:lineRule="auto"/>
        <w:rPr>
          <w:sz w:val="20"/>
          <w:szCs w:val="20"/>
          <w:color w:val="auto"/>
        </w:rPr>
      </w:pPr>
      <w:r>
        <w:rPr>
          <w:rFonts w:ascii="Arial" w:cs="Arial" w:eastAsia="Arial" w:hAnsi="Arial"/>
          <w:sz w:val="18"/>
          <w:szCs w:val="18"/>
          <w:color w:val="auto"/>
        </w:rPr>
        <w:t>Following the completion of the Preferred B Financing as defined in note 8b, the additional warrants that the Company previously issued in connection with the second amendment to the Centillion preferred share purchase agreement and the first amendment to the additional preferred share purchase agreements with certain other preferred A shareholders became warrants to purchase Series B-1 preferred shares at an exercise price of $681.585.</w:t>
      </w:r>
    </w:p>
    <w:p>
      <w:pPr>
        <w:spacing w:after="0" w:line="187" w:lineRule="exact"/>
        <w:rPr>
          <w:sz w:val="20"/>
          <w:szCs w:val="20"/>
          <w:color w:val="auto"/>
        </w:rPr>
      </w:pPr>
    </w:p>
    <w:p>
      <w:pPr>
        <w:ind w:left="1300" w:right="200" w:hanging="320"/>
        <w:spacing w:after="0" w:line="302" w:lineRule="auto"/>
        <w:tabs>
          <w:tab w:leader="none" w:pos="1300" w:val="left"/>
        </w:tabs>
        <w:numPr>
          <w:ilvl w:val="0"/>
          <w:numId w:val="117"/>
        </w:numPr>
        <w:rPr>
          <w:rFonts w:ascii="Arial" w:cs="Arial" w:eastAsia="Arial" w:hAnsi="Arial"/>
          <w:sz w:val="16"/>
          <w:szCs w:val="16"/>
          <w:b w:val="1"/>
          <w:bCs w:val="1"/>
          <w:color w:val="auto"/>
        </w:rPr>
      </w:pPr>
      <w:r>
        <w:rPr>
          <w:rFonts w:ascii="Arial" w:cs="Arial" w:eastAsia="Arial" w:hAnsi="Arial"/>
          <w:sz w:val="16"/>
          <w:szCs w:val="16"/>
          <w:color w:val="auto"/>
        </w:rPr>
        <w:t>In October and December 2017, the Company entered into a Series B preferred share purchase agreement (the “Preferred B Financing”), with certain investors, including D.N.A and Centillion (together, the “Investors”). Pursuant to the terms of the Series B preferred share purchase agreement, the Company issued and sold to the Investors 14,283 Series B preferred shares at a price per share of $908.78, for an aggregate purchase price of $12.98 million. The total consideration net of issuance costs which paid in cash was $12.087 million.</w:t>
      </w:r>
    </w:p>
    <w:p>
      <w:pPr>
        <w:spacing w:after="0" w:line="154" w:lineRule="exact"/>
        <w:rPr>
          <w:rFonts w:ascii="Arial" w:cs="Arial" w:eastAsia="Arial" w:hAnsi="Arial"/>
          <w:sz w:val="16"/>
          <w:szCs w:val="16"/>
          <w:b w:val="1"/>
          <w:bCs w:val="1"/>
          <w:color w:val="auto"/>
        </w:rPr>
      </w:pPr>
    </w:p>
    <w:p>
      <w:pPr>
        <w:ind w:left="1300" w:right="40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In addition, the Company issued to a broker dealer, a warrant to purchase 526 Series B preferred shares, at a price of $908.78 per share therefore, the Company recorded additional issuance costs of $198 thousand.</w:t>
      </w:r>
    </w:p>
    <w:p>
      <w:pPr>
        <w:spacing w:after="0" w:line="170" w:lineRule="exact"/>
        <w:rPr>
          <w:rFonts w:ascii="Arial" w:cs="Arial" w:eastAsia="Arial" w:hAnsi="Arial"/>
          <w:sz w:val="16"/>
          <w:szCs w:val="16"/>
          <w:b w:val="1"/>
          <w:bCs w:val="1"/>
          <w:color w:val="auto"/>
        </w:rPr>
      </w:pPr>
    </w:p>
    <w:p>
      <w:pPr>
        <w:ind w:left="1300" w:right="8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Of the Investors, few related parties participated in the Preferred B Financing and purchased 7,089 Series B preferred shares, in the amount of $6,442 thousand.</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93" w:name="page194"/>
    <w:bookmarkEnd w:id="19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 PREFERRED SHARES AND WARRANTS TO PREFERED SHARES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1300" w:right="260"/>
        <w:spacing w:after="0" w:line="264" w:lineRule="auto"/>
        <w:rPr>
          <w:sz w:val="20"/>
          <w:szCs w:val="20"/>
          <w:color w:val="auto"/>
        </w:rPr>
      </w:pPr>
      <w:r>
        <w:rPr>
          <w:rFonts w:ascii="Arial" w:cs="Arial" w:eastAsia="Arial" w:hAnsi="Arial"/>
          <w:sz w:val="18"/>
          <w:szCs w:val="18"/>
          <w:color w:val="auto"/>
        </w:rPr>
        <w:t>The Preferred B Financing constitutes a Triggering Event as defined in the 2016 Convertible Loan and as a result, the entire loan amount under the 2016 Convertible Loan, together with accrued interest in the amount of $9.0 million, was automatically converted into 13,229 Series B-1 preferred shares at a price per share of $681.585.</w:t>
      </w:r>
    </w:p>
    <w:p>
      <w:pPr>
        <w:spacing w:after="0" w:line="181" w:lineRule="exact"/>
        <w:rPr>
          <w:sz w:val="20"/>
          <w:szCs w:val="20"/>
          <w:color w:val="auto"/>
        </w:rPr>
      </w:pPr>
    </w:p>
    <w:p>
      <w:pPr>
        <w:ind w:left="1300"/>
        <w:spacing w:after="0" w:line="258" w:lineRule="auto"/>
        <w:rPr>
          <w:sz w:val="20"/>
          <w:szCs w:val="20"/>
          <w:color w:val="auto"/>
        </w:rPr>
      </w:pPr>
      <w:r>
        <w:rPr>
          <w:rFonts w:ascii="Arial" w:cs="Arial" w:eastAsia="Arial" w:hAnsi="Arial"/>
          <w:sz w:val="18"/>
          <w:szCs w:val="18"/>
          <w:color w:val="auto"/>
        </w:rPr>
        <w:t>In addition, as a result of the Preferred B Financing, the 2016 Warrants became warrants to purchase Series B preferred shares at an exercise price of $908.78.</w:t>
      </w:r>
    </w:p>
    <w:p>
      <w:pPr>
        <w:spacing w:after="0" w:line="1" w:lineRule="exact"/>
        <w:rPr>
          <w:sz w:val="20"/>
          <w:szCs w:val="20"/>
          <w:color w:val="auto"/>
        </w:rPr>
      </w:pPr>
    </w:p>
    <w:p>
      <w:pPr>
        <w:ind w:left="1300" w:right="120"/>
        <w:spacing w:after="0" w:line="255" w:lineRule="auto"/>
        <w:rPr>
          <w:sz w:val="20"/>
          <w:szCs w:val="20"/>
          <w:color w:val="auto"/>
        </w:rPr>
      </w:pPr>
      <w:r>
        <w:rPr>
          <w:rFonts w:ascii="Arial" w:cs="Arial" w:eastAsia="Arial" w:hAnsi="Arial"/>
          <w:sz w:val="18"/>
          <w:szCs w:val="18"/>
          <w:color w:val="auto"/>
        </w:rPr>
        <w:t>As part of the automatic conversion of the 2016 Convertible Loans, the Company issued to four of its related parties 1,834 Series B-1 preferred shares, and their 2016 warrants became warrants to purchase 733 Series B preferred shares. The fair value of the preferred shares and warrants was $1,621 thousand and $264 thousand, respectively.</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rights of the Series B-1 preferred shares are identical in all respects (other than the price per share) to the Series B preferred shares.</w:t>
      </w:r>
    </w:p>
    <w:p>
      <w:pPr>
        <w:spacing w:after="0" w:line="200" w:lineRule="exact"/>
        <w:rPr>
          <w:sz w:val="20"/>
          <w:szCs w:val="20"/>
          <w:color w:val="auto"/>
        </w:rPr>
      </w:pPr>
    </w:p>
    <w:p>
      <w:pPr>
        <w:spacing w:after="0" w:line="264" w:lineRule="exact"/>
        <w:rPr>
          <w:sz w:val="20"/>
          <w:szCs w:val="20"/>
          <w:color w:val="auto"/>
        </w:rPr>
      </w:pPr>
    </w:p>
    <w:p>
      <w:pPr>
        <w:ind w:left="1360" w:right="140"/>
        <w:spacing w:after="0" w:line="277" w:lineRule="auto"/>
        <w:rPr>
          <w:sz w:val="20"/>
          <w:szCs w:val="20"/>
          <w:color w:val="auto"/>
        </w:rPr>
      </w:pPr>
      <w:r>
        <w:rPr>
          <w:rFonts w:ascii="Arial" w:cs="Arial" w:eastAsia="Arial" w:hAnsi="Arial"/>
          <w:sz w:val="18"/>
          <w:szCs w:val="18"/>
          <w:color w:val="auto"/>
        </w:rPr>
        <w:t>Following the completion of the Preferred B Financing the Company determined the amount of options to purchase ordinary shares of the Company, to be granted to Mr. Beshar and Dr. Garceau of 6,970 and 1,608, respectively. See also note 10(g).</w:t>
      </w:r>
    </w:p>
    <w:p>
      <w:pPr>
        <w:spacing w:after="0" w:line="170" w:lineRule="exact"/>
        <w:rPr>
          <w:sz w:val="20"/>
          <w:szCs w:val="20"/>
          <w:color w:val="auto"/>
        </w:rPr>
      </w:pPr>
    </w:p>
    <w:p>
      <w:pPr>
        <w:ind w:left="1340" w:right="180" w:hanging="319"/>
        <w:spacing w:after="0" w:line="342" w:lineRule="auto"/>
        <w:tabs>
          <w:tab w:leader="none" w:pos="1340" w:val="left"/>
        </w:tabs>
        <w:numPr>
          <w:ilvl w:val="0"/>
          <w:numId w:val="118"/>
        </w:numPr>
        <w:rPr>
          <w:rFonts w:ascii="Arial" w:cs="Arial" w:eastAsia="Arial" w:hAnsi="Arial"/>
          <w:sz w:val="16"/>
          <w:szCs w:val="16"/>
          <w:b w:val="1"/>
          <w:bCs w:val="1"/>
          <w:color w:val="auto"/>
        </w:rPr>
      </w:pPr>
      <w:r>
        <w:rPr>
          <w:rFonts w:ascii="Arial" w:cs="Arial" w:eastAsia="Arial" w:hAnsi="Arial"/>
          <w:sz w:val="16"/>
          <w:szCs w:val="16"/>
          <w:color w:val="auto"/>
        </w:rPr>
        <w:t xml:space="preserve">The preferred shares confer on the holders thereof all rights accruing to holders of Ordinary Shares in the Company, on an as-converted basis, and in addition, the preferred shares have the rights, preferences and privileges granted to the preferred shares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as follows:</w:t>
      </w:r>
    </w:p>
    <w:p>
      <w:pPr>
        <w:spacing w:after="0" w:line="339" w:lineRule="exact"/>
        <w:rPr>
          <w:rFonts w:ascii="Arial" w:cs="Arial" w:eastAsia="Arial" w:hAnsi="Arial"/>
          <w:sz w:val="16"/>
          <w:szCs w:val="16"/>
          <w:b w:val="1"/>
          <w:bCs w:val="1"/>
          <w:color w:val="auto"/>
        </w:rPr>
      </w:pPr>
    </w:p>
    <w:p>
      <w:pPr>
        <w:jc w:val="both"/>
        <w:ind w:left="1960" w:right="460" w:hanging="169"/>
        <w:spacing w:after="0" w:line="264" w:lineRule="auto"/>
        <w:tabs>
          <w:tab w:leader="none" w:pos="19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Each holder of preferred shares has the right to convert such preferred shares into the Company's ordinary shares at the then-applicable conversion price. In addition, the preferred shares will be automatically converted into ordinary shares at the then-applicable conversion price upon the consummation of a Qualified IPO.</w:t>
      </w:r>
    </w:p>
    <w:p>
      <w:pPr>
        <w:spacing w:after="0" w:line="181" w:lineRule="exact"/>
        <w:rPr>
          <w:rFonts w:ascii="Arial" w:cs="Arial" w:eastAsia="Arial" w:hAnsi="Arial"/>
          <w:sz w:val="18"/>
          <w:szCs w:val="18"/>
          <w:color w:val="auto"/>
        </w:rPr>
      </w:pPr>
    </w:p>
    <w:p>
      <w:pPr>
        <w:ind w:left="1960" w:right="20" w:hanging="169"/>
        <w:spacing w:after="0" w:line="268" w:lineRule="auto"/>
        <w:tabs>
          <w:tab w:leader="none" w:pos="196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In any liquidation, bankruptcy, reorganization, dissolution or winding up of the Company as defined in Article 66(d) of the Company's Fifth Amended and Restated Articles of Association, whether voluntary or involuntary (each, a "Liquidation Event") or "Deemed Liquidation Event", the assets available for distribution will be applied, first to the holders of preferred shares. Each preferred share shall be entitled to receive an amount per share equal to the original preferred share price, plus all declared but unpaid dividends and annual 5% interest on the original preferred share price ("Preferred Shares Preference"). If such assets available for distribution shall be insufficient to permit the payment of the full Preferred Shares Preference, then the assets available for distribution shall be distributed pro rata among the holders of the Preferred Shares. Any remaining assets available for distribution to shareholders shall be distributed among the holders of Ordinary Shares and Preferred Shares on a pro rata basis and on an as-converted basis. In the event that the holders of Preferred Shares, upon distribution pro rata to all shareholders on as converted basis receive an aggregate amount per Preferred Share greater than three (3) times the original preferred share price then the holders of preferred shares shall not be entitled to the Preferred Shares Preference described above and all the assets available for distribution shall be distributed among the holders of ordinary shares and preferred shares on a pro rata basis on an as-converted basis.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94" w:name="page195"/>
    <w:bookmarkEnd w:id="19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 PREFERRED SHARES AND WARRANTS TO PREFERED SHARES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9" w:lineRule="exact"/>
        <w:rPr>
          <w:sz w:val="20"/>
          <w:szCs w:val="20"/>
          <w:color w:val="auto"/>
        </w:rPr>
      </w:pPr>
    </w:p>
    <w:p>
      <w:pPr>
        <w:ind w:left="1340" w:right="120" w:hanging="427"/>
        <w:spacing w:after="0" w:line="253" w:lineRule="auto"/>
        <w:tabs>
          <w:tab w:leader="none" w:pos="1340"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For accounting of purposes, the preferred shares are classified as a financial liability considering, inter alia, the deemed liquidation events mechanism described above. In addition, the conversion ratio of Series A preferred shares, Series B preferred shares and Series B-1 preferred shares into ordinary shares is subject to certain adjustments, which do not meet the 'fixed for fixed' requirement of IAS 32. Therefore, the conversion option represents an embedded derivative, which should be bifurcated and accounted for separately at fair value through profit or loss.</w:t>
      </w:r>
    </w:p>
    <w:p>
      <w:pPr>
        <w:spacing w:after="0" w:line="3" w:lineRule="exact"/>
        <w:rPr>
          <w:rFonts w:ascii="Arial" w:cs="Arial" w:eastAsia="Arial" w:hAnsi="Arial"/>
          <w:sz w:val="18"/>
          <w:szCs w:val="18"/>
          <w:b w:val="1"/>
          <w:bCs w:val="1"/>
          <w:color w:val="auto"/>
        </w:rPr>
      </w:pPr>
    </w:p>
    <w:p>
      <w:pPr>
        <w:ind w:left="1340"/>
        <w:spacing w:after="0"/>
        <w:rPr>
          <w:rFonts w:ascii="Arial" w:cs="Arial" w:eastAsia="Arial" w:hAnsi="Arial"/>
          <w:sz w:val="18"/>
          <w:szCs w:val="18"/>
          <w:b w:val="1"/>
          <w:bCs w:val="1"/>
          <w:color w:val="auto"/>
        </w:rPr>
      </w:pPr>
      <w:r>
        <w:rPr>
          <w:rFonts w:ascii="Arial" w:cs="Arial" w:eastAsia="Arial" w:hAnsi="Arial"/>
          <w:sz w:val="18"/>
          <w:szCs w:val="18"/>
          <w:color w:val="auto"/>
        </w:rPr>
        <w:t>The Company elected to designate the entire instrument at fair value through profit or loss, as permitted by IAS 39.</w:t>
      </w:r>
    </w:p>
    <w:p>
      <w:pPr>
        <w:spacing w:after="0" w:line="210" w:lineRule="exact"/>
        <w:rPr>
          <w:rFonts w:ascii="Arial" w:cs="Arial" w:eastAsia="Arial" w:hAnsi="Arial"/>
          <w:sz w:val="18"/>
          <w:szCs w:val="18"/>
          <w:b w:val="1"/>
          <w:bCs w:val="1"/>
          <w:color w:val="auto"/>
        </w:rPr>
      </w:pPr>
    </w:p>
    <w:p>
      <w:pPr>
        <w:jc w:val="both"/>
        <w:ind w:left="13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warrants to purchase preferred shares issued concurrently with the Series A preferred shares, Series B preferred shares and the Series B-1 preferred shares also meet the definition of a financial liability since they are exercisable into a financial liability. These warrants are measured at fair value through profit or loss at each balance sheet date.</w:t>
      </w:r>
    </w:p>
    <w:p>
      <w:pPr>
        <w:spacing w:after="0" w:line="181" w:lineRule="exact"/>
        <w:rPr>
          <w:rFonts w:ascii="Arial" w:cs="Arial" w:eastAsia="Arial" w:hAnsi="Arial"/>
          <w:sz w:val="18"/>
          <w:szCs w:val="18"/>
          <w:b w:val="1"/>
          <w:bCs w:val="1"/>
          <w:color w:val="auto"/>
        </w:rPr>
      </w:pPr>
    </w:p>
    <w:p>
      <w:pPr>
        <w:ind w:left="1360" w:right="4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Before the change in condition in July 2017, the liability for future issuances of preferred shares and warrants upon fulfillment of the second milestones as described in a) above, constituted contingent forward contracts, and therefore accounted for at fair value through profit or loss at each balance sheet date.</w:t>
      </w:r>
    </w:p>
    <w:p>
      <w:pPr>
        <w:spacing w:after="0" w:line="181" w:lineRule="exact"/>
        <w:rPr>
          <w:rFonts w:ascii="Arial" w:cs="Arial" w:eastAsia="Arial" w:hAnsi="Arial"/>
          <w:sz w:val="18"/>
          <w:szCs w:val="18"/>
          <w:b w:val="1"/>
          <w:bCs w:val="1"/>
          <w:color w:val="auto"/>
        </w:rPr>
      </w:pPr>
    </w:p>
    <w:p>
      <w:pPr>
        <w:ind w:left="1340" w:hanging="427"/>
        <w:spacing w:after="0"/>
        <w:tabs>
          <w:tab w:leader="none" w:pos="1340"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The table below presents the movements in the three components during 2017 and 2016:</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Warrants to</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purchase</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Liability to issue</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preferred shares</w:t>
            </w: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preferred shares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88"/>
              </w:rPr>
              <w:t>Preferred shares</w:t>
            </w:r>
          </w:p>
        </w:tc>
        <w:tc>
          <w:tcPr>
            <w:tcW w:w="14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86"/>
              </w:rPr>
              <w:t>and shares</w:t>
            </w: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2"/>
              </w:rPr>
              <w:t>and warrants</w:t>
            </w:r>
          </w:p>
        </w:tc>
        <w:tc>
          <w:tcPr>
            <w:tcW w:w="13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3960" w:type="dxa"/>
            <w:vAlign w:val="bottom"/>
            <w:tcBorders>
              <w:bottom w:val="single" w:sz="8" w:color="D5EAEA"/>
            </w:tcBorders>
          </w:tcPr>
          <w:p>
            <w:pPr>
              <w:spacing w:after="0"/>
              <w:rPr>
                <w:sz w:val="18"/>
                <w:szCs w:val="18"/>
                <w:color w:val="auto"/>
              </w:rPr>
            </w:pPr>
          </w:p>
        </w:tc>
        <w:tc>
          <w:tcPr>
            <w:tcW w:w="1360" w:type="dxa"/>
            <w:vAlign w:val="bottom"/>
            <w:tcBorders>
              <w:bottom w:val="single" w:sz="8" w:color="D5EAEA"/>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8"/>
                <w:szCs w:val="18"/>
                <w:b w:val="1"/>
                <w:bCs w:val="1"/>
                <w:color w:val="auto"/>
              </w:rPr>
              <w:t>U.S. dollars in thousands</w:t>
            </w: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3960" w:type="dxa"/>
            <w:vAlign w:val="bottom"/>
            <w:shd w:val="clear" w:color="auto" w:fill="D5EAEA"/>
          </w:tcPr>
          <w:p>
            <w:pPr>
              <w:spacing w:after="0"/>
              <w:rPr>
                <w:sz w:val="20"/>
                <w:szCs w:val="20"/>
                <w:color w:val="auto"/>
              </w:rPr>
            </w:pPr>
            <w:r>
              <w:rPr>
                <w:rFonts w:ascii="Arial" w:cs="Arial" w:eastAsia="Arial" w:hAnsi="Arial"/>
                <w:sz w:val="18"/>
                <w:szCs w:val="18"/>
                <w:color w:val="auto"/>
              </w:rPr>
              <w:t>Balance as of January 1, 2016</w:t>
            </w:r>
          </w:p>
        </w:tc>
        <w:tc>
          <w:tcPr>
            <w:tcW w:w="1360" w:type="dxa"/>
            <w:vAlign w:val="bottom"/>
            <w:shd w:val="clear" w:color="auto" w:fill="D5EAEA"/>
          </w:tcPr>
          <w:p>
            <w:pPr>
              <w:spacing w:after="0"/>
              <w:rPr>
                <w:sz w:val="18"/>
                <w:szCs w:val="18"/>
                <w:color w:val="auto"/>
              </w:rPr>
            </w:pPr>
          </w:p>
        </w:tc>
        <w:tc>
          <w:tcPr>
            <w:tcW w:w="120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13,062</w:t>
            </w:r>
          </w:p>
        </w:tc>
        <w:tc>
          <w:tcPr>
            <w:tcW w:w="220" w:type="dxa"/>
            <w:vAlign w:val="bottom"/>
            <w:shd w:val="clear" w:color="auto" w:fill="D5EAEA"/>
          </w:tcPr>
          <w:p>
            <w:pPr>
              <w:spacing w:after="0"/>
              <w:rPr>
                <w:sz w:val="18"/>
                <w:szCs w:val="18"/>
                <w:color w:val="auto"/>
              </w:rPr>
            </w:pPr>
          </w:p>
        </w:tc>
        <w:tc>
          <w:tcPr>
            <w:tcW w:w="11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4,117</w:t>
            </w:r>
          </w:p>
        </w:tc>
        <w:tc>
          <w:tcPr>
            <w:tcW w:w="220" w:type="dxa"/>
            <w:vAlign w:val="bottom"/>
            <w:shd w:val="clear" w:color="auto" w:fill="D5EAEA"/>
          </w:tcPr>
          <w:p>
            <w:pPr>
              <w:spacing w:after="0"/>
              <w:rPr>
                <w:sz w:val="18"/>
                <w:szCs w:val="18"/>
                <w:color w:val="auto"/>
              </w:rPr>
            </w:pPr>
          </w:p>
        </w:tc>
        <w:tc>
          <w:tcPr>
            <w:tcW w:w="11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2,154</w:t>
            </w:r>
          </w:p>
        </w:tc>
        <w:tc>
          <w:tcPr>
            <w:tcW w:w="220" w:type="dxa"/>
            <w:vAlign w:val="bottom"/>
            <w:shd w:val="clear" w:color="auto" w:fill="D5EAEA"/>
          </w:tcPr>
          <w:p>
            <w:pPr>
              <w:spacing w:after="0"/>
              <w:rPr>
                <w:sz w:val="18"/>
                <w:szCs w:val="18"/>
                <w:color w:val="auto"/>
              </w:rPr>
            </w:pPr>
          </w:p>
        </w:tc>
        <w:tc>
          <w:tcPr>
            <w:tcW w:w="11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19,333</w:t>
            </w:r>
          </w:p>
        </w:tc>
        <w:tc>
          <w:tcPr>
            <w:tcW w:w="120" w:type="dxa"/>
            <w:vAlign w:val="bottom"/>
            <w:shd w:val="clear" w:color="auto" w:fill="D5EAEA"/>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30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Changes in fair value</w:t>
            </w:r>
          </w:p>
        </w:tc>
        <w:tc>
          <w:tcPr>
            <w:tcW w:w="2780" w:type="dxa"/>
            <w:vAlign w:val="bottom"/>
            <w:gridSpan w:val="3"/>
          </w:tcPr>
          <w:p>
            <w:pPr>
              <w:jc w:val="right"/>
              <w:ind w:right="180"/>
              <w:spacing w:after="0"/>
              <w:rPr>
                <w:sz w:val="20"/>
                <w:szCs w:val="20"/>
                <w:color w:val="auto"/>
              </w:rPr>
            </w:pPr>
            <w:r>
              <w:rPr>
                <w:rFonts w:ascii="Arial" w:cs="Arial" w:eastAsia="Arial" w:hAnsi="Arial"/>
                <w:sz w:val="18"/>
                <w:szCs w:val="18"/>
                <w:color w:val="auto"/>
              </w:rPr>
              <w:t>(2,031)</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(954)</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(1,881)</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(4,866)</w:t>
            </w:r>
          </w:p>
        </w:tc>
        <w:tc>
          <w:tcPr>
            <w:tcW w:w="280" w:type="dxa"/>
            <w:vAlign w:val="bottom"/>
          </w:tcPr>
          <w:p>
            <w:pPr>
              <w:spacing w:after="0"/>
              <w:rPr>
                <w:sz w:val="19"/>
                <w:szCs w:val="19"/>
                <w:color w:val="auto"/>
              </w:rPr>
            </w:pPr>
          </w:p>
        </w:tc>
      </w:tr>
      <w:tr>
        <w:trPr>
          <w:trHeight w:val="210"/>
        </w:trPr>
        <w:tc>
          <w:tcPr>
            <w:tcW w:w="300" w:type="dxa"/>
            <w:vAlign w:val="bottom"/>
          </w:tcPr>
          <w:p>
            <w:pPr>
              <w:spacing w:after="0"/>
              <w:rPr>
                <w:sz w:val="18"/>
                <w:szCs w:val="18"/>
                <w:color w:val="auto"/>
              </w:rPr>
            </w:pPr>
          </w:p>
        </w:tc>
        <w:tc>
          <w:tcPr>
            <w:tcW w:w="3960" w:type="dxa"/>
            <w:vAlign w:val="bottom"/>
            <w:tcBorders>
              <w:top w:val="single" w:sz="8" w:color="D5EAEA"/>
            </w:tcBorders>
            <w:shd w:val="clear" w:color="auto" w:fill="D5EAEA"/>
          </w:tcPr>
          <w:p>
            <w:pPr>
              <w:spacing w:after="0"/>
              <w:rPr>
                <w:sz w:val="20"/>
                <w:szCs w:val="20"/>
                <w:color w:val="auto"/>
              </w:rPr>
            </w:pPr>
            <w:r>
              <w:rPr>
                <w:rFonts w:ascii="Arial" w:cs="Arial" w:eastAsia="Arial" w:hAnsi="Arial"/>
                <w:sz w:val="18"/>
                <w:szCs w:val="18"/>
                <w:color w:val="auto"/>
              </w:rPr>
              <w:t>Balance as of December 31, 2016</w:t>
            </w:r>
          </w:p>
        </w:tc>
        <w:tc>
          <w:tcPr>
            <w:tcW w:w="1360" w:type="dxa"/>
            <w:vAlign w:val="bottom"/>
            <w:tcBorders>
              <w:top w:val="single" w:sz="8" w:color="D5EAEA"/>
            </w:tcBorders>
            <w:shd w:val="clear" w:color="auto" w:fill="D5EAEA"/>
          </w:tcPr>
          <w:p>
            <w:pPr>
              <w:spacing w:after="0"/>
              <w:rPr>
                <w:sz w:val="18"/>
                <w:szCs w:val="18"/>
                <w:color w:val="auto"/>
              </w:rPr>
            </w:pPr>
          </w:p>
        </w:tc>
        <w:tc>
          <w:tcPr>
            <w:tcW w:w="120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11,031</w:t>
            </w:r>
          </w:p>
        </w:tc>
        <w:tc>
          <w:tcPr>
            <w:tcW w:w="220" w:type="dxa"/>
            <w:vAlign w:val="bottom"/>
            <w:tcBorders>
              <w:top w:val="single" w:sz="8" w:color="D5EAEA"/>
            </w:tcBorders>
            <w:shd w:val="clear" w:color="auto" w:fill="D5EAEA"/>
          </w:tcPr>
          <w:p>
            <w:pPr>
              <w:spacing w:after="0"/>
              <w:rPr>
                <w:sz w:val="18"/>
                <w:szCs w:val="18"/>
                <w:color w:val="auto"/>
              </w:rPr>
            </w:pPr>
          </w:p>
        </w:tc>
        <w:tc>
          <w:tcPr>
            <w:tcW w:w="11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3,163</w:t>
            </w:r>
          </w:p>
        </w:tc>
        <w:tc>
          <w:tcPr>
            <w:tcW w:w="220" w:type="dxa"/>
            <w:vAlign w:val="bottom"/>
            <w:tcBorders>
              <w:top w:val="single" w:sz="8" w:color="D5EAEA"/>
            </w:tcBorders>
            <w:shd w:val="clear" w:color="auto" w:fill="D5EAEA"/>
          </w:tcPr>
          <w:p>
            <w:pPr>
              <w:spacing w:after="0"/>
              <w:rPr>
                <w:sz w:val="18"/>
                <w:szCs w:val="18"/>
                <w:color w:val="auto"/>
              </w:rPr>
            </w:pPr>
          </w:p>
        </w:tc>
        <w:tc>
          <w:tcPr>
            <w:tcW w:w="11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Borders>
              <w:top w:val="single" w:sz="8" w:color="D5EAEA"/>
            </w:tcBorders>
            <w:shd w:val="clear" w:color="auto" w:fill="D5EAEA"/>
          </w:tcPr>
          <w:p>
            <w:pPr>
              <w:spacing w:after="0"/>
              <w:rPr>
                <w:sz w:val="18"/>
                <w:szCs w:val="18"/>
                <w:color w:val="auto"/>
              </w:rPr>
            </w:pPr>
          </w:p>
        </w:tc>
        <w:tc>
          <w:tcPr>
            <w:tcW w:w="1180" w:type="dxa"/>
            <w:vAlign w:val="bottom"/>
            <w:tcBorders>
              <w:top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14,467</w:t>
            </w:r>
          </w:p>
        </w:tc>
        <w:tc>
          <w:tcPr>
            <w:tcW w:w="120" w:type="dxa"/>
            <w:vAlign w:val="bottom"/>
            <w:tcBorders>
              <w:top w:val="single" w:sz="8" w:color="D5EAEA"/>
            </w:tcBorders>
            <w:shd w:val="clear" w:color="auto" w:fill="D5EAEA"/>
          </w:tcPr>
          <w:p>
            <w:pPr>
              <w:spacing w:after="0"/>
              <w:rPr>
                <w:sz w:val="18"/>
                <w:szCs w:val="18"/>
                <w:color w:val="auto"/>
              </w:rPr>
            </w:pPr>
          </w:p>
        </w:tc>
        <w:tc>
          <w:tcPr>
            <w:tcW w:w="280" w:type="dxa"/>
            <w:vAlign w:val="bottom"/>
          </w:tcPr>
          <w:p>
            <w:pPr>
              <w:spacing w:after="0"/>
              <w:rPr>
                <w:sz w:val="18"/>
                <w:szCs w:val="18"/>
                <w:color w:val="auto"/>
              </w:rPr>
            </w:pPr>
          </w:p>
        </w:tc>
      </w:tr>
      <w:tr>
        <w:trPr>
          <w:trHeight w:val="202"/>
        </w:trPr>
        <w:tc>
          <w:tcPr>
            <w:tcW w:w="300" w:type="dxa"/>
            <w:vAlign w:val="bottom"/>
          </w:tcPr>
          <w:p>
            <w:pPr>
              <w:spacing w:after="0"/>
              <w:rPr>
                <w:sz w:val="17"/>
                <w:szCs w:val="17"/>
                <w:color w:val="auto"/>
              </w:rPr>
            </w:pPr>
          </w:p>
        </w:tc>
        <w:tc>
          <w:tcPr>
            <w:tcW w:w="3960" w:type="dxa"/>
            <w:vAlign w:val="bottom"/>
          </w:tcPr>
          <w:p>
            <w:pPr>
              <w:spacing w:after="0" w:line="201" w:lineRule="exact"/>
              <w:rPr>
                <w:sz w:val="20"/>
                <w:szCs w:val="20"/>
                <w:color w:val="auto"/>
              </w:rPr>
            </w:pPr>
            <w:r>
              <w:rPr>
                <w:rFonts w:ascii="Arial" w:cs="Arial" w:eastAsia="Arial" w:hAnsi="Arial"/>
                <w:sz w:val="18"/>
                <w:szCs w:val="18"/>
                <w:color w:val="auto"/>
              </w:rPr>
              <w:t>Issuance of Series B preferred shares</w:t>
            </w:r>
          </w:p>
        </w:tc>
        <w:tc>
          <w:tcPr>
            <w:tcW w:w="1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300" w:type="dxa"/>
            <w:vAlign w:val="bottom"/>
          </w:tcPr>
          <w:p>
            <w:pPr>
              <w:spacing w:after="0"/>
              <w:rPr>
                <w:sz w:val="18"/>
                <w:szCs w:val="18"/>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and warrants to purchase Series B</w:t>
            </w: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preferred shares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12,980</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13,178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02"/>
        </w:trPr>
        <w:tc>
          <w:tcPr>
            <w:tcW w:w="300" w:type="dxa"/>
            <w:vAlign w:val="bottom"/>
          </w:tcPr>
          <w:p>
            <w:pPr>
              <w:spacing w:after="0"/>
              <w:rPr>
                <w:sz w:val="17"/>
                <w:szCs w:val="17"/>
                <w:color w:val="auto"/>
              </w:rPr>
            </w:pPr>
          </w:p>
        </w:tc>
        <w:tc>
          <w:tcPr>
            <w:tcW w:w="3960" w:type="dxa"/>
            <w:vAlign w:val="bottom"/>
            <w:shd w:val="clear" w:color="auto" w:fill="D5EAEA"/>
          </w:tcPr>
          <w:p>
            <w:pPr>
              <w:spacing w:after="0" w:line="201" w:lineRule="exact"/>
              <w:rPr>
                <w:sz w:val="20"/>
                <w:szCs w:val="20"/>
                <w:color w:val="auto"/>
              </w:rPr>
            </w:pPr>
            <w:r>
              <w:rPr>
                <w:rFonts w:ascii="Arial" w:cs="Arial" w:eastAsia="Arial" w:hAnsi="Arial"/>
                <w:sz w:val="18"/>
                <w:szCs w:val="18"/>
                <w:color w:val="auto"/>
              </w:rPr>
              <w:t>Conversion of 2016 Convertible</w:t>
            </w:r>
          </w:p>
        </w:tc>
        <w:tc>
          <w:tcPr>
            <w:tcW w:w="1360" w:type="dxa"/>
            <w:vAlign w:val="bottom"/>
            <w:shd w:val="clear" w:color="auto" w:fill="D5EAEA"/>
          </w:tcPr>
          <w:p>
            <w:pPr>
              <w:spacing w:after="0"/>
              <w:rPr>
                <w:sz w:val="17"/>
                <w:szCs w:val="17"/>
                <w:color w:val="auto"/>
              </w:rPr>
            </w:pPr>
          </w:p>
        </w:tc>
        <w:tc>
          <w:tcPr>
            <w:tcW w:w="1200" w:type="dxa"/>
            <w:vAlign w:val="bottom"/>
            <w:shd w:val="clear" w:color="auto" w:fill="D5EAEA"/>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1180" w:type="dxa"/>
            <w:vAlign w:val="bottom"/>
            <w:shd w:val="clear" w:color="auto" w:fill="D5EAEA"/>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1180" w:type="dxa"/>
            <w:vAlign w:val="bottom"/>
            <w:shd w:val="clear" w:color="auto" w:fill="D5EAEA"/>
          </w:tcPr>
          <w:p>
            <w:pPr>
              <w:spacing w:after="0"/>
              <w:rPr>
                <w:sz w:val="17"/>
                <w:szCs w:val="17"/>
                <w:color w:val="auto"/>
              </w:rPr>
            </w:pPr>
          </w:p>
        </w:tc>
        <w:tc>
          <w:tcPr>
            <w:tcW w:w="220" w:type="dxa"/>
            <w:vAlign w:val="bottom"/>
            <w:shd w:val="clear" w:color="auto" w:fill="D5EAEA"/>
          </w:tcPr>
          <w:p>
            <w:pPr>
              <w:spacing w:after="0"/>
              <w:rPr>
                <w:sz w:val="17"/>
                <w:szCs w:val="17"/>
                <w:color w:val="auto"/>
              </w:rPr>
            </w:pPr>
          </w:p>
        </w:tc>
        <w:tc>
          <w:tcPr>
            <w:tcW w:w="11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300" w:type="dxa"/>
            <w:vAlign w:val="bottom"/>
          </w:tcPr>
          <w:p>
            <w:pPr>
              <w:spacing w:after="0"/>
              <w:rPr>
                <w:sz w:val="18"/>
                <w:szCs w:val="18"/>
                <w:color w:val="auto"/>
              </w:rPr>
            </w:pPr>
          </w:p>
        </w:tc>
        <w:tc>
          <w:tcPr>
            <w:tcW w:w="3960" w:type="dxa"/>
            <w:vAlign w:val="bottom"/>
            <w:shd w:val="clear" w:color="auto" w:fill="D5EAEA"/>
          </w:tcPr>
          <w:p>
            <w:pPr>
              <w:ind w:left="180"/>
              <w:spacing w:after="0"/>
              <w:rPr>
                <w:sz w:val="20"/>
                <w:szCs w:val="20"/>
                <w:color w:val="auto"/>
              </w:rPr>
            </w:pPr>
            <w:r>
              <w:rPr>
                <w:rFonts w:ascii="Arial" w:cs="Arial" w:eastAsia="Arial" w:hAnsi="Arial"/>
                <w:sz w:val="18"/>
                <w:szCs w:val="18"/>
                <w:color w:val="auto"/>
              </w:rPr>
              <w:t>Loan and warrants to series B-1</w:t>
            </w:r>
          </w:p>
        </w:tc>
        <w:tc>
          <w:tcPr>
            <w:tcW w:w="1360" w:type="dxa"/>
            <w:vAlign w:val="bottom"/>
            <w:shd w:val="clear" w:color="auto" w:fill="D5EAEA"/>
          </w:tcPr>
          <w:p>
            <w:pPr>
              <w:spacing w:after="0"/>
              <w:rPr>
                <w:sz w:val="18"/>
                <w:szCs w:val="18"/>
                <w:color w:val="auto"/>
              </w:rPr>
            </w:pPr>
          </w:p>
        </w:tc>
        <w:tc>
          <w:tcPr>
            <w:tcW w:w="120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18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18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1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3960" w:type="dxa"/>
            <w:vAlign w:val="bottom"/>
            <w:shd w:val="clear" w:color="auto" w:fill="D5EAEA"/>
          </w:tcPr>
          <w:p>
            <w:pPr>
              <w:ind w:left="180"/>
              <w:spacing w:after="0"/>
              <w:rPr>
                <w:sz w:val="20"/>
                <w:szCs w:val="20"/>
                <w:color w:val="auto"/>
              </w:rPr>
            </w:pPr>
            <w:r>
              <w:rPr>
                <w:rFonts w:ascii="Arial" w:cs="Arial" w:eastAsia="Arial" w:hAnsi="Arial"/>
                <w:sz w:val="18"/>
                <w:szCs w:val="18"/>
                <w:color w:val="auto"/>
              </w:rPr>
              <w:t>preferred shares and warrant to</w:t>
            </w:r>
          </w:p>
        </w:tc>
        <w:tc>
          <w:tcPr>
            <w:tcW w:w="1360" w:type="dxa"/>
            <w:vAlign w:val="bottom"/>
            <w:shd w:val="clear" w:color="auto" w:fill="D5EAEA"/>
          </w:tcPr>
          <w:p>
            <w:pPr>
              <w:spacing w:after="0"/>
              <w:rPr>
                <w:sz w:val="18"/>
                <w:szCs w:val="18"/>
                <w:color w:val="auto"/>
              </w:rPr>
            </w:pPr>
          </w:p>
        </w:tc>
        <w:tc>
          <w:tcPr>
            <w:tcW w:w="120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18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180" w:type="dxa"/>
            <w:vAlign w:val="bottom"/>
            <w:shd w:val="clear" w:color="auto" w:fill="D5EAEA"/>
          </w:tcPr>
          <w:p>
            <w:pPr>
              <w:spacing w:after="0"/>
              <w:rPr>
                <w:sz w:val="18"/>
                <w:szCs w:val="18"/>
                <w:color w:val="auto"/>
              </w:rPr>
            </w:pPr>
          </w:p>
        </w:tc>
        <w:tc>
          <w:tcPr>
            <w:tcW w:w="220" w:type="dxa"/>
            <w:vAlign w:val="bottom"/>
            <w:shd w:val="clear" w:color="auto" w:fill="D5EAEA"/>
          </w:tcPr>
          <w:p>
            <w:pPr>
              <w:spacing w:after="0"/>
              <w:rPr>
                <w:sz w:val="18"/>
                <w:szCs w:val="18"/>
                <w:color w:val="auto"/>
              </w:rPr>
            </w:pPr>
          </w:p>
        </w:tc>
        <w:tc>
          <w:tcPr>
            <w:tcW w:w="11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3960" w:type="dxa"/>
            <w:vAlign w:val="bottom"/>
            <w:shd w:val="clear" w:color="auto" w:fill="D5EAEA"/>
          </w:tcPr>
          <w:p>
            <w:pPr>
              <w:ind w:left="180"/>
              <w:spacing w:after="0"/>
              <w:rPr>
                <w:sz w:val="20"/>
                <w:szCs w:val="20"/>
                <w:color w:val="auto"/>
              </w:rPr>
            </w:pPr>
            <w:r>
              <w:rPr>
                <w:rFonts w:ascii="Arial" w:cs="Arial" w:eastAsia="Arial" w:hAnsi="Arial"/>
                <w:sz w:val="18"/>
                <w:szCs w:val="18"/>
                <w:color w:val="auto"/>
              </w:rPr>
              <w:t>purchase Series B preferred shares</w:t>
            </w:r>
          </w:p>
        </w:tc>
        <w:tc>
          <w:tcPr>
            <w:tcW w:w="25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11,695</w:t>
            </w:r>
          </w:p>
        </w:tc>
        <w:tc>
          <w:tcPr>
            <w:tcW w:w="220" w:type="dxa"/>
            <w:vAlign w:val="bottom"/>
            <w:shd w:val="clear" w:color="auto" w:fill="D5EAEA"/>
          </w:tcPr>
          <w:p>
            <w:pPr>
              <w:spacing w:after="0"/>
              <w:rPr>
                <w:sz w:val="20"/>
                <w:szCs w:val="20"/>
                <w:color w:val="auto"/>
              </w:rPr>
            </w:pPr>
          </w:p>
        </w:tc>
        <w:tc>
          <w:tcPr>
            <w:tcW w:w="11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1,988</w:t>
            </w:r>
          </w:p>
        </w:tc>
        <w:tc>
          <w:tcPr>
            <w:tcW w:w="220" w:type="dxa"/>
            <w:vAlign w:val="bottom"/>
            <w:shd w:val="clear" w:color="auto" w:fill="D5EAEA"/>
          </w:tcPr>
          <w:p>
            <w:pPr>
              <w:spacing w:after="0"/>
              <w:rPr>
                <w:sz w:val="20"/>
                <w:szCs w:val="20"/>
                <w:color w:val="auto"/>
              </w:rPr>
            </w:pPr>
          </w:p>
        </w:tc>
        <w:tc>
          <w:tcPr>
            <w:tcW w:w="118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D5EAEA"/>
          </w:tcPr>
          <w:p>
            <w:pPr>
              <w:spacing w:after="0"/>
              <w:rPr>
                <w:sz w:val="20"/>
                <w:szCs w:val="20"/>
                <w:color w:val="auto"/>
              </w:rPr>
            </w:pPr>
          </w:p>
        </w:tc>
        <w:tc>
          <w:tcPr>
            <w:tcW w:w="11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13,683</w:t>
            </w:r>
          </w:p>
        </w:tc>
        <w:tc>
          <w:tcPr>
            <w:tcW w:w="120" w:type="dxa"/>
            <w:vAlign w:val="bottom"/>
            <w:shd w:val="clear" w:color="auto" w:fill="D5EAEA"/>
          </w:tcPr>
          <w:p>
            <w:pPr>
              <w:spacing w:after="0"/>
              <w:rPr>
                <w:sz w:val="20"/>
                <w:szCs w:val="20"/>
                <w:color w:val="auto"/>
              </w:rPr>
            </w:pPr>
          </w:p>
        </w:tc>
        <w:tc>
          <w:tcPr>
            <w:tcW w:w="280" w:type="dxa"/>
            <w:vAlign w:val="bottom"/>
          </w:tcPr>
          <w:p>
            <w:pPr>
              <w:spacing w:after="0"/>
              <w:rPr>
                <w:sz w:val="20"/>
                <w:szCs w:val="20"/>
                <w:color w:val="auto"/>
              </w:rPr>
            </w:pPr>
          </w:p>
        </w:tc>
      </w:tr>
      <w:tr>
        <w:trPr>
          <w:trHeight w:val="202"/>
        </w:trPr>
        <w:tc>
          <w:tcPr>
            <w:tcW w:w="300" w:type="dxa"/>
            <w:vAlign w:val="bottom"/>
          </w:tcPr>
          <w:p>
            <w:pPr>
              <w:spacing w:after="0"/>
              <w:rPr>
                <w:sz w:val="17"/>
                <w:szCs w:val="17"/>
                <w:color w:val="auto"/>
              </w:rPr>
            </w:pPr>
          </w:p>
        </w:tc>
        <w:tc>
          <w:tcPr>
            <w:tcW w:w="3960" w:type="dxa"/>
            <w:vAlign w:val="bottom"/>
          </w:tcPr>
          <w:p>
            <w:pPr>
              <w:spacing w:after="0" w:line="201" w:lineRule="exact"/>
              <w:rPr>
                <w:sz w:val="20"/>
                <w:szCs w:val="20"/>
                <w:color w:val="auto"/>
              </w:rPr>
            </w:pPr>
            <w:r>
              <w:rPr>
                <w:rFonts w:ascii="Arial" w:cs="Arial" w:eastAsia="Arial" w:hAnsi="Arial"/>
                <w:sz w:val="18"/>
                <w:szCs w:val="18"/>
                <w:color w:val="auto"/>
              </w:rPr>
              <w:t>Change of conditions of the liability</w:t>
            </w:r>
          </w:p>
        </w:tc>
        <w:tc>
          <w:tcPr>
            <w:tcW w:w="1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16"/>
        </w:trPr>
        <w:tc>
          <w:tcPr>
            <w:tcW w:w="300" w:type="dxa"/>
            <w:vAlign w:val="bottom"/>
          </w:tcPr>
          <w:p>
            <w:pPr>
              <w:spacing w:after="0"/>
              <w:rPr>
                <w:sz w:val="18"/>
                <w:szCs w:val="18"/>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to issue preferred shares and</w:t>
            </w: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warrants to warrants</w:t>
            </w:r>
          </w:p>
        </w:tc>
        <w:tc>
          <w:tcPr>
            <w:tcW w:w="25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1,160</w:t>
            </w:r>
          </w:p>
        </w:tc>
        <w:tc>
          <w:tcPr>
            <w:tcW w:w="22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(1,160)</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30"/>
        </w:trPr>
        <w:tc>
          <w:tcPr>
            <w:tcW w:w="300" w:type="dxa"/>
            <w:vAlign w:val="bottom"/>
          </w:tcPr>
          <w:p>
            <w:pPr>
              <w:spacing w:after="0"/>
              <w:rPr>
                <w:sz w:val="19"/>
                <w:szCs w:val="19"/>
                <w:color w:val="auto"/>
              </w:rPr>
            </w:pPr>
          </w:p>
        </w:tc>
        <w:tc>
          <w:tcPr>
            <w:tcW w:w="3960" w:type="dxa"/>
            <w:vAlign w:val="bottom"/>
            <w:shd w:val="clear" w:color="auto" w:fill="D5EAEA"/>
          </w:tcPr>
          <w:p>
            <w:pPr>
              <w:spacing w:after="0"/>
              <w:rPr>
                <w:sz w:val="20"/>
                <w:szCs w:val="20"/>
                <w:color w:val="auto"/>
              </w:rPr>
            </w:pPr>
            <w:r>
              <w:rPr>
                <w:rFonts w:ascii="Arial" w:cs="Arial" w:eastAsia="Arial" w:hAnsi="Arial"/>
                <w:sz w:val="18"/>
                <w:szCs w:val="18"/>
                <w:color w:val="auto"/>
              </w:rPr>
              <w:t>Changes in fair value</w:t>
            </w:r>
          </w:p>
        </w:tc>
        <w:tc>
          <w:tcPr>
            <w:tcW w:w="2780" w:type="dxa"/>
            <w:vAlign w:val="bottom"/>
            <w:gridSpan w:val="3"/>
            <w:shd w:val="clear" w:color="auto" w:fill="D5EAEA"/>
          </w:tcPr>
          <w:p>
            <w:pPr>
              <w:jc w:val="right"/>
              <w:ind w:right="180"/>
              <w:spacing w:after="0"/>
              <w:rPr>
                <w:sz w:val="20"/>
                <w:szCs w:val="20"/>
                <w:color w:val="auto"/>
              </w:rPr>
            </w:pPr>
            <w:r>
              <w:rPr>
                <w:rFonts w:ascii="Arial" w:cs="Arial" w:eastAsia="Arial" w:hAnsi="Arial"/>
                <w:sz w:val="18"/>
                <w:szCs w:val="18"/>
                <w:color w:val="auto"/>
              </w:rPr>
              <w:t>(2,251)</w:t>
            </w:r>
          </w:p>
        </w:tc>
        <w:tc>
          <w:tcPr>
            <w:tcW w:w="1400" w:type="dxa"/>
            <w:vAlign w:val="bottom"/>
            <w:gridSpan w:val="2"/>
            <w:shd w:val="clear" w:color="auto" w:fill="D5EAEA"/>
          </w:tcPr>
          <w:p>
            <w:pPr>
              <w:jc w:val="right"/>
              <w:ind w:right="160"/>
              <w:spacing w:after="0"/>
              <w:rPr>
                <w:sz w:val="20"/>
                <w:szCs w:val="20"/>
                <w:color w:val="auto"/>
              </w:rPr>
            </w:pPr>
            <w:r>
              <w:rPr>
                <w:rFonts w:ascii="Arial" w:cs="Arial" w:eastAsia="Arial" w:hAnsi="Arial"/>
                <w:sz w:val="18"/>
                <w:szCs w:val="18"/>
                <w:color w:val="auto"/>
              </w:rPr>
              <w:t>(1,111)</w:t>
            </w:r>
          </w:p>
        </w:tc>
        <w:tc>
          <w:tcPr>
            <w:tcW w:w="118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887</w:t>
            </w:r>
          </w:p>
        </w:tc>
        <w:tc>
          <w:tcPr>
            <w:tcW w:w="220" w:type="dxa"/>
            <w:vAlign w:val="bottom"/>
            <w:shd w:val="clear" w:color="auto" w:fill="D5EAEA"/>
          </w:tcPr>
          <w:p>
            <w:pPr>
              <w:spacing w:after="0"/>
              <w:rPr>
                <w:sz w:val="19"/>
                <w:szCs w:val="19"/>
                <w:color w:val="auto"/>
              </w:rPr>
            </w:pPr>
          </w:p>
        </w:tc>
        <w:tc>
          <w:tcPr>
            <w:tcW w:w="1300" w:type="dxa"/>
            <w:vAlign w:val="bottom"/>
            <w:gridSpan w:val="2"/>
            <w:shd w:val="clear" w:color="auto" w:fill="D5EAEA"/>
          </w:tcPr>
          <w:p>
            <w:pPr>
              <w:jc w:val="right"/>
              <w:ind w:right="60"/>
              <w:spacing w:after="0"/>
              <w:rPr>
                <w:sz w:val="20"/>
                <w:szCs w:val="20"/>
                <w:color w:val="auto"/>
              </w:rPr>
            </w:pPr>
            <w:r>
              <w:rPr>
                <w:rFonts w:ascii="Arial" w:cs="Arial" w:eastAsia="Arial" w:hAnsi="Arial"/>
                <w:sz w:val="18"/>
                <w:szCs w:val="18"/>
                <w:color w:val="auto"/>
              </w:rPr>
              <w:t>(2,475)</w:t>
            </w:r>
          </w:p>
        </w:tc>
        <w:tc>
          <w:tcPr>
            <w:tcW w:w="280" w:type="dxa"/>
            <w:vAlign w:val="bottom"/>
          </w:tcPr>
          <w:p>
            <w:pPr>
              <w:spacing w:after="0"/>
              <w:rPr>
                <w:sz w:val="19"/>
                <w:szCs w:val="19"/>
                <w:color w:val="auto"/>
              </w:rPr>
            </w:pPr>
          </w:p>
        </w:tc>
      </w:tr>
      <w:tr>
        <w:trPr>
          <w:trHeight w:val="223"/>
        </w:trPr>
        <w:tc>
          <w:tcPr>
            <w:tcW w:w="30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Balance as of December 31, 2017</w:t>
            </w:r>
          </w:p>
        </w:tc>
        <w:tc>
          <w:tcPr>
            <w:tcW w:w="136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33,455</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5,398</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521"/>
        </w:trPr>
        <w:tc>
          <w:tcPr>
            <w:tcW w:w="3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right"/>
              <w:ind w:right="1160"/>
              <w:spacing w:after="0"/>
              <w:rPr>
                <w:sz w:val="20"/>
                <w:szCs w:val="20"/>
                <w:color w:val="auto"/>
              </w:rPr>
            </w:pPr>
            <w:r>
              <w:rPr>
                <w:rFonts w:ascii="Arial" w:cs="Arial" w:eastAsia="Arial" w:hAnsi="Arial"/>
                <w:sz w:val="18"/>
                <w:szCs w:val="18"/>
                <w:color w:val="auto"/>
              </w:rPr>
              <w:t>F-25</w:t>
            </w: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5" w:right="239" w:bottom="1440" w:gutter="0" w:footer="0" w:header="0"/>
        </w:sectPr>
      </w:pPr>
    </w:p>
    <w:bookmarkStart w:id="195" w:name="page196"/>
    <w:bookmarkEnd w:id="19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 PREFERRED SHARES AND WARRANTS TO PREFERED SHARES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9" w:lineRule="exact"/>
        <w:rPr>
          <w:sz w:val="20"/>
          <w:szCs w:val="20"/>
          <w:color w:val="auto"/>
        </w:rPr>
      </w:pPr>
    </w:p>
    <w:p>
      <w:pPr>
        <w:ind w:left="1020" w:right="640" w:hanging="323"/>
        <w:spacing w:after="0" w:line="342" w:lineRule="auto"/>
        <w:tabs>
          <w:tab w:leader="none" w:pos="1020" w:val="left"/>
        </w:tabs>
        <w:numPr>
          <w:ilvl w:val="0"/>
          <w:numId w:val="120"/>
        </w:numPr>
        <w:rPr>
          <w:rFonts w:ascii="Arial" w:cs="Arial" w:eastAsia="Arial" w:hAnsi="Arial"/>
          <w:sz w:val="16"/>
          <w:szCs w:val="16"/>
          <w:b w:val="1"/>
          <w:bCs w:val="1"/>
          <w:color w:val="auto"/>
        </w:rPr>
      </w:pPr>
      <w:r>
        <w:rPr>
          <w:rFonts w:ascii="Arial" w:cs="Arial" w:eastAsia="Arial" w:hAnsi="Arial"/>
          <w:sz w:val="16"/>
          <w:szCs w:val="16"/>
          <w:color w:val="auto"/>
        </w:rPr>
        <w:t>The Company prepared valuations of the fair value of the instruments described above (Level 3 valuations) using a combination of the Probability-Weighted Expected Return Method and Back Solve option pricing method model. The following parameters were used:</w:t>
      </w:r>
    </w:p>
    <w:p>
      <w:pPr>
        <w:spacing w:after="0" w:line="336"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46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4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2016</w:t>
            </w:r>
          </w:p>
        </w:tc>
      </w:tr>
      <w:tr>
        <w:trPr>
          <w:trHeight w:val="223"/>
        </w:trPr>
        <w:tc>
          <w:tcPr>
            <w:tcW w:w="46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16"/>
        </w:trPr>
        <w:tc>
          <w:tcPr>
            <w:tcW w:w="4600" w:type="dxa"/>
            <w:vAlign w:val="bottom"/>
            <w:shd w:val="clear" w:color="auto" w:fill="D5EAEA"/>
          </w:tcPr>
          <w:p>
            <w:pPr>
              <w:spacing w:after="0"/>
              <w:rPr>
                <w:sz w:val="20"/>
                <w:szCs w:val="20"/>
                <w:color w:val="auto"/>
              </w:rPr>
            </w:pPr>
            <w:r>
              <w:rPr>
                <w:rFonts w:ascii="Arial" w:cs="Arial" w:eastAsia="Arial" w:hAnsi="Arial"/>
                <w:sz w:val="18"/>
                <w:szCs w:val="18"/>
                <w:color w:val="auto"/>
              </w:rPr>
              <w:t>Preferred B price per share*</w:t>
            </w:r>
          </w:p>
        </w:tc>
        <w:tc>
          <w:tcPr>
            <w:tcW w:w="2280" w:type="dxa"/>
            <w:vAlign w:val="bottom"/>
            <w:gridSpan w:val="2"/>
            <w:shd w:val="clear" w:color="auto" w:fill="D5EAEA"/>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rPr>
              <w:t>908.78</w:t>
            </w:r>
          </w:p>
        </w:tc>
        <w:tc>
          <w:tcPr>
            <w:tcW w:w="1240" w:type="dxa"/>
            <w:vAlign w:val="bottom"/>
            <w:gridSpan w:val="2"/>
            <w:shd w:val="clear" w:color="auto" w:fill="D5EAEA"/>
          </w:tcPr>
          <w:p>
            <w:pPr>
              <w:jc w:val="right"/>
              <w:ind w:right="17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Value of equity**</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w w:val="97"/>
              </w:rPr>
              <w:t>$78 million</w:t>
            </w:r>
          </w:p>
        </w:tc>
        <w:tc>
          <w:tcPr>
            <w:tcW w:w="8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$71 million</w:t>
            </w:r>
          </w:p>
        </w:tc>
      </w:tr>
      <w:tr>
        <w:trPr>
          <w:trHeight w:val="216"/>
        </w:trPr>
        <w:tc>
          <w:tcPr>
            <w:tcW w:w="4600" w:type="dxa"/>
            <w:vAlign w:val="bottom"/>
            <w:shd w:val="clear" w:color="auto" w:fill="D5EAEA"/>
          </w:tcPr>
          <w:p>
            <w:pPr>
              <w:spacing w:after="0"/>
              <w:rPr>
                <w:sz w:val="20"/>
                <w:szCs w:val="20"/>
                <w:color w:val="auto"/>
              </w:rPr>
            </w:pPr>
            <w:r>
              <w:rPr>
                <w:rFonts w:ascii="Arial" w:cs="Arial" w:eastAsia="Arial" w:hAnsi="Arial"/>
                <w:sz w:val="18"/>
                <w:szCs w:val="18"/>
                <w:color w:val="auto"/>
              </w:rPr>
              <w:t>Volatility</w:t>
            </w:r>
          </w:p>
        </w:tc>
        <w:tc>
          <w:tcPr>
            <w:tcW w:w="214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0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55%</w:t>
            </w:r>
          </w:p>
        </w:tc>
        <w:tc>
          <w:tcPr>
            <w:tcW w:w="12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Probability of entering Phase 2b/3</w:t>
            </w: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4600" w:type="dxa"/>
            <w:vAlign w:val="bottom"/>
            <w:shd w:val="clear" w:color="auto" w:fill="D5EAEA"/>
          </w:tcPr>
          <w:p>
            <w:pPr>
              <w:spacing w:after="0"/>
              <w:rPr>
                <w:sz w:val="20"/>
                <w:szCs w:val="20"/>
                <w:color w:val="auto"/>
              </w:rPr>
            </w:pPr>
            <w:r>
              <w:rPr>
                <w:rFonts w:ascii="Arial" w:cs="Arial" w:eastAsia="Arial" w:hAnsi="Arial"/>
                <w:sz w:val="18"/>
                <w:szCs w:val="18"/>
                <w:color w:val="auto"/>
              </w:rPr>
              <w:t>Probability for IPO</w:t>
            </w:r>
          </w:p>
        </w:tc>
        <w:tc>
          <w:tcPr>
            <w:tcW w:w="2140" w:type="dxa"/>
            <w:vAlign w:val="bottom"/>
            <w:shd w:val="clear" w:color="auto" w:fill="D5EAEA"/>
          </w:tcPr>
          <w:p>
            <w:pPr>
              <w:spacing w:after="0"/>
              <w:rPr>
                <w:sz w:val="18"/>
                <w:szCs w:val="18"/>
                <w:color w:val="auto"/>
              </w:rPr>
            </w:pPr>
          </w:p>
        </w:tc>
        <w:tc>
          <w:tcPr>
            <w:tcW w:w="140" w:type="dxa"/>
            <w:vAlign w:val="bottom"/>
            <w:shd w:val="clear" w:color="auto" w:fill="D5EAEA"/>
          </w:tcPr>
          <w:p>
            <w:pPr>
              <w:spacing w:after="0"/>
              <w:rPr>
                <w:sz w:val="18"/>
                <w:szCs w:val="18"/>
                <w:color w:val="auto"/>
              </w:rPr>
            </w:pPr>
          </w:p>
        </w:tc>
        <w:tc>
          <w:tcPr>
            <w:tcW w:w="10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85%</w:t>
            </w:r>
          </w:p>
        </w:tc>
        <w:tc>
          <w:tcPr>
            <w:tcW w:w="12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50%</w:t>
            </w: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According to agreement as described in note 8b.</w:t>
      </w:r>
    </w:p>
    <w:p>
      <w:pPr>
        <w:spacing w:after="0" w:line="23" w:lineRule="exact"/>
        <w:rPr>
          <w:sz w:val="20"/>
          <w:szCs w:val="20"/>
          <w:color w:val="auto"/>
        </w:rPr>
      </w:pPr>
    </w:p>
    <w:p>
      <w:pPr>
        <w:jc w:val="both"/>
        <w:ind w:left="1300" w:firstLine="5"/>
        <w:spacing w:after="0" w:line="255" w:lineRule="auto"/>
        <w:tabs>
          <w:tab w:leader="none" w:pos="152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value of equity as of December 31, 2017 was based on market approach as described in note 6. The value of equity as of December 31, 2016 was based on a valuation performed by the Company as detailed in note 6. The value of equity includes ordinary shares, preferred shares, warrants and options to preferred shares and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sectPr>
      </w:pPr>
    </w:p>
    <w:bookmarkStart w:id="196" w:name="page197"/>
    <w:bookmarkEnd w:id="19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241E1C"/>
        </w:rPr>
        <w:t>NOTES TO THE FINANCIAL STATEMENTS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w:t>
      </w:r>
    </w:p>
    <w:p>
      <w:pPr>
        <w:spacing w:after="0" w:line="229" w:lineRule="exact"/>
        <w:rPr>
          <w:sz w:val="20"/>
          <w:szCs w:val="20"/>
          <w:color w:val="auto"/>
        </w:rPr>
      </w:pPr>
    </w:p>
    <w:p>
      <w:pPr>
        <w:jc w:val="both"/>
        <w:ind w:left="1300" w:right="140" w:hanging="401"/>
        <w:spacing w:after="0" w:line="264" w:lineRule="auto"/>
        <w:tabs>
          <w:tab w:leader="none" w:pos="1300" w:val="left"/>
        </w:tabs>
        <w:numPr>
          <w:ilvl w:val="0"/>
          <w:numId w:val="122"/>
        </w:numPr>
        <w:rPr>
          <w:rFonts w:ascii="Arial" w:cs="Arial" w:eastAsia="Arial" w:hAnsi="Arial"/>
          <w:sz w:val="18"/>
          <w:szCs w:val="18"/>
          <w:b w:val="1"/>
          <w:bCs w:val="1"/>
          <w:color w:val="auto"/>
        </w:rPr>
      </w:pPr>
      <w:r>
        <w:rPr>
          <w:rFonts w:ascii="Arial" w:cs="Arial" w:eastAsia="Arial" w:hAnsi="Arial"/>
          <w:sz w:val="18"/>
          <w:szCs w:val="18"/>
          <w:color w:val="auto"/>
        </w:rPr>
        <w:t>On June 29, 2014, the Company entered into a lease agreement for the building it uses in consideration of approximately $58 thousand per year. The lease agreement expired on June 30, 2016 and the Company utilized its option to extend it for an additional one-year period until June 30, 2017.</w:t>
      </w:r>
    </w:p>
    <w:p>
      <w:pPr>
        <w:spacing w:after="0" w:line="181" w:lineRule="exact"/>
        <w:rPr>
          <w:rFonts w:ascii="Arial" w:cs="Arial" w:eastAsia="Arial" w:hAnsi="Arial"/>
          <w:sz w:val="18"/>
          <w:szCs w:val="18"/>
          <w:b w:val="1"/>
          <w:bCs w:val="1"/>
          <w:color w:val="auto"/>
        </w:rPr>
      </w:pPr>
    </w:p>
    <w:p>
      <w:pPr>
        <w:jc w:val="both"/>
        <w:ind w:left="1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March 2017, the Company entered into a new lease agreement for the building it uses in consideration of approximately $61 thousand per year. The lease agreement will expire on June 30, 2023 with a onetime option for the Company to early terminate the agreement on June 30, 2020 subject to a notice period of 6 months.</w:t>
      </w:r>
    </w:p>
    <w:p>
      <w:pPr>
        <w:spacing w:after="0" w:line="181" w:lineRule="exact"/>
        <w:rPr>
          <w:rFonts w:ascii="Arial" w:cs="Arial" w:eastAsia="Arial" w:hAnsi="Arial"/>
          <w:sz w:val="18"/>
          <w:szCs w:val="18"/>
          <w:b w:val="1"/>
          <w:bCs w:val="1"/>
          <w:color w:val="auto"/>
        </w:rPr>
      </w:pPr>
    </w:p>
    <w:p>
      <w:pPr>
        <w:ind w:left="1300" w:right="40" w:hanging="401"/>
        <w:spacing w:after="0" w:line="264" w:lineRule="auto"/>
        <w:tabs>
          <w:tab w:leader="none" w:pos="1300" w:val="left"/>
        </w:tabs>
        <w:numPr>
          <w:ilvl w:val="0"/>
          <w:numId w:val="122"/>
        </w:numPr>
        <w:rPr>
          <w:rFonts w:ascii="Arial" w:cs="Arial" w:eastAsia="Arial" w:hAnsi="Arial"/>
          <w:sz w:val="18"/>
          <w:szCs w:val="18"/>
          <w:b w:val="1"/>
          <w:bCs w:val="1"/>
          <w:color w:val="auto"/>
        </w:rPr>
      </w:pPr>
      <w:r>
        <w:rPr>
          <w:rFonts w:ascii="Arial" w:cs="Arial" w:eastAsia="Arial" w:hAnsi="Arial"/>
          <w:sz w:val="18"/>
          <w:szCs w:val="18"/>
          <w:color w:val="auto"/>
        </w:rPr>
        <w:t>In 2015 and 2017, the Company entered into operating lease agreements for three vehicles. The leases will expire during the years 2018 and 2020. In January 2018 the agreement for one vehicle renewed and will expire in 2020. The projected annual lease payments are approximately $29 thousand per year.</w:t>
      </w:r>
    </w:p>
    <w:p>
      <w:pPr>
        <w:spacing w:after="0" w:line="181" w:lineRule="exact"/>
        <w:rPr>
          <w:rFonts w:ascii="Arial" w:cs="Arial" w:eastAsia="Arial" w:hAnsi="Arial"/>
          <w:sz w:val="18"/>
          <w:szCs w:val="18"/>
          <w:b w:val="1"/>
          <w:bCs w:val="1"/>
          <w:color w:val="auto"/>
        </w:rPr>
      </w:pPr>
    </w:p>
    <w:p>
      <w:pPr>
        <w:ind w:left="1300" w:hanging="401"/>
        <w:spacing w:after="0"/>
        <w:tabs>
          <w:tab w:leader="none" w:pos="1300" w:val="left"/>
        </w:tabs>
        <w:numPr>
          <w:ilvl w:val="0"/>
          <w:numId w:val="122"/>
        </w:numPr>
        <w:rPr>
          <w:rFonts w:ascii="Arial" w:cs="Arial" w:eastAsia="Arial" w:hAnsi="Arial"/>
          <w:sz w:val="18"/>
          <w:szCs w:val="18"/>
          <w:b w:val="1"/>
          <w:bCs w:val="1"/>
          <w:color w:val="auto"/>
        </w:rPr>
      </w:pPr>
      <w:r>
        <w:rPr>
          <w:rFonts w:ascii="Arial" w:cs="Arial" w:eastAsia="Arial" w:hAnsi="Arial"/>
          <w:sz w:val="18"/>
          <w:szCs w:val="18"/>
          <w:color w:val="auto"/>
        </w:rPr>
        <w:t>The Company is committed to pay royalties to Oramed –see also note 6.</w:t>
      </w:r>
    </w:p>
    <w:p>
      <w:pPr>
        <w:spacing w:after="0" w:line="225" w:lineRule="exact"/>
        <w:rPr>
          <w:rFonts w:ascii="Arial" w:cs="Arial" w:eastAsia="Arial" w:hAnsi="Arial"/>
          <w:sz w:val="18"/>
          <w:szCs w:val="18"/>
          <w:b w:val="1"/>
          <w:bCs w:val="1"/>
          <w:color w:val="auto"/>
        </w:rPr>
      </w:pPr>
    </w:p>
    <w:p>
      <w:pPr>
        <w:ind w:left="1300" w:hanging="401"/>
        <w:spacing w:after="0" w:line="270" w:lineRule="auto"/>
        <w:tabs>
          <w:tab w:leader="none" w:pos="1300" w:val="left"/>
        </w:tabs>
        <w:numPr>
          <w:ilvl w:val="0"/>
          <w:numId w:val="122"/>
        </w:numPr>
        <w:rPr>
          <w:rFonts w:ascii="Arial" w:cs="Arial" w:eastAsia="Arial" w:hAnsi="Arial"/>
          <w:sz w:val="17"/>
          <w:szCs w:val="17"/>
          <w:b w:val="1"/>
          <w:bCs w:val="1"/>
          <w:color w:val="auto"/>
        </w:rPr>
      </w:pPr>
      <w:r>
        <w:rPr>
          <w:rFonts w:ascii="Arial" w:cs="Arial" w:eastAsia="Arial" w:hAnsi="Arial"/>
          <w:sz w:val="17"/>
          <w:szCs w:val="17"/>
          <w:color w:val="auto"/>
        </w:rPr>
        <w:t>The Company is committed to pay royalties to the Government of Israel on proceeds from sales of products in the research and development of which the Government participates by way of grants. At the time the grants were received, successful development of the related project was not assumed. In the case of failure of the project that was partly financed by the Government of Israel, the Company is not obligated to pay any such royalties. Under the terms of the Company’s funding from the Israeli Government, royalties are payable on sales of products developed from projects so funded of 3% during the first three years, from commencement of revenues, 4% during the subsequent three years and 5% commencing the seventh year up to 100% of the amount of the grant received by the Company (dollar linked) with the addition of an annual interest based on Libor. The amount that must be repaid may be increased to three times the amount of the grant received, and the rate of royalties may be accelerated, if manufacturing of the products developed with the grant money is transferred outside of the State of Israel. As of December 31, 2017, the total royalty amount that would be payable by the Company, before the additional Libor interest, is approximately $460 thousand.</w:t>
      </w:r>
    </w:p>
    <w:p>
      <w:pPr>
        <w:spacing w:after="0" w:line="177" w:lineRule="exact"/>
        <w:rPr>
          <w:rFonts w:ascii="Arial" w:cs="Arial" w:eastAsia="Arial" w:hAnsi="Arial"/>
          <w:sz w:val="17"/>
          <w:szCs w:val="17"/>
          <w:b w:val="1"/>
          <w:bCs w:val="1"/>
          <w:color w:val="auto"/>
        </w:rPr>
      </w:pPr>
    </w:p>
    <w:p>
      <w:pPr>
        <w:ind w:left="1300" w:right="20" w:hanging="401"/>
        <w:spacing w:after="0" w:line="279" w:lineRule="auto"/>
        <w:tabs>
          <w:tab w:leader="none" w:pos="1300" w:val="left"/>
        </w:tabs>
        <w:numPr>
          <w:ilvl w:val="0"/>
          <w:numId w:val="122"/>
        </w:numPr>
        <w:rPr>
          <w:rFonts w:ascii="Arial" w:cs="Arial" w:eastAsia="Arial" w:hAnsi="Arial"/>
          <w:sz w:val="17"/>
          <w:szCs w:val="17"/>
          <w:b w:val="1"/>
          <w:bCs w:val="1"/>
          <w:color w:val="auto"/>
        </w:rPr>
      </w:pPr>
      <w:r>
        <w:rPr>
          <w:rFonts w:ascii="Arial" w:cs="Arial" w:eastAsia="Arial" w:hAnsi="Arial"/>
          <w:sz w:val="17"/>
          <w:szCs w:val="17"/>
          <w:color w:val="auto"/>
        </w:rPr>
        <w:t>Emisphere Technologies, Inc., or Emisphere, has notified the Company that it believes that it is the exclusive owner of certain U.S. and related foreign patents and patent applications the Company acquired from Oramed Ltd. Emisphere has not initiated a legal proceeding as of the date of the approval of this financial statements. The matter is still in its early stages. If Emisphere were to initiate a legal proceeding, we would vigorously defend against such claim and believe that Emisphere’s notification is without merit.</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97" w:name="page198"/>
    <w:bookmarkEnd w:id="19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 CAPITAL:</w:t>
      </w:r>
    </w:p>
    <w:p>
      <w:pPr>
        <w:spacing w:after="0" w:line="229" w:lineRule="exact"/>
        <w:rPr>
          <w:sz w:val="20"/>
          <w:szCs w:val="20"/>
          <w:color w:val="auto"/>
        </w:rPr>
      </w:pPr>
    </w:p>
    <w:p>
      <w:pPr>
        <w:ind w:left="1460" w:hanging="439"/>
        <w:spacing w:after="0"/>
        <w:tabs>
          <w:tab w:leader="none" w:pos="1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Composed of ordinary shares of NIS 0.01 par value, as follows:</w:t>
      </w:r>
    </w:p>
    <w:p>
      <w:pPr>
        <w:spacing w:after="0" w:line="221"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2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1"/>
              </w:rPr>
              <w:t>Number of ordinary shares</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22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December 31</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shd w:val="clear" w:color="auto" w:fill="D5EAEA"/>
          </w:tcPr>
          <w:p>
            <w:pPr>
              <w:ind w:left="40"/>
              <w:spacing w:after="0"/>
              <w:rPr>
                <w:sz w:val="20"/>
                <w:szCs w:val="20"/>
                <w:color w:val="auto"/>
              </w:rPr>
            </w:pPr>
            <w:r>
              <w:rPr>
                <w:rFonts w:ascii="Arial" w:cs="Arial" w:eastAsia="Arial" w:hAnsi="Arial"/>
                <w:sz w:val="18"/>
                <w:szCs w:val="18"/>
                <w:color w:val="auto"/>
              </w:rPr>
              <w:t>Authorized</w:t>
            </w:r>
          </w:p>
        </w:tc>
        <w:tc>
          <w:tcPr>
            <w:tcW w:w="110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1,000,000</w:t>
            </w:r>
          </w:p>
        </w:tc>
        <w:tc>
          <w:tcPr>
            <w:tcW w:w="1100" w:type="dxa"/>
            <w:vAlign w:val="bottom"/>
            <w:gridSpan w:val="3"/>
            <w:shd w:val="clear" w:color="auto" w:fill="D5EAEA"/>
          </w:tcPr>
          <w:p>
            <w:pPr>
              <w:jc w:val="right"/>
              <w:ind w:right="20"/>
              <w:spacing w:after="0"/>
              <w:rPr>
                <w:sz w:val="20"/>
                <w:szCs w:val="20"/>
                <w:color w:val="auto"/>
              </w:rPr>
            </w:pPr>
            <w:r>
              <w:rPr>
                <w:rFonts w:ascii="Arial" w:cs="Arial" w:eastAsia="Arial" w:hAnsi="Arial"/>
                <w:sz w:val="18"/>
                <w:szCs w:val="18"/>
                <w:color w:val="auto"/>
              </w:rPr>
              <w:t>1,000,000</w:t>
            </w:r>
          </w:p>
        </w:tc>
        <w:tc>
          <w:tcPr>
            <w:tcW w:w="60" w:type="dxa"/>
            <w:vAlign w:val="bottom"/>
            <w:shd w:val="clear" w:color="auto" w:fill="D5EAE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D5EAEA"/>
              <w:bottom w:val="single" w:sz="8" w:color="D5EAEA"/>
            </w:tcBorders>
            <w:vMerge w:val="restart"/>
          </w:tcPr>
          <w:p>
            <w:pPr>
              <w:ind w:left="40"/>
              <w:spacing w:after="0"/>
              <w:rPr>
                <w:sz w:val="20"/>
                <w:szCs w:val="20"/>
                <w:color w:val="auto"/>
              </w:rPr>
            </w:pPr>
            <w:r>
              <w:rPr>
                <w:rFonts w:ascii="Arial" w:cs="Arial" w:eastAsia="Arial" w:hAnsi="Arial"/>
                <w:sz w:val="18"/>
                <w:szCs w:val="18"/>
                <w:color w:val="auto"/>
              </w:rPr>
              <w:t>Issued</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AEA"/>
              <w:bottom w:val="single" w:sz="8" w:color="D5EAEA"/>
            </w:tcBorders>
            <w:vMerge w:val="restart"/>
          </w:tcPr>
          <w:p>
            <w:pPr>
              <w:spacing w:after="0" w:line="20" w:lineRule="exact"/>
              <w:rPr>
                <w:sz w:val="1"/>
                <w:szCs w:val="1"/>
                <w:color w:val="auto"/>
              </w:rPr>
            </w:pPr>
          </w:p>
        </w:tc>
        <w:tc>
          <w:tcPr>
            <w:tcW w:w="100" w:type="dxa"/>
            <w:vAlign w:val="bottom"/>
            <w:tcBorders>
              <w:top w:val="single" w:sz="8" w:color="D5EAEA"/>
              <w:bottom w:val="single" w:sz="8" w:color="D5EAEA"/>
            </w:tcBorders>
            <w:vMerge w:val="restart"/>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5EAEA"/>
              <w:bottom w:val="single" w:sz="8" w:color="D5EAEA"/>
            </w:tcBorders>
            <w:vMerge w:val="restart"/>
          </w:tcPr>
          <w:p>
            <w:pPr>
              <w:spacing w:after="0" w:line="20" w:lineRule="exact"/>
              <w:rPr>
                <w:sz w:val="1"/>
                <w:szCs w:val="1"/>
                <w:color w:val="auto"/>
              </w:rPr>
            </w:pPr>
          </w:p>
        </w:tc>
        <w:tc>
          <w:tcPr>
            <w:tcW w:w="60" w:type="dxa"/>
            <w:vAlign w:val="bottom"/>
            <w:tcBorders>
              <w:top w:val="single" w:sz="8" w:color="D5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vMerge w:val="continue"/>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34,544</w:t>
            </w: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34,544</w:t>
            </w:r>
          </w:p>
        </w:tc>
        <w:tc>
          <w:tcPr>
            <w:tcW w:w="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40" w:right="20"/>
        <w:spacing w:after="0" w:line="312" w:lineRule="auto"/>
        <w:rPr>
          <w:sz w:val="20"/>
          <w:szCs w:val="20"/>
          <w:color w:val="auto"/>
        </w:rPr>
      </w:pPr>
      <w:r>
        <w:rPr>
          <w:rFonts w:ascii="Arial" w:cs="Arial" w:eastAsia="Arial" w:hAnsi="Arial"/>
          <w:sz w:val="16"/>
          <w:szCs w:val="16"/>
          <w:color w:val="auto"/>
        </w:rPr>
        <w:t>The Ordinary Shares confer upon their holders the following rights: (i) the right to vote in any general meeting of the Company, (ii) the right to receive dividends, and (iii) the right to receive upon liquidation of the Company a sum equal to the nominal value of the share, and if a surplus remains, to receive such surplus, subject to the rights conferred on any class of shares which may be issued in the future.</w:t>
      </w:r>
    </w:p>
    <w:p>
      <w:pPr>
        <w:spacing w:after="0" w:line="143" w:lineRule="exact"/>
        <w:rPr>
          <w:sz w:val="20"/>
          <w:szCs w:val="20"/>
          <w:color w:val="auto"/>
        </w:rPr>
      </w:pPr>
    </w:p>
    <w:p>
      <w:pPr>
        <w:ind w:left="1460" w:hanging="439"/>
        <w:spacing w:after="0"/>
        <w:tabs>
          <w:tab w:leader="none" w:pos="1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compensation:</w:t>
      </w:r>
    </w:p>
    <w:p>
      <w:pPr>
        <w:spacing w:after="0" w:line="229" w:lineRule="exact"/>
        <w:rPr>
          <w:rFonts w:ascii="Arial" w:cs="Arial" w:eastAsia="Arial" w:hAnsi="Arial"/>
          <w:sz w:val="18"/>
          <w:szCs w:val="18"/>
          <w:b w:val="1"/>
          <w:bCs w:val="1"/>
          <w:color w:val="auto"/>
        </w:rPr>
      </w:pPr>
    </w:p>
    <w:p>
      <w:pPr>
        <w:ind w:left="2040" w:hanging="506"/>
        <w:spacing w:after="0"/>
        <w:tabs>
          <w:tab w:leader="none" w:pos="204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Share based compensation plan</w:t>
      </w:r>
    </w:p>
    <w:p>
      <w:pPr>
        <w:spacing w:after="0" w:line="225" w:lineRule="exact"/>
        <w:rPr>
          <w:rFonts w:ascii="Arial" w:cs="Arial" w:eastAsia="Arial" w:hAnsi="Arial"/>
          <w:sz w:val="18"/>
          <w:szCs w:val="18"/>
          <w:color w:val="auto"/>
        </w:rPr>
      </w:pPr>
    </w:p>
    <w:p>
      <w:pPr>
        <w:ind w:left="2040"/>
        <w:spacing w:after="0" w:line="259" w:lineRule="auto"/>
        <w:rPr>
          <w:rFonts w:ascii="Arial" w:cs="Arial" w:eastAsia="Arial" w:hAnsi="Arial"/>
          <w:sz w:val="18"/>
          <w:szCs w:val="18"/>
          <w:color w:val="auto"/>
        </w:rPr>
      </w:pPr>
      <w:r>
        <w:rPr>
          <w:rFonts w:ascii="Arial" w:cs="Arial" w:eastAsia="Arial" w:hAnsi="Arial"/>
          <w:sz w:val="18"/>
          <w:szCs w:val="18"/>
          <w:color w:val="auto"/>
        </w:rPr>
        <w:t>On March 17, 2013, the Company's board of directors approved a Share Incentive Plan (the “Plan”). Under the Plan, the Company shall reserve sufficient number of Ordinary Shares, NIS 0.01 par value, of the Company for allocation of stock options, restricted share units, restricted share awards and performance-based awards (the "Option"), to employees and non-employees. Each Option is exercisable to acquire one ordinary share.</w:t>
      </w:r>
    </w:p>
    <w:p>
      <w:pPr>
        <w:spacing w:after="0" w:line="186" w:lineRule="exact"/>
        <w:rPr>
          <w:rFonts w:ascii="Arial" w:cs="Arial" w:eastAsia="Arial" w:hAnsi="Arial"/>
          <w:sz w:val="18"/>
          <w:szCs w:val="18"/>
          <w:color w:val="auto"/>
        </w:rPr>
      </w:pPr>
    </w:p>
    <w:p>
      <w:pPr>
        <w:ind w:left="2040" w:right="280"/>
        <w:spacing w:after="0" w:line="277" w:lineRule="auto"/>
        <w:rPr>
          <w:rFonts w:ascii="Arial" w:cs="Arial" w:eastAsia="Arial" w:hAnsi="Arial"/>
          <w:sz w:val="18"/>
          <w:szCs w:val="18"/>
          <w:color w:val="auto"/>
        </w:rPr>
      </w:pPr>
      <w:r>
        <w:rPr>
          <w:rFonts w:ascii="Arial" w:cs="Arial" w:eastAsia="Arial" w:hAnsi="Arial"/>
          <w:sz w:val="18"/>
          <w:szCs w:val="18"/>
          <w:color w:val="auto"/>
        </w:rPr>
        <w:t>Any option granted under the Plan that is not exercised within six years from the date upon which it becomes exercisable will expire.</w:t>
      </w:r>
    </w:p>
    <w:p>
      <w:pPr>
        <w:spacing w:after="0" w:line="170" w:lineRule="exact"/>
        <w:rPr>
          <w:rFonts w:ascii="Arial" w:cs="Arial" w:eastAsia="Arial" w:hAnsi="Arial"/>
          <w:sz w:val="18"/>
          <w:szCs w:val="18"/>
          <w:color w:val="auto"/>
        </w:rPr>
      </w:pPr>
    </w:p>
    <w:p>
      <w:pPr>
        <w:ind w:left="2040" w:right="180"/>
        <w:spacing w:after="0" w:line="286" w:lineRule="auto"/>
        <w:rPr>
          <w:rFonts w:ascii="Arial" w:cs="Arial" w:eastAsia="Arial" w:hAnsi="Arial"/>
          <w:sz w:val="18"/>
          <w:szCs w:val="18"/>
          <w:color w:val="auto"/>
        </w:rPr>
      </w:pPr>
      <w:r>
        <w:rPr>
          <w:rFonts w:ascii="Arial" w:cs="Arial" w:eastAsia="Arial" w:hAnsi="Arial"/>
          <w:sz w:val="17"/>
          <w:szCs w:val="17"/>
          <w:color w:val="auto"/>
        </w:rPr>
        <w:t>The options granted to employees are subject to the terms stipulated by section 102(b)(2) of the Israeli Income Tax Ordinance (the “Ordinance”). According to these provisions, the Company will not be allowed to claim as an expense for tax purposes the amounts credited to the employees as a capital gain benefit in respect of the options granted.</w:t>
      </w:r>
    </w:p>
    <w:p>
      <w:pPr>
        <w:spacing w:after="0" w:line="165" w:lineRule="exact"/>
        <w:rPr>
          <w:rFonts w:ascii="Arial" w:cs="Arial" w:eastAsia="Arial" w:hAnsi="Arial"/>
          <w:sz w:val="18"/>
          <w:szCs w:val="18"/>
          <w:color w:val="auto"/>
        </w:rPr>
      </w:pPr>
    </w:p>
    <w:p>
      <w:pPr>
        <w:ind w:left="2040" w:right="460"/>
        <w:spacing w:after="0" w:line="264" w:lineRule="auto"/>
        <w:rPr>
          <w:rFonts w:ascii="Arial" w:cs="Arial" w:eastAsia="Arial" w:hAnsi="Arial"/>
          <w:sz w:val="18"/>
          <w:szCs w:val="18"/>
          <w:color w:val="auto"/>
        </w:rPr>
      </w:pPr>
      <w:r>
        <w:rPr>
          <w:rFonts w:ascii="Arial" w:cs="Arial" w:eastAsia="Arial" w:hAnsi="Arial"/>
          <w:sz w:val="18"/>
          <w:szCs w:val="18"/>
          <w:color w:val="auto"/>
        </w:rPr>
        <w:t>Options granted to related parties or non-employees of the Company are governed by Section 3(i) of the Ordinance. The Company will be allowed to claim as an expense for tax purposes in the year in which the related parties or non-employees exercised the options into shares.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198" w:name="page199"/>
    <w:bookmarkEnd w:id="19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 SHARE CAPITAL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1740" w:hanging="327"/>
        <w:spacing w:after="0"/>
        <w:tabs>
          <w:tab w:leader="none" w:pos="17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Options grants:</w:t>
      </w:r>
    </w:p>
    <w:p>
      <w:pPr>
        <w:spacing w:after="0" w:line="225" w:lineRule="exact"/>
        <w:rPr>
          <w:rFonts w:ascii="Arial" w:cs="Arial" w:eastAsia="Arial" w:hAnsi="Arial"/>
          <w:sz w:val="18"/>
          <w:szCs w:val="18"/>
          <w:color w:val="auto"/>
        </w:rPr>
      </w:pPr>
    </w:p>
    <w:p>
      <w:pPr>
        <w:ind w:left="2040" w:hanging="384"/>
        <w:spacing w:after="0"/>
        <w:tabs>
          <w:tab w:leader="none" w:pos="204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In March 2016, the Company granted options to purchase 1,133 ordinary shares to a certain director with an exercise price of</w:t>
      </w:r>
    </w:p>
    <w:p>
      <w:pPr>
        <w:spacing w:after="0" w:line="46" w:lineRule="exact"/>
        <w:rPr>
          <w:rFonts w:ascii="Arial" w:cs="Arial" w:eastAsia="Arial" w:hAnsi="Arial"/>
          <w:sz w:val="16"/>
          <w:szCs w:val="16"/>
          <w:color w:val="auto"/>
        </w:rPr>
      </w:pPr>
    </w:p>
    <w:p>
      <w:pPr>
        <w:ind w:left="2040"/>
        <w:spacing w:after="0" w:line="261" w:lineRule="auto"/>
        <w:rPr>
          <w:rFonts w:ascii="Arial" w:cs="Arial" w:eastAsia="Arial" w:hAnsi="Arial"/>
          <w:sz w:val="16"/>
          <w:szCs w:val="16"/>
          <w:color w:val="auto"/>
        </w:rPr>
      </w:pPr>
      <w:r>
        <w:rPr>
          <w:rFonts w:ascii="Arial" w:cs="Arial" w:eastAsia="Arial" w:hAnsi="Arial"/>
          <w:sz w:val="18"/>
          <w:szCs w:val="18"/>
          <w:color w:val="auto"/>
        </w:rPr>
        <w:t>$479.38. 1/3 of the options vested on April 29, 2016, 1/3 of the options shall vest on July 29, 2017 and the remaining shall vest on July 29, 2018. The fair value of the options at the date of grant was $827 thousand.</w:t>
      </w:r>
    </w:p>
    <w:p>
      <w:pPr>
        <w:spacing w:after="0" w:line="183" w:lineRule="exact"/>
        <w:rPr>
          <w:rFonts w:ascii="Arial" w:cs="Arial" w:eastAsia="Arial" w:hAnsi="Arial"/>
          <w:sz w:val="16"/>
          <w:szCs w:val="16"/>
          <w:color w:val="auto"/>
        </w:rPr>
      </w:pPr>
    </w:p>
    <w:p>
      <w:pPr>
        <w:jc w:val="both"/>
        <w:ind w:left="2040" w:right="180" w:hanging="384"/>
        <w:spacing w:after="0" w:line="264" w:lineRule="auto"/>
        <w:tabs>
          <w:tab w:leader="none" w:pos="20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Through May and during November 2016, the Company granted options to purchase 24 ordinary shares to a certain consultant, with an exercise price of par value (0.01 NIS). The options vested immediately. The fair value of the options at the date of grant was $24 thousand.</w:t>
      </w:r>
    </w:p>
    <w:p>
      <w:pPr>
        <w:spacing w:after="0" w:line="181" w:lineRule="exact"/>
        <w:rPr>
          <w:rFonts w:ascii="Arial" w:cs="Arial" w:eastAsia="Arial" w:hAnsi="Arial"/>
          <w:sz w:val="18"/>
          <w:szCs w:val="18"/>
          <w:color w:val="auto"/>
        </w:rPr>
      </w:pPr>
    </w:p>
    <w:p>
      <w:pPr>
        <w:ind w:left="2040" w:hanging="384"/>
        <w:spacing w:after="0"/>
        <w:tabs>
          <w:tab w:leader="none" w:pos="204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In August 2016, the Company granted options to purchase 494 ordinary shares to certain employees with an exercise price of</w:t>
      </w:r>
    </w:p>
    <w:p>
      <w:pPr>
        <w:spacing w:after="0" w:line="46" w:lineRule="exact"/>
        <w:rPr>
          <w:rFonts w:ascii="Arial" w:cs="Arial" w:eastAsia="Arial" w:hAnsi="Arial"/>
          <w:sz w:val="16"/>
          <w:szCs w:val="16"/>
          <w:color w:val="auto"/>
        </w:rPr>
      </w:pPr>
    </w:p>
    <w:p>
      <w:pPr>
        <w:ind w:left="2040" w:right="80"/>
        <w:spacing w:after="0" w:line="255" w:lineRule="auto"/>
        <w:rPr>
          <w:rFonts w:ascii="Arial" w:cs="Arial" w:eastAsia="Arial" w:hAnsi="Arial"/>
          <w:sz w:val="16"/>
          <w:szCs w:val="16"/>
          <w:color w:val="auto"/>
        </w:rPr>
      </w:pPr>
      <w:r>
        <w:rPr>
          <w:rFonts w:ascii="Arial" w:cs="Arial" w:eastAsia="Arial" w:hAnsi="Arial"/>
          <w:sz w:val="18"/>
          <w:szCs w:val="18"/>
          <w:color w:val="auto"/>
        </w:rPr>
        <w:t>$479. The options vest over 4 years from the date of grant; 1/4 vest on the first anniversary of the date of grant and the remaining vest in twelve equal quarterly installments following the first anniversary of the applicable grant date. The fair value of the options at the date of grant was $362 thousand.</w:t>
      </w:r>
    </w:p>
    <w:p>
      <w:pPr>
        <w:spacing w:after="0" w:line="190" w:lineRule="exact"/>
        <w:rPr>
          <w:rFonts w:ascii="Arial" w:cs="Arial" w:eastAsia="Arial" w:hAnsi="Arial"/>
          <w:sz w:val="16"/>
          <w:szCs w:val="16"/>
          <w:color w:val="auto"/>
        </w:rPr>
      </w:pPr>
    </w:p>
    <w:p>
      <w:pPr>
        <w:ind w:left="2040" w:right="100" w:hanging="384"/>
        <w:spacing w:after="0" w:line="342" w:lineRule="auto"/>
        <w:tabs>
          <w:tab w:leader="none" w:pos="204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In March 2017, the Company granted options to purchase 12 ordinary shares to a certain consultant, with an exercise price of par value (0.01 NIS). The options shall vest immediately. The fair value of the options at the date of grant was $12 thousand.</w:t>
      </w:r>
    </w:p>
    <w:p>
      <w:pPr>
        <w:spacing w:after="0" w:line="123" w:lineRule="exact"/>
        <w:rPr>
          <w:rFonts w:ascii="Arial" w:cs="Arial" w:eastAsia="Arial" w:hAnsi="Arial"/>
          <w:sz w:val="16"/>
          <w:szCs w:val="16"/>
          <w:color w:val="auto"/>
        </w:rPr>
      </w:pPr>
    </w:p>
    <w:p>
      <w:pPr>
        <w:jc w:val="both"/>
        <w:ind w:left="2040" w:right="120" w:hanging="384"/>
        <w:spacing w:after="0" w:line="286" w:lineRule="auto"/>
        <w:tabs>
          <w:tab w:leader="none" w:pos="204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On March 27, 2017, the board of directors approved the nomination of Mr. Luke Beshar as Executive chairman of the board and Dr. Roger Garceau as Chief Development Advisor. The nominations and the compensation were subject to shareholder approval that was received on April 6, 2017. According to the agreements with Mr. Luke Beshar, and Dr. Graceau, upon the occurrence of a private placement or IPO, which are defined as a Triggering Event as described in note 7(a)(3) (“the Qualified Event”), Mr.</w:t>
      </w:r>
    </w:p>
    <w:p>
      <w:pPr>
        <w:spacing w:after="0" w:line="1" w:lineRule="exact"/>
        <w:rPr>
          <w:rFonts w:ascii="Arial" w:cs="Arial" w:eastAsia="Arial" w:hAnsi="Arial"/>
          <w:sz w:val="16"/>
          <w:szCs w:val="16"/>
          <w:color w:val="auto"/>
        </w:rPr>
      </w:pPr>
    </w:p>
    <w:p>
      <w:pPr>
        <w:ind w:left="2040" w:right="120"/>
        <w:spacing w:after="0" w:line="267" w:lineRule="auto"/>
        <w:rPr>
          <w:rFonts w:ascii="Arial" w:cs="Arial" w:eastAsia="Arial" w:hAnsi="Arial"/>
          <w:sz w:val="16"/>
          <w:szCs w:val="16"/>
          <w:color w:val="auto"/>
        </w:rPr>
      </w:pPr>
      <w:r>
        <w:rPr>
          <w:rFonts w:ascii="Arial" w:cs="Arial" w:eastAsia="Arial" w:hAnsi="Arial"/>
          <w:sz w:val="17"/>
          <w:szCs w:val="17"/>
          <w:color w:val="auto"/>
        </w:rPr>
        <w:t>Beshar and Dr. Graceau will be granted options to purchase ordinary shares of the Company representing 6.5% and 1.5%, respectively, of the Company’s share capital on a “fully diluted basis” as determined immediately following the Qualified Event, provided however, that if the amount of new funds actually received by the Company in a Qualified Event exceeds $10 million, then it shall be deemed for the purpose of calculating the "fully diluted basis" under this agreement as if such amount is equal to $10 million. The exercise price of the options shall be equal to the per share fair market value of ordinary shares immediately following the Qualified Event. The Options will vest in 36 equal monthly installments over a period of 36 months, commencing the date of service provision, and are subject to acceleration under certain circumstances as described in the service agreement. Following the completion of the Preferred B Financing the Company determined the amount of options to purchase ordinary shares of the Company, to be granted to Mr. Beshar and Dr. Garceau of 6,970 and 1,608, respectively. The exercise price of the options is $820 determined based on an external valuation and approved by the board of directors of the company on November 10, 2017</w:t>
      </w:r>
      <w:r>
        <w:rPr>
          <w:rFonts w:ascii="Arial" w:cs="Arial" w:eastAsia="Arial" w:hAnsi="Arial"/>
          <w:sz w:val="17"/>
          <w:szCs w:val="17"/>
          <w:b w:val="1"/>
          <w:bCs w:val="1"/>
          <w:color w:val="auto"/>
        </w:rPr>
        <w:t>.</w:t>
      </w:r>
    </w:p>
    <w:p>
      <w:pPr>
        <w:spacing w:after="0" w:line="186" w:lineRule="exact"/>
        <w:rPr>
          <w:rFonts w:ascii="Arial" w:cs="Arial" w:eastAsia="Arial" w:hAnsi="Arial"/>
          <w:sz w:val="16"/>
          <w:szCs w:val="16"/>
          <w:color w:val="auto"/>
        </w:rPr>
      </w:pPr>
    </w:p>
    <w:p>
      <w:pPr>
        <w:ind w:left="2040" w:right="860" w:hanging="16"/>
        <w:spacing w:after="0" w:line="528" w:lineRule="auto"/>
        <w:rPr>
          <w:rFonts w:ascii="Arial" w:cs="Arial" w:eastAsia="Arial" w:hAnsi="Arial"/>
          <w:sz w:val="16"/>
          <w:szCs w:val="16"/>
          <w:color w:val="auto"/>
        </w:rPr>
      </w:pPr>
      <w:r>
        <w:rPr>
          <w:rFonts w:ascii="Arial" w:cs="Arial" w:eastAsia="Arial" w:hAnsi="Arial"/>
          <w:sz w:val="18"/>
          <w:szCs w:val="18"/>
          <w:color w:val="auto"/>
        </w:rPr>
        <w:t>The Company treated the awards as performance-based awards, the performance condition was achieved during 2017. The fair value of the options at the date of grant is $4,814 thousand.</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99" w:name="page200"/>
    <w:bookmarkEnd w:id="19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NOTE 10 - SHARE CAPITAL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jc w:val="both"/>
        <w:ind w:left="2040" w:right="100" w:hanging="384"/>
        <w:spacing w:after="0" w:line="286" w:lineRule="auto"/>
        <w:tabs>
          <w:tab w:leader="none" w:pos="204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On April 6, 2017, the Company granted options to purchase 1,133 ordinary shares to a certain director, with an exercise price of $980. 1/3 of the options are vested on the grant date, 1/3 of the options shall vest on September 21, 2017 and the remaining shall vest on September 21, 2018. The fair value of the options at the date of grant is $574 thousand.</w:t>
      </w:r>
    </w:p>
    <w:p>
      <w:pPr>
        <w:spacing w:after="0" w:line="165" w:lineRule="exact"/>
        <w:rPr>
          <w:rFonts w:ascii="Arial" w:cs="Arial" w:eastAsia="Arial" w:hAnsi="Arial"/>
          <w:sz w:val="17"/>
          <w:szCs w:val="17"/>
          <w:color w:val="auto"/>
        </w:rPr>
      </w:pPr>
    </w:p>
    <w:p>
      <w:pPr>
        <w:ind w:left="2040" w:right="20" w:hanging="384"/>
        <w:spacing w:after="0" w:line="259" w:lineRule="auto"/>
        <w:tabs>
          <w:tab w:leader="none" w:pos="20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On November 15, 2017, the Company granted options to purchase 4,550 ordinary shares to the CEO, COO and the CFO of the Company, with an exercise price of $820. The options will vest in 4 years in sixteen equal quarterly instalments. The fair value of the options at the date of grant is $2,338 thousand. The options granted to the CEO were approved by the shareholders of the Company on November 23, 2017.</w:t>
      </w:r>
    </w:p>
    <w:p>
      <w:pPr>
        <w:spacing w:after="0" w:line="186" w:lineRule="exact"/>
        <w:rPr>
          <w:rFonts w:ascii="Arial" w:cs="Arial" w:eastAsia="Arial" w:hAnsi="Arial"/>
          <w:sz w:val="18"/>
          <w:szCs w:val="18"/>
          <w:color w:val="auto"/>
        </w:rPr>
      </w:pPr>
    </w:p>
    <w:p>
      <w:pPr>
        <w:ind w:left="2040" w:right="200" w:hanging="384"/>
        <w:spacing w:after="0" w:line="342" w:lineRule="auto"/>
        <w:tabs>
          <w:tab w:leader="none" w:pos="204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On November 23, 2017, the Company granted options to purchase 100 ordinary shares to a certain consultant, with an exercise price $820. The options shall vest immediately. The fair value of the options at the date of grant was $38 thousand.</w:t>
      </w:r>
    </w:p>
    <w:p>
      <w:pPr>
        <w:spacing w:after="0" w:line="123" w:lineRule="exact"/>
        <w:rPr>
          <w:rFonts w:ascii="Arial" w:cs="Arial" w:eastAsia="Arial" w:hAnsi="Arial"/>
          <w:sz w:val="16"/>
          <w:szCs w:val="16"/>
          <w:color w:val="auto"/>
        </w:rPr>
      </w:pPr>
    </w:p>
    <w:p>
      <w:pPr>
        <w:ind w:left="2040" w:hanging="384"/>
        <w:spacing w:after="0" w:line="259" w:lineRule="auto"/>
        <w:tabs>
          <w:tab w:leader="none" w:pos="20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On December 27, 2017, the Company granted options to purchase 586 ordinary shares to certain employees, with an exercise price of $820. The options vest over 4 years from the date of grant; 1/4 vest on the first anniversary of the date of grant and the remaining vest in twelve equal quarterly installments following the first anniversary of the applicable grant date. The fair value of the options at the date of grant was $295 thousand.</w:t>
      </w:r>
    </w:p>
    <w:p>
      <w:pPr>
        <w:spacing w:after="0" w:line="186" w:lineRule="exact"/>
        <w:rPr>
          <w:rFonts w:ascii="Arial" w:cs="Arial" w:eastAsia="Arial" w:hAnsi="Arial"/>
          <w:sz w:val="18"/>
          <w:szCs w:val="18"/>
          <w:color w:val="auto"/>
        </w:rPr>
      </w:pPr>
    </w:p>
    <w:p>
      <w:pPr>
        <w:ind w:left="1740" w:right="100" w:hanging="327"/>
        <w:spacing w:after="0" w:line="308" w:lineRule="auto"/>
        <w:tabs>
          <w:tab w:leader="none" w:pos="17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fair value of each option granted (except options with an exercise price of par value, as described below) is estimated at the date of grant using the Black-Scholes option-pricing model, with the following weighted average assumptions:</w:t>
      </w:r>
    </w:p>
    <w:p>
      <w:pPr>
        <w:spacing w:after="0" w:line="143" w:lineRule="exact"/>
        <w:rPr>
          <w:sz w:val="20"/>
          <w:szCs w:val="20"/>
          <w:color w:val="auto"/>
        </w:rPr>
      </w:pPr>
    </w:p>
    <w:tbl>
      <w:tblPr>
        <w:tblLayout w:type="fixed"/>
        <w:tblInd w:w="1800" w:type="dxa"/>
        <w:tblCellMar>
          <w:top w:w="0" w:type="dxa"/>
          <w:left w:w="0" w:type="dxa"/>
          <w:bottom w:w="0" w:type="dxa"/>
          <w:right w:w="0" w:type="dxa"/>
        </w:tblCellMar>
      </w:tblPr>
      <w:tr>
        <w:trPr>
          <w:trHeight w:val="241"/>
        </w:trPr>
        <w:tc>
          <w:tcPr>
            <w:tcW w:w="6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20" w:type="dxa"/>
            <w:vAlign w:val="bottom"/>
            <w:shd w:val="clear" w:color="auto" w:fill="D5EAEA"/>
          </w:tcPr>
          <w:p>
            <w:pPr>
              <w:ind w:left="80"/>
              <w:spacing w:after="0"/>
              <w:rPr>
                <w:sz w:val="20"/>
                <w:szCs w:val="20"/>
                <w:color w:val="auto"/>
              </w:rPr>
            </w:pPr>
            <w:r>
              <w:rPr>
                <w:rFonts w:ascii="Arial" w:cs="Arial" w:eastAsia="Arial" w:hAnsi="Arial"/>
                <w:sz w:val="18"/>
                <w:szCs w:val="18"/>
                <w:color w:val="auto"/>
              </w:rPr>
              <w:t>Ordinary share price</w:t>
            </w:r>
          </w:p>
        </w:tc>
        <w:tc>
          <w:tcPr>
            <w:tcW w:w="260" w:type="dxa"/>
            <w:vAlign w:val="bottom"/>
            <w:shd w:val="clear" w:color="auto" w:fill="D5EAEA"/>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D5EAEA"/>
          </w:tcPr>
          <w:p>
            <w:pPr>
              <w:jc w:val="right"/>
              <w:ind w:right="70"/>
              <w:spacing w:after="0"/>
              <w:rPr>
                <w:sz w:val="20"/>
                <w:szCs w:val="20"/>
                <w:color w:val="auto"/>
              </w:rPr>
            </w:pPr>
            <w:r>
              <w:rPr>
                <w:rFonts w:ascii="Arial" w:cs="Arial" w:eastAsia="Arial" w:hAnsi="Arial"/>
                <w:sz w:val="18"/>
                <w:szCs w:val="18"/>
                <w:color w:val="auto"/>
              </w:rPr>
              <w:t>773</w:t>
            </w:r>
          </w:p>
        </w:tc>
        <w:tc>
          <w:tcPr>
            <w:tcW w:w="320" w:type="dxa"/>
            <w:vAlign w:val="bottom"/>
            <w:gridSpan w:val="2"/>
            <w:shd w:val="clear" w:color="auto" w:fill="D5EAEA"/>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1,018</w:t>
            </w:r>
          </w:p>
        </w:tc>
        <w:tc>
          <w:tcPr>
            <w:tcW w:w="140" w:type="dxa"/>
            <w:vAlign w:val="bottom"/>
            <w:shd w:val="clear" w:color="auto" w:fill="D5EAE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D5EAEA"/>
              <w:bottom w:val="single" w:sz="8" w:color="D5EAEA"/>
            </w:tcBorders>
            <w:vMerge w:val="restart"/>
          </w:tcPr>
          <w:p>
            <w:pPr>
              <w:ind w:left="80"/>
              <w:spacing w:after="0"/>
              <w:rPr>
                <w:sz w:val="20"/>
                <w:szCs w:val="20"/>
                <w:color w:val="auto"/>
              </w:rPr>
            </w:pPr>
            <w:r>
              <w:rPr>
                <w:rFonts w:ascii="Arial" w:cs="Arial" w:eastAsia="Arial" w:hAnsi="Arial"/>
                <w:sz w:val="18"/>
                <w:szCs w:val="18"/>
                <w:color w:val="auto"/>
              </w:rPr>
              <w:t>Exercise price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EAEA"/>
              <w:bottom w:val="single" w:sz="8" w:color="D5EAEA"/>
            </w:tcBorders>
            <w:vMerge w:val="restart"/>
          </w:tcPr>
          <w:p>
            <w:pPr>
              <w:spacing w:after="0" w:line="20" w:lineRule="exact"/>
              <w:rPr>
                <w:sz w:val="1"/>
                <w:szCs w:val="1"/>
                <w:color w:val="auto"/>
              </w:rPr>
            </w:pPr>
          </w:p>
        </w:tc>
        <w:tc>
          <w:tcPr>
            <w:tcW w:w="80" w:type="dxa"/>
            <w:vAlign w:val="bottom"/>
            <w:tcBorders>
              <w:top w:val="single" w:sz="8" w:color="D5EAEA"/>
              <w:bottom w:val="single" w:sz="8" w:color="D5EAEA"/>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5EAEA"/>
              <w:bottom w:val="single" w:sz="8" w:color="D5EAEA"/>
            </w:tcBorders>
            <w:vMerge w:val="restart"/>
          </w:tcPr>
          <w:p>
            <w:pPr>
              <w:spacing w:after="0" w:line="20" w:lineRule="exact"/>
              <w:rPr>
                <w:sz w:val="1"/>
                <w:szCs w:val="1"/>
                <w:color w:val="auto"/>
              </w:rPr>
            </w:pPr>
          </w:p>
        </w:tc>
        <w:tc>
          <w:tcPr>
            <w:tcW w:w="140" w:type="dxa"/>
            <w:vAlign w:val="bottom"/>
            <w:tcBorders>
              <w:top w:val="single" w:sz="8" w:color="D5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20" w:type="dxa"/>
            <w:vAlign w:val="bottom"/>
            <w:tcBorders>
              <w:bottom w:val="single" w:sz="8" w:color="D5EAEA"/>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773</w:t>
            </w:r>
          </w:p>
        </w:tc>
        <w:tc>
          <w:tcPr>
            <w:tcW w:w="180" w:type="dxa"/>
            <w:vAlign w:val="bottom"/>
            <w:tcBorders>
              <w:bottom w:val="single" w:sz="8" w:color="D5EAEA"/>
            </w:tcBorders>
            <w:vMerge w:val="continue"/>
          </w:tcPr>
          <w:p>
            <w:pPr>
              <w:spacing w:after="0"/>
              <w:rPr>
                <w:sz w:val="20"/>
                <w:szCs w:val="20"/>
                <w:color w:val="auto"/>
              </w:rPr>
            </w:pPr>
          </w:p>
        </w:tc>
        <w:tc>
          <w:tcPr>
            <w:tcW w:w="80" w:type="dxa"/>
            <w:vAlign w:val="bottom"/>
            <w:tcBorders>
              <w:bottom w:val="single" w:sz="8" w:color="D5EAEA"/>
            </w:tcBorders>
            <w:vMerge w:val="continue"/>
          </w:tcPr>
          <w:p>
            <w:pPr>
              <w:spacing w:after="0"/>
              <w:rPr>
                <w:sz w:val="20"/>
                <w:szCs w:val="20"/>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479</w:t>
            </w:r>
          </w:p>
        </w:tc>
        <w:tc>
          <w:tcPr>
            <w:tcW w:w="20" w:type="dxa"/>
            <w:vAlign w:val="bottom"/>
            <w:tcBorders>
              <w:bottom w:val="single" w:sz="8" w:color="D5EAEA"/>
            </w:tcBorders>
            <w:vMerge w:val="continue"/>
          </w:tcPr>
          <w:p>
            <w:pPr>
              <w:spacing w:after="0"/>
              <w:rPr>
                <w:sz w:val="20"/>
                <w:szCs w:val="20"/>
                <w:color w:val="auto"/>
              </w:rPr>
            </w:pPr>
          </w:p>
        </w:tc>
        <w:tc>
          <w:tcPr>
            <w:tcW w:w="140" w:type="dxa"/>
            <w:vAlign w:val="bottom"/>
            <w:tcBorders>
              <w:bottom w:val="single" w:sz="8" w:color="D5EAEA"/>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720" w:type="dxa"/>
            <w:vAlign w:val="bottom"/>
            <w:tcBorders>
              <w:bottom w:val="single" w:sz="8" w:color="D5EAEA"/>
            </w:tcBorders>
            <w:shd w:val="clear" w:color="auto" w:fill="D5EAEA"/>
          </w:tcPr>
          <w:p>
            <w:pPr>
              <w:ind w:left="80"/>
              <w:spacing w:after="0" w:line="190" w:lineRule="exact"/>
              <w:rPr>
                <w:sz w:val="20"/>
                <w:szCs w:val="20"/>
                <w:color w:val="auto"/>
              </w:rPr>
            </w:pPr>
            <w:r>
              <w:rPr>
                <w:rFonts w:ascii="Arial" w:cs="Arial" w:eastAsia="Arial" w:hAnsi="Arial"/>
                <w:sz w:val="18"/>
                <w:szCs w:val="18"/>
                <w:color w:val="auto"/>
              </w:rPr>
              <w:t>Dividend yield</w:t>
            </w:r>
          </w:p>
        </w:tc>
        <w:tc>
          <w:tcPr>
            <w:tcW w:w="260" w:type="dxa"/>
            <w:vAlign w:val="bottom"/>
            <w:tcBorders>
              <w:bottom w:val="single" w:sz="8" w:color="auto"/>
            </w:tcBorders>
            <w:shd w:val="clear" w:color="auto" w:fill="D5EAEA"/>
          </w:tcPr>
          <w:p>
            <w:pPr>
              <w:spacing w:after="0"/>
              <w:rPr>
                <w:sz w:val="17"/>
                <w:szCs w:val="17"/>
                <w:color w:val="auto"/>
              </w:rPr>
            </w:pPr>
          </w:p>
        </w:tc>
        <w:tc>
          <w:tcPr>
            <w:tcW w:w="74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D5EAEA"/>
            </w:tcBorders>
            <w:shd w:val="clear" w:color="auto" w:fill="D5EAEA"/>
          </w:tcPr>
          <w:p>
            <w:pPr>
              <w:spacing w:after="0"/>
              <w:rPr>
                <w:sz w:val="17"/>
                <w:szCs w:val="17"/>
                <w:color w:val="auto"/>
              </w:rPr>
            </w:pPr>
          </w:p>
        </w:tc>
        <w:tc>
          <w:tcPr>
            <w:tcW w:w="80" w:type="dxa"/>
            <w:vAlign w:val="bottom"/>
            <w:tcBorders>
              <w:bottom w:val="single" w:sz="8" w:color="D5EAEA"/>
            </w:tcBorders>
            <w:shd w:val="clear" w:color="auto" w:fill="D5EAEA"/>
          </w:tcPr>
          <w:p>
            <w:pPr>
              <w:spacing w:after="0"/>
              <w:rPr>
                <w:sz w:val="17"/>
                <w:szCs w:val="17"/>
                <w:color w:val="auto"/>
              </w:rPr>
            </w:pPr>
          </w:p>
        </w:tc>
        <w:tc>
          <w:tcPr>
            <w:tcW w:w="240" w:type="dxa"/>
            <w:vAlign w:val="bottom"/>
            <w:tcBorders>
              <w:bottom w:val="single" w:sz="8" w:color="auto"/>
            </w:tcBorders>
            <w:shd w:val="clear" w:color="auto" w:fill="D5EAEA"/>
          </w:tcPr>
          <w:p>
            <w:pPr>
              <w:spacing w:after="0"/>
              <w:rPr>
                <w:sz w:val="17"/>
                <w:szCs w:val="17"/>
                <w:color w:val="auto"/>
              </w:rPr>
            </w:pPr>
          </w:p>
        </w:tc>
        <w:tc>
          <w:tcPr>
            <w:tcW w:w="76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D5EAEA"/>
            </w:tcBorders>
            <w:shd w:val="clear" w:color="auto" w:fill="D5EAEA"/>
          </w:tcPr>
          <w:p>
            <w:pPr>
              <w:spacing w:after="0"/>
              <w:rPr>
                <w:sz w:val="17"/>
                <w:szCs w:val="17"/>
                <w:color w:val="auto"/>
              </w:rPr>
            </w:pPr>
          </w:p>
        </w:tc>
        <w:tc>
          <w:tcPr>
            <w:tcW w:w="140" w:type="dxa"/>
            <w:vAlign w:val="bottom"/>
            <w:tcBorders>
              <w:bottom w:val="single" w:sz="8" w:color="D5EAEA"/>
            </w:tcBorders>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ind w:left="80"/>
              <w:spacing w:after="0"/>
              <w:rPr>
                <w:sz w:val="20"/>
                <w:szCs w:val="20"/>
                <w:color w:val="auto"/>
              </w:rPr>
            </w:pPr>
            <w:r>
              <w:rPr>
                <w:rFonts w:ascii="Arial" w:cs="Arial" w:eastAsia="Arial" w:hAnsi="Arial"/>
                <w:sz w:val="18"/>
                <w:szCs w:val="18"/>
                <w:color w:val="auto"/>
              </w:rPr>
              <w:t>Expected volatility</w:t>
            </w: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37"/>
        </w:trPr>
        <w:tc>
          <w:tcPr>
            <w:tcW w:w="6720" w:type="dxa"/>
            <w:vAlign w:val="bottom"/>
            <w:tcBorders>
              <w:bottom w:val="single" w:sz="8" w:color="D5EAEA"/>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73.77</w:t>
            </w:r>
          </w:p>
        </w:tc>
        <w:tc>
          <w:tcPr>
            <w:tcW w:w="180" w:type="dxa"/>
            <w:vAlign w:val="bottom"/>
            <w:tcBorders>
              <w:bottom w:val="single" w:sz="8" w:color="D5EAEA"/>
            </w:tcBorders>
            <w:vMerge w:val="continue"/>
          </w:tcPr>
          <w:p>
            <w:pPr>
              <w:spacing w:after="0"/>
              <w:rPr>
                <w:sz w:val="20"/>
                <w:szCs w:val="20"/>
                <w:color w:val="auto"/>
              </w:rPr>
            </w:pPr>
          </w:p>
        </w:tc>
        <w:tc>
          <w:tcPr>
            <w:tcW w:w="80" w:type="dxa"/>
            <w:vAlign w:val="bottom"/>
            <w:tcBorders>
              <w:bottom w:val="single" w:sz="8" w:color="D5EAEA"/>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w:t>
            </w:r>
          </w:p>
        </w:tc>
        <w:tc>
          <w:tcPr>
            <w:tcW w:w="160" w:type="dxa"/>
            <w:vAlign w:val="bottom"/>
            <w:tcBorders>
              <w:bottom w:val="single" w:sz="8" w:color="D5EAEA"/>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720" w:type="dxa"/>
            <w:vAlign w:val="bottom"/>
            <w:tcBorders>
              <w:bottom w:val="single" w:sz="8" w:color="D5EAEA"/>
            </w:tcBorders>
            <w:shd w:val="clear" w:color="auto" w:fill="D5EAEA"/>
          </w:tcPr>
          <w:p>
            <w:pPr>
              <w:ind w:left="80"/>
              <w:spacing w:after="0" w:line="190" w:lineRule="exact"/>
              <w:rPr>
                <w:sz w:val="20"/>
                <w:szCs w:val="20"/>
                <w:color w:val="auto"/>
              </w:rPr>
            </w:pPr>
            <w:r>
              <w:rPr>
                <w:rFonts w:ascii="Arial" w:cs="Arial" w:eastAsia="Arial" w:hAnsi="Arial"/>
                <w:sz w:val="18"/>
                <w:szCs w:val="18"/>
                <w:color w:val="auto"/>
              </w:rPr>
              <w:t>Risk-free interest rate</w:t>
            </w:r>
          </w:p>
        </w:tc>
        <w:tc>
          <w:tcPr>
            <w:tcW w:w="260" w:type="dxa"/>
            <w:vAlign w:val="bottom"/>
            <w:tcBorders>
              <w:bottom w:val="single" w:sz="8" w:color="auto"/>
            </w:tcBorders>
            <w:shd w:val="clear" w:color="auto" w:fill="D5EAEA"/>
          </w:tcPr>
          <w:p>
            <w:pPr>
              <w:spacing w:after="0"/>
              <w:rPr>
                <w:sz w:val="17"/>
                <w:szCs w:val="17"/>
                <w:color w:val="auto"/>
              </w:rPr>
            </w:pPr>
          </w:p>
        </w:tc>
        <w:tc>
          <w:tcPr>
            <w:tcW w:w="74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1.67</w:t>
            </w:r>
          </w:p>
        </w:tc>
        <w:tc>
          <w:tcPr>
            <w:tcW w:w="180" w:type="dxa"/>
            <w:vAlign w:val="bottom"/>
            <w:tcBorders>
              <w:bottom w:val="single" w:sz="8" w:color="D5EAEA"/>
            </w:tcBorders>
            <w:shd w:val="clear" w:color="auto" w:fill="D5EAEA"/>
          </w:tcPr>
          <w:p>
            <w:pPr>
              <w:jc w:val="right"/>
              <w:spacing w:after="0" w:line="190" w:lineRule="exact"/>
              <w:rPr>
                <w:sz w:val="20"/>
                <w:szCs w:val="20"/>
                <w:color w:val="auto"/>
              </w:rPr>
            </w:pPr>
            <w:r>
              <w:rPr>
                <w:rFonts w:ascii="Arial" w:cs="Arial" w:eastAsia="Arial" w:hAnsi="Arial"/>
                <w:sz w:val="18"/>
                <w:szCs w:val="18"/>
                <w:color w:val="auto"/>
                <w:w w:val="87"/>
              </w:rPr>
              <w:t>%</w:t>
            </w:r>
          </w:p>
        </w:tc>
        <w:tc>
          <w:tcPr>
            <w:tcW w:w="80" w:type="dxa"/>
            <w:vAlign w:val="bottom"/>
            <w:tcBorders>
              <w:bottom w:val="single" w:sz="8" w:color="D5EAEA"/>
            </w:tcBorders>
            <w:shd w:val="clear" w:color="auto" w:fill="D5EAEA"/>
          </w:tcPr>
          <w:p>
            <w:pPr>
              <w:spacing w:after="0"/>
              <w:rPr>
                <w:sz w:val="17"/>
                <w:szCs w:val="17"/>
                <w:color w:val="auto"/>
              </w:rPr>
            </w:pPr>
          </w:p>
        </w:tc>
        <w:tc>
          <w:tcPr>
            <w:tcW w:w="240" w:type="dxa"/>
            <w:vAlign w:val="bottom"/>
            <w:tcBorders>
              <w:bottom w:val="single" w:sz="8" w:color="auto"/>
            </w:tcBorders>
            <w:shd w:val="clear" w:color="auto" w:fill="D5EAEA"/>
          </w:tcPr>
          <w:p>
            <w:pPr>
              <w:spacing w:after="0"/>
              <w:rPr>
                <w:sz w:val="17"/>
                <w:szCs w:val="17"/>
                <w:color w:val="auto"/>
              </w:rPr>
            </w:pPr>
          </w:p>
        </w:tc>
        <w:tc>
          <w:tcPr>
            <w:tcW w:w="7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1.05</w:t>
            </w:r>
          </w:p>
        </w:tc>
        <w:tc>
          <w:tcPr>
            <w:tcW w:w="160" w:type="dxa"/>
            <w:vAlign w:val="bottom"/>
            <w:tcBorders>
              <w:bottom w:val="single" w:sz="8" w:color="D5EAEA"/>
            </w:tcBorders>
            <w:gridSpan w:val="2"/>
            <w:shd w:val="clear" w:color="auto" w:fill="D5EAEA"/>
          </w:tcPr>
          <w:p>
            <w:pPr>
              <w:jc w:val="right"/>
              <w:ind w:right="20"/>
              <w:spacing w:after="0" w:line="190"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80"/>
              <w:spacing w:after="0"/>
              <w:rPr>
                <w:sz w:val="20"/>
                <w:szCs w:val="20"/>
                <w:color w:val="auto"/>
              </w:rPr>
            </w:pPr>
            <w:r>
              <w:rPr>
                <w:rFonts w:ascii="Arial" w:cs="Arial" w:eastAsia="Arial" w:hAnsi="Arial"/>
                <w:sz w:val="18"/>
                <w:szCs w:val="18"/>
                <w:color w:val="auto"/>
              </w:rPr>
              <w:t>Expected life – in years</w:t>
            </w: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2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7.94</w:t>
            </w:r>
          </w:p>
        </w:tc>
        <w:tc>
          <w:tcPr>
            <w:tcW w:w="1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4.11</w:t>
            </w: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740" w:right="20"/>
        <w:spacing w:after="0" w:line="279" w:lineRule="auto"/>
        <w:rPr>
          <w:sz w:val="20"/>
          <w:szCs w:val="20"/>
          <w:color w:val="auto"/>
        </w:rPr>
      </w:pPr>
      <w:r>
        <w:rPr>
          <w:rFonts w:ascii="Arial" w:cs="Arial" w:eastAsia="Arial" w:hAnsi="Arial"/>
          <w:sz w:val="17"/>
          <w:szCs w:val="17"/>
          <w:color w:val="auto"/>
        </w:rPr>
        <w:t>The fair value of each option with an exercise price of NIS 0.01 is based on the fair value of ordinary share at the date of grant. The ordinary share price is derived from the value of equity and was based on the valuation performed (as detailed in note 6). The expected volatility is based on comparable companies. The risk-free interest rate is determined based on rates of return on maturity of unlinked treasury bonds with a time to maturity that equals the average life of the options.</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200" w:name="page201"/>
    <w:bookmarkEnd w:id="20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 SHARE CAPITAL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5" w:lineRule="exact"/>
        <w:rPr>
          <w:sz w:val="20"/>
          <w:szCs w:val="20"/>
          <w:color w:val="auto"/>
        </w:rPr>
      </w:pPr>
    </w:p>
    <w:p>
      <w:pPr>
        <w:ind w:left="1420"/>
        <w:spacing w:after="0"/>
        <w:tabs>
          <w:tab w:leader="none" w:pos="17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Changes in the number of options and weighted average exercise prices are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8"/>
                <w:szCs w:val="18"/>
                <w:b w:val="1"/>
                <w:bCs w:val="1"/>
                <w:color w:val="auto"/>
                <w:w w:val="95"/>
              </w:rPr>
              <w:t>Year ended December 31,</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500" w:type="dxa"/>
            <w:vAlign w:val="bottom"/>
            <w:gridSpan w:val="5"/>
          </w:tcPr>
          <w:p>
            <w:pPr>
              <w:jc w:val="right"/>
              <w:ind w:right="9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600" w:type="dxa"/>
            <w:vAlign w:val="bottom"/>
            <w:gridSpan w:val="5"/>
          </w:tcPr>
          <w:p>
            <w:pPr>
              <w:jc w:val="right"/>
              <w:spacing w:after="0"/>
              <w:rPr>
                <w:sz w:val="20"/>
                <w:szCs w:val="20"/>
                <w:color w:val="auto"/>
              </w:rPr>
            </w:pPr>
            <w:r>
              <w:rPr>
                <w:rFonts w:ascii="Arial" w:cs="Arial" w:eastAsia="Arial" w:hAnsi="Arial"/>
                <w:sz w:val="18"/>
                <w:szCs w:val="18"/>
                <w:b w:val="1"/>
                <w:bCs w:val="1"/>
                <w:color w:val="auto"/>
              </w:rPr>
              <w:t>2016</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100"/>
              <w:spacing w:after="0" w:line="205"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200"/>
              <w:spacing w:after="0" w:line="205" w:lineRule="exact"/>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average</w:t>
            </w:r>
          </w:p>
        </w:tc>
        <w:tc>
          <w:tcPr>
            <w:tcW w:w="10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average</w:t>
            </w:r>
          </w:p>
        </w:tc>
      </w:t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2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6"/>
              </w:rPr>
              <w:t>exercise price</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6"/>
              </w:rPr>
              <w:t>exercise price</w:t>
            </w:r>
          </w:p>
        </w:tc>
      </w:tr>
      <w:tr>
        <w:trPr>
          <w:trHeight w:val="216"/>
        </w:trPr>
        <w:tc>
          <w:tcPr>
            <w:tcW w:w="20" w:type="dxa"/>
            <w:vAlign w:val="bottom"/>
          </w:tcPr>
          <w:p>
            <w:pPr>
              <w:spacing w:after="0"/>
              <w:rPr>
                <w:sz w:val="18"/>
                <w:szCs w:val="18"/>
                <w:color w:val="auto"/>
              </w:rPr>
            </w:pPr>
          </w:p>
        </w:tc>
        <w:tc>
          <w:tcPr>
            <w:tcW w:w="5020" w:type="dxa"/>
            <w:vAlign w:val="bottom"/>
            <w:shd w:val="clear" w:color="auto" w:fill="D5EAEA"/>
          </w:tcPr>
          <w:p>
            <w:pPr>
              <w:spacing w:after="0"/>
              <w:rPr>
                <w:sz w:val="20"/>
                <w:szCs w:val="20"/>
                <w:color w:val="auto"/>
              </w:rPr>
            </w:pPr>
            <w:r>
              <w:rPr>
                <w:rFonts w:ascii="Arial" w:cs="Arial" w:eastAsia="Arial" w:hAnsi="Arial"/>
                <w:sz w:val="18"/>
                <w:szCs w:val="18"/>
                <w:color w:val="auto"/>
              </w:rPr>
              <w:t>Outstanding at beginning of year</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8,743</w:t>
            </w:r>
          </w:p>
        </w:tc>
        <w:tc>
          <w:tcPr>
            <w:tcW w:w="2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186.3</w:t>
            </w:r>
          </w:p>
        </w:tc>
        <w:tc>
          <w:tcPr>
            <w:tcW w:w="132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7,092</w:t>
            </w:r>
          </w:p>
        </w:tc>
        <w:tc>
          <w:tcPr>
            <w:tcW w:w="28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119.7</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295.2</w:t>
            </w: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020" w:type="dxa"/>
            <w:vAlign w:val="bottom"/>
            <w:shd w:val="clear" w:color="auto" w:fill="D5EAEA"/>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14,959</w:t>
            </w:r>
          </w:p>
        </w:tc>
        <w:tc>
          <w:tcPr>
            <w:tcW w:w="2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831.5</w:t>
            </w:r>
          </w:p>
        </w:tc>
        <w:tc>
          <w:tcPr>
            <w:tcW w:w="1320" w:type="dxa"/>
            <w:vAlign w:val="bottom"/>
            <w:gridSpan w:val="3"/>
            <w:shd w:val="clear" w:color="auto" w:fill="D5EAEA"/>
          </w:tcPr>
          <w:p>
            <w:pPr>
              <w:jc w:val="right"/>
              <w:ind w:right="100"/>
              <w:spacing w:after="0"/>
              <w:rPr>
                <w:sz w:val="20"/>
                <w:szCs w:val="20"/>
                <w:color w:val="auto"/>
              </w:rPr>
            </w:pPr>
            <w:r>
              <w:rPr>
                <w:rFonts w:ascii="Arial" w:cs="Arial" w:eastAsia="Arial" w:hAnsi="Arial"/>
                <w:sz w:val="18"/>
                <w:szCs w:val="18"/>
                <w:color w:val="auto"/>
              </w:rPr>
              <w:t>1,651</w:t>
            </w:r>
          </w:p>
        </w:tc>
        <w:tc>
          <w:tcPr>
            <w:tcW w:w="28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D5EAEA"/>
          </w:tcPr>
          <w:p>
            <w:pPr>
              <w:jc w:val="right"/>
              <w:ind w:right="100"/>
              <w:spacing w:after="0"/>
              <w:rPr>
                <w:sz w:val="20"/>
                <w:szCs w:val="20"/>
                <w:color w:val="auto"/>
              </w:rPr>
            </w:pPr>
            <w:r>
              <w:rPr>
                <w:rFonts w:ascii="Arial" w:cs="Arial" w:eastAsia="Arial" w:hAnsi="Arial"/>
                <w:sz w:val="18"/>
                <w:szCs w:val="18"/>
                <w:color w:val="auto"/>
              </w:rPr>
              <w:t>472.3</w:t>
            </w:r>
          </w:p>
        </w:tc>
      </w:tr>
      <w:tr>
        <w:trPr>
          <w:trHeight w:val="263"/>
        </w:trPr>
        <w:tc>
          <w:tcPr>
            <w:tcW w:w="20" w:type="dxa"/>
            <w:vAlign w:val="bottom"/>
          </w:tcPr>
          <w:p>
            <w:pPr>
              <w:spacing w:after="0"/>
              <w:rPr>
                <w:sz w:val="22"/>
                <w:szCs w:val="22"/>
                <w:color w:val="auto"/>
              </w:rPr>
            </w:pPr>
          </w:p>
        </w:tc>
        <w:tc>
          <w:tcPr>
            <w:tcW w:w="502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Outstanding at end of year</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23,423</w:t>
            </w:r>
          </w:p>
        </w:tc>
        <w:tc>
          <w:tcPr>
            <w:tcW w:w="10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597.1</w:t>
            </w:r>
          </w:p>
        </w:tc>
        <w:tc>
          <w:tcPr>
            <w:tcW w:w="100" w:type="dxa"/>
            <w:vAlign w:val="bottom"/>
            <w:tcBorders>
              <w:bottom w:val="single" w:sz="8" w:color="D5EAEA"/>
            </w:tcBorders>
          </w:tcPr>
          <w:p>
            <w:pPr>
              <w:spacing w:after="0"/>
              <w:rPr>
                <w:sz w:val="22"/>
                <w:szCs w:val="22"/>
                <w:color w:val="auto"/>
              </w:rPr>
            </w:pPr>
          </w:p>
        </w:tc>
        <w:tc>
          <w:tcPr>
            <w:tcW w:w="100" w:type="dxa"/>
            <w:vAlign w:val="bottom"/>
            <w:tcBorders>
              <w:bottom w:val="single" w:sz="8" w:color="D5EAEA"/>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8,743</w:t>
            </w:r>
          </w:p>
        </w:tc>
        <w:tc>
          <w:tcPr>
            <w:tcW w:w="100" w:type="dxa"/>
            <w:vAlign w:val="bottom"/>
            <w:tcBorders>
              <w:bottom w:val="single" w:sz="8" w:color="D5EAEA"/>
            </w:tcBorders>
          </w:tcPr>
          <w:p>
            <w:pPr>
              <w:spacing w:after="0"/>
              <w:rPr>
                <w:sz w:val="22"/>
                <w:szCs w:val="22"/>
                <w:color w:val="auto"/>
              </w:rPr>
            </w:pPr>
          </w:p>
        </w:tc>
        <w:tc>
          <w:tcPr>
            <w:tcW w:w="80" w:type="dxa"/>
            <w:vAlign w:val="bottom"/>
            <w:tcBorders>
              <w:bottom w:val="single" w:sz="8" w:color="D5EAEA"/>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w:t>
            </w:r>
          </w:p>
        </w:tc>
        <w:tc>
          <w:tcPr>
            <w:tcW w:w="100" w:type="dxa"/>
            <w:vAlign w:val="bottom"/>
            <w:tcBorders>
              <w:bottom w:val="single" w:sz="8" w:color="D5EAEA"/>
            </w:tcBorders>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5020" w:type="dxa"/>
            <w:vAlign w:val="bottom"/>
            <w:tcBorders>
              <w:bottom w:val="single" w:sz="8" w:color="D5EAEA"/>
            </w:tcBorders>
            <w:shd w:val="clear" w:color="auto" w:fill="D5EAEA"/>
          </w:tcPr>
          <w:p>
            <w:pPr>
              <w:spacing w:after="0" w:line="190" w:lineRule="exact"/>
              <w:rPr>
                <w:sz w:val="20"/>
                <w:szCs w:val="20"/>
                <w:color w:val="auto"/>
              </w:rPr>
            </w:pPr>
            <w:r>
              <w:rPr>
                <w:rFonts w:ascii="Arial" w:cs="Arial" w:eastAsia="Arial" w:hAnsi="Arial"/>
                <w:sz w:val="18"/>
                <w:szCs w:val="18"/>
                <w:color w:val="auto"/>
              </w:rPr>
              <w:t>Exercisable at end of year</w:t>
            </w:r>
          </w:p>
        </w:tc>
        <w:tc>
          <w:tcPr>
            <w:tcW w:w="114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11,006</w:t>
            </w:r>
          </w:p>
        </w:tc>
        <w:tc>
          <w:tcPr>
            <w:tcW w:w="100" w:type="dxa"/>
            <w:vAlign w:val="bottom"/>
            <w:tcBorders>
              <w:bottom w:val="single" w:sz="8" w:color="D5EAEA"/>
            </w:tcBorders>
            <w:shd w:val="clear" w:color="auto" w:fill="D5EAEA"/>
          </w:tcPr>
          <w:p>
            <w:pPr>
              <w:spacing w:after="0"/>
              <w:rPr>
                <w:sz w:val="17"/>
                <w:szCs w:val="17"/>
                <w:color w:val="auto"/>
              </w:rPr>
            </w:pPr>
          </w:p>
        </w:tc>
        <w:tc>
          <w:tcPr>
            <w:tcW w:w="120" w:type="dxa"/>
            <w:vAlign w:val="bottom"/>
            <w:tcBorders>
              <w:bottom w:val="single" w:sz="8" w:color="D5EAEA"/>
            </w:tcBorders>
            <w:shd w:val="clear" w:color="auto" w:fill="D5EAEA"/>
          </w:tcPr>
          <w:p>
            <w:pPr>
              <w:spacing w:after="0"/>
              <w:rPr>
                <w:sz w:val="17"/>
                <w:szCs w:val="17"/>
                <w:color w:val="auto"/>
              </w:rPr>
            </w:pPr>
          </w:p>
        </w:tc>
        <w:tc>
          <w:tcPr>
            <w:tcW w:w="10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379.62</w:t>
            </w:r>
          </w:p>
        </w:tc>
        <w:tc>
          <w:tcPr>
            <w:tcW w:w="100" w:type="dxa"/>
            <w:vAlign w:val="bottom"/>
            <w:tcBorders>
              <w:bottom w:val="single" w:sz="8" w:color="D5EAEA"/>
            </w:tcBorders>
            <w:shd w:val="clear" w:color="auto" w:fill="D5EAEA"/>
          </w:tcPr>
          <w:p>
            <w:pPr>
              <w:spacing w:after="0"/>
              <w:rPr>
                <w:sz w:val="17"/>
                <w:szCs w:val="17"/>
                <w:color w:val="auto"/>
              </w:rPr>
            </w:pPr>
          </w:p>
        </w:tc>
        <w:tc>
          <w:tcPr>
            <w:tcW w:w="100" w:type="dxa"/>
            <w:vAlign w:val="bottom"/>
            <w:tcBorders>
              <w:bottom w:val="single" w:sz="8" w:color="D5EAEA"/>
            </w:tcBorders>
            <w:shd w:val="clear" w:color="auto" w:fill="D5EAEA"/>
          </w:tcPr>
          <w:p>
            <w:pPr>
              <w:spacing w:after="0"/>
              <w:rPr>
                <w:sz w:val="17"/>
                <w:szCs w:val="17"/>
                <w:color w:val="auto"/>
              </w:rPr>
            </w:pPr>
          </w:p>
        </w:tc>
        <w:tc>
          <w:tcPr>
            <w:tcW w:w="112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6,426</w:t>
            </w:r>
          </w:p>
        </w:tc>
        <w:tc>
          <w:tcPr>
            <w:tcW w:w="100" w:type="dxa"/>
            <w:vAlign w:val="bottom"/>
            <w:tcBorders>
              <w:bottom w:val="single" w:sz="8" w:color="D5EAEA"/>
            </w:tcBorders>
            <w:shd w:val="clear" w:color="auto" w:fill="D5EAEA"/>
          </w:tcPr>
          <w:p>
            <w:pPr>
              <w:spacing w:after="0"/>
              <w:rPr>
                <w:sz w:val="17"/>
                <w:szCs w:val="17"/>
                <w:color w:val="auto"/>
              </w:rPr>
            </w:pPr>
          </w:p>
        </w:tc>
        <w:tc>
          <w:tcPr>
            <w:tcW w:w="80" w:type="dxa"/>
            <w:vAlign w:val="bottom"/>
            <w:tcBorders>
              <w:bottom w:val="single" w:sz="8" w:color="D5EAEA"/>
            </w:tcBorders>
            <w:shd w:val="clear" w:color="auto" w:fill="D5EAEA"/>
          </w:tcPr>
          <w:p>
            <w:pPr>
              <w:spacing w:after="0"/>
              <w:rPr>
                <w:sz w:val="17"/>
                <w:szCs w:val="17"/>
                <w:color w:val="auto"/>
              </w:rPr>
            </w:pPr>
          </w:p>
        </w:tc>
        <w:tc>
          <w:tcPr>
            <w:tcW w:w="20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93.73</w:t>
            </w:r>
          </w:p>
        </w:tc>
        <w:tc>
          <w:tcPr>
            <w:tcW w:w="100" w:type="dxa"/>
            <w:vAlign w:val="bottom"/>
            <w:tcBorders>
              <w:bottom w:val="single" w:sz="8" w:color="D5EAEA"/>
            </w:tcBorders>
            <w:shd w:val="clear" w:color="auto" w:fill="D5EAEA"/>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1420"/>
        <w:spacing w:after="0"/>
        <w:tabs>
          <w:tab w:leader="none" w:pos="17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The following is information about the exercise price and remaining contractual life of outstanding options at year-end:</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21"/>
        </w:trPr>
        <w:tc>
          <w:tcPr>
            <w:tcW w:w="1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December 31, 2017</w:t>
            </w: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98"/>
              </w:rPr>
              <w:t>December 31, 2016</w:t>
            </w:r>
          </w:p>
        </w:tc>
        <w:tc>
          <w:tcPr>
            <w:tcW w:w="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r>
      <w:tr>
        <w:trPr>
          <w:trHeight w:val="205"/>
        </w:trPr>
        <w:tc>
          <w:tcPr>
            <w:tcW w:w="16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Number of options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Weighted average of</w:t>
            </w:r>
          </w:p>
        </w:tc>
        <w:tc>
          <w:tcPr>
            <w:tcW w:w="100" w:type="dxa"/>
            <w:vAlign w:val="bottom"/>
          </w:tcPr>
          <w:p>
            <w:pPr>
              <w:spacing w:after="0"/>
              <w:rPr>
                <w:sz w:val="17"/>
                <w:szCs w:val="17"/>
                <w:color w:val="auto"/>
              </w:rPr>
            </w:pPr>
          </w:p>
        </w:tc>
        <w:tc>
          <w:tcPr>
            <w:tcW w:w="164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Number of options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outstanding at end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 at end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0"/>
              </w:rPr>
              <w:t>of remaining</w:t>
            </w:r>
          </w:p>
        </w:tc>
      </w:tr>
      <w:tr>
        <w:trPr>
          <w:trHeight w:val="241"/>
        </w:trPr>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Exercise price</w:t>
            </w:r>
          </w:p>
        </w:tc>
        <w:tc>
          <w:tcPr>
            <w:tcW w:w="12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contractual life</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Exercise price</w:t>
            </w:r>
          </w:p>
        </w:tc>
        <w:tc>
          <w:tcPr>
            <w:tcW w:w="8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contractual life</w:t>
            </w:r>
          </w:p>
        </w:tc>
      </w:tr>
      <w:tr>
        <w:trPr>
          <w:trHeight w:val="216"/>
        </w:trPr>
        <w:tc>
          <w:tcPr>
            <w:tcW w:w="16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4,879</w:t>
            </w:r>
          </w:p>
        </w:tc>
        <w:tc>
          <w:tcPr>
            <w:tcW w:w="10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2.48</w:t>
            </w:r>
          </w:p>
        </w:tc>
        <w:tc>
          <w:tcPr>
            <w:tcW w:w="174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4,867</w:t>
            </w:r>
          </w:p>
        </w:tc>
        <w:tc>
          <w:tcPr>
            <w:tcW w:w="10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4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3.29</w:t>
            </w:r>
          </w:p>
        </w:tc>
      </w:tr>
      <w:tr>
        <w:trPr>
          <w:trHeight w:val="216"/>
        </w:trPr>
        <w:tc>
          <w:tcPr>
            <w:tcW w:w="1660" w:type="dxa"/>
            <w:vAlign w:val="bottom"/>
          </w:tcPr>
          <w:p>
            <w:pPr>
              <w:jc w:val="right"/>
              <w:ind w:right="30"/>
              <w:spacing w:after="0"/>
              <w:rPr>
                <w:sz w:val="20"/>
                <w:szCs w:val="20"/>
                <w:color w:val="auto"/>
              </w:rPr>
            </w:pPr>
            <w:r>
              <w:rPr>
                <w:rFonts w:ascii="Arial" w:cs="Arial" w:eastAsia="Arial" w:hAnsi="Arial"/>
                <w:sz w:val="18"/>
                <w:szCs w:val="18"/>
                <w:color w:val="auto"/>
              </w:rPr>
              <w:t>254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240.26</w:t>
            </w:r>
          </w:p>
        </w:tc>
        <w:tc>
          <w:tcPr>
            <w:tcW w:w="1780" w:type="dxa"/>
            <w:vAlign w:val="bottom"/>
            <w:gridSpan w:val="2"/>
          </w:tcPr>
          <w:p>
            <w:pPr>
              <w:jc w:val="right"/>
              <w:ind w:right="30"/>
              <w:spacing w:after="0"/>
              <w:rPr>
                <w:sz w:val="20"/>
                <w:szCs w:val="20"/>
                <w:color w:val="auto"/>
              </w:rPr>
            </w:pPr>
            <w:r>
              <w:rPr>
                <w:rFonts w:ascii="Arial" w:cs="Arial" w:eastAsia="Arial" w:hAnsi="Arial"/>
                <w:sz w:val="18"/>
                <w:szCs w:val="18"/>
                <w:color w:val="auto"/>
              </w:rPr>
              <w:t>1.7</w:t>
            </w:r>
          </w:p>
        </w:tc>
        <w:tc>
          <w:tcPr>
            <w:tcW w:w="1740" w:type="dxa"/>
            <w:vAlign w:val="bottom"/>
            <w:gridSpan w:val="2"/>
          </w:tcPr>
          <w:p>
            <w:pPr>
              <w:jc w:val="right"/>
              <w:ind w:right="10"/>
              <w:spacing w:after="0"/>
              <w:rPr>
                <w:sz w:val="20"/>
                <w:szCs w:val="20"/>
                <w:color w:val="auto"/>
              </w:rPr>
            </w:pPr>
            <w:r>
              <w:rPr>
                <w:rFonts w:ascii="Arial" w:cs="Arial" w:eastAsia="Arial" w:hAnsi="Arial"/>
                <w:sz w:val="18"/>
                <w:szCs w:val="18"/>
                <w:color w:val="auto"/>
              </w:rPr>
              <w:t>254</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240.26</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color w:val="auto"/>
              </w:rPr>
              <w:t>2.7</w:t>
            </w:r>
          </w:p>
        </w:tc>
      </w:tr>
      <w:tr>
        <w:trPr>
          <w:trHeight w:val="216"/>
        </w:trPr>
        <w:tc>
          <w:tcPr>
            <w:tcW w:w="16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277</w:t>
            </w:r>
          </w:p>
        </w:tc>
        <w:tc>
          <w:tcPr>
            <w:tcW w:w="2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316</w:t>
            </w:r>
          </w:p>
        </w:tc>
        <w:tc>
          <w:tcPr>
            <w:tcW w:w="178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2.42</w:t>
            </w:r>
          </w:p>
        </w:tc>
        <w:tc>
          <w:tcPr>
            <w:tcW w:w="174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277</w:t>
            </w:r>
          </w:p>
        </w:tc>
        <w:tc>
          <w:tcPr>
            <w:tcW w:w="280" w:type="dxa"/>
            <w:vAlign w:val="bottom"/>
            <w:gridSpan w:val="2"/>
            <w:shd w:val="clear" w:color="auto" w:fill="D5EAEA"/>
          </w:tcPr>
          <w:p>
            <w:pPr>
              <w:ind w:lef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316</w:t>
            </w:r>
          </w:p>
        </w:tc>
        <w:tc>
          <w:tcPr>
            <w:tcW w:w="160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3.42</w:t>
            </w:r>
          </w:p>
        </w:tc>
      </w:tr>
      <w:tr>
        <w:trPr>
          <w:trHeight w:val="216"/>
        </w:trPr>
        <w:tc>
          <w:tcPr>
            <w:tcW w:w="166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273.88</w:t>
            </w:r>
          </w:p>
        </w:tc>
        <w:tc>
          <w:tcPr>
            <w:tcW w:w="1780" w:type="dxa"/>
            <w:vAlign w:val="bottom"/>
            <w:gridSpan w:val="2"/>
          </w:tcPr>
          <w:p>
            <w:pPr>
              <w:jc w:val="right"/>
              <w:ind w:right="30"/>
              <w:spacing w:after="0"/>
              <w:rPr>
                <w:sz w:val="20"/>
                <w:szCs w:val="20"/>
                <w:color w:val="auto"/>
              </w:rPr>
            </w:pPr>
            <w:r>
              <w:rPr>
                <w:rFonts w:ascii="Arial" w:cs="Arial" w:eastAsia="Arial" w:hAnsi="Arial"/>
                <w:sz w:val="18"/>
                <w:szCs w:val="18"/>
                <w:color w:val="auto"/>
              </w:rPr>
              <w:t>2.05</w:t>
            </w:r>
          </w:p>
        </w:tc>
        <w:tc>
          <w:tcPr>
            <w:tcW w:w="1740" w:type="dxa"/>
            <w:vAlign w:val="bottom"/>
            <w:gridSpan w:val="2"/>
          </w:tcPr>
          <w:p>
            <w:pPr>
              <w:jc w:val="right"/>
              <w:ind w:right="10"/>
              <w:spacing w:after="0"/>
              <w:rPr>
                <w:sz w:val="20"/>
                <w:szCs w:val="20"/>
                <w:color w:val="auto"/>
              </w:rPr>
            </w:pPr>
            <w:r>
              <w:rPr>
                <w:rFonts w:ascii="Arial" w:cs="Arial" w:eastAsia="Arial" w:hAnsi="Arial"/>
                <w:sz w:val="18"/>
                <w:szCs w:val="18"/>
                <w:color w:val="auto"/>
              </w:rPr>
              <w:t>500</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273.88</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color w:val="auto"/>
              </w:rPr>
              <w:t>1.54</w:t>
            </w:r>
          </w:p>
        </w:tc>
      </w:tr>
      <w:tr>
        <w:trPr>
          <w:trHeight w:val="216"/>
        </w:trPr>
        <w:tc>
          <w:tcPr>
            <w:tcW w:w="16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85</w:t>
            </w:r>
          </w:p>
        </w:tc>
        <w:tc>
          <w:tcPr>
            <w:tcW w:w="2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240</w:t>
            </w:r>
          </w:p>
        </w:tc>
        <w:tc>
          <w:tcPr>
            <w:tcW w:w="178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3.21</w:t>
            </w:r>
          </w:p>
        </w:tc>
        <w:tc>
          <w:tcPr>
            <w:tcW w:w="174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85</w:t>
            </w:r>
          </w:p>
        </w:tc>
        <w:tc>
          <w:tcPr>
            <w:tcW w:w="280" w:type="dxa"/>
            <w:vAlign w:val="bottom"/>
            <w:gridSpan w:val="2"/>
            <w:shd w:val="clear" w:color="auto" w:fill="D5EAEA"/>
          </w:tcPr>
          <w:p>
            <w:pPr>
              <w:ind w:lef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240</w:t>
            </w:r>
          </w:p>
        </w:tc>
        <w:tc>
          <w:tcPr>
            <w:tcW w:w="160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4.21</w:t>
            </w:r>
          </w:p>
        </w:tc>
      </w:tr>
      <w:tr>
        <w:trPr>
          <w:trHeight w:val="216"/>
        </w:trPr>
        <w:tc>
          <w:tcPr>
            <w:tcW w:w="1660" w:type="dxa"/>
            <w:vAlign w:val="bottom"/>
          </w:tcPr>
          <w:p>
            <w:pPr>
              <w:jc w:val="right"/>
              <w:ind w:right="30"/>
              <w:spacing w:after="0"/>
              <w:rPr>
                <w:sz w:val="20"/>
                <w:szCs w:val="20"/>
                <w:color w:val="auto"/>
              </w:rPr>
            </w:pPr>
            <w:r>
              <w:rPr>
                <w:rFonts w:ascii="Arial" w:cs="Arial" w:eastAsia="Arial" w:hAnsi="Arial"/>
                <w:sz w:val="18"/>
                <w:szCs w:val="18"/>
                <w:color w:val="auto"/>
              </w:rPr>
              <w:t>2,731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479.38</w:t>
            </w:r>
          </w:p>
        </w:tc>
        <w:tc>
          <w:tcPr>
            <w:tcW w:w="1780" w:type="dxa"/>
            <w:vAlign w:val="bottom"/>
            <w:gridSpan w:val="2"/>
          </w:tcPr>
          <w:p>
            <w:pPr>
              <w:jc w:val="right"/>
              <w:ind w:right="30"/>
              <w:spacing w:after="0"/>
              <w:rPr>
                <w:sz w:val="20"/>
                <w:szCs w:val="20"/>
                <w:color w:val="auto"/>
              </w:rPr>
            </w:pPr>
            <w:r>
              <w:rPr>
                <w:rFonts w:ascii="Arial" w:cs="Arial" w:eastAsia="Arial" w:hAnsi="Arial"/>
                <w:sz w:val="18"/>
                <w:szCs w:val="18"/>
                <w:color w:val="auto"/>
              </w:rPr>
              <w:t>4.2</w:t>
            </w:r>
          </w:p>
        </w:tc>
        <w:tc>
          <w:tcPr>
            <w:tcW w:w="1740" w:type="dxa"/>
            <w:vAlign w:val="bottom"/>
            <w:gridSpan w:val="2"/>
          </w:tcPr>
          <w:p>
            <w:pPr>
              <w:jc w:val="right"/>
              <w:ind w:right="10"/>
              <w:spacing w:after="0"/>
              <w:rPr>
                <w:sz w:val="20"/>
                <w:szCs w:val="20"/>
                <w:color w:val="auto"/>
              </w:rPr>
            </w:pPr>
            <w:r>
              <w:rPr>
                <w:rFonts w:ascii="Arial" w:cs="Arial" w:eastAsia="Arial" w:hAnsi="Arial"/>
                <w:sz w:val="18"/>
                <w:szCs w:val="18"/>
                <w:color w:val="auto"/>
              </w:rPr>
              <w:t>2,266</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479.38</w:t>
            </w:r>
          </w:p>
        </w:tc>
        <w:tc>
          <w:tcPr>
            <w:tcW w:w="1600" w:type="dxa"/>
            <w:vAlign w:val="bottom"/>
            <w:gridSpan w:val="2"/>
          </w:tcPr>
          <w:p>
            <w:pPr>
              <w:jc w:val="right"/>
              <w:ind w:right="10"/>
              <w:spacing w:after="0"/>
              <w:rPr>
                <w:sz w:val="20"/>
                <w:szCs w:val="20"/>
                <w:color w:val="auto"/>
              </w:rPr>
            </w:pPr>
            <w:r>
              <w:rPr>
                <w:rFonts w:ascii="Arial" w:cs="Arial" w:eastAsia="Arial" w:hAnsi="Arial"/>
                <w:sz w:val="18"/>
                <w:szCs w:val="18"/>
                <w:color w:val="auto"/>
              </w:rPr>
              <w:t>5.11</w:t>
            </w:r>
          </w:p>
        </w:tc>
      </w:tr>
      <w:tr>
        <w:trPr>
          <w:trHeight w:val="216"/>
        </w:trPr>
        <w:tc>
          <w:tcPr>
            <w:tcW w:w="166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13,814</w:t>
            </w:r>
          </w:p>
        </w:tc>
        <w:tc>
          <w:tcPr>
            <w:tcW w:w="20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820</w:t>
            </w:r>
          </w:p>
        </w:tc>
        <w:tc>
          <w:tcPr>
            <w:tcW w:w="1780" w:type="dxa"/>
            <w:vAlign w:val="bottom"/>
            <w:gridSpan w:val="2"/>
            <w:shd w:val="clear" w:color="auto" w:fill="D5EAEA"/>
          </w:tcPr>
          <w:p>
            <w:pPr>
              <w:jc w:val="right"/>
              <w:ind w:right="30"/>
              <w:spacing w:after="0"/>
              <w:rPr>
                <w:sz w:val="20"/>
                <w:szCs w:val="20"/>
                <w:color w:val="auto"/>
              </w:rPr>
            </w:pPr>
            <w:r>
              <w:rPr>
                <w:rFonts w:ascii="Arial" w:cs="Arial" w:eastAsia="Arial" w:hAnsi="Arial"/>
                <w:sz w:val="18"/>
                <w:szCs w:val="18"/>
                <w:color w:val="auto"/>
              </w:rPr>
              <w:t>7.77</w:t>
            </w:r>
          </w:p>
        </w:tc>
        <w:tc>
          <w:tcPr>
            <w:tcW w:w="174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494</w:t>
            </w:r>
          </w:p>
        </w:tc>
        <w:tc>
          <w:tcPr>
            <w:tcW w:w="280" w:type="dxa"/>
            <w:vAlign w:val="bottom"/>
            <w:gridSpan w:val="2"/>
            <w:shd w:val="clear" w:color="auto" w:fill="D5EAEA"/>
          </w:tcPr>
          <w:p>
            <w:pPr>
              <w:ind w:lef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479</w:t>
            </w:r>
          </w:p>
        </w:tc>
        <w:tc>
          <w:tcPr>
            <w:tcW w:w="1600" w:type="dxa"/>
            <w:vAlign w:val="bottom"/>
            <w:gridSpan w:val="2"/>
            <w:shd w:val="clear" w:color="auto" w:fill="D5EAEA"/>
          </w:tcPr>
          <w:p>
            <w:pPr>
              <w:jc w:val="right"/>
              <w:ind w:right="10"/>
              <w:spacing w:after="0"/>
              <w:rPr>
                <w:sz w:val="20"/>
                <w:szCs w:val="20"/>
                <w:color w:val="auto"/>
              </w:rPr>
            </w:pPr>
            <w:r>
              <w:rPr>
                <w:rFonts w:ascii="Arial" w:cs="Arial" w:eastAsia="Arial" w:hAnsi="Arial"/>
                <w:sz w:val="18"/>
                <w:szCs w:val="18"/>
                <w:color w:val="auto"/>
              </w:rPr>
              <w:t>5.65</w:t>
            </w:r>
          </w:p>
        </w:tc>
      </w:tr>
      <w:tr>
        <w:trPr>
          <w:trHeight w:val="230"/>
        </w:trPr>
        <w:tc>
          <w:tcPr>
            <w:tcW w:w="1660" w:type="dxa"/>
            <w:vAlign w:val="bottom"/>
          </w:tcPr>
          <w:p>
            <w:pPr>
              <w:jc w:val="right"/>
              <w:ind w:right="30"/>
              <w:spacing w:after="0"/>
              <w:rPr>
                <w:sz w:val="20"/>
                <w:szCs w:val="20"/>
                <w:color w:val="auto"/>
              </w:rPr>
            </w:pPr>
            <w:r>
              <w:rPr>
                <w:rFonts w:ascii="Arial" w:cs="Arial" w:eastAsia="Arial" w:hAnsi="Arial"/>
                <w:sz w:val="18"/>
                <w:szCs w:val="18"/>
                <w:color w:val="auto"/>
              </w:rPr>
              <w:t>1,133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980</w:t>
            </w:r>
          </w:p>
        </w:tc>
        <w:tc>
          <w:tcPr>
            <w:tcW w:w="1780" w:type="dxa"/>
            <w:vAlign w:val="bottom"/>
            <w:gridSpan w:val="2"/>
          </w:tcPr>
          <w:p>
            <w:pPr>
              <w:jc w:val="right"/>
              <w:ind w:right="30"/>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r>
    </w:tbl>
    <w:p>
      <w:pPr>
        <w:spacing w:after="0" w:line="187"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 Par value</w:t>
      </w:r>
    </w:p>
    <w:p>
      <w:pPr>
        <w:spacing w:after="0" w:line="225" w:lineRule="exact"/>
        <w:rPr>
          <w:sz w:val="20"/>
          <w:szCs w:val="20"/>
          <w:color w:val="auto"/>
        </w:rPr>
      </w:pPr>
    </w:p>
    <w:p>
      <w:pPr>
        <w:ind w:left="1740" w:hanging="327"/>
        <w:spacing w:after="0" w:line="277" w:lineRule="auto"/>
        <w:tabs>
          <w:tab w:leader="none" w:pos="17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remaining unrecognized compensation expense as of December 31, 2017 is $4,083 thousand. This amount will be expensed in full by December 2021.</w:t>
      </w:r>
    </w:p>
    <w:p>
      <w:pPr>
        <w:spacing w:after="0" w:line="2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225" w:right="499" w:bottom="1440" w:gutter="0" w:footer="0" w:header="0"/>
        </w:sectPr>
      </w:pPr>
    </w:p>
    <w:bookmarkStart w:id="201" w:name="page202"/>
    <w:bookmarkEnd w:id="20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241E1C"/>
        </w:rPr>
        <w:t>NOTES TO THE FINANCIAL STATEMENTS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TAXES ON INCOME:</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is taxed according to Israeli tax laws:</w:t>
      </w:r>
    </w:p>
    <w:p>
      <w:pPr>
        <w:spacing w:after="0" w:line="221" w:lineRule="exact"/>
        <w:rPr>
          <w:sz w:val="20"/>
          <w:szCs w:val="20"/>
          <w:color w:val="auto"/>
        </w:rPr>
      </w:pPr>
    </w:p>
    <w:p>
      <w:pPr>
        <w:ind w:left="1300" w:hanging="401"/>
        <w:spacing w:after="0"/>
        <w:tabs>
          <w:tab w:leader="none" w:pos="130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Measurement of results for tax purposes</w:t>
      </w:r>
    </w:p>
    <w:p>
      <w:pPr>
        <w:spacing w:after="0" w:line="229" w:lineRule="exact"/>
        <w:rPr>
          <w:rFonts w:ascii="Arial" w:cs="Arial" w:eastAsia="Arial" w:hAnsi="Arial"/>
          <w:sz w:val="18"/>
          <w:szCs w:val="18"/>
          <w:b w:val="1"/>
          <w:bCs w:val="1"/>
          <w:color w:val="auto"/>
        </w:rPr>
      </w:pPr>
    </w:p>
    <w:p>
      <w:pPr>
        <w:ind w:left="128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measures its results for tax purposes in nominal terms in NIS based on financial reporting under Israeli accounting principles, while (as detailed in note 2) the functional currency of the Company is the U.S. dollar and the Company’s financial statements are measured in U.S. dollars and in accordance with IFRS. Therefore, there are differences between the Company’s taxable income (loss) and income (loss) reflected in these financial statements.</w:t>
      </w:r>
    </w:p>
    <w:p>
      <w:pPr>
        <w:spacing w:after="0" w:line="182" w:lineRule="exact"/>
        <w:rPr>
          <w:rFonts w:ascii="Arial" w:cs="Arial" w:eastAsia="Arial" w:hAnsi="Arial"/>
          <w:sz w:val="18"/>
          <w:szCs w:val="18"/>
          <w:b w:val="1"/>
          <w:bCs w:val="1"/>
          <w:color w:val="auto"/>
        </w:rPr>
      </w:pPr>
    </w:p>
    <w:p>
      <w:pPr>
        <w:ind w:left="1300" w:hanging="401"/>
        <w:spacing w:after="0"/>
        <w:tabs>
          <w:tab w:leader="none" w:pos="130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Tax rates</w:t>
      </w:r>
    </w:p>
    <w:p>
      <w:pPr>
        <w:spacing w:after="0" w:line="229"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The income of the Company is subject to the Israel corporate tax rates which was 24% for 2017 and 25% for 2016.</w:t>
      </w:r>
    </w:p>
    <w:p>
      <w:pPr>
        <w:spacing w:after="0" w:line="225" w:lineRule="exact"/>
        <w:rPr>
          <w:rFonts w:ascii="Arial" w:cs="Arial" w:eastAsia="Arial" w:hAnsi="Arial"/>
          <w:sz w:val="18"/>
          <w:szCs w:val="18"/>
          <w:b w:val="1"/>
          <w:bCs w:val="1"/>
          <w:color w:val="auto"/>
        </w:rPr>
      </w:pPr>
    </w:p>
    <w:p>
      <w:pPr>
        <w:ind w:left="130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December 2016, the Economic Efficiency Law (Legislative Amendments for Implementing the Economic Policy for the 2017 and 2018 Budget Years), 2016 was published, introducing a gradual reduction in corporate tax rate from 25% to 23%. However, the law also included a temporary provision setting the corporate tax rate in 2017 at 24%. As a result, the corporate tax rate was 24% in 2017 and will be 23% in 2018 and thereafter.</w:t>
      </w:r>
    </w:p>
    <w:p>
      <w:pPr>
        <w:spacing w:after="0" w:line="186"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Capital gains are subject to capital gain tax according to the corporate tax rate for the year during which the assets are sold.</w:t>
      </w:r>
    </w:p>
    <w:p>
      <w:pPr>
        <w:spacing w:after="0" w:line="221" w:lineRule="exact"/>
        <w:rPr>
          <w:rFonts w:ascii="Arial" w:cs="Arial" w:eastAsia="Arial" w:hAnsi="Arial"/>
          <w:sz w:val="18"/>
          <w:szCs w:val="18"/>
          <w:b w:val="1"/>
          <w:bCs w:val="1"/>
          <w:color w:val="auto"/>
        </w:rPr>
      </w:pPr>
    </w:p>
    <w:p>
      <w:pPr>
        <w:ind w:left="1300" w:hanging="401"/>
        <w:spacing w:after="0"/>
        <w:tabs>
          <w:tab w:leader="none" w:pos="130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Losses for tax purposes carried forward to future years</w:t>
      </w:r>
    </w:p>
    <w:p>
      <w:pPr>
        <w:spacing w:after="0" w:line="229" w:lineRule="exact"/>
        <w:rPr>
          <w:rFonts w:ascii="Arial" w:cs="Arial" w:eastAsia="Arial" w:hAnsi="Arial"/>
          <w:sz w:val="18"/>
          <w:szCs w:val="18"/>
          <w:b w:val="1"/>
          <w:bCs w:val="1"/>
          <w:color w:val="auto"/>
        </w:rPr>
      </w:pPr>
    </w:p>
    <w:p>
      <w:pPr>
        <w:ind w:left="1280" w:right="460"/>
        <w:spacing w:after="0" w:line="501" w:lineRule="auto"/>
        <w:rPr>
          <w:rFonts w:ascii="Arial" w:cs="Arial" w:eastAsia="Arial" w:hAnsi="Arial"/>
          <w:sz w:val="18"/>
          <w:szCs w:val="18"/>
          <w:b w:val="1"/>
          <w:bCs w:val="1"/>
          <w:color w:val="auto"/>
        </w:rPr>
      </w:pPr>
      <w:r>
        <w:rPr>
          <w:rFonts w:ascii="Arial" w:cs="Arial" w:eastAsia="Arial" w:hAnsi="Arial"/>
          <w:sz w:val="18"/>
          <w:szCs w:val="18"/>
          <w:color w:val="auto"/>
        </w:rPr>
        <w:t>The balance of carryforward losses as of December 31, 2017 and 2016 are approximately $15.3 million and $9.9 million, respectively. Under Israeli tax law, tax loss carry forwards have no expiration date.</w:t>
      </w:r>
    </w:p>
    <w:p>
      <w:pPr>
        <w:ind w:left="1280" w:right="4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Deferred tax assets on losses for tax purposes carried forward to subsequent years are recognized if utilization of the related tax benefit against a future taxable income is expected. The Company has not created deferred tax assets on its carry forward losses and other temporary assets since their utilization is not expected in the foreseeable future.</w:t>
      </w:r>
    </w:p>
    <w:p>
      <w:pPr>
        <w:spacing w:after="0" w:line="177" w:lineRule="exact"/>
        <w:rPr>
          <w:rFonts w:ascii="Arial" w:cs="Arial" w:eastAsia="Arial" w:hAnsi="Arial"/>
          <w:sz w:val="18"/>
          <w:szCs w:val="18"/>
          <w:b w:val="1"/>
          <w:bCs w:val="1"/>
          <w:color w:val="auto"/>
        </w:rPr>
      </w:pPr>
    </w:p>
    <w:p>
      <w:pPr>
        <w:ind w:left="1300" w:hanging="401"/>
        <w:spacing w:after="0"/>
        <w:tabs>
          <w:tab w:leader="none" w:pos="130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Tax assessments</w:t>
      </w:r>
    </w:p>
    <w:p>
      <w:pPr>
        <w:spacing w:after="0" w:line="200" w:lineRule="exact"/>
        <w:rPr>
          <w:sz w:val="20"/>
          <w:szCs w:val="20"/>
          <w:color w:val="auto"/>
        </w:rPr>
      </w:pPr>
    </w:p>
    <w:p>
      <w:pPr>
        <w:spacing w:after="0" w:line="245" w:lineRule="exact"/>
        <w:rPr>
          <w:sz w:val="20"/>
          <w:szCs w:val="20"/>
          <w:color w:val="auto"/>
        </w:rPr>
      </w:pPr>
    </w:p>
    <w:p>
      <w:pPr>
        <w:ind w:left="1300" w:right="240"/>
        <w:spacing w:after="0" w:line="277" w:lineRule="auto"/>
        <w:rPr>
          <w:sz w:val="20"/>
          <w:szCs w:val="20"/>
          <w:color w:val="auto"/>
        </w:rPr>
      </w:pPr>
      <w:r>
        <w:rPr>
          <w:rFonts w:ascii="Arial" w:cs="Arial" w:eastAsia="Arial" w:hAnsi="Arial"/>
          <w:sz w:val="18"/>
          <w:szCs w:val="18"/>
          <w:color w:val="auto"/>
        </w:rPr>
        <w:t>In accordance with the Income Tax Ordinance, as of December 31, 2017, all of the Company's tax assessments through tax year 2012 are considered final.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NOTE 12 - SUPPLEMENTARY FINANCIAL INFORMATION:</w:t>
            </w:r>
          </w:p>
        </w:tc>
        <w:tc>
          <w:tcPr>
            <w:tcW w:w="3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560" w:type="dxa"/>
            <w:vAlign w:val="bottom"/>
            <w:tcBorders>
              <w:bottom w:val="single" w:sz="8" w:color="auto"/>
            </w:tcBorders>
            <w:gridSpan w:val="5"/>
          </w:tcPr>
          <w:p>
            <w:pPr>
              <w:ind w:left="720"/>
              <w:spacing w:after="0"/>
              <w:rPr>
                <w:sz w:val="20"/>
                <w:szCs w:val="20"/>
                <w:color w:val="auto"/>
              </w:rPr>
            </w:pPr>
            <w:r>
              <w:rPr>
                <w:rFonts w:ascii="Arial" w:cs="Arial" w:eastAsia="Arial" w:hAnsi="Arial"/>
                <w:sz w:val="18"/>
                <w:szCs w:val="18"/>
                <w:b w:val="1"/>
                <w:bCs w:val="1"/>
                <w:color w:val="auto"/>
              </w:rPr>
              <w:t>December 31,</w:t>
            </w:r>
          </w:p>
        </w:tc>
        <w:tc>
          <w:tcPr>
            <w:tcW w:w="56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2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24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w w:val="96"/>
              </w:rPr>
              <w:t>U.S. dollars</w:t>
            </w:r>
          </w:p>
        </w:tc>
        <w:tc>
          <w:tcPr>
            <w:tcW w:w="1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74"/>
              </w:rPr>
              <w:t>in</w:t>
            </w:r>
          </w:p>
        </w:tc>
        <w:tc>
          <w:tcPr>
            <w:tcW w:w="122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thousands</w:t>
            </w:r>
          </w:p>
        </w:tc>
        <w:tc>
          <w:tcPr>
            <w:tcW w:w="560" w:type="dxa"/>
            <w:vAlign w:val="bottom"/>
          </w:tcPr>
          <w:p>
            <w:pPr>
              <w:spacing w:after="0"/>
              <w:rPr>
                <w:sz w:val="19"/>
                <w:szCs w:val="19"/>
                <w:color w:val="auto"/>
              </w:rPr>
            </w:pPr>
          </w:p>
        </w:tc>
      </w:tr>
      <w:tr>
        <w:trPr>
          <w:trHeight w:val="250"/>
        </w:trPr>
        <w:tc>
          <w:tcPr>
            <w:tcW w:w="5260" w:type="dxa"/>
            <w:vAlign w:val="bottom"/>
            <w:gridSpan w:val="2"/>
          </w:tcPr>
          <w:p>
            <w:pPr>
              <w:ind w:left="580"/>
              <w:spacing w:after="0"/>
              <w:rPr>
                <w:sz w:val="20"/>
                <w:szCs w:val="20"/>
                <w:color w:val="auto"/>
              </w:rPr>
            </w:pPr>
            <w:r>
              <w:rPr>
                <w:rFonts w:ascii="Arial" w:cs="Arial" w:eastAsia="Arial" w:hAnsi="Arial"/>
                <w:sz w:val="18"/>
                <w:szCs w:val="18"/>
                <w:b w:val="1"/>
                <w:bCs w:val="1"/>
                <w:color w:val="auto"/>
              </w:rPr>
              <w:t>a. Other current assets:</w:t>
            </w:r>
          </w:p>
        </w:tc>
        <w:tc>
          <w:tcPr>
            <w:tcW w:w="3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16"/>
        </w:trPr>
        <w:tc>
          <w:tcPr>
            <w:tcW w:w="580" w:type="dxa"/>
            <w:vAlign w:val="bottom"/>
          </w:tcPr>
          <w:p>
            <w:pPr>
              <w:spacing w:after="0"/>
              <w:rPr>
                <w:sz w:val="18"/>
                <w:szCs w:val="18"/>
                <w:color w:val="auto"/>
              </w:rPr>
            </w:pPr>
          </w:p>
        </w:tc>
        <w:tc>
          <w:tcPr>
            <w:tcW w:w="4680" w:type="dxa"/>
            <w:vAlign w:val="bottom"/>
            <w:shd w:val="clear" w:color="auto" w:fill="D5EAEA"/>
          </w:tcPr>
          <w:p>
            <w:pPr>
              <w:ind w:left="520"/>
              <w:spacing w:after="0"/>
              <w:rPr>
                <w:sz w:val="20"/>
                <w:szCs w:val="20"/>
                <w:color w:val="auto"/>
              </w:rPr>
            </w:pPr>
            <w:r>
              <w:rPr>
                <w:rFonts w:ascii="Arial" w:cs="Arial" w:eastAsia="Arial" w:hAnsi="Arial"/>
                <w:sz w:val="18"/>
                <w:szCs w:val="18"/>
                <w:color w:val="auto"/>
              </w:rPr>
              <w:t>Prepaid expenses</w:t>
            </w:r>
          </w:p>
        </w:tc>
        <w:tc>
          <w:tcPr>
            <w:tcW w:w="41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D5EAEA"/>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680" w:type="dxa"/>
            <w:vAlign w:val="bottom"/>
          </w:tcPr>
          <w:p>
            <w:pPr>
              <w:ind w:left="520"/>
              <w:spacing w:after="0"/>
              <w:rPr>
                <w:sz w:val="20"/>
                <w:szCs w:val="20"/>
                <w:color w:val="auto"/>
              </w:rPr>
            </w:pPr>
            <w:r>
              <w:rPr>
                <w:rFonts w:ascii="Arial" w:cs="Arial" w:eastAsia="Arial" w:hAnsi="Arial"/>
                <w:sz w:val="18"/>
                <w:szCs w:val="18"/>
                <w:color w:val="auto"/>
              </w:rPr>
              <w:t>Restricted deposits</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680" w:type="dxa"/>
            <w:vAlign w:val="bottom"/>
            <w:shd w:val="clear" w:color="auto" w:fill="D5EAEA"/>
          </w:tcPr>
          <w:p>
            <w:pPr>
              <w:ind w:left="520"/>
              <w:spacing w:after="0"/>
              <w:rPr>
                <w:sz w:val="20"/>
                <w:szCs w:val="20"/>
                <w:color w:val="auto"/>
              </w:rPr>
            </w:pPr>
            <w:r>
              <w:rPr>
                <w:rFonts w:ascii="Arial" w:cs="Arial" w:eastAsia="Arial" w:hAnsi="Arial"/>
                <w:sz w:val="18"/>
                <w:szCs w:val="18"/>
                <w:color w:val="auto"/>
              </w:rPr>
              <w:t>Other</w:t>
            </w:r>
          </w:p>
        </w:tc>
        <w:tc>
          <w:tcPr>
            <w:tcW w:w="3040" w:type="dxa"/>
            <w:vAlign w:val="bottom"/>
            <w:shd w:val="clear" w:color="auto" w:fill="D5EAEA"/>
          </w:tcPr>
          <w:p>
            <w:pPr>
              <w:spacing w:after="0"/>
              <w:rPr>
                <w:sz w:val="19"/>
                <w:szCs w:val="19"/>
                <w:color w:val="auto"/>
              </w:rPr>
            </w:pPr>
          </w:p>
        </w:tc>
        <w:tc>
          <w:tcPr>
            <w:tcW w:w="11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D5EAEA"/>
          </w:tcPr>
          <w:p>
            <w:pPr>
              <w:spacing w:after="0"/>
              <w:rPr>
                <w:sz w:val="19"/>
                <w:szCs w:val="19"/>
                <w:color w:val="auto"/>
              </w:rPr>
            </w:pPr>
          </w:p>
        </w:tc>
        <w:tc>
          <w:tcPr>
            <w:tcW w:w="560" w:type="dxa"/>
            <w:vAlign w:val="bottom"/>
          </w:tcPr>
          <w:p>
            <w:pPr>
              <w:spacing w:after="0"/>
              <w:rPr>
                <w:sz w:val="19"/>
                <w:szCs w:val="19"/>
                <w:color w:val="auto"/>
              </w:rPr>
            </w:pPr>
          </w:p>
        </w:tc>
      </w:tr>
      <w:tr>
        <w:trPr>
          <w:trHeight w:val="250"/>
        </w:trPr>
        <w:tc>
          <w:tcPr>
            <w:tcW w:w="58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5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737"/>
        </w:trPr>
        <w:tc>
          <w:tcPr>
            <w:tcW w:w="5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rPr>
              <w:t>F-32</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5" w:right="239" w:bottom="1440" w:gutter="0" w:footer="0" w:header="0"/>
        </w:sectPr>
      </w:pPr>
    </w:p>
    <w:bookmarkStart w:id="202" w:name="page203"/>
    <w:bookmarkEnd w:id="20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NOTE 12 - SUPPLEMENTARY FINANCIAL INFORMATION </w:t>
            </w:r>
            <w:r>
              <w:rPr>
                <w:rFonts w:ascii="Arial" w:cs="Arial" w:eastAsia="Arial" w:hAnsi="Arial"/>
                <w:sz w:val="18"/>
                <w:szCs w:val="18"/>
                <w:color w:val="auto"/>
              </w:rPr>
              <w:t>(continued)</w:t>
            </w:r>
            <w:r>
              <w:rPr>
                <w:rFonts w:ascii="Arial" w:cs="Arial" w:eastAsia="Arial" w:hAnsi="Arial"/>
                <w:sz w:val="18"/>
                <w:szCs w:val="18"/>
                <w:b w:val="1"/>
                <w:bCs w:val="1"/>
                <w:color w:val="auto"/>
              </w:rPr>
              <w:t>:</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48"/>
        </w:trPr>
        <w:tc>
          <w:tcPr>
            <w:tcW w:w="5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56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Year ended December 31,</w:t>
            </w:r>
          </w:p>
        </w:tc>
      </w:tr>
      <w:tr>
        <w:trPr>
          <w:trHeight w:val="205"/>
        </w:trPr>
        <w:tc>
          <w:tcPr>
            <w:tcW w:w="58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1140" w:type="dxa"/>
            <w:vAlign w:val="bottom"/>
          </w:tcPr>
          <w:p>
            <w:pPr>
              <w:jc w:val="right"/>
              <w:ind w:right="250"/>
              <w:spacing w:after="0" w:line="205" w:lineRule="exact"/>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7"/>
                <w:szCs w:val="17"/>
                <w:color w:val="auto"/>
              </w:rPr>
            </w:pPr>
          </w:p>
        </w:tc>
        <w:tc>
          <w:tcPr>
            <w:tcW w:w="1120" w:type="dxa"/>
            <w:vAlign w:val="bottom"/>
          </w:tcPr>
          <w:p>
            <w:pPr>
              <w:jc w:val="right"/>
              <w:ind w:right="250"/>
              <w:spacing w:after="0" w:line="205"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256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rPr>
              <w:t>U.S. dollars in thousands</w:t>
            </w:r>
          </w:p>
        </w:tc>
      </w:tr>
      <w:tr>
        <w:trPr>
          <w:trHeight w:val="223"/>
        </w:trPr>
        <w:tc>
          <w:tcPr>
            <w:tcW w:w="8300" w:type="dxa"/>
            <w:vAlign w:val="bottom"/>
            <w:gridSpan w:val="2"/>
          </w:tcPr>
          <w:p>
            <w:pPr>
              <w:ind w:left="580"/>
              <w:spacing w:after="0"/>
              <w:rPr>
                <w:sz w:val="20"/>
                <w:szCs w:val="20"/>
                <w:color w:val="auto"/>
              </w:rPr>
            </w:pPr>
            <w:r>
              <w:rPr>
                <w:rFonts w:ascii="Arial" w:cs="Arial" w:eastAsia="Arial" w:hAnsi="Arial"/>
                <w:sz w:val="18"/>
                <w:szCs w:val="18"/>
                <w:b w:val="1"/>
                <w:bCs w:val="1"/>
                <w:color w:val="auto"/>
              </w:rPr>
              <w:t>b. Accounts payable - other:</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7720" w:type="dxa"/>
            <w:vAlign w:val="bottom"/>
            <w:shd w:val="clear" w:color="auto" w:fill="D5EAEA"/>
          </w:tcPr>
          <w:p>
            <w:pPr>
              <w:ind w:left="520"/>
              <w:spacing w:after="0"/>
              <w:rPr>
                <w:sz w:val="20"/>
                <w:szCs w:val="20"/>
                <w:color w:val="auto"/>
              </w:rPr>
            </w:pPr>
            <w:r>
              <w:rPr>
                <w:rFonts w:ascii="Arial" w:cs="Arial" w:eastAsia="Arial" w:hAnsi="Arial"/>
                <w:sz w:val="18"/>
                <w:szCs w:val="18"/>
                <w:color w:val="auto"/>
              </w:rPr>
              <w:t>Employees and employees related</w:t>
            </w:r>
          </w:p>
        </w:tc>
        <w:tc>
          <w:tcPr>
            <w:tcW w:w="1140" w:type="dxa"/>
            <w:vAlign w:val="bottom"/>
            <w:shd w:val="clear" w:color="auto" w:fill="D5EAEA"/>
          </w:tcPr>
          <w:p>
            <w:pPr>
              <w:jc w:val="right"/>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D5EAEA"/>
          </w:tcPr>
          <w:p>
            <w:pPr>
              <w:spacing w:after="0"/>
              <w:rPr>
                <w:sz w:val="18"/>
                <w:szCs w:val="18"/>
                <w:color w:val="auto"/>
              </w:rPr>
            </w:pPr>
          </w:p>
        </w:tc>
        <w:tc>
          <w:tcPr>
            <w:tcW w:w="1120" w:type="dxa"/>
            <w:vAlign w:val="bottom"/>
            <w:shd w:val="clear" w:color="auto" w:fill="D5EAEA"/>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D5EAEA"/>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720" w:type="dxa"/>
            <w:vAlign w:val="bottom"/>
          </w:tcPr>
          <w:p>
            <w:pPr>
              <w:ind w:left="520"/>
              <w:spacing w:after="0"/>
              <w:rPr>
                <w:sz w:val="20"/>
                <w:szCs w:val="20"/>
                <w:color w:val="auto"/>
              </w:rPr>
            </w:pPr>
            <w:r>
              <w:rPr>
                <w:rFonts w:ascii="Arial" w:cs="Arial" w:eastAsia="Arial" w:hAnsi="Arial"/>
                <w:sz w:val="18"/>
                <w:szCs w:val="18"/>
                <w:color w:val="auto"/>
              </w:rPr>
              <w:t>Provision for vacation</w:t>
            </w:r>
          </w:p>
        </w:tc>
        <w:tc>
          <w:tcPr>
            <w:tcW w:w="1140" w:type="dxa"/>
            <w:vAlign w:val="bottom"/>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7720" w:type="dxa"/>
            <w:vAlign w:val="bottom"/>
            <w:shd w:val="clear" w:color="auto" w:fill="D5EAEA"/>
          </w:tcPr>
          <w:p>
            <w:pPr>
              <w:ind w:left="520"/>
              <w:spacing w:after="0"/>
              <w:rPr>
                <w:sz w:val="20"/>
                <w:szCs w:val="20"/>
                <w:color w:val="auto"/>
              </w:rPr>
            </w:pPr>
            <w:r>
              <w:rPr>
                <w:rFonts w:ascii="Arial" w:cs="Arial" w:eastAsia="Arial" w:hAnsi="Arial"/>
                <w:sz w:val="18"/>
                <w:szCs w:val="18"/>
                <w:color w:val="auto"/>
              </w:rPr>
              <w:t>Accrued expenses and other</w:t>
            </w:r>
          </w:p>
        </w:tc>
        <w:tc>
          <w:tcPr>
            <w:tcW w:w="11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995</w:t>
            </w:r>
          </w:p>
        </w:tc>
        <w:tc>
          <w:tcPr>
            <w:tcW w:w="200" w:type="dxa"/>
            <w:vAlign w:val="bottom"/>
            <w:shd w:val="clear" w:color="auto" w:fill="D5EAEA"/>
          </w:tcPr>
          <w:p>
            <w:pPr>
              <w:spacing w:after="0"/>
              <w:rPr>
                <w:sz w:val="19"/>
                <w:szCs w:val="19"/>
                <w:color w:val="auto"/>
              </w:rPr>
            </w:pPr>
          </w:p>
        </w:tc>
        <w:tc>
          <w:tcPr>
            <w:tcW w:w="112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D5EAEA"/>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BASIC AND DILUTED LOSS PER SHARE:</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Basic</w:t>
      </w:r>
    </w:p>
    <w:p>
      <w:pPr>
        <w:spacing w:after="0" w:line="27" w:lineRule="exact"/>
        <w:rPr>
          <w:sz w:val="20"/>
          <w:szCs w:val="20"/>
          <w:color w:val="auto"/>
        </w:rPr>
      </w:pPr>
    </w:p>
    <w:p>
      <w:pPr>
        <w:ind w:left="1020" w:right="80"/>
        <w:spacing w:after="0" w:line="261" w:lineRule="auto"/>
        <w:rPr>
          <w:sz w:val="20"/>
          <w:szCs w:val="20"/>
          <w:color w:val="auto"/>
        </w:rPr>
      </w:pPr>
      <w:r>
        <w:rPr>
          <w:rFonts w:ascii="Arial" w:cs="Arial" w:eastAsia="Arial" w:hAnsi="Arial"/>
          <w:sz w:val="18"/>
          <w:szCs w:val="18"/>
          <w:color w:val="auto"/>
        </w:rPr>
        <w:t>Basic loss per share is calculated by dividing the result attributable to equity holders of the Company by the weighted average number of Ordinary Shares in issue during the year.</w:t>
      </w:r>
    </w:p>
    <w:p>
      <w:pPr>
        <w:spacing w:after="0" w:line="18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Diluted</w:t>
      </w:r>
    </w:p>
    <w:p>
      <w:pPr>
        <w:spacing w:after="0" w:line="27" w:lineRule="exact"/>
        <w:rPr>
          <w:sz w:val="20"/>
          <w:szCs w:val="20"/>
          <w:color w:val="auto"/>
        </w:rPr>
      </w:pPr>
    </w:p>
    <w:p>
      <w:pPr>
        <w:ind w:left="1020" w:right="1000"/>
        <w:spacing w:after="0" w:line="277" w:lineRule="auto"/>
        <w:rPr>
          <w:sz w:val="20"/>
          <w:szCs w:val="20"/>
          <w:color w:val="auto"/>
        </w:rPr>
      </w:pPr>
      <w:r>
        <w:rPr>
          <w:rFonts w:ascii="Arial" w:cs="Arial" w:eastAsia="Arial" w:hAnsi="Arial"/>
          <w:sz w:val="17"/>
          <w:szCs w:val="17"/>
          <w:color w:val="auto"/>
        </w:rPr>
        <w:t>All outstanding options have been excluded from the calculation of the diluted loss per share for the year ended December 31, 2016 since their effect was anti-dilutive. The total number of ordinary shares related to the outstanding options excluded from the calculation of diluted loss per share was 8,136 for the year ended December 31, 2016.</w:t>
      </w:r>
    </w:p>
    <w:p>
      <w:pPr>
        <w:spacing w:after="0" w:line="173" w:lineRule="exact"/>
        <w:rPr>
          <w:sz w:val="20"/>
          <w:szCs w:val="20"/>
          <w:color w:val="auto"/>
        </w:rPr>
      </w:pPr>
    </w:p>
    <w:p>
      <w:pPr>
        <w:ind w:left="1020" w:right="20"/>
        <w:spacing w:after="0" w:line="308" w:lineRule="auto"/>
        <w:rPr>
          <w:sz w:val="20"/>
          <w:szCs w:val="20"/>
          <w:color w:val="auto"/>
        </w:rPr>
      </w:pPr>
      <w:r>
        <w:rPr>
          <w:rFonts w:ascii="Arial" w:cs="Arial" w:eastAsia="Arial" w:hAnsi="Arial"/>
          <w:sz w:val="17"/>
          <w:szCs w:val="17"/>
          <w:color w:val="auto"/>
        </w:rPr>
        <w:t>The 2015 Convertible Loan, the 2016 Convertible Loan, warrants and liability to issue preferred shares were not taken into account in the diluted loss per share calculation for the year ended December 31, 2016, as the conversion terms depend on future events.</w:t>
      </w:r>
    </w:p>
    <w:p>
      <w:pPr>
        <w:spacing w:after="0" w:line="147" w:lineRule="exact"/>
        <w:rPr>
          <w:sz w:val="20"/>
          <w:szCs w:val="20"/>
          <w:color w:val="auto"/>
        </w:rPr>
      </w:pPr>
    </w:p>
    <w:p>
      <w:pPr>
        <w:ind w:left="1020"/>
        <w:spacing w:after="0" w:line="302" w:lineRule="auto"/>
        <w:rPr>
          <w:sz w:val="20"/>
          <w:szCs w:val="20"/>
          <w:color w:val="auto"/>
        </w:rPr>
      </w:pPr>
      <w:r>
        <w:rPr>
          <w:rFonts w:ascii="Arial" w:cs="Arial" w:eastAsia="Arial" w:hAnsi="Arial"/>
          <w:sz w:val="16"/>
          <w:szCs w:val="16"/>
          <w:color w:val="auto"/>
        </w:rPr>
        <w:t>All outstanding options, 2012 Convertible Loan, 2016 Convertible loan, preferred shares and warrants to issue preferred shares have been excluded from the calculation of the diluted loss per share for the year ended December 31, 2017 since their effect was anti-dilutive. The total number of ordinary shares related to the 2012 Convertible Loan, 2016 Convertible Loan, preferred shares and warrants to issue preferred shares excluded from the calculation of diluted loss per share was 59,131 for the year ended December 31, 2017.</w:t>
      </w:r>
    </w:p>
    <w:p>
      <w:pPr>
        <w:spacing w:after="0" w:line="154" w:lineRule="exact"/>
        <w:rPr>
          <w:sz w:val="20"/>
          <w:szCs w:val="20"/>
          <w:color w:val="auto"/>
        </w:rPr>
      </w:pPr>
    </w:p>
    <w:p>
      <w:pPr>
        <w:ind w:left="1020" w:right="480"/>
        <w:spacing w:after="0" w:line="277" w:lineRule="auto"/>
        <w:rPr>
          <w:sz w:val="20"/>
          <w:szCs w:val="20"/>
          <w:color w:val="auto"/>
        </w:rPr>
      </w:pPr>
      <w:r>
        <w:rPr>
          <w:rFonts w:ascii="Arial" w:cs="Arial" w:eastAsia="Arial" w:hAnsi="Arial"/>
          <w:sz w:val="18"/>
          <w:szCs w:val="18"/>
          <w:color w:val="auto"/>
        </w:rPr>
        <w:t>The 2015 Convertible Loan, warrants and liability to issue preferred shares were not taken into account in the diluted loss per share calculation for the year ended December 31, 2017, as the conversion terms depend on future events.</w:t>
      </w:r>
    </w:p>
    <w:p>
      <w:pPr>
        <w:spacing w:after="0" w:line="27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240" w:top="225" w:right="699" w:bottom="1440" w:gutter="0" w:footer="0" w:header="0"/>
        </w:sectPr>
      </w:pPr>
    </w:p>
    <w:bookmarkStart w:id="203" w:name="page204"/>
    <w:bookmarkEnd w:id="20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left="3440"/>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7"/>
          <w:szCs w:val="17"/>
          <w:color w:val="241E1C"/>
        </w:rPr>
        <w:t xml:space="preserve">NOTES TO THE FINANCIAL STATEMENTS </w:t>
      </w:r>
      <w:r>
        <w:rPr>
          <w:rFonts w:ascii="Arial" w:cs="Arial" w:eastAsia="Arial" w:hAnsi="Arial"/>
          <w:sz w:val="17"/>
          <w:szCs w:val="17"/>
          <w:color w:val="000000"/>
        </w:rPr>
        <w:t>(continued)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 BASIC AND DILUTED LOSS PER SHARE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Loss attributable to equity holders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-130175</wp:posOffset>
            </wp:positionV>
            <wp:extent cx="6157595" cy="1460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Income from change in fair value of financial liabilities at fair value</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Loss used for the computation of diluted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-121920</wp:posOffset>
            </wp:positionV>
            <wp:extent cx="6157595" cy="1631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5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Weighted average number of Ordinary Shares used in</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computation of basic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-130810</wp:posOffset>
            </wp:positionV>
            <wp:extent cx="6157595"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color w:val="auto"/>
        </w:rPr>
        <w:t>Add:</w:t>
      </w:r>
    </w:p>
    <w:p>
      <w:pPr>
        <w:spacing w:after="0" w:line="9" w:lineRule="exact"/>
        <w:rPr>
          <w:sz w:val="20"/>
          <w:szCs w:val="20"/>
          <w:color w:val="auto"/>
        </w:rPr>
      </w:pPr>
    </w:p>
    <w:p>
      <w:pPr>
        <w:ind w:left="1200" w:hanging="161"/>
        <w:spacing w:after="0" w:line="303" w:lineRule="auto"/>
        <w:rPr>
          <w:sz w:val="20"/>
          <w:szCs w:val="20"/>
          <w:color w:val="auto"/>
        </w:rPr>
      </w:pPr>
      <w:r>
        <w:rPr>
          <w:rFonts w:ascii="Arial" w:cs="Arial" w:eastAsia="Arial" w:hAnsi="Arial"/>
          <w:sz w:val="16"/>
          <w:szCs w:val="16"/>
          <w:color w:val="auto"/>
        </w:rPr>
        <w:t>Weighted average number of additional shares issuable upon the assumed conversion/exercise of 2012 convertible loan, preferred shares and warrants to issue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-294640</wp:posOffset>
            </wp:positionV>
            <wp:extent cx="6157595" cy="2832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157595"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p>
      <w:pPr>
        <w:ind w:left="300"/>
        <w:spacing w:after="0"/>
        <w:tabs>
          <w:tab w:leader="none" w:pos="154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-130810</wp:posOffset>
            </wp:positionV>
            <wp:extent cx="152654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3" w:lineRule="exact"/>
        <w:rPr>
          <w:sz w:val="20"/>
          <w:szCs w:val="20"/>
          <w:color w:val="auto"/>
        </w:rPr>
      </w:pPr>
    </w:p>
    <w:p>
      <w:pPr>
        <w:jc w:val="center"/>
        <w:ind w:right="780"/>
        <w:spacing w:after="0"/>
        <w:rPr>
          <w:sz w:val="20"/>
          <w:szCs w:val="20"/>
          <w:color w:val="auto"/>
        </w:rPr>
      </w:pPr>
      <w:r>
        <w:rPr>
          <w:rFonts w:ascii="Arial" w:cs="Arial" w:eastAsia="Arial" w:hAnsi="Arial"/>
          <w:sz w:val="16"/>
          <w:szCs w:val="16"/>
          <w:b w:val="1"/>
          <w:bCs w:val="1"/>
          <w:color w:val="auto"/>
        </w:rPr>
        <w:t>U.S. dollars (except for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-116205</wp:posOffset>
            </wp:positionV>
            <wp:extent cx="152654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6"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numbers)</w:t>
      </w:r>
    </w:p>
    <w:p>
      <w:pPr>
        <w:spacing w:after="0" w:line="9" w:lineRule="exact"/>
        <w:rPr>
          <w:sz w:val="20"/>
          <w:szCs w:val="20"/>
          <w:color w:val="auto"/>
        </w:rPr>
      </w:pPr>
    </w:p>
    <w:p>
      <w:pPr>
        <w:ind w:left="160"/>
        <w:spacing w:after="0"/>
        <w:tabs>
          <w:tab w:leader="none" w:pos="1480" w:val="left"/>
        </w:tabs>
        <w:rPr>
          <w:sz w:val="20"/>
          <w:szCs w:val="20"/>
          <w:color w:val="auto"/>
        </w:rPr>
      </w:pPr>
      <w:r>
        <w:rPr>
          <w:rFonts w:ascii="Arial" w:cs="Arial" w:eastAsia="Arial" w:hAnsi="Arial"/>
          <w:sz w:val="16"/>
          <w:szCs w:val="16"/>
          <w:color w:val="auto"/>
        </w:rPr>
        <w:t>11,197,000</w:t>
      </w:r>
      <w:r>
        <w:rPr>
          <w:sz w:val="20"/>
          <w:szCs w:val="20"/>
          <w:color w:val="auto"/>
        </w:rPr>
        <w:tab/>
      </w:r>
      <w:r>
        <w:rPr>
          <w:rFonts w:ascii="Arial" w:cs="Arial" w:eastAsia="Arial" w:hAnsi="Arial"/>
          <w:sz w:val="16"/>
          <w:szCs w:val="16"/>
          <w:color w:val="auto"/>
        </w:rPr>
        <w:t>1,199,000</w:t>
      </w:r>
    </w:p>
    <w:p>
      <w:pPr>
        <w:spacing w:after="0" w:line="46" w:lineRule="exact"/>
        <w:rPr>
          <w:sz w:val="20"/>
          <w:szCs w:val="20"/>
          <w:color w:val="auto"/>
        </w:rPr>
      </w:pPr>
    </w:p>
    <w:p>
      <w:pPr>
        <w:ind w:left="1500" w:hanging="681"/>
        <w:spacing w:after="0"/>
        <w:tabs>
          <w:tab w:leader="none" w:pos="15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4,125,000</w:t>
      </w:r>
    </w:p>
    <w:p>
      <w:pPr>
        <w:spacing w:after="0" w:line="58"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8"/>
          <w:szCs w:val="18"/>
          <w:color w:val="auto"/>
        </w:rPr>
        <w:t>11,197,000</w:t>
      </w:r>
      <w:r>
        <w:rPr>
          <w:rFonts w:ascii="Arial" w:cs="Arial" w:eastAsia="Arial" w:hAnsi="Arial"/>
          <w:sz w:val="16"/>
          <w:szCs w:val="16"/>
          <w:color w:val="auto"/>
        </w:rPr>
        <w:t>5,324,000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31750</wp:posOffset>
            </wp:positionV>
            <wp:extent cx="146621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46" w:lineRule="exact"/>
        <w:rPr>
          <w:sz w:val="20"/>
          <w:szCs w:val="20"/>
          <w:color w:val="auto"/>
        </w:rPr>
      </w:pPr>
    </w:p>
    <w:p>
      <w:pPr>
        <w:ind w:left="480"/>
        <w:spacing w:after="0"/>
        <w:tabs>
          <w:tab w:leader="none" w:pos="1700" w:val="left"/>
        </w:tabs>
        <w:rPr>
          <w:sz w:val="20"/>
          <w:szCs w:val="20"/>
          <w:color w:val="auto"/>
        </w:rPr>
      </w:pPr>
      <w:r>
        <w:rPr>
          <w:rFonts w:ascii="Arial" w:cs="Arial" w:eastAsia="Arial" w:hAnsi="Arial"/>
          <w:sz w:val="16"/>
          <w:szCs w:val="16"/>
          <w:color w:val="auto"/>
        </w:rPr>
        <w:t>34,544</w:t>
      </w:r>
      <w:r>
        <w:rPr>
          <w:sz w:val="20"/>
          <w:szCs w:val="20"/>
          <w:color w:val="auto"/>
        </w:rPr>
        <w:tab/>
      </w:r>
      <w:r>
        <w:rPr>
          <w:rFonts w:ascii="Arial" w:cs="Arial" w:eastAsia="Arial" w:hAnsi="Arial"/>
          <w:sz w:val="16"/>
          <w:szCs w:val="16"/>
          <w:color w:val="auto"/>
        </w:rPr>
        <w:t>34,409</w:t>
      </w:r>
    </w:p>
    <w:p>
      <w:pPr>
        <w:spacing w:after="0" w:line="200" w:lineRule="exact"/>
        <w:rPr>
          <w:sz w:val="20"/>
          <w:szCs w:val="20"/>
          <w:color w:val="auto"/>
        </w:rPr>
      </w:pPr>
    </w:p>
    <w:p>
      <w:pPr>
        <w:spacing w:after="0" w:line="278" w:lineRule="exact"/>
        <w:rPr>
          <w:sz w:val="20"/>
          <w:szCs w:val="20"/>
          <w:color w:val="auto"/>
        </w:rPr>
      </w:pPr>
    </w:p>
    <w:p>
      <w:pPr>
        <w:ind w:left="1720" w:hanging="901"/>
        <w:spacing w:after="0"/>
        <w:tabs>
          <w:tab w:leader="none" w:pos="172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17,563</w:t>
      </w:r>
    </w:p>
    <w:p>
      <w:pPr>
        <w:spacing w:after="0" w:line="66" w:lineRule="exact"/>
        <w:rPr>
          <w:sz w:val="20"/>
          <w:szCs w:val="20"/>
          <w:color w:val="auto"/>
        </w:rPr>
      </w:pPr>
    </w:p>
    <w:p>
      <w:pPr>
        <w:sectPr>
          <w:pgSz w:w="11900" w:h="16838" w:orient="portrait"/>
          <w:cols w:equalWidth="0" w:num="2">
            <w:col w:w="8000" w:space="420"/>
            <w:col w:w="3000"/>
          </w:cols>
          <w:pgMar w:left="240" w:top="225" w:right="239" w:bottom="1440" w:gutter="0" w:footer="0" w:header="0"/>
        </w:sectPr>
      </w:pPr>
    </w:p>
    <w:tbl>
      <w:tblPr>
        <w:tblLayout w:type="fixed"/>
        <w:tblInd w:w="1020" w:type="dxa"/>
        <w:tblCellMar>
          <w:top w:w="0" w:type="dxa"/>
          <w:left w:w="0" w:type="dxa"/>
          <w:bottom w:w="0" w:type="dxa"/>
          <w:right w:w="0" w:type="dxa"/>
        </w:tblCellMar>
      </w:tblPr>
      <w:tr>
        <w:trPr>
          <w:trHeight w:val="176"/>
        </w:trPr>
        <w:tc>
          <w:tcPr>
            <w:tcW w:w="7300" w:type="dxa"/>
            <w:vAlign w:val="bottom"/>
            <w:gridSpan w:val="2"/>
          </w:tcPr>
          <w:p>
            <w:pPr>
              <w:spacing w:after="0" w:line="176" w:lineRule="exact"/>
              <w:rPr>
                <w:sz w:val="20"/>
                <w:szCs w:val="20"/>
                <w:color w:val="auto"/>
              </w:rPr>
            </w:pPr>
            <w:r>
              <w:rPr>
                <w:rFonts w:ascii="Arial" w:cs="Arial" w:eastAsia="Arial" w:hAnsi="Arial"/>
                <w:sz w:val="18"/>
                <w:szCs w:val="18"/>
                <w:color w:val="auto"/>
              </w:rPr>
              <w:t>Weighted average number of Ordinary Shares used in</w:t>
            </w:r>
          </w:p>
        </w:tc>
        <w:tc>
          <w:tcPr>
            <w:tcW w:w="10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280" w:type="dxa"/>
            <w:vAlign w:val="bottom"/>
            <w:tcBorders>
              <w:bottom w:val="single" w:sz="8" w:color="D5EAEA"/>
            </w:tcBorders>
          </w:tcPr>
          <w:p>
            <w:pPr>
              <w:ind w:left="160"/>
              <w:spacing w:after="0"/>
              <w:rPr>
                <w:sz w:val="20"/>
                <w:szCs w:val="20"/>
                <w:color w:val="auto"/>
              </w:rPr>
            </w:pPr>
            <w:r>
              <w:rPr>
                <w:rFonts w:ascii="Arial" w:cs="Arial" w:eastAsia="Arial" w:hAnsi="Arial"/>
                <w:sz w:val="18"/>
                <w:szCs w:val="18"/>
                <w:color w:val="auto"/>
              </w:rPr>
              <w:t>the computation of diluted loss per share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34,544</w:t>
            </w:r>
          </w:p>
        </w:tc>
        <w:tc>
          <w:tcPr>
            <w:tcW w:w="180" w:type="dxa"/>
            <w:vAlign w:val="bottom"/>
            <w:tcBorders>
              <w:bottom w:val="single" w:sz="8" w:color="D5EAEA"/>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51,972</w:t>
            </w:r>
          </w:p>
        </w:tc>
        <w:tc>
          <w:tcPr>
            <w:tcW w:w="100" w:type="dxa"/>
            <w:vAlign w:val="bottom"/>
            <w:tcBorders>
              <w:bottom w:val="single" w:sz="8" w:color="D5EAEA"/>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280" w:type="dxa"/>
            <w:vAlign w:val="bottom"/>
            <w:shd w:val="clear" w:color="auto" w:fill="D5EAEA"/>
          </w:tcPr>
          <w:p>
            <w:pPr>
              <w:spacing w:after="0"/>
              <w:rPr>
                <w:sz w:val="17"/>
                <w:szCs w:val="17"/>
                <w:color w:val="auto"/>
              </w:rPr>
            </w:pPr>
          </w:p>
        </w:tc>
        <w:tc>
          <w:tcPr>
            <w:tcW w:w="1080" w:type="dxa"/>
            <w:vAlign w:val="bottom"/>
            <w:shd w:val="clear" w:color="auto" w:fill="D5EAEA"/>
          </w:tcPr>
          <w:p>
            <w:pPr>
              <w:spacing w:after="0"/>
              <w:rPr>
                <w:sz w:val="17"/>
                <w:szCs w:val="17"/>
                <w:color w:val="auto"/>
              </w:rPr>
            </w:pPr>
          </w:p>
        </w:tc>
        <w:tc>
          <w:tcPr>
            <w:tcW w:w="180" w:type="dxa"/>
            <w:vAlign w:val="bottom"/>
            <w:shd w:val="clear" w:color="auto" w:fill="D5EAEA"/>
          </w:tcPr>
          <w:p>
            <w:pPr>
              <w:spacing w:after="0"/>
              <w:rPr>
                <w:sz w:val="17"/>
                <w:szCs w:val="17"/>
                <w:color w:val="auto"/>
              </w:rPr>
            </w:pPr>
          </w:p>
        </w:tc>
        <w:tc>
          <w:tcPr>
            <w:tcW w:w="10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280" w:type="dxa"/>
            <w:vAlign w:val="bottom"/>
            <w:tcBorders>
              <w:bottom w:val="single" w:sz="8" w:color="D5EAEA"/>
            </w:tcBorders>
          </w:tcPr>
          <w:p>
            <w:pPr>
              <w:spacing w:after="0"/>
              <w:rPr>
                <w:sz w:val="20"/>
                <w:szCs w:val="20"/>
                <w:color w:val="auto"/>
              </w:rPr>
            </w:pPr>
            <w:r>
              <w:rPr>
                <w:rFonts w:ascii="Arial" w:cs="Arial" w:eastAsia="Arial" w:hAnsi="Arial"/>
                <w:sz w:val="18"/>
                <w:szCs w:val="18"/>
                <w:color w:val="auto"/>
              </w:rPr>
              <w:t>Basic loss per Ordinary Share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Borders>
              <w:bottom w:val="single" w:sz="8" w:color="D5EAEA"/>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D5EAEA"/>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80" w:type="dxa"/>
            <w:vAlign w:val="bottom"/>
            <w:tcBorders>
              <w:bottom w:val="single" w:sz="8" w:color="D5EAEA"/>
            </w:tcBorders>
            <w:shd w:val="clear" w:color="auto" w:fill="D5EAEA"/>
          </w:tcPr>
          <w:p>
            <w:pPr>
              <w:spacing w:after="0" w:line="190" w:lineRule="exact"/>
              <w:rPr>
                <w:sz w:val="20"/>
                <w:szCs w:val="20"/>
                <w:color w:val="auto"/>
              </w:rPr>
            </w:pPr>
            <w:r>
              <w:rPr>
                <w:rFonts w:ascii="Arial" w:cs="Arial" w:eastAsia="Arial" w:hAnsi="Arial"/>
                <w:sz w:val="18"/>
                <w:szCs w:val="18"/>
                <w:color w:val="auto"/>
              </w:rPr>
              <w:t>Diluted loss per Ordinary Share</w:t>
            </w:r>
          </w:p>
        </w:tc>
        <w:tc>
          <w:tcPr>
            <w:tcW w:w="108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324</w:t>
            </w:r>
          </w:p>
        </w:tc>
        <w:tc>
          <w:tcPr>
            <w:tcW w:w="180" w:type="dxa"/>
            <w:vAlign w:val="bottom"/>
            <w:tcBorders>
              <w:bottom w:val="single" w:sz="8" w:color="D5EAEA"/>
            </w:tcBorders>
            <w:shd w:val="clear" w:color="auto" w:fill="D5EAEA"/>
          </w:tcPr>
          <w:p>
            <w:pPr>
              <w:spacing w:after="0"/>
              <w:rPr>
                <w:sz w:val="17"/>
                <w:szCs w:val="17"/>
                <w:color w:val="auto"/>
              </w:rPr>
            </w:pPr>
          </w:p>
        </w:tc>
        <w:tc>
          <w:tcPr>
            <w:tcW w:w="10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102</w:t>
            </w:r>
          </w:p>
        </w:tc>
        <w:tc>
          <w:tcPr>
            <w:tcW w:w="100" w:type="dxa"/>
            <w:vAlign w:val="bottom"/>
            <w:tcBorders>
              <w:bottom w:val="single" w:sz="8" w:color="D5EAEA"/>
            </w:tcBorders>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RELATED PARTIES - TRANSACTIONS AND BALANCES:</w:t>
      </w:r>
    </w:p>
    <w:p>
      <w:pPr>
        <w:spacing w:after="0" w:line="225" w:lineRule="exact"/>
        <w:rPr>
          <w:sz w:val="20"/>
          <w:szCs w:val="20"/>
          <w:color w:val="auto"/>
        </w:rPr>
      </w:pPr>
    </w:p>
    <w:p>
      <w:pPr>
        <w:ind w:left="1340" w:hanging="319"/>
        <w:spacing w:after="0"/>
        <w:tabs>
          <w:tab w:leader="none" w:pos="13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229" w:lineRule="exact"/>
        <w:rPr>
          <w:rFonts w:ascii="Arial" w:cs="Arial" w:eastAsia="Arial" w:hAnsi="Arial"/>
          <w:sz w:val="18"/>
          <w:szCs w:val="18"/>
          <w:b w:val="1"/>
          <w:bCs w:val="1"/>
          <w:color w:val="auto"/>
        </w:rPr>
      </w:pPr>
    </w:p>
    <w:p>
      <w:pPr>
        <w:ind w:left="1580" w:right="40" w:hanging="235"/>
        <w:spacing w:after="0" w:line="277" w:lineRule="auto"/>
        <w:tabs>
          <w:tab w:leader="none" w:pos="15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Key management personnel include members of the Board of Directors, the Chief Executive Officer, Chief Operating Officer and Chief Financial Officer.</w:t>
      </w:r>
    </w:p>
    <w:p>
      <w:pPr>
        <w:spacing w:after="0" w:line="170" w:lineRule="exact"/>
        <w:rPr>
          <w:rFonts w:ascii="Arial" w:cs="Arial" w:eastAsia="Arial" w:hAnsi="Arial"/>
          <w:sz w:val="18"/>
          <w:szCs w:val="18"/>
          <w:color w:val="auto"/>
        </w:rPr>
      </w:pPr>
    </w:p>
    <w:p>
      <w:pPr>
        <w:ind w:left="1580" w:right="220" w:hanging="235"/>
        <w:spacing w:after="0" w:line="259" w:lineRule="auto"/>
        <w:tabs>
          <w:tab w:leader="none" w:pos="15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On March 27, 2017, the board of directors approved the nomination of Mr. Luke Beshar as Executive chairman of the board and Dr. Roger Garceau as Chief Development Advisor. The nominations and the compensation were subject to shareholder approval that was received on April 6, 2017. According to the agreements with Mr. Luke Beshar, and Dr. Graceau, Mr. Beshar and Dr. Graceau will receive a monthly fee in the amount of $21,500 and $6,500, respectively.</w:t>
      </w:r>
    </w:p>
    <w:p>
      <w:pPr>
        <w:spacing w:after="0" w:line="186" w:lineRule="exact"/>
        <w:rPr>
          <w:rFonts w:ascii="Arial" w:cs="Arial" w:eastAsia="Arial" w:hAnsi="Arial"/>
          <w:sz w:val="18"/>
          <w:szCs w:val="18"/>
          <w:color w:val="auto"/>
        </w:rPr>
      </w:pPr>
    </w:p>
    <w:p>
      <w:pPr>
        <w:ind w:left="1660" w:hanging="315"/>
        <w:spacing w:after="0"/>
        <w:tabs>
          <w:tab w:leader="none" w:pos="166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During 2017 and 2016, the Company granted stock options to certain key management personnel and directors, see note 10b.</w:t>
      </w:r>
    </w:p>
    <w:p>
      <w:pPr>
        <w:spacing w:after="0" w:line="236" w:lineRule="exact"/>
        <w:rPr>
          <w:rFonts w:ascii="Arial" w:cs="Arial" w:eastAsia="Arial" w:hAnsi="Arial"/>
          <w:sz w:val="17"/>
          <w:szCs w:val="17"/>
          <w:color w:val="auto"/>
        </w:rPr>
      </w:pPr>
    </w:p>
    <w:p>
      <w:pPr>
        <w:ind w:left="1660" w:right="200" w:hanging="315"/>
        <w:spacing w:after="0" w:line="264" w:lineRule="auto"/>
        <w:tabs>
          <w:tab w:leader="none" w:pos="16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During 2017, certain related parties was participated in the Preferred B Financing. Concurrently with the Preferred B Financing the 2016 Convertible loan converted and as a result a few of the Company's related parties received Series B-1 preferred shares, see note 8(b).</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4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w w:val="98"/>
              </w:rPr>
              <w:t>Year ended December 31,</w:t>
            </w:r>
          </w:p>
        </w:tc>
        <w:tc>
          <w:tcPr>
            <w:tcW w:w="360" w:type="dxa"/>
            <w:vAlign w:val="bottom"/>
          </w:tcPr>
          <w:p>
            <w:pPr>
              <w:spacing w:after="0"/>
              <w:rPr>
                <w:sz w:val="20"/>
                <w:szCs w:val="20"/>
                <w:color w:val="auto"/>
              </w:rPr>
            </w:pPr>
          </w:p>
        </w:tc>
      </w:tr>
      <w:tr>
        <w:trPr>
          <w:trHeight w:val="223"/>
        </w:trPr>
        <w:tc>
          <w:tcPr>
            <w:tcW w:w="13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13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1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w w:val="90"/>
              </w:rPr>
              <w:t>U.S. dollars</w:t>
            </w: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20"/>
                <w:szCs w:val="20"/>
                <w:color w:val="auto"/>
              </w:rPr>
            </w:pPr>
          </w:p>
        </w:tc>
      </w:tr>
      <w:tr>
        <w:trPr>
          <w:trHeight w:val="216"/>
        </w:trPr>
        <w:tc>
          <w:tcPr>
            <w:tcW w:w="4840" w:type="dxa"/>
            <w:vAlign w:val="bottom"/>
            <w:gridSpan w:val="2"/>
          </w:tcPr>
          <w:p>
            <w:pPr>
              <w:ind w:left="1360"/>
              <w:spacing w:after="0"/>
              <w:rPr>
                <w:sz w:val="20"/>
                <w:szCs w:val="20"/>
                <w:color w:val="auto"/>
              </w:rPr>
            </w:pPr>
            <w:r>
              <w:rPr>
                <w:rFonts w:ascii="Arial" w:cs="Arial" w:eastAsia="Arial" w:hAnsi="Arial"/>
                <w:sz w:val="18"/>
                <w:szCs w:val="18"/>
                <w:color w:val="auto"/>
              </w:rPr>
              <w:t>5)  Key management compensation:</w:t>
            </w:r>
          </w:p>
        </w:tc>
        <w:tc>
          <w:tcPr>
            <w:tcW w:w="3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480" w:type="dxa"/>
            <w:vAlign w:val="bottom"/>
            <w:shd w:val="clear" w:color="auto" w:fill="D5EAEA"/>
          </w:tcPr>
          <w:p>
            <w:pPr>
              <w:ind w:left="480"/>
              <w:spacing w:after="0"/>
              <w:rPr>
                <w:sz w:val="20"/>
                <w:szCs w:val="20"/>
                <w:color w:val="auto"/>
              </w:rPr>
            </w:pPr>
            <w:r>
              <w:rPr>
                <w:rFonts w:ascii="Arial" w:cs="Arial" w:eastAsia="Arial" w:hAnsi="Arial"/>
                <w:sz w:val="18"/>
                <w:szCs w:val="18"/>
                <w:color w:val="auto"/>
              </w:rPr>
              <w:t>Labor cost and related expenses</w:t>
            </w:r>
          </w:p>
        </w:tc>
        <w:tc>
          <w:tcPr>
            <w:tcW w:w="48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D5EAEA"/>
          </w:tcPr>
          <w:p>
            <w:pPr>
              <w:spacing w:after="0"/>
              <w:rPr>
                <w:sz w:val="18"/>
                <w:szCs w:val="18"/>
                <w:color w:val="auto"/>
              </w:rPr>
            </w:pPr>
          </w:p>
        </w:tc>
        <w:tc>
          <w:tcPr>
            <w:tcW w:w="11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D5EAEA"/>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480" w:type="dxa"/>
            <w:vAlign w:val="bottom"/>
          </w:tcPr>
          <w:p>
            <w:pPr>
              <w:ind w:left="480"/>
              <w:spacing w:after="0"/>
              <w:rPr>
                <w:sz w:val="20"/>
                <w:szCs w:val="20"/>
                <w:color w:val="auto"/>
              </w:rPr>
            </w:pPr>
            <w:r>
              <w:rPr>
                <w:rFonts w:ascii="Arial" w:cs="Arial" w:eastAsia="Arial" w:hAnsi="Arial"/>
                <w:sz w:val="18"/>
                <w:szCs w:val="18"/>
                <w:color w:val="auto"/>
              </w:rPr>
              <w:t>Share-based compensation</w:t>
            </w: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4,694</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480" w:type="dxa"/>
            <w:vAlign w:val="bottom"/>
            <w:shd w:val="clear" w:color="auto" w:fill="D5EAEA"/>
          </w:tcPr>
          <w:p>
            <w:pPr>
              <w:ind w:left="480"/>
              <w:spacing w:after="0"/>
              <w:rPr>
                <w:sz w:val="20"/>
                <w:szCs w:val="20"/>
                <w:color w:val="auto"/>
              </w:rPr>
            </w:pPr>
            <w:r>
              <w:rPr>
                <w:rFonts w:ascii="Arial" w:cs="Arial" w:eastAsia="Arial" w:hAnsi="Arial"/>
                <w:sz w:val="18"/>
                <w:szCs w:val="18"/>
                <w:color w:val="auto"/>
              </w:rPr>
              <w:t>Directors fee and services</w:t>
            </w:r>
          </w:p>
        </w:tc>
        <w:tc>
          <w:tcPr>
            <w:tcW w:w="488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D5EAEA"/>
          </w:tcPr>
          <w:p>
            <w:pPr>
              <w:spacing w:after="0"/>
              <w:rPr>
                <w:sz w:val="18"/>
                <w:szCs w:val="18"/>
                <w:color w:val="auto"/>
              </w:rPr>
            </w:pPr>
          </w:p>
        </w:tc>
        <w:tc>
          <w:tcPr>
            <w:tcW w:w="114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D5EAEA"/>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1360" w:type="dxa"/>
            <w:vAlign w:val="bottom"/>
          </w:tcPr>
          <w:p>
            <w:pPr>
              <w:spacing w:after="0"/>
              <w:rPr>
                <w:sz w:val="19"/>
                <w:szCs w:val="19"/>
                <w:color w:val="auto"/>
              </w:rPr>
            </w:pPr>
          </w:p>
        </w:tc>
        <w:tc>
          <w:tcPr>
            <w:tcW w:w="3480" w:type="dxa"/>
            <w:vAlign w:val="bottom"/>
          </w:tcPr>
          <w:p>
            <w:pPr>
              <w:ind w:left="480"/>
              <w:spacing w:after="0"/>
              <w:rPr>
                <w:sz w:val="20"/>
                <w:szCs w:val="20"/>
                <w:color w:val="auto"/>
              </w:rPr>
            </w:pPr>
            <w:r>
              <w:rPr>
                <w:rFonts w:ascii="Arial" w:cs="Arial" w:eastAsia="Arial" w:hAnsi="Arial"/>
                <w:sz w:val="18"/>
                <w:szCs w:val="18"/>
                <w:color w:val="auto"/>
              </w:rPr>
              <w:t>Others</w:t>
            </w:r>
          </w:p>
        </w:tc>
        <w:tc>
          <w:tcPr>
            <w:tcW w:w="488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3"/>
        </w:trPr>
        <w:tc>
          <w:tcPr>
            <w:tcW w:w="1360" w:type="dxa"/>
            <w:vAlign w:val="bottom"/>
          </w:tcPr>
          <w:p>
            <w:pPr>
              <w:spacing w:after="0"/>
              <w:rPr>
                <w:sz w:val="19"/>
                <w:szCs w:val="19"/>
                <w:color w:val="auto"/>
              </w:rPr>
            </w:pPr>
          </w:p>
        </w:tc>
        <w:tc>
          <w:tcPr>
            <w:tcW w:w="3480" w:type="dxa"/>
            <w:vAlign w:val="bottom"/>
            <w:tcBorders>
              <w:top w:val="single" w:sz="8" w:color="D5EAEA"/>
              <w:bottom w:val="single" w:sz="8" w:color="D5EAEA"/>
            </w:tcBorders>
            <w:shd w:val="clear" w:color="auto" w:fill="D5EAEA"/>
          </w:tcPr>
          <w:p>
            <w:pPr>
              <w:spacing w:after="0"/>
              <w:rPr>
                <w:sz w:val="19"/>
                <w:szCs w:val="19"/>
                <w:color w:val="auto"/>
              </w:rPr>
            </w:pPr>
          </w:p>
        </w:tc>
        <w:tc>
          <w:tcPr>
            <w:tcW w:w="3820" w:type="dxa"/>
            <w:vAlign w:val="bottom"/>
            <w:tcBorders>
              <w:top w:val="single" w:sz="8" w:color="D5EAEA"/>
              <w:bottom w:val="single" w:sz="8" w:color="D5EAEA"/>
            </w:tcBorders>
            <w:shd w:val="clear" w:color="auto" w:fill="D5EAEA"/>
          </w:tcPr>
          <w:p>
            <w:pPr>
              <w:spacing w:after="0"/>
              <w:rPr>
                <w:sz w:val="19"/>
                <w:szCs w:val="19"/>
                <w:color w:val="auto"/>
              </w:rPr>
            </w:pPr>
          </w:p>
        </w:tc>
        <w:tc>
          <w:tcPr>
            <w:tcW w:w="10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6,428</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80" w:type="dxa"/>
            <w:vAlign w:val="bottom"/>
            <w:tcBorders>
              <w:top w:val="single" w:sz="8" w:color="D5EAEA"/>
              <w:bottom w:val="single" w:sz="8" w:color="D5EAEA"/>
            </w:tcBorders>
            <w:shd w:val="clear" w:color="auto" w:fill="D5EAEA"/>
          </w:tcPr>
          <w:p>
            <w:pPr>
              <w:spacing w:after="0"/>
              <w:rPr>
                <w:sz w:val="19"/>
                <w:szCs w:val="19"/>
                <w:color w:val="auto"/>
              </w:rPr>
            </w:pPr>
          </w:p>
        </w:tc>
        <w:tc>
          <w:tcPr>
            <w:tcW w:w="10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2,279</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360" w:type="dxa"/>
            <w:vAlign w:val="bottom"/>
          </w:tcPr>
          <w:p>
            <w:pPr>
              <w:spacing w:after="0"/>
              <w:rPr>
                <w:sz w:val="19"/>
                <w:szCs w:val="19"/>
                <w:color w:val="auto"/>
              </w:rPr>
            </w:pPr>
          </w:p>
        </w:tc>
      </w:tr>
      <w:tr>
        <w:trPr>
          <w:trHeight w:val="20"/>
        </w:trPr>
        <w:tc>
          <w:tcPr>
            <w:tcW w:w="13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5"/>
        </w:trPr>
        <w:tc>
          <w:tcPr>
            <w:tcW w:w="13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color w:val="auto"/>
              </w:rPr>
              <w:t>F-34</w:t>
            </w: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5" w:right="239" w:bottom="1440" w:gutter="0" w:footer="0" w:header="0"/>
          <w:type w:val="continuous"/>
        </w:sectPr>
      </w:pPr>
    </w:p>
    <w:bookmarkStart w:id="204" w:name="page205"/>
    <w:bookmarkEnd w:id="20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41E1C"/>
        </w:rPr>
        <w:t>ENTERA BIO LTD.</w:t>
      </w:r>
    </w:p>
    <w:p>
      <w:pPr>
        <w:spacing w:after="0" w:line="229" w:lineRule="exact"/>
        <w:rPr>
          <w:sz w:val="20"/>
          <w:szCs w:val="20"/>
          <w:color w:val="auto"/>
        </w:rPr>
      </w:pPr>
    </w:p>
    <w:p>
      <w:pPr>
        <w:ind w:left="3560"/>
        <w:spacing w:after="0"/>
        <w:rPr>
          <w:sz w:val="20"/>
          <w:szCs w:val="20"/>
          <w:color w:val="auto"/>
        </w:rPr>
      </w:pPr>
      <w:r>
        <w:rPr>
          <w:rFonts w:ascii="Arial" w:cs="Arial" w:eastAsia="Arial" w:hAnsi="Arial"/>
          <w:sz w:val="18"/>
          <w:szCs w:val="18"/>
          <w:color w:val="241E1C"/>
        </w:rPr>
        <w:t xml:space="preserve">NOTES TO THE FINANCIAL STATEMENTS </w:t>
      </w:r>
      <w:r>
        <w:rPr>
          <w:rFonts w:ascii="Arial" w:cs="Arial" w:eastAsia="Arial" w:hAnsi="Arial"/>
          <w:sz w:val="18"/>
          <w:szCs w:val="18"/>
          <w:color w:val="000000"/>
        </w:rPr>
        <w:t>(continued)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14 - RELATED PARTIES - TRANSACTIONS AND BALANCES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5" w:lineRule="exact"/>
        <w:rPr>
          <w:sz w:val="20"/>
          <w:szCs w:val="20"/>
          <w:color w:val="auto"/>
        </w:rPr>
      </w:pPr>
    </w:p>
    <w:p>
      <w:pPr>
        <w:ind w:left="1400" w:hanging="379"/>
        <w:spacing w:after="0"/>
        <w:tabs>
          <w:tab w:leader="none" w:pos="14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Balances with related parties:</w:t>
      </w:r>
    </w:p>
    <w:p>
      <w:pPr>
        <w:spacing w:after="0" w:line="225" w:lineRule="exact"/>
        <w:rPr>
          <w:sz w:val="20"/>
          <w:szCs w:val="20"/>
          <w:color w:val="auto"/>
        </w:rPr>
      </w:pPr>
    </w:p>
    <w:p>
      <w:pPr>
        <w:ind w:left="938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1420" w:type="dxa"/>
        <w:tblCellMar>
          <w:top w:w="0" w:type="dxa"/>
          <w:left w:w="0" w:type="dxa"/>
          <w:bottom w:w="0" w:type="dxa"/>
          <w:right w:w="0" w:type="dxa"/>
        </w:tblCellMar>
      </w:tblPr>
      <w:tr>
        <w:trPr>
          <w:trHeight w:val="223"/>
        </w:trPr>
        <w:tc>
          <w:tcPr>
            <w:tcW w:w="7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19"/>
                <w:szCs w:val="19"/>
                <w:color w:val="auto"/>
              </w:rPr>
            </w:pPr>
          </w:p>
        </w:tc>
        <w:tc>
          <w:tcPr>
            <w:tcW w:w="116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w w:val="92"/>
              </w:rPr>
              <w:t>U.S. dollars</w:t>
            </w: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Key management:</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60" w:type="dxa"/>
            <w:vAlign w:val="bottom"/>
            <w:gridSpan w:val="2"/>
            <w:shd w:val="clear" w:color="auto" w:fill="D5EAEA"/>
          </w:tcPr>
          <w:p>
            <w:pPr>
              <w:ind w:left="160"/>
              <w:spacing w:after="0"/>
              <w:rPr>
                <w:sz w:val="20"/>
                <w:szCs w:val="20"/>
                <w:color w:val="auto"/>
              </w:rPr>
            </w:pPr>
            <w:r>
              <w:rPr>
                <w:rFonts w:ascii="Arial" w:cs="Arial" w:eastAsia="Arial" w:hAnsi="Arial"/>
                <w:sz w:val="18"/>
                <w:szCs w:val="18"/>
                <w:color w:val="auto"/>
              </w:rPr>
              <w:t>Paya</w:t>
            </w:r>
            <w:r>
              <w:rPr>
                <w:rFonts w:ascii="Arial" w:cs="Arial" w:eastAsia="Arial" w:hAnsi="Arial"/>
                <w:sz w:val="18"/>
                <w:szCs w:val="18"/>
                <w:color w:val="241E1C"/>
              </w:rPr>
              <w:t>bles and accrued expenses</w:t>
            </w:r>
          </w:p>
        </w:tc>
        <w:tc>
          <w:tcPr>
            <w:tcW w:w="380" w:type="dxa"/>
            <w:vAlign w:val="bottom"/>
            <w:gridSpan w:val="2"/>
            <w:shd w:val="clear" w:color="auto" w:fill="D5EAEA"/>
          </w:tcPr>
          <w:p>
            <w:pPr>
              <w:jc w:val="right"/>
              <w:ind w:right="80"/>
              <w:spacing w:after="0"/>
              <w:rPr>
                <w:sz w:val="20"/>
                <w:szCs w:val="20"/>
                <w:color w:val="auto"/>
              </w:rPr>
            </w:pPr>
            <w:r>
              <w:rPr>
                <w:rFonts w:ascii="Arial" w:cs="Arial" w:eastAsia="Arial" w:hAnsi="Arial"/>
                <w:sz w:val="18"/>
                <w:szCs w:val="18"/>
                <w:color w:val="auto"/>
              </w:rPr>
              <w:t>93</w:t>
            </w:r>
          </w:p>
        </w:tc>
        <w:tc>
          <w:tcPr>
            <w:tcW w:w="1160" w:type="dxa"/>
            <w:vAlign w:val="bottom"/>
            <w:gridSpan w:val="2"/>
            <w:shd w:val="clear" w:color="auto" w:fill="D5EAEA"/>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D5EAEA"/>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80" w:type="dxa"/>
            <w:vAlign w:val="bottom"/>
            <w:tcBorders>
              <w:top w:val="single" w:sz="8" w:color="D5EAEA"/>
              <w:bottom w:val="single" w:sz="8" w:color="D5EAEA"/>
            </w:tcBorders>
            <w:vMerge w:val="restart"/>
          </w:tcPr>
          <w:p>
            <w:pPr>
              <w:ind w:left="160"/>
              <w:spacing w:after="0"/>
              <w:rPr>
                <w:sz w:val="20"/>
                <w:szCs w:val="20"/>
                <w:color w:val="auto"/>
              </w:rPr>
            </w:pPr>
            <w:r>
              <w:rPr>
                <w:rFonts w:ascii="Arial" w:cs="Arial" w:eastAsia="Arial" w:hAnsi="Arial"/>
                <w:sz w:val="18"/>
                <w:szCs w:val="18"/>
                <w:color w:val="241E1C"/>
              </w:rPr>
              <w:t>Severance pay obligations</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EAEA"/>
              <w:bottom w:val="single" w:sz="8" w:color="D5EAEA"/>
            </w:tcBorders>
            <w:vMerge w:val="restart"/>
          </w:tcPr>
          <w:p>
            <w:pPr>
              <w:spacing w:after="0" w:line="20" w:lineRule="exact"/>
              <w:rPr>
                <w:sz w:val="1"/>
                <w:szCs w:val="1"/>
                <w:color w:val="auto"/>
              </w:rPr>
            </w:pPr>
          </w:p>
        </w:tc>
        <w:tc>
          <w:tcPr>
            <w:tcW w:w="100" w:type="dxa"/>
            <w:vAlign w:val="bottom"/>
            <w:tcBorders>
              <w:top w:val="single" w:sz="8" w:color="D5EAEA"/>
              <w:bottom w:val="single" w:sz="8" w:color="D5EAEA"/>
            </w:tcBorders>
            <w:vMerge w:val="restart"/>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EAE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80" w:type="dxa"/>
            <w:vAlign w:val="bottom"/>
            <w:tcBorders>
              <w:bottom w:val="single" w:sz="8" w:color="D5EAEA"/>
            </w:tcBorders>
            <w:vMerge w:val="continue"/>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w:t>
            </w:r>
          </w:p>
        </w:tc>
        <w:tc>
          <w:tcPr>
            <w:tcW w:w="80" w:type="dxa"/>
            <w:vAlign w:val="bottom"/>
            <w:tcBorders>
              <w:bottom w:val="single" w:sz="8" w:color="D5EAEA"/>
            </w:tcBorders>
            <w:vMerge w:val="continue"/>
          </w:tcPr>
          <w:p>
            <w:pPr>
              <w:spacing w:after="0"/>
              <w:rPr>
                <w:sz w:val="20"/>
                <w:szCs w:val="20"/>
                <w:color w:val="auto"/>
              </w:rPr>
            </w:pPr>
          </w:p>
        </w:tc>
        <w:tc>
          <w:tcPr>
            <w:tcW w:w="100" w:type="dxa"/>
            <w:vAlign w:val="bottom"/>
            <w:tcBorders>
              <w:bottom w:val="single" w:sz="8" w:color="D5EAEA"/>
            </w:tcBorders>
            <w:vMerge w:val="continue"/>
          </w:tcPr>
          <w:p>
            <w:pPr>
              <w:spacing w:after="0"/>
              <w:rPr>
                <w:sz w:val="20"/>
                <w:szCs w:val="20"/>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w:t>
            </w:r>
          </w:p>
        </w:tc>
        <w:tc>
          <w:tcPr>
            <w:tcW w:w="80" w:type="dxa"/>
            <w:vAlign w:val="bottom"/>
            <w:tcBorders>
              <w:bottom w:val="single" w:sz="8" w:color="D5EAEA"/>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280" w:type="dxa"/>
            <w:vAlign w:val="bottom"/>
            <w:tcBorders>
              <w:bottom w:val="single" w:sz="8" w:color="D5EAEA"/>
            </w:tcBorders>
            <w:shd w:val="clear" w:color="auto" w:fill="D5EAEA"/>
          </w:tcPr>
          <w:p>
            <w:pPr>
              <w:ind w:left="160"/>
              <w:spacing w:after="0" w:line="190" w:lineRule="exact"/>
              <w:rPr>
                <w:sz w:val="20"/>
                <w:szCs w:val="20"/>
                <w:color w:val="auto"/>
              </w:rPr>
            </w:pPr>
            <w:r>
              <w:rPr>
                <w:rFonts w:ascii="Arial" w:cs="Arial" w:eastAsia="Arial" w:hAnsi="Arial"/>
                <w:sz w:val="18"/>
                <w:szCs w:val="18"/>
                <w:color w:val="auto"/>
              </w:rPr>
              <w:t>Provision for vacation</w:t>
            </w:r>
          </w:p>
        </w:tc>
        <w:tc>
          <w:tcPr>
            <w:tcW w:w="780" w:type="dxa"/>
            <w:vAlign w:val="bottom"/>
            <w:tcBorders>
              <w:bottom w:val="single" w:sz="8" w:color="auto"/>
            </w:tcBorders>
            <w:shd w:val="clear" w:color="auto" w:fill="D5EAEA"/>
          </w:tcPr>
          <w:p>
            <w:pPr>
              <w:spacing w:after="0"/>
              <w:rPr>
                <w:sz w:val="17"/>
                <w:szCs w:val="17"/>
                <w:color w:val="auto"/>
              </w:rPr>
            </w:pPr>
          </w:p>
        </w:tc>
        <w:tc>
          <w:tcPr>
            <w:tcW w:w="30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w w:val="93"/>
              </w:rPr>
              <w:t>186</w:t>
            </w:r>
          </w:p>
        </w:tc>
        <w:tc>
          <w:tcPr>
            <w:tcW w:w="80" w:type="dxa"/>
            <w:vAlign w:val="bottom"/>
            <w:tcBorders>
              <w:bottom w:val="single" w:sz="8" w:color="D5EAEA"/>
            </w:tcBorders>
            <w:shd w:val="clear" w:color="auto" w:fill="D5EAEA"/>
          </w:tcPr>
          <w:p>
            <w:pPr>
              <w:spacing w:after="0"/>
              <w:rPr>
                <w:sz w:val="17"/>
                <w:szCs w:val="17"/>
                <w:color w:val="auto"/>
              </w:rPr>
            </w:pPr>
          </w:p>
        </w:tc>
        <w:tc>
          <w:tcPr>
            <w:tcW w:w="100" w:type="dxa"/>
            <w:vAlign w:val="bottom"/>
            <w:tcBorders>
              <w:bottom w:val="single" w:sz="8" w:color="D5EAEA"/>
            </w:tcBorders>
            <w:shd w:val="clear" w:color="auto" w:fill="D5EAEA"/>
          </w:tcPr>
          <w:p>
            <w:pPr>
              <w:spacing w:after="0"/>
              <w:rPr>
                <w:sz w:val="17"/>
                <w:szCs w:val="17"/>
                <w:color w:val="auto"/>
              </w:rPr>
            </w:pPr>
          </w:p>
        </w:tc>
        <w:tc>
          <w:tcPr>
            <w:tcW w:w="1060" w:type="dxa"/>
            <w:vAlign w:val="bottom"/>
            <w:tcBorders>
              <w:bottom w:val="single" w:sz="8" w:color="auto"/>
            </w:tcBorders>
            <w:shd w:val="clear" w:color="auto" w:fill="D5EAEA"/>
          </w:tcPr>
          <w:p>
            <w:pPr>
              <w:jc w:val="right"/>
              <w:spacing w:after="0" w:line="196" w:lineRule="exact"/>
              <w:rPr>
                <w:sz w:val="20"/>
                <w:szCs w:val="20"/>
                <w:color w:val="auto"/>
              </w:rPr>
            </w:pPr>
            <w:r>
              <w:rPr>
                <w:rFonts w:ascii="Arial" w:cs="Arial" w:eastAsia="Arial" w:hAnsi="Arial"/>
                <w:sz w:val="18"/>
                <w:szCs w:val="18"/>
                <w:color w:val="auto"/>
              </w:rPr>
              <w:t>138</w:t>
            </w:r>
          </w:p>
        </w:tc>
        <w:tc>
          <w:tcPr>
            <w:tcW w:w="80" w:type="dxa"/>
            <w:vAlign w:val="bottom"/>
            <w:tcBorders>
              <w:bottom w:val="single" w:sz="8" w:color="D5EAEA"/>
            </w:tcBorders>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ind w:left="160"/>
              <w:spacing w:after="0"/>
              <w:rPr>
                <w:sz w:val="20"/>
                <w:szCs w:val="20"/>
                <w:color w:val="auto"/>
              </w:rPr>
            </w:pPr>
            <w:r>
              <w:rPr>
                <w:rFonts w:ascii="Arial" w:cs="Arial" w:eastAsia="Arial" w:hAnsi="Arial"/>
                <w:sz w:val="18"/>
                <w:szCs w:val="18"/>
                <w:color w:val="auto"/>
              </w:rPr>
              <w:t>Directors fee and services</w:t>
            </w: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80" w:type="dxa"/>
            <w:vAlign w:val="bottom"/>
            <w:vMerge w:val="continue"/>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w:t>
            </w:r>
          </w:p>
        </w:tc>
        <w:tc>
          <w:tcPr>
            <w:tcW w:w="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229"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On January 10, 2018, the Company appointed Dr. Eric Lang as the Company’s Chief Medical Officer, effective January 15, 2018. Mr. Lang will replace Dr. Miriam Blum, who has served as the Company’s Chief Medical Officer since January 2015. In connection with Dr. Lang’s appointment as the Company’s new Chief Medical Officer, the Company’s Board of Directors approved an increase to the available pool of ordinary shares reserved under the Company’s current share incentive plan and granted Dr. Lang options to purchase 850 ordinary shares at an exercise price of $820 per share.</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205" w:name="page206"/>
    <w:bookmarkEnd w:id="2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920750</wp:posOffset>
            </wp:positionV>
            <wp:extent cx="7246620" cy="431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972185</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3056255</wp:posOffset>
            </wp:positionH>
            <wp:positionV relativeFrom="page">
              <wp:posOffset>3133725</wp:posOffset>
            </wp:positionV>
            <wp:extent cx="144907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page">
              <wp:posOffset>2618740</wp:posOffset>
            </wp:positionH>
            <wp:positionV relativeFrom="page">
              <wp:posOffset>1272540</wp:posOffset>
            </wp:positionV>
            <wp:extent cx="2332355" cy="14408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clrChange>
                        <a:clrFrom>
                          <a:srgbClr val="FFFFFF"/>
                        </a:clrFrom>
                        <a:clrTo>
                          <a:srgbClr val="FFFFFF">
                            <a:alpha val="0"/>
                          </a:srgbClr>
                        </a:clrTo>
                      </a:clrChange>
                      <a:extLst>
                        <a:ext uri="{28A0092B-C50C-407E-A947-70E740481C1C}"/>
                      </a:extLst>
                    </a:blip>
                    <a:srcRect/>
                    <a:stretch>
                      <a:fillRect/>
                    </a:stretch>
                  </pic:blipFill>
                  <pic:spPr bwMode="auto">
                    <a:xfrm>
                      <a:off x="0" y="0"/>
                      <a:ext cx="2332355"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165735</wp:posOffset>
            </wp:positionV>
            <wp:extent cx="144907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329"/>
        </w:trPr>
        <w:tc>
          <w:tcPr>
            <w:tcW w:w="900" w:type="dxa"/>
            <w:vAlign w:val="bottom"/>
          </w:tcPr>
          <w:p>
            <w:pPr>
              <w:spacing w:after="0"/>
              <w:rPr>
                <w:sz w:val="24"/>
                <w:szCs w:val="24"/>
                <w:color w:val="auto"/>
              </w:rPr>
            </w:pPr>
          </w:p>
        </w:tc>
        <w:tc>
          <w:tcPr>
            <w:tcW w:w="10520" w:type="dxa"/>
            <w:vAlign w:val="bottom"/>
          </w:tcPr>
          <w:p>
            <w:pPr>
              <w:jc w:val="right"/>
              <w:ind w:right="4512"/>
              <w:spacing w:after="0"/>
              <w:rPr>
                <w:sz w:val="20"/>
                <w:szCs w:val="20"/>
                <w:color w:val="auto"/>
              </w:rPr>
            </w:pPr>
            <w:r>
              <w:rPr>
                <w:rFonts w:ascii="Arial" w:cs="Arial" w:eastAsia="Arial" w:hAnsi="Arial"/>
                <w:sz w:val="25"/>
                <w:szCs w:val="25"/>
                <w:b w:val="1"/>
                <w:bCs w:val="1"/>
                <w:color w:val="auto"/>
              </w:rPr>
              <w:t>Maxim Group LLC</w:t>
            </w:r>
          </w:p>
        </w:tc>
      </w:tr>
      <w:tr>
        <w:trPr>
          <w:trHeight w:val="974"/>
        </w:trPr>
        <w:tc>
          <w:tcPr>
            <w:tcW w:w="900" w:type="dxa"/>
            <w:vAlign w:val="bottom"/>
          </w:tcPr>
          <w:p>
            <w:pPr>
              <w:spacing w:after="0"/>
              <w:rPr>
                <w:sz w:val="24"/>
                <w:szCs w:val="24"/>
                <w:color w:val="auto"/>
              </w:rPr>
            </w:pPr>
          </w:p>
        </w:tc>
        <w:tc>
          <w:tcPr>
            <w:tcW w:w="10520" w:type="dxa"/>
            <w:vAlign w:val="bottom"/>
          </w:tcPr>
          <w:p>
            <w:pPr>
              <w:jc w:val="right"/>
              <w:ind w:right="5192"/>
              <w:spacing w:after="0"/>
              <w:rPr>
                <w:sz w:val="20"/>
                <w:szCs w:val="20"/>
                <w:color w:val="auto"/>
              </w:rPr>
            </w:pPr>
            <w:r>
              <w:rPr>
                <w:rFonts w:ascii="Arial" w:cs="Arial" w:eastAsia="Arial" w:hAnsi="Arial"/>
                <w:sz w:val="22"/>
                <w:szCs w:val="22"/>
                <w:b w:val="1"/>
                <w:bCs w:val="1"/>
                <w:color w:val="auto"/>
              </w:rPr>
              <w:t>, 2018</w:t>
            </w:r>
          </w:p>
        </w:tc>
      </w:tr>
      <w:tr>
        <w:trPr>
          <w:trHeight w:val="267"/>
        </w:trPr>
        <w:tc>
          <w:tcPr>
            <w:tcW w:w="900" w:type="dxa"/>
            <w:vAlign w:val="bottom"/>
            <w:tcBorders>
              <w:bottom w:val="single" w:sz="8" w:color="auto"/>
            </w:tcBorders>
          </w:tcPr>
          <w:p>
            <w:pPr>
              <w:spacing w:after="0"/>
              <w:rPr>
                <w:sz w:val="23"/>
                <w:szCs w:val="23"/>
                <w:color w:val="auto"/>
              </w:rPr>
            </w:pPr>
          </w:p>
        </w:tc>
        <w:tc>
          <w:tcPr>
            <w:tcW w:w="10520" w:type="dxa"/>
            <w:vAlign w:val="bottom"/>
            <w:tcBorders>
              <w:bottom w:val="single" w:sz="8" w:color="auto"/>
            </w:tcBorders>
          </w:tcPr>
          <w:p>
            <w:pPr>
              <w:spacing w:after="0"/>
              <w:rPr>
                <w:sz w:val="23"/>
                <w:szCs w:val="23"/>
                <w:color w:val="auto"/>
              </w:rPr>
            </w:pPr>
          </w:p>
        </w:tc>
      </w:tr>
      <w:tr>
        <w:trPr>
          <w:trHeight w:val="459"/>
        </w:trPr>
        <w:tc>
          <w:tcPr>
            <w:tcW w:w="900" w:type="dxa"/>
            <w:vAlign w:val="bottom"/>
          </w:tcPr>
          <w:p>
            <w:pPr>
              <w:spacing w:after="0"/>
              <w:rPr>
                <w:sz w:val="20"/>
                <w:szCs w:val="20"/>
                <w:color w:val="auto"/>
              </w:rPr>
            </w:pPr>
            <w:r>
              <w:rPr>
                <w:rFonts w:ascii="Arial" w:cs="Arial" w:eastAsia="Arial" w:hAnsi="Arial"/>
                <w:sz w:val="18"/>
                <w:szCs w:val="18"/>
                <w:b w:val="1"/>
                <w:bCs w:val="1"/>
                <w:color w:val="auto"/>
              </w:rPr>
              <w:t>Until</w:t>
            </w:r>
          </w:p>
        </w:tc>
        <w:tc>
          <w:tcPr>
            <w:tcW w:w="10520" w:type="dxa"/>
            <w:vAlign w:val="bottom"/>
          </w:tcPr>
          <w:p>
            <w:pPr>
              <w:jc w:val="right"/>
              <w:ind w:right="592"/>
              <w:spacing w:after="0"/>
              <w:rPr>
                <w:sz w:val="20"/>
                <w:szCs w:val="20"/>
                <w:color w:val="auto"/>
              </w:rPr>
            </w:pPr>
            <w:r>
              <w:rPr>
                <w:rFonts w:ascii="Arial" w:cs="Arial" w:eastAsia="Arial" w:hAnsi="Arial"/>
                <w:sz w:val="18"/>
                <w:szCs w:val="18"/>
                <w:b w:val="1"/>
                <w:bCs w:val="1"/>
                <w:color w:val="auto"/>
                <w:w w:val="93"/>
              </w:rPr>
              <w:t>, 2018 (the 25th day after the date of this prospectus), all dealers that effect transactions in these securities, whether or not</w:t>
            </w:r>
          </w:p>
        </w:tc>
      </w:tr>
    </w:tbl>
    <w:p>
      <w:pPr>
        <w:ind w:right="460"/>
        <w:spacing w:after="0" w:line="261" w:lineRule="auto"/>
        <w:rPr>
          <w:sz w:val="20"/>
          <w:szCs w:val="20"/>
          <w:color w:val="auto"/>
        </w:rPr>
      </w:pPr>
      <w:r>
        <w:rPr>
          <w:rFonts w:ascii="Arial" w:cs="Arial" w:eastAsia="Arial" w:hAnsi="Arial"/>
          <w:sz w:val="18"/>
          <w:szCs w:val="18"/>
          <w:b w:val="1"/>
          <w:bCs w:val="1"/>
          <w:color w:val="auto"/>
        </w:rPr>
        <w:t>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1360805</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6" w:name="page207"/>
    <w:bookmarkEnd w:id="20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INFORMATION NOT REQUIRED IN PROSPECTUS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Our amended Articles set forth the following provisions regarding the grant of insurance coverage, indemnification and an exemption from liability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to any of our directors or officers, all subject to the provisions of applicable law. In accordance with such provisions and pursuant to the requisite corporate approvals, we have obtained liability insurance covering our directors and officers, have granted indemnification undertakings to our directors and officers and have agreed to exempt our directors and officers from liability in each case, to the fullest extent permitted by our amended Articles and applicable law, including with respect to liabilities resulting from this offering to the extent that these liabilities are not covered by insurance.</w:t>
      </w:r>
    </w:p>
    <w:p>
      <w:pPr>
        <w:spacing w:after="0" w:line="1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We are entitled to insure the liability of any director or officer to the fullest extent permitted by law. Without derogating from the aforesaid, we</w:t>
      </w:r>
      <w:r>
        <w:rPr>
          <w:rFonts w:ascii="Arial" w:cs="Arial" w:eastAsia="Arial" w:hAnsi="Arial"/>
          <w:sz w:val="18"/>
          <w:szCs w:val="18"/>
          <w:i w:val="1"/>
          <w:iCs w:val="1"/>
          <w:color w:val="auto"/>
        </w:rPr>
        <w:t xml:space="preserve"> </w:t>
      </w:r>
      <w:r>
        <w:rPr>
          <w:rFonts w:ascii="Arial" w:cs="Arial" w:eastAsia="Arial" w:hAnsi="Arial"/>
          <w:sz w:val="18"/>
          <w:szCs w:val="18"/>
          <w:color w:val="auto"/>
        </w:rPr>
        <w:t>may enter into a contract to insure the liability of a director or officer for an obligation imposed on him or her in consequence of an act done in his or her capacity as such, in any of the following cases:</w:t>
      </w:r>
    </w:p>
    <w:p>
      <w:pPr>
        <w:spacing w:after="0" w:line="181" w:lineRule="exact"/>
        <w:rPr>
          <w:sz w:val="20"/>
          <w:szCs w:val="20"/>
          <w:color w:val="auto"/>
        </w:rPr>
      </w:pPr>
    </w:p>
    <w:p>
      <w:pPr>
        <w:ind w:left="340" w:hanging="170"/>
        <w:spacing w:after="0"/>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breach of the duty of care toward us or a third party, to the extent such a breach arises out of the negligent conduct of the office holder;</w:t>
      </w:r>
    </w:p>
    <w:p>
      <w:pPr>
        <w:spacing w:after="0" w:line="225" w:lineRule="exact"/>
        <w:rPr>
          <w:rFonts w:ascii="Arial" w:cs="Arial" w:eastAsia="Arial" w:hAnsi="Arial"/>
          <w:sz w:val="18"/>
          <w:szCs w:val="18"/>
          <w:color w:val="auto"/>
        </w:rPr>
      </w:pPr>
    </w:p>
    <w:p>
      <w:pPr>
        <w:ind w:left="340" w:right="220" w:hanging="170"/>
        <w:spacing w:after="0" w:line="277" w:lineRule="auto"/>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breach of the duty of loyalty toward us, provided that the director or officer acted in good faith and had reasonable basis to believe that the act would not harm us;</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monetary obligation imposed on him or her in favor of a third party;</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payment imposed on him or her in favor of an injured party as set forth in Section 52(54)(a)(1)(a) of the Israeli Securities Law; or</w:t>
      </w:r>
    </w:p>
    <w:p>
      <w:pPr>
        <w:spacing w:after="0" w:line="225" w:lineRule="exact"/>
        <w:rPr>
          <w:rFonts w:ascii="Arial" w:cs="Arial" w:eastAsia="Arial" w:hAnsi="Arial"/>
          <w:sz w:val="18"/>
          <w:szCs w:val="18"/>
          <w:color w:val="auto"/>
        </w:rPr>
      </w:pPr>
    </w:p>
    <w:p>
      <w:pPr>
        <w:ind w:left="340" w:right="320" w:hanging="170"/>
        <w:spacing w:after="0" w:line="264" w:lineRule="auto"/>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reasonable litigation expenses, including attorney fees, incurred by him or her in connection with a proceeding under Chapters H’3, H’4 or I’l of the Israeli Securities Law or under Article D of the Fourth Chapter, Ninth Part of the Companies Law, if applicable, including reasonable legal expenses, which term includes attorney fees.</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We are entitled to indemnify a director or officer to the fullest extent permitted by law, either retroactively or pursuant to an undertaking</w:t>
      </w:r>
      <w:r>
        <w:rPr>
          <w:rFonts w:ascii="Arial" w:cs="Arial" w:eastAsia="Arial" w:hAnsi="Arial"/>
          <w:sz w:val="18"/>
          <w:szCs w:val="18"/>
          <w:i w:val="1"/>
          <w:iCs w:val="1"/>
          <w:color w:val="auto"/>
        </w:rPr>
        <w:t xml:space="preserve"> </w:t>
      </w:r>
      <w:r>
        <w:rPr>
          <w:rFonts w:ascii="Arial" w:cs="Arial" w:eastAsia="Arial" w:hAnsi="Arial"/>
          <w:sz w:val="18"/>
          <w:szCs w:val="18"/>
          <w:color w:val="auto"/>
        </w:rPr>
        <w:t>given in advance. Without derogating from the aforesaid, we may indemnify our directors or officers for liability or expense imposed on him or her in consequence of an action taken by him in his capacity as such, as follows:</w:t>
      </w:r>
    </w:p>
    <w:p>
      <w:pPr>
        <w:spacing w:after="0" w:line="181" w:lineRule="exact"/>
        <w:rPr>
          <w:sz w:val="20"/>
          <w:szCs w:val="20"/>
          <w:color w:val="auto"/>
        </w:rPr>
      </w:pPr>
    </w:p>
    <w:p>
      <w:pPr>
        <w:jc w:val="both"/>
        <w:ind w:left="340" w:right="100" w:hanging="170"/>
        <w:spacing w:after="0" w:line="264" w:lineRule="auto"/>
        <w:tabs>
          <w:tab w:leader="none" w:pos="3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financial obligation or liability imposed on or incurred in favor of another person and/or legal entity, including by any government office, or expended as a result of a court judgment, including in a settlement or an arbitrator’s decision approved by a court of law, in respect of any act or omission taken or made by him or her in his or her capacity as a director or an officer of the Company of any of its subsidiaries;</w:t>
      </w:r>
    </w:p>
    <w:p>
      <w:pPr>
        <w:spacing w:after="0" w:line="181" w:lineRule="exact"/>
        <w:rPr>
          <w:rFonts w:ascii="Arial" w:cs="Arial" w:eastAsia="Arial" w:hAnsi="Arial"/>
          <w:sz w:val="18"/>
          <w:szCs w:val="18"/>
          <w:color w:val="auto"/>
        </w:rPr>
      </w:pPr>
    </w:p>
    <w:p>
      <w:pPr>
        <w:ind w:left="340" w:right="20" w:hanging="170"/>
        <w:spacing w:after="0" w:line="276" w:lineRule="auto"/>
        <w:tabs>
          <w:tab w:leader="none" w:pos="3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reasonable legal expenses, including attorney’s fees, expended by him or her as a result of an investigation or proceeding instituted against him or her by a competent authority, provided that such investigation or proceeding concluded without the filing of an indictment against him or her and without any financial liability imposed on him or her in lieu of criminal proceedings, or that is concluded with the imposition of a financial liability in lieu of criminal proceedings but relates to a criminal offense that does not require proof of criminal intent or in connection with a financial sanction imposed on him or her in his or her capacity as a director or an officer of the Company or of any of its subsidiaries;</w:t>
      </w:r>
    </w:p>
    <w:p>
      <w:pPr>
        <w:spacing w:after="0" w:line="172" w:lineRule="exact"/>
        <w:rPr>
          <w:rFonts w:ascii="Arial" w:cs="Arial" w:eastAsia="Arial" w:hAnsi="Arial"/>
          <w:sz w:val="17"/>
          <w:szCs w:val="17"/>
          <w:color w:val="auto"/>
        </w:rPr>
      </w:pPr>
    </w:p>
    <w:p>
      <w:pPr>
        <w:ind w:left="340" w:right="200" w:hanging="170"/>
        <w:spacing w:after="0" w:line="259" w:lineRule="auto"/>
        <w:tabs>
          <w:tab w:leader="none" w:pos="3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reasonable legal expenses, including attorney’s fees, and all other costs, expenses and obligations incurred in connection with investigating, defending, being a witness in or participating in (including on appeal), or preparing to defend in or participate, in any action, suit, proceeding, alternative dispute resolution mechanism, hearing, inquiry or investigation brought against him or her by the Company or on its behalf or by another person or in any criminal prosecution in which he or she was acquitted, or</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207" w:name="page208"/>
    <w:bookmarkEnd w:id="20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in a criminal prosecution of a crime which does not require proof of criminal intent, in which he or she was convicted, all in respect of actions taken by him or her in his or her capacity as a director or an officer of the Company or of any of its subsidiaries;</w:t>
      </w:r>
    </w:p>
    <w:p>
      <w:pPr>
        <w:spacing w:after="0" w:line="170" w:lineRule="exact"/>
        <w:rPr>
          <w:sz w:val="20"/>
          <w:szCs w:val="20"/>
          <w:color w:val="auto"/>
        </w:rPr>
      </w:pPr>
    </w:p>
    <w:p>
      <w:pPr>
        <w:ind w:left="340" w:hanging="170"/>
        <w:spacing w:after="0"/>
        <w:tabs>
          <w:tab w:leader="none" w:pos="3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payment he or she was obligated to make to an injured party as set forth in Section 52(54)(a)(1)(a) of the Israeli Securities Law;</w:t>
      </w:r>
    </w:p>
    <w:p>
      <w:pPr>
        <w:spacing w:after="0" w:line="225" w:lineRule="exact"/>
        <w:rPr>
          <w:rFonts w:ascii="Arial" w:cs="Arial" w:eastAsia="Arial" w:hAnsi="Arial"/>
          <w:sz w:val="18"/>
          <w:szCs w:val="18"/>
          <w:color w:val="auto"/>
        </w:rPr>
      </w:pPr>
    </w:p>
    <w:p>
      <w:pPr>
        <w:ind w:left="340" w:hanging="170"/>
        <w:spacing w:after="0" w:line="277" w:lineRule="auto"/>
        <w:tabs>
          <w:tab w:leader="none" w:pos="3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reasonable litigation expenses, including attorney fees, incurred by the director or officer in connection with a proceeding under Chapters H’3, H’4 or I’1 of the Israeli Securities Law; or</w:t>
      </w:r>
    </w:p>
    <w:p>
      <w:pPr>
        <w:spacing w:after="0" w:line="170" w:lineRule="exact"/>
        <w:rPr>
          <w:rFonts w:ascii="Arial" w:cs="Arial" w:eastAsia="Arial" w:hAnsi="Arial"/>
          <w:sz w:val="18"/>
          <w:szCs w:val="18"/>
          <w:color w:val="auto"/>
        </w:rPr>
      </w:pPr>
    </w:p>
    <w:p>
      <w:pPr>
        <w:ind w:left="340" w:right="480" w:hanging="170"/>
        <w:spacing w:after="0" w:line="277" w:lineRule="auto"/>
        <w:tabs>
          <w:tab w:leader="none" w:pos="3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other circumstances arising under the law in respect of which the Company may indemnify a director or an officer of the Company (including, without limitation, Section 50P(b)(2) of the Israeli Restrictive Trade Practices Law, 5758-1988).</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Exemption. </w:t>
      </w:r>
      <w:r>
        <w:rPr>
          <w:rFonts w:ascii="Arial" w:cs="Arial" w:eastAsia="Arial" w:hAnsi="Arial"/>
          <w:sz w:val="18"/>
          <w:szCs w:val="18"/>
          <w:color w:val="auto"/>
        </w:rPr>
        <w:t>We are entitled to exempt a director or officer in advance from any or all of his or her liability for damage caused by a breach of his or her duty</w:t>
      </w:r>
      <w:r>
        <w:rPr>
          <w:rFonts w:ascii="Arial" w:cs="Arial" w:eastAsia="Arial" w:hAnsi="Arial"/>
          <w:sz w:val="18"/>
          <w:szCs w:val="18"/>
          <w:i w:val="1"/>
          <w:iCs w:val="1"/>
          <w:color w:val="auto"/>
        </w:rPr>
        <w:t xml:space="preserve"> </w:t>
      </w:r>
      <w:r>
        <w:rPr>
          <w:rFonts w:ascii="Arial" w:cs="Arial" w:eastAsia="Arial" w:hAnsi="Arial"/>
          <w:sz w:val="18"/>
          <w:szCs w:val="18"/>
          <w:color w:val="auto"/>
        </w:rPr>
        <w:t>of care toward us, to the fullest extent permitted by law.</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Limitations. </w:t>
      </w:r>
      <w:r>
        <w:rPr>
          <w:rFonts w:ascii="Arial" w:cs="Arial" w:eastAsia="Arial" w:hAnsi="Arial"/>
          <w:sz w:val="18"/>
          <w:szCs w:val="18"/>
          <w:color w:val="auto"/>
        </w:rPr>
        <w:t>The Companies Law provides that a company may not provide its directors or officers with insurance or indemnification or exempt its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or officers from liability with respect to the following:</w:t>
      </w:r>
    </w:p>
    <w:p>
      <w:pPr>
        <w:spacing w:after="0" w:line="170" w:lineRule="exact"/>
        <w:rPr>
          <w:sz w:val="20"/>
          <w:szCs w:val="20"/>
          <w:color w:val="auto"/>
        </w:rPr>
      </w:pPr>
    </w:p>
    <w:p>
      <w:pPr>
        <w:ind w:left="340" w:hanging="170"/>
        <w:spacing w:after="0" w:line="286" w:lineRule="auto"/>
        <w:tabs>
          <w:tab w:leader="none" w:pos="3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 breach of the duty of loyalty to the Company or any of its subsidiaries, except to the extent permitted by the Companies Law, with respect to insurance coverage or indemnification for a breach of the duty of loyalty to the Company or any of its subsidiaries while acting in good faith and having reasonable cause to assume that such act would not prejudice the interest of the Company or any of its subsidiaries, as applicable;</w:t>
      </w:r>
    </w:p>
    <w:p>
      <w:pPr>
        <w:spacing w:after="0" w:line="165" w:lineRule="exact"/>
        <w:rPr>
          <w:rFonts w:ascii="Arial" w:cs="Arial" w:eastAsia="Arial" w:hAnsi="Arial"/>
          <w:sz w:val="17"/>
          <w:szCs w:val="17"/>
          <w:color w:val="auto"/>
        </w:rPr>
      </w:pPr>
    </w:p>
    <w:p>
      <w:pPr>
        <w:ind w:left="340" w:hanging="170"/>
        <w:spacing w:after="0"/>
        <w:tabs>
          <w:tab w:leader="none" w:pos="3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willful or reckless breach of the duty of care, other than a breach committed solely by negligence;</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 action taken or not taken with the intent of unlawfully realizing personal gain; or</w:t>
      </w:r>
    </w:p>
    <w:p>
      <w:pPr>
        <w:spacing w:after="0" w:line="225" w:lineRule="exact"/>
        <w:rPr>
          <w:rFonts w:ascii="Arial" w:cs="Arial" w:eastAsia="Arial" w:hAnsi="Arial"/>
          <w:sz w:val="18"/>
          <w:szCs w:val="18"/>
          <w:color w:val="auto"/>
        </w:rPr>
      </w:pPr>
    </w:p>
    <w:p>
      <w:pPr>
        <w:ind w:left="340" w:hanging="170"/>
        <w:spacing w:after="0"/>
        <w:tabs>
          <w:tab w:leader="none" w:pos="3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fine or penalty imposed upon the director or the officer for an offense.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229"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During the past three years, we issued securities that were not registered under the Securities Act of 1933, as amended, or the Securities Act, as set forth below. We believe that each of such issuances was exempt from registration under the Securities Act in reliance on Section 4(a)(2) of the Securities Act, Rule 701 and/or Regulation S under the Securities Act.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transactions during the preceding three fiscal years involving sales of our securities that were not registered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211" w:lineRule="exact"/>
        <w:rPr>
          <w:sz w:val="20"/>
          <w:szCs w:val="20"/>
          <w:color w:val="auto"/>
        </w:rPr>
      </w:pPr>
    </w:p>
    <w:p>
      <w:pPr>
        <w:ind w:left="340" w:hanging="170"/>
        <w:spacing w:after="0"/>
        <w:tabs>
          <w:tab w:leader="none" w:pos="3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Pursuant to Convertible Financing Agreements entered into between us, the lenders thereto, or the lenders, and D.N.A Biomedical, between</w:t>
      </w:r>
    </w:p>
    <w:p>
      <w:pPr>
        <w:spacing w:after="0" w:line="34" w:lineRule="exact"/>
        <w:rPr>
          <w:rFonts w:ascii="Arial" w:cs="Arial" w:eastAsia="Arial" w:hAnsi="Arial"/>
          <w:sz w:val="17"/>
          <w:szCs w:val="17"/>
          <w:color w:val="auto"/>
        </w:rPr>
      </w:pPr>
    </w:p>
    <w:p>
      <w:pPr>
        <w:ind w:left="340" w:right="100"/>
        <w:spacing w:after="0" w:line="273" w:lineRule="auto"/>
        <w:rPr>
          <w:rFonts w:ascii="Arial" w:cs="Arial" w:eastAsia="Arial" w:hAnsi="Arial"/>
          <w:sz w:val="17"/>
          <w:szCs w:val="17"/>
          <w:color w:val="auto"/>
        </w:rPr>
      </w:pPr>
      <w:r>
        <w:rPr>
          <w:rFonts w:ascii="Arial" w:cs="Arial" w:eastAsia="Arial" w:hAnsi="Arial"/>
          <w:sz w:val="17"/>
          <w:szCs w:val="17"/>
          <w:color w:val="auto"/>
        </w:rPr>
        <w:t>November 2012 and January 2013, the lenders loaned to us an aggregate amount of $1.15 million. Each of the investors has the right during the term to convert its respective loan amount (subject to adjustment) into our ordinary shares at a conversion price of $240.26 per ordinary share, and the outstanding loan amounts will be automatically converted into our ordinary shares immediately prior to the closing of this offering. The total number of our ordinary shares that can be acquired upon conversion of the current outstanding loan amounts is 4,786 ordinary shares;</w:t>
      </w:r>
    </w:p>
    <w:p>
      <w:pPr>
        <w:spacing w:after="0" w:line="176" w:lineRule="exact"/>
        <w:rPr>
          <w:rFonts w:ascii="Arial" w:cs="Arial" w:eastAsia="Arial" w:hAnsi="Arial"/>
          <w:sz w:val="17"/>
          <w:szCs w:val="17"/>
          <w:color w:val="auto"/>
        </w:rPr>
      </w:pPr>
    </w:p>
    <w:p>
      <w:pPr>
        <w:ind w:left="340" w:right="120" w:hanging="170"/>
        <w:spacing w:after="0" w:line="277" w:lineRule="auto"/>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Pursuant to the share purchase agreements entered into between us and the other parties identified therein in September and October 2013, we issued an aggregate of 2,318 of our ordinary shares for an aggregate purchase price of $635,000;</w:t>
      </w:r>
    </w:p>
    <w:p>
      <w:pPr>
        <w:spacing w:after="0" w:line="170" w:lineRule="exact"/>
        <w:rPr>
          <w:rFonts w:ascii="Arial" w:cs="Arial" w:eastAsia="Arial" w:hAnsi="Arial"/>
          <w:sz w:val="18"/>
          <w:szCs w:val="18"/>
          <w:color w:val="auto"/>
        </w:rPr>
      </w:pPr>
    </w:p>
    <w:p>
      <w:pPr>
        <w:ind w:left="340" w:right="20" w:hanging="170"/>
        <w:spacing w:after="0" w:line="259" w:lineRule="auto"/>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Pursuant to the Series A Preferred Share Purchase Agreement with Centillion on January 29, 2014, Centillion purchased 4,172 of our Series A preferred shares (which can be converted into 4,172 of our ordinary shares at the current conversion rate of one ordinary share for one Series A preferred share and will be automatically converted into our ordinary shares at the then-current conversion rate upon the closing of this offering), for a purchase price of $2.0 million, and we issued to Centillion a warrant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208" w:name="page209"/>
    <w:bookmarkEnd w:id="20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right="300"/>
        <w:spacing w:after="0" w:line="264" w:lineRule="auto"/>
        <w:rPr>
          <w:sz w:val="20"/>
          <w:szCs w:val="20"/>
          <w:color w:val="auto"/>
        </w:rPr>
      </w:pPr>
      <w:r>
        <w:rPr>
          <w:rFonts w:ascii="Arial" w:cs="Arial" w:eastAsia="Arial" w:hAnsi="Arial"/>
          <w:sz w:val="18"/>
          <w:szCs w:val="18"/>
          <w:color w:val="auto"/>
        </w:rPr>
        <w:t>to purchase up to 1,043 of our (i) Series A preferred shares prior to the consummation of this offering and (ii) ordinary shares upon the closing of this offering and otherwise after the conversion of all of our Series A preferred shares into our ordinary shares (the shares described in (i) and (ii), the “applicable shares”).</w:t>
      </w:r>
    </w:p>
    <w:p>
      <w:pPr>
        <w:spacing w:after="0" w:line="181" w:lineRule="exact"/>
        <w:rPr>
          <w:sz w:val="20"/>
          <w:szCs w:val="20"/>
          <w:color w:val="auto"/>
        </w:rPr>
      </w:pPr>
    </w:p>
    <w:p>
      <w:pPr>
        <w:ind w:left="340" w:hanging="170"/>
        <w:spacing w:after="0" w:line="257" w:lineRule="auto"/>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Pursuant to the Series A Preferred Share Purchase Agreements we entered into during the course of 2014 and January 2015 with the other parties identified therein, such parties purchased from us an aggregate of 939 of our Series A preferred shares (which can be converted into 939 of our ordinary shares at the current conversion rate of one ordinary share for one Series A preferred share and will be automatically converted into our ordinary shares at the then-current conversion rate upon the closing of this offering), for an aggregate purchase price of $450,000, and we issued to such parties warrant to purchase up to 234 of the applicable shares.</w:t>
      </w:r>
    </w:p>
    <w:p>
      <w:pPr>
        <w:spacing w:after="0" w:line="188" w:lineRule="exact"/>
        <w:rPr>
          <w:rFonts w:ascii="Arial" w:cs="Arial" w:eastAsia="Arial" w:hAnsi="Arial"/>
          <w:sz w:val="18"/>
          <w:szCs w:val="18"/>
          <w:color w:val="auto"/>
        </w:rPr>
      </w:pPr>
    </w:p>
    <w:p>
      <w:pPr>
        <w:ind w:left="340" w:hanging="170"/>
        <w:spacing w:after="0" w:line="290" w:lineRule="auto"/>
        <w:tabs>
          <w:tab w:leader="none" w:pos="3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Pursuant to the second Amendment to the Series A Preferred Share Purchase Agreement with Centillion that we entered into on January 21, 2015, Centillion purchased 4,172 of our Series A preferred shares (which can be converted into 4,172 of our ordinary shares at the current conversion rate of one ordinary share for one Series A preferred share and will be automatically converted into our ordinary shares at the then-current conversion rate upon the closing of this offering), for a purchase price of $2.0 million, and we issued to Centillion a warrant to purchase up to 1,043 of our applicable shares. In addition, we issued to Centillion an additional warrant that is exercisable upon (and for a period of two years following) the first to occur of a significant financing round, an M&amp;A event (as defined in the warrant), or our initial public offering, or a triggering event, to purchase up to $2.0 million of the type of shares issued in such triggering event at a 25% discount to the applicable price per share. The Series B preferred shares purchase agreement has set the price in which, and the amounts for which, the holders of the additional warrants are entitled to exercise their additional warrants.</w:t>
      </w:r>
    </w:p>
    <w:p>
      <w:pPr>
        <w:spacing w:after="0" w:line="166" w:lineRule="exact"/>
        <w:rPr>
          <w:rFonts w:ascii="Arial" w:cs="Arial" w:eastAsia="Arial" w:hAnsi="Arial"/>
          <w:sz w:val="16"/>
          <w:szCs w:val="16"/>
          <w:color w:val="auto"/>
        </w:rPr>
      </w:pPr>
    </w:p>
    <w:p>
      <w:pPr>
        <w:ind w:left="340" w:hanging="170"/>
        <w:spacing w:after="0" w:line="289" w:lineRule="auto"/>
        <w:tabs>
          <w:tab w:leader="none" w:pos="3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Pursuant to the first Amendment to the Series A Preferred Share Purchase Agreements with other purchasers of our Series A Preferred Shares that we entered into in March 2015, such other purchasers purchased 939 of our Series A preferred shares (which can be converted into 939 of our ordinary shares at the current conversion rate of one ordinary share for one Series A preferred share and will be automatically converted into our ordinary shares at the then-current conversion rate upon the closing of this offering), for an aggregate purchase price of $450,000, and we issued to such other purchasers of our Series A Preferred Shares warrants to purchase up to 234 of our applicable shares. In addition, we issued to such other purchasers of our Series A Preferred Shares additional warrants that are exercisable (and for a period of two years thereafter) upon the first to occur of a significant financing round, an M&amp;A event (as defined in the warrant), or our initial public offering, or a triggering event to purchase up to $450,000 of the type of shares issued in such triggering event at a 25% discount to the applicable price per share. The Series B preferred shares purchase agreement has set the price in which, and the amounts for which, the holders of the additional warrants are entitled to exercise their additional warrants.</w:t>
      </w:r>
    </w:p>
    <w:p>
      <w:pPr>
        <w:spacing w:after="0" w:line="166" w:lineRule="exact"/>
        <w:rPr>
          <w:rFonts w:ascii="Arial" w:cs="Arial" w:eastAsia="Arial" w:hAnsi="Arial"/>
          <w:sz w:val="16"/>
          <w:szCs w:val="16"/>
          <w:color w:val="auto"/>
        </w:rPr>
      </w:pPr>
    </w:p>
    <w:p>
      <w:pPr>
        <w:ind w:left="340" w:right="80" w:hanging="170"/>
        <w:spacing w:after="0" w:line="269" w:lineRule="auto"/>
        <w:tabs>
          <w:tab w:leader="none" w:pos="3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On August 5, 2015, the Company entered into the 2015 Convertible Loan with certain lenders. Pursuant to the loan agreement for the 2015 Convertible Loan, the lenders loaned us an aggregate amount of $2.005 million. The 2015 Convertible Loan bore interest at a rate of 5% per year. The loan would also be automatically converted upon occurrence of the a 2015 Triggering Event into the equity securities and/or securities convertible into equity securities of the Company that were issued in such a transaction, at a 25% discount. In addition, the Company issued to each lender under the 2015 Convertible Loan the 2015 Warrants to purchase an additional 40% of the amount of our securities that would have been issued to such lender as a result of the automatic conversion following a 2015 Triggering Event at an exercise price of 125% of the applicable price per share. The 2015 Warrants were exercisable for the earlier of two years from the warrant issuance date or one year from consummation of an initial public offering. As part of the 2016 Convertible Loan, we granted the lenders a right to roll-over the 2015 Convertible Loan into the 2016 Convertible Loan. The lenders elected to roll-over an amount of $1.057 million into the 2016 Convertible Loan and the reminder, in an amount of $1.053 million (including interest and principal), was repaid by the Company in February 2017. There remain no amounts outstanding under the 2015 Convertible Loans, and no 2015 Warrants remain outstanding.</w:t>
      </w: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209" w:name="page210"/>
    <w:bookmarkEnd w:id="20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340" w:right="40" w:hanging="170"/>
        <w:spacing w:after="0" w:line="290" w:lineRule="auto"/>
        <w:tabs>
          <w:tab w:leader="none" w:pos="3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On June 14, 2016, the Company entered into the 2016 Convertible Loan with certain lenders for an aggregate amount of approximately $7.44 million. In addition, an amount of $1.057 million of the 2015 Convertible Loan rolled over to the 2016 Convertible Loan. The 2016 Convertible Loan was given for a term of 18 months and bore interest at a rate of 5% per year. The 2016 Convertible Loan also granted each lender the right to invest in the next share issuance by the Company, an amount not to exceed the amount such lender invested in the 2016 Convertible Loan, at a price per share of the shares issued. The 2016 Convertible Loan was to be automatically converted upon the occurrence of a 2016 Triggering Event. Following the completion of the Series B Private Placement, which constituted a 2016 Triggering Event, the loan amount, together with all accrued interest was converted into Series B-1 preferred shares, under the terms and conditions of the 2016 Convertible Loan. In addition, the Series B preferred shares purchase agreement has set the price in which, and the amounts for which, the holders of the 2016 Warrants are entitled to exercise their 2016 Warrants.</w:t>
      </w:r>
    </w:p>
    <w:p>
      <w:pPr>
        <w:spacing w:after="0" w:line="166" w:lineRule="exact"/>
        <w:rPr>
          <w:rFonts w:ascii="Arial" w:cs="Arial" w:eastAsia="Arial" w:hAnsi="Arial"/>
          <w:sz w:val="16"/>
          <w:szCs w:val="16"/>
          <w:color w:val="auto"/>
        </w:rPr>
      </w:pPr>
    </w:p>
    <w:p>
      <w:pPr>
        <w:ind w:left="340" w:hanging="170"/>
        <w:spacing w:after="0" w:line="276" w:lineRule="auto"/>
        <w:tabs>
          <w:tab w:leader="none" w:pos="3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Pursuant to the Series B Preferred Share Purchase Agreements the company entered into from October to December 2017 with the other parties identified therein, such parties purchased from us an aggregate of 14,283 Series B preferred shares (which can be converted into 14,283 of our ordinary shares at the current conversion rate of one ordinary share for one Series B preferred share and will be automatically converted into our ordinary shares at the then-current conversion rate upon the closing of this offering) for an aggregate purchase price of $13 million, and we issued to GP Nurmenkari Inc. representatives warrants to purchase up to 526 of the applicable shares.</w:t>
      </w:r>
    </w:p>
    <w:p>
      <w:pPr>
        <w:spacing w:after="0" w:line="172" w:lineRule="exact"/>
        <w:rPr>
          <w:rFonts w:ascii="Arial" w:cs="Arial" w:eastAsia="Arial" w:hAnsi="Arial"/>
          <w:sz w:val="17"/>
          <w:szCs w:val="17"/>
          <w:color w:val="auto"/>
        </w:rPr>
      </w:pPr>
    </w:p>
    <w:p>
      <w:pPr>
        <w:ind w:left="340" w:right="100" w:hanging="170"/>
        <w:spacing w:after="0" w:line="264" w:lineRule="auto"/>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Pursuant to the applicable Service Agreements entered into in April 2017, our directors Luke Beshar and Roger Garceau received options to acquire 6,970 and 1,608 ordinary shares, respectively, of which 3,485 and 804 ordinary shares, respectively, were exercisable within 60 days of March 31, 2018, with an exercise price of $820 per share and expiring on December 1, 2026.</w:t>
      </w:r>
    </w:p>
    <w:p>
      <w:pPr>
        <w:spacing w:after="0" w:line="181" w:lineRule="exact"/>
        <w:rPr>
          <w:rFonts w:ascii="Arial" w:cs="Arial" w:eastAsia="Arial" w:hAnsi="Arial"/>
          <w:sz w:val="18"/>
          <w:szCs w:val="18"/>
          <w:color w:val="auto"/>
        </w:rPr>
      </w:pPr>
    </w:p>
    <w:p>
      <w:pPr>
        <w:ind w:left="340" w:right="40" w:hanging="170"/>
        <w:spacing w:after="0" w:line="277" w:lineRule="auto"/>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November 2017, certain directors and officers received options to acquire 4,650 ordinary shares, of which 670 ordinary shares were exercisable within 60 days of March 31, 2018 at an exercise price of $820 per share and expiring on November 15, 2023.</w:t>
      </w:r>
    </w:p>
    <w:p>
      <w:pPr>
        <w:spacing w:after="0" w:line="170" w:lineRule="exact"/>
        <w:rPr>
          <w:rFonts w:ascii="Arial" w:cs="Arial" w:eastAsia="Arial" w:hAnsi="Arial"/>
          <w:sz w:val="18"/>
          <w:szCs w:val="18"/>
          <w:color w:val="auto"/>
        </w:rPr>
      </w:pPr>
    </w:p>
    <w:p>
      <w:pPr>
        <w:ind w:left="340" w:right="160" w:hanging="170"/>
        <w:spacing w:after="0" w:line="277" w:lineRule="auto"/>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January 2018, an officer received options to acquire 850 ordinary shares, of which 210 ordinary shares were exercisable within 60 days of March 31, 2018 at an exercise price of $820 per share and expiring on January 15, 2024.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underwriter or underwriting discount or commission was involved in any of the transactions set forth in Item 7.</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10" w:name="page211"/>
    <w:bookmarkEnd w:id="21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registration statement:</w:t>
      </w: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 No.</w:t>
            </w:r>
          </w:p>
        </w:tc>
        <w:tc>
          <w:tcPr>
            <w:tcW w:w="9940" w:type="dxa"/>
            <w:vAlign w:val="bottom"/>
          </w:tcPr>
          <w:p>
            <w:pPr>
              <w:ind w:left="462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1.1*</w:t>
            </w:r>
          </w:p>
        </w:tc>
        <w:tc>
          <w:tcPr>
            <w:tcW w:w="220" w:type="dxa"/>
            <w:vAlign w:val="bottom"/>
          </w:tcPr>
          <w:p>
            <w:pPr>
              <w:spacing w:after="0"/>
              <w:rPr>
                <w:sz w:val="21"/>
                <w:szCs w:val="21"/>
                <w:color w:val="auto"/>
              </w:rPr>
            </w:pPr>
          </w:p>
        </w:tc>
        <w:tc>
          <w:tcPr>
            <w:tcW w:w="9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Form of Underwriting Agreement.</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3"/>
                <w:szCs w:val="23"/>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Fifth Amended and Restated Articles of Association of the Registrant (currently in effect).</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3"/>
                <w:szCs w:val="23"/>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w w:val="98"/>
              </w:rPr>
              <w:t>Form of Sixth Amended and Restated Articles of Association of the Registrant (to be effective upon the closing of this offering).</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3"/>
                <w:szCs w:val="23"/>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Specimen Form of Ordinary Share Certificate.</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23"/>
                <w:szCs w:val="23"/>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Form of Warrant issued by the Registrant pursuant to this offering.</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220" w:type="dxa"/>
            <w:vAlign w:val="bottom"/>
          </w:tcPr>
          <w:p>
            <w:pPr>
              <w:spacing w:after="0"/>
              <w:rPr>
                <w:sz w:val="23"/>
                <w:szCs w:val="23"/>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Form of Underwriter Warrant issued by the Registrant to Maxim Group LLC.</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3"/>
                <w:szCs w:val="23"/>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Form of Warrant issued by the Registrant to Centillion Fund on each of January 29, 2014 and January 21, 2015.</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3"/>
                <w:szCs w:val="23"/>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Form of additional Warrant issued by the Registrant to Centillion Fund on January 21, 2015.</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3"/>
                <w:szCs w:val="23"/>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Form of Warrant issued by the Registrant to the lenders on June 24, 2016.</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3"/>
                <w:szCs w:val="23"/>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Form of Warrant issued by the Registrant to GP Nurmenkari Inc.</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93"/>
              </w:rPr>
              <w:t>5.1*</w:t>
            </w:r>
          </w:p>
        </w:tc>
        <w:tc>
          <w:tcPr>
            <w:tcW w:w="220" w:type="dxa"/>
            <w:vAlign w:val="bottom"/>
          </w:tcPr>
          <w:p>
            <w:pPr>
              <w:spacing w:after="0"/>
              <w:rPr>
                <w:sz w:val="23"/>
                <w:szCs w:val="23"/>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Opinion of Herzog Fox &amp; Neeman, Israeli counsel to the Registrant, as to the validity of the ordinary shares.</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93"/>
              </w:rPr>
              <w:t>8.1*</w:t>
            </w:r>
          </w:p>
        </w:tc>
        <w:tc>
          <w:tcPr>
            <w:tcW w:w="220" w:type="dxa"/>
            <w:vAlign w:val="bottom"/>
          </w:tcPr>
          <w:p>
            <w:pPr>
              <w:spacing w:after="0"/>
              <w:rPr>
                <w:sz w:val="23"/>
                <w:szCs w:val="23"/>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Opinion of Davis Polk &amp; Wardwell LLP as to U.S. tax matters.</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3"/>
                <w:szCs w:val="23"/>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Patent Transfer Agreement, dated as of February 22, 2011, between the Registrant and Oramed Ltd.</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2"/>
                <w:szCs w:val="22"/>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w w:val="95"/>
              </w:rPr>
              <w:t>Convertible Financing Agreement, dated as of November 8, 2012, among the Registrant, D.N.A Biomedical Solutions, Ltd. and the</w:t>
            </w:r>
          </w:p>
        </w:tc>
      </w:tr>
      <w:tr>
        <w:trPr>
          <w:trHeight w:val="230"/>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lenders thereto.</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2"/>
                <w:szCs w:val="22"/>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w w:val="94"/>
              </w:rPr>
              <w:t>Convertible Financing Agreement, dated as of December 31, 2012, among the Registrant, D.N.A Biomedical Solutions, Ltd. and the</w:t>
            </w:r>
          </w:p>
        </w:tc>
      </w:tr>
      <w:tr>
        <w:trPr>
          <w:trHeight w:val="230"/>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lenders thereto.</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3"/>
                <w:szCs w:val="23"/>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The Entera Bio Ltd. Share Incentive Plan.</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3"/>
                <w:szCs w:val="23"/>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Series A Preferred Share Purchase Agreement, dated as of January 29, 2014, between the Registrant and Centillion Fund.</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2"/>
                <w:szCs w:val="22"/>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w w:val="92"/>
              </w:rPr>
              <w:t>First Amendment to Series A Preferred Share Purchase Agreement, dated as of June 18, 2014, between the Registrant and Centillion</w:t>
            </w:r>
          </w:p>
        </w:tc>
      </w:tr>
      <w:tr>
        <w:trPr>
          <w:trHeight w:val="230"/>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Fund.</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2"/>
                <w:szCs w:val="22"/>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w w:val="95"/>
              </w:rPr>
              <w:t>Second Amendment to Series A Preferred Share Purchase Agreement, dated as of January 21, 2015, between the Registrant and</w:t>
            </w:r>
          </w:p>
        </w:tc>
      </w:tr>
      <w:tr>
        <w:trPr>
          <w:trHeight w:val="230"/>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Centillion Fund.</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2"/>
                <w:szCs w:val="22"/>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w w:val="91"/>
              </w:rPr>
              <w:t>Third Amendment to Series A Preferred Share Purchase Agreement, dated as of November 2015, between the Registrant and Centillion</w:t>
            </w:r>
          </w:p>
        </w:tc>
      </w:tr>
      <w:tr>
        <w:trPr>
          <w:trHeight w:val="230"/>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Fund.</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2"/>
                <w:szCs w:val="22"/>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w w:val="91"/>
              </w:rPr>
              <w:t>Fourth Amendment to Series A Preferred Share Purchase Agreement, dated as of July 20, 2017, between the Registrant and Centillion</w:t>
            </w:r>
          </w:p>
        </w:tc>
      </w:tr>
      <w:tr>
        <w:trPr>
          <w:trHeight w:val="230"/>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Fund.</w:t>
            </w: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98"/>
              </w:rPr>
              <w:t>10.10**</w:t>
            </w:r>
          </w:p>
        </w:tc>
        <w:tc>
          <w:tcPr>
            <w:tcW w:w="220" w:type="dxa"/>
            <w:vAlign w:val="bottom"/>
          </w:tcPr>
          <w:p>
            <w:pPr>
              <w:spacing w:after="0"/>
              <w:rPr>
                <w:sz w:val="22"/>
                <w:szCs w:val="22"/>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w w:val="92"/>
              </w:rPr>
              <w:t>Series B Preferred Share Purchase Agreement, dated as of October 4, 2017, October 25, 2017 and December 18, 2017, between the</w:t>
            </w:r>
          </w:p>
        </w:tc>
      </w:tr>
      <w:tr>
        <w:trPr>
          <w:trHeight w:val="230"/>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Registrant and the other parties thereto.</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98"/>
              </w:rPr>
              <w:t>10.11**</w:t>
            </w:r>
          </w:p>
        </w:tc>
        <w:tc>
          <w:tcPr>
            <w:tcW w:w="220" w:type="dxa"/>
            <w:vAlign w:val="bottom"/>
          </w:tcPr>
          <w:p>
            <w:pPr>
              <w:spacing w:after="0"/>
              <w:rPr>
                <w:sz w:val="23"/>
                <w:szCs w:val="23"/>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w w:val="91"/>
              </w:rPr>
              <w:t>Amended and Restated Investors’ Rights Agreement, dated as of October 4, 2017, between the Registrant and the other parties thereto.</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98"/>
              </w:rPr>
              <w:t>10.12**</w:t>
            </w:r>
          </w:p>
        </w:tc>
        <w:tc>
          <w:tcPr>
            <w:tcW w:w="220" w:type="dxa"/>
            <w:vAlign w:val="bottom"/>
          </w:tcPr>
          <w:p>
            <w:pPr>
              <w:spacing w:after="0"/>
              <w:rPr>
                <w:sz w:val="23"/>
                <w:szCs w:val="23"/>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Form of indemnification agreement between the Registrant and its directors and executive officers.</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98"/>
              </w:rPr>
              <w:t>10.13**</w:t>
            </w:r>
          </w:p>
        </w:tc>
        <w:tc>
          <w:tcPr>
            <w:tcW w:w="220" w:type="dxa"/>
            <w:vAlign w:val="bottom"/>
          </w:tcPr>
          <w:p>
            <w:pPr>
              <w:spacing w:after="0"/>
              <w:rPr>
                <w:sz w:val="23"/>
                <w:szCs w:val="23"/>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Form of Convertible Financing Agreement, dated as of June 14, 2016, among the Registrant and the lenders thereto.</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98"/>
              </w:rPr>
              <w:t>10.14**</w:t>
            </w:r>
          </w:p>
        </w:tc>
        <w:tc>
          <w:tcPr>
            <w:tcW w:w="220" w:type="dxa"/>
            <w:vAlign w:val="bottom"/>
          </w:tcPr>
          <w:p>
            <w:pPr>
              <w:spacing w:after="0"/>
              <w:rPr>
                <w:sz w:val="23"/>
                <w:szCs w:val="23"/>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Service Agreement, dated April 6, 2017, between Roger Garceau and the Company.</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98"/>
              </w:rPr>
              <w:t>10.15**</w:t>
            </w:r>
          </w:p>
        </w:tc>
        <w:tc>
          <w:tcPr>
            <w:tcW w:w="220" w:type="dxa"/>
            <w:vAlign w:val="bottom"/>
          </w:tcPr>
          <w:p>
            <w:pPr>
              <w:spacing w:after="0"/>
              <w:rPr>
                <w:sz w:val="23"/>
                <w:szCs w:val="23"/>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Service Agreement, dated April 6, 2017, between Luke Beshar and the Company.</w:t>
            </w: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95"/>
              </w:rPr>
              <w:t>10.16*</w:t>
            </w:r>
          </w:p>
        </w:tc>
        <w:tc>
          <w:tcPr>
            <w:tcW w:w="220" w:type="dxa"/>
            <w:vAlign w:val="bottom"/>
          </w:tcPr>
          <w:p>
            <w:pPr>
              <w:spacing w:after="0"/>
              <w:rPr>
                <w:sz w:val="23"/>
                <w:szCs w:val="23"/>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2018 Equity Incentive Plan and forms of agreements thereunder (to be in effective upon the closing of this offering).</w:t>
            </w:r>
          </w:p>
        </w:tc>
      </w:tr>
    </w:tbl>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5" w:right="33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gridSpan w:val="2"/>
          </w:tcPr>
          <w:p>
            <w:pPr>
              <w:jc w:val="right"/>
              <w:spacing w:after="0"/>
              <w:rPr>
                <w:rFonts w:ascii="Arial" w:cs="Arial" w:eastAsia="Arial" w:hAnsi="Arial"/>
                <w:sz w:val="14"/>
                <w:szCs w:val="14"/>
                <w:b w:val="1"/>
                <w:bCs w:val="1"/>
                <w:color w:val="0000EE"/>
                <w:w w:val="91"/>
              </w:rPr>
            </w:pPr>
            <w:hyperlink w:anchor="page5">
              <w:r>
                <w:rPr>
                  <w:rFonts w:ascii="Arial" w:cs="Arial" w:eastAsia="Arial" w:hAnsi="Arial"/>
                  <w:sz w:val="14"/>
                  <w:szCs w:val="14"/>
                  <w:b w:val="1"/>
                  <w:bCs w:val="1"/>
                  <w:color w:val="0000EE"/>
                  <w:w w:val="91"/>
                </w:rPr>
                <w:t>Table of Contents</w:t>
              </w:r>
            </w:hyperlink>
          </w:p>
        </w:tc>
        <w:tc>
          <w:tcPr>
            <w:tcW w:w="280" w:type="dxa"/>
            <w:vAlign w:val="bottom"/>
            <w:gridSpan w:val="2"/>
          </w:tcPr>
          <w:p>
            <w:pPr>
              <w:spacing w:after="0"/>
              <w:rPr>
                <w:sz w:val="14"/>
                <w:szCs w:val="14"/>
                <w:color w:val="auto"/>
              </w:rPr>
            </w:pPr>
          </w:p>
        </w:tc>
        <w:tc>
          <w:tcPr>
            <w:tcW w:w="9940" w:type="dxa"/>
            <w:vAlign w:val="bottom"/>
          </w:tcPr>
          <w:p>
            <w:pPr>
              <w:spacing w:after="0"/>
              <w:rPr>
                <w:sz w:val="14"/>
                <w:szCs w:val="14"/>
                <w:color w:val="auto"/>
              </w:rPr>
            </w:pPr>
          </w:p>
        </w:tc>
      </w:tr>
      <w:tr>
        <w:trPr>
          <w:trHeight w:val="609"/>
        </w:trPr>
        <w:tc>
          <w:tcPr>
            <w:tcW w:w="120" w:type="dxa"/>
            <w:vAlign w:val="bottom"/>
          </w:tcPr>
          <w:p>
            <w:pPr>
              <w:spacing w:after="0"/>
              <w:rPr>
                <w:sz w:val="24"/>
                <w:szCs w:val="24"/>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24"/>
                <w:szCs w:val="24"/>
                <w:color w:val="auto"/>
              </w:rPr>
            </w:pPr>
          </w:p>
        </w:tc>
        <w:tc>
          <w:tcPr>
            <w:tcW w:w="9940" w:type="dxa"/>
            <w:vAlign w:val="bottom"/>
            <w:tcBorders>
              <w:bottom w:val="single" w:sz="8" w:color="auto"/>
            </w:tcBorders>
          </w:tcPr>
          <w:p>
            <w:pPr>
              <w:ind w:left="462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100" w:type="dxa"/>
            <w:vAlign w:val="bottom"/>
            <w:gridSpan w:val="2"/>
          </w:tcPr>
          <w:p>
            <w:pPr>
              <w:jc w:val="center"/>
              <w:ind w:left="112"/>
              <w:spacing w:after="0"/>
              <w:rPr>
                <w:sz w:val="20"/>
                <w:szCs w:val="20"/>
                <w:color w:val="auto"/>
              </w:rPr>
            </w:pPr>
            <w:r>
              <w:rPr>
                <w:rFonts w:ascii="Arial" w:cs="Arial" w:eastAsia="Arial" w:hAnsi="Arial"/>
                <w:sz w:val="18"/>
                <w:szCs w:val="18"/>
                <w:color w:val="auto"/>
                <w:w w:val="98"/>
              </w:rPr>
              <w:t>10.17**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w w:val="89"/>
              </w:rPr>
              <w:t>Amendment No. 1 to the Series B Preferred Share Purchase Agreement, dated December 18, 2017, between the Registrant and the other</w:t>
            </w:r>
          </w:p>
        </w:tc>
      </w:tr>
      <w:tr>
        <w:trPr>
          <w:trHeight w:val="230"/>
        </w:trPr>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parties thereto.</w:t>
            </w:r>
          </w:p>
        </w:tc>
      </w:tr>
      <w:tr>
        <w:trPr>
          <w:trHeight w:val="270"/>
        </w:trPr>
        <w:tc>
          <w:tcPr>
            <w:tcW w:w="1100" w:type="dxa"/>
            <w:vAlign w:val="bottom"/>
            <w:gridSpan w:val="2"/>
          </w:tcPr>
          <w:p>
            <w:pPr>
              <w:jc w:val="center"/>
              <w:ind w:left="112"/>
              <w:spacing w:after="0"/>
              <w:rPr>
                <w:sz w:val="20"/>
                <w:szCs w:val="20"/>
                <w:color w:val="auto"/>
              </w:rPr>
            </w:pPr>
            <w:r>
              <w:rPr>
                <w:rFonts w:ascii="Arial" w:cs="Arial" w:eastAsia="Arial" w:hAnsi="Arial"/>
                <w:sz w:val="18"/>
                <w:szCs w:val="18"/>
                <w:color w:val="auto"/>
                <w:w w:val="95"/>
              </w:rPr>
              <w:t>10.18*</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Form of Warrant Agency Agreement.</w:t>
            </w:r>
          </w:p>
        </w:tc>
      </w:tr>
      <w:tr>
        <w:trPr>
          <w:trHeight w:val="270"/>
        </w:trPr>
        <w:tc>
          <w:tcPr>
            <w:tcW w:w="1100" w:type="dxa"/>
            <w:vAlign w:val="bottom"/>
            <w:gridSpan w:val="2"/>
          </w:tcPr>
          <w:p>
            <w:pPr>
              <w:jc w:val="center"/>
              <w:ind w:left="112"/>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List of subsidiaries.</w:t>
            </w:r>
          </w:p>
        </w:tc>
      </w:tr>
      <w:tr>
        <w:trPr>
          <w:trHeight w:val="256"/>
        </w:trPr>
        <w:tc>
          <w:tcPr>
            <w:tcW w:w="1100" w:type="dxa"/>
            <w:vAlign w:val="bottom"/>
            <w:gridSpan w:val="2"/>
          </w:tcPr>
          <w:p>
            <w:pPr>
              <w:jc w:val="center"/>
              <w:ind w:left="112"/>
              <w:spacing w:after="0"/>
              <w:rPr>
                <w:sz w:val="20"/>
                <w:szCs w:val="20"/>
                <w:color w:val="auto"/>
              </w:rPr>
            </w:pPr>
            <w:r>
              <w:rPr>
                <w:rFonts w:ascii="Arial" w:cs="Arial" w:eastAsia="Arial" w:hAnsi="Arial"/>
                <w:sz w:val="18"/>
                <w:szCs w:val="18"/>
                <w:color w:val="auto"/>
                <w:w w:val="85"/>
              </w:rPr>
              <w:t>23.1</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w w:val="91"/>
              </w:rPr>
              <w:t>Consent of Kesselman &amp; Kesselman, Certified Public Accountants, a member firm of PricewaterhouseCoopers International Limited, an</w:t>
            </w:r>
          </w:p>
        </w:tc>
      </w:tr>
      <w:tr>
        <w:trPr>
          <w:trHeight w:val="230"/>
        </w:trPr>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independent registered public accounting firm.</w:t>
            </w:r>
          </w:p>
        </w:tc>
      </w:tr>
      <w:tr>
        <w:trPr>
          <w:trHeight w:val="270"/>
        </w:trPr>
        <w:tc>
          <w:tcPr>
            <w:tcW w:w="1100" w:type="dxa"/>
            <w:vAlign w:val="bottom"/>
            <w:gridSpan w:val="2"/>
          </w:tcPr>
          <w:p>
            <w:pPr>
              <w:jc w:val="center"/>
              <w:ind w:left="112"/>
              <w:spacing w:after="0"/>
              <w:rPr>
                <w:sz w:val="20"/>
                <w:szCs w:val="20"/>
                <w:color w:val="auto"/>
              </w:rPr>
            </w:pPr>
            <w:r>
              <w:rPr>
                <w:rFonts w:ascii="Arial" w:cs="Arial" w:eastAsia="Arial" w:hAnsi="Arial"/>
                <w:sz w:val="18"/>
                <w:szCs w:val="18"/>
                <w:color w:val="auto"/>
                <w:w w:val="99"/>
              </w:rPr>
              <w:t>23.2*</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Consent of Herzog Fox &amp; Neeman (included in Exhibits 5.1).</w:t>
            </w:r>
          </w:p>
        </w:tc>
      </w:tr>
      <w:tr>
        <w:trPr>
          <w:trHeight w:val="270"/>
        </w:trPr>
        <w:tc>
          <w:tcPr>
            <w:tcW w:w="1100" w:type="dxa"/>
            <w:vAlign w:val="bottom"/>
            <w:gridSpan w:val="2"/>
          </w:tcPr>
          <w:p>
            <w:pPr>
              <w:jc w:val="center"/>
              <w:ind w:left="112"/>
              <w:spacing w:after="0"/>
              <w:rPr>
                <w:sz w:val="20"/>
                <w:szCs w:val="20"/>
                <w:color w:val="auto"/>
              </w:rPr>
            </w:pPr>
            <w:r>
              <w:rPr>
                <w:rFonts w:ascii="Arial" w:cs="Arial" w:eastAsia="Arial" w:hAnsi="Arial"/>
                <w:sz w:val="18"/>
                <w:szCs w:val="18"/>
                <w:color w:val="auto"/>
                <w:w w:val="99"/>
              </w:rPr>
              <w:t>23.3*</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Consent of Davis Polk &amp; Wardwell LLP (included in Exhibit 8.1)</w:t>
            </w:r>
          </w:p>
        </w:tc>
      </w:tr>
      <w:tr>
        <w:trPr>
          <w:trHeight w:val="270"/>
        </w:trPr>
        <w:tc>
          <w:tcPr>
            <w:tcW w:w="1100" w:type="dxa"/>
            <w:vAlign w:val="bottom"/>
            <w:gridSpan w:val="2"/>
          </w:tcPr>
          <w:p>
            <w:pPr>
              <w:jc w:val="right"/>
              <w:ind w:right="288"/>
              <w:spacing w:after="0"/>
              <w:rPr>
                <w:sz w:val="20"/>
                <w:szCs w:val="20"/>
                <w:color w:val="auto"/>
              </w:rPr>
            </w:pPr>
            <w:r>
              <w:rPr>
                <w:rFonts w:ascii="Arial" w:cs="Arial" w:eastAsia="Arial" w:hAnsi="Arial"/>
                <w:sz w:val="18"/>
                <w:szCs w:val="18"/>
                <w:color w:val="auto"/>
              </w:rPr>
              <w:t>24.1</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940" w:type="dxa"/>
            <w:vAlign w:val="bottom"/>
          </w:tcPr>
          <w:p>
            <w:pPr>
              <w:ind w:left="40"/>
              <w:spacing w:after="0"/>
              <w:rPr>
                <w:sz w:val="20"/>
                <w:szCs w:val="20"/>
                <w:color w:val="auto"/>
              </w:rPr>
            </w:pPr>
            <w:r>
              <w:rPr>
                <w:rFonts w:ascii="Arial" w:cs="Arial" w:eastAsia="Arial" w:hAnsi="Arial"/>
                <w:sz w:val="18"/>
                <w:szCs w:val="18"/>
                <w:color w:val="auto"/>
              </w:rPr>
              <w:t>Powers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08902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right="9100" w:firstLine="8"/>
        <w:spacing w:after="0" w:line="563" w:lineRule="auto"/>
        <w:tabs>
          <w:tab w:leader="none" w:pos="35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 Financial Statement Schedules.</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All schedules have been omitted because they are not required, are not applicable or the information is otherwise set forth in the Financial Statements and related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provisions referenced in Item 6 hereof,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520" w:hanging="323"/>
        <w:spacing w:after="0"/>
        <w:tabs>
          <w:tab w:leader="none" w:pos="5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660" w:hanging="328"/>
        <w:spacing w:after="0" w:line="255" w:lineRule="auto"/>
        <w:tabs>
          <w:tab w:leader="none" w:pos="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(§230.424(b) of this chapter) if, in the aggregate, the changes in volume and price represent no more than 20% change in the maximum aggregate offering price set forth in the “Calculation of Registration Fee” table in the effective registration statement.</w:t>
      </w:r>
    </w:p>
    <w:p>
      <w:pPr>
        <w:spacing w:after="0" w:line="189" w:lineRule="exact"/>
        <w:rPr>
          <w:rFonts w:ascii="Arial" w:cs="Arial" w:eastAsia="Arial" w:hAnsi="Arial"/>
          <w:sz w:val="18"/>
          <w:szCs w:val="18"/>
          <w:color w:val="auto"/>
        </w:rPr>
      </w:pPr>
    </w:p>
    <w:p>
      <w:pPr>
        <w:ind w:left="660" w:right="380" w:hanging="328"/>
        <w:spacing w:after="0" w:line="277" w:lineRule="auto"/>
        <w:tabs>
          <w:tab w:leader="none" w:pos="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2" w:right="259" w:bottom="1440" w:gutter="0" w:footer="0" w:header="0"/>
        </w:sectPr>
      </w:pPr>
    </w:p>
    <w:bookmarkStart w:id="212" w:name="page213"/>
    <w:bookmarkEnd w:id="21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520" w:hanging="323"/>
        <w:spacing w:after="0" w:line="264" w:lineRule="auto"/>
        <w:tabs>
          <w:tab w:leader="none" w:pos="5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520" w:right="120" w:hanging="323"/>
        <w:spacing w:after="0" w:line="277" w:lineRule="auto"/>
        <w:tabs>
          <w:tab w:leader="none" w:pos="5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520" w:right="60" w:hanging="323"/>
        <w:spacing w:after="0" w:line="270" w:lineRule="auto"/>
        <w:tabs>
          <w:tab w:leader="none" w:pos="52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If the registrant is a foreign private issuer, to file a post-effective amendment to the registration statement to include any financial statements required by “Item 8.A. of Form 20-F (17 CFR 249.220f)”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(§239.33 of this chapter), a post-effective amendment need not be filed to include financial statements and information required by Section 10(a)(3) of the Act or §210.3-19 of this chapter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81" w:lineRule="exact"/>
        <w:rPr>
          <w:rFonts w:ascii="Arial" w:cs="Arial" w:eastAsia="Arial" w:hAnsi="Arial"/>
          <w:sz w:val="17"/>
          <w:szCs w:val="17"/>
          <w:color w:val="auto"/>
        </w:rPr>
      </w:pPr>
    </w:p>
    <w:p>
      <w:pPr>
        <w:ind w:left="520" w:right="40" w:hanging="323"/>
        <w:spacing w:after="0" w:line="277" w:lineRule="auto"/>
        <w:tabs>
          <w:tab w:leader="none" w:pos="5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provide to the underwriter specified in the Underwriting Agreement, at the closing, certificates in such denominations and registered in such names as required by the underwriter to permit prompt delivery to each purchaser.</w:t>
      </w:r>
    </w:p>
    <w:p>
      <w:pPr>
        <w:spacing w:after="0" w:line="170" w:lineRule="exact"/>
        <w:rPr>
          <w:rFonts w:ascii="Arial" w:cs="Arial" w:eastAsia="Arial" w:hAnsi="Arial"/>
          <w:sz w:val="18"/>
          <w:szCs w:val="18"/>
          <w:color w:val="auto"/>
        </w:rPr>
      </w:pPr>
    </w:p>
    <w:p>
      <w:pPr>
        <w:ind w:left="520" w:right="60" w:hanging="323"/>
        <w:spacing w:after="0" w:line="291" w:lineRule="auto"/>
        <w:tabs>
          <w:tab w:leader="none" w:pos="5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ind w:left="520"/>
        <w:spacing w:after="0"/>
        <w:rPr>
          <w:rFonts w:ascii="Arial" w:cs="Arial" w:eastAsia="Arial" w:hAnsi="Arial"/>
          <w:sz w:val="16"/>
          <w:szCs w:val="16"/>
          <w:color w:val="auto"/>
        </w:rPr>
      </w:pPr>
      <w:r>
        <w:rPr>
          <w:rFonts w:ascii="Arial" w:cs="Arial" w:eastAsia="Arial" w:hAnsi="Arial"/>
          <w:sz w:val="18"/>
          <w:szCs w:val="18"/>
          <w:color w:val="auto"/>
        </w:rPr>
        <w:t>(4) or 497(h) under the Securities Act shall be deemed to be part of this Registration Statement as of the time it was declared effective.</w:t>
      </w:r>
    </w:p>
    <w:p>
      <w:pPr>
        <w:spacing w:after="0" w:line="210" w:lineRule="exact"/>
        <w:rPr>
          <w:rFonts w:ascii="Arial" w:cs="Arial" w:eastAsia="Arial" w:hAnsi="Arial"/>
          <w:sz w:val="16"/>
          <w:szCs w:val="16"/>
          <w:color w:val="auto"/>
        </w:rPr>
      </w:pPr>
    </w:p>
    <w:p>
      <w:pPr>
        <w:ind w:left="520" w:right="200" w:hanging="323"/>
        <w:spacing w:after="0" w:line="264" w:lineRule="auto"/>
        <w:tabs>
          <w:tab w:leader="none" w:pos="5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213" w:name="page214"/>
    <w:bookmarkEnd w:id="21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40" w:type="dxa"/>
            <w:vAlign w:val="bottom"/>
            <w:gridSpan w:val="21"/>
          </w:tcPr>
          <w:p>
            <w:pPr>
              <w:jc w:val="center"/>
              <w:ind w:right="4620"/>
              <w:spacing w:after="0"/>
              <w:rPr>
                <w:sz w:val="20"/>
                <w:szCs w:val="20"/>
                <w:color w:val="auto"/>
              </w:rPr>
            </w:pPr>
            <w:r>
              <w:rPr>
                <w:rFonts w:ascii="Arial" w:cs="Arial" w:eastAsia="Arial" w:hAnsi="Arial"/>
                <w:sz w:val="22"/>
                <w:szCs w:val="22"/>
                <w:b w:val="1"/>
                <w:bCs w:val="1"/>
                <w:color w:val="auto"/>
              </w:rPr>
              <w:t>EXHIBIT INDEX</w:t>
            </w:r>
          </w:p>
        </w:tc>
        <w:tc>
          <w:tcPr>
            <w:tcW w:w="120" w:type="dxa"/>
            <w:vAlign w:val="bottom"/>
          </w:tcPr>
          <w:p>
            <w:pPr>
              <w:spacing w:after="0"/>
              <w:rPr>
                <w:sz w:val="24"/>
                <w:szCs w:val="24"/>
                <w:color w:val="auto"/>
              </w:rPr>
            </w:pPr>
          </w:p>
        </w:tc>
      </w:tr>
      <w:tr>
        <w:trPr>
          <w:trHeight w:val="476"/>
        </w:trPr>
        <w:tc>
          <w:tcPr>
            <w:tcW w:w="120" w:type="dxa"/>
            <w:vAlign w:val="bottom"/>
          </w:tcPr>
          <w:p>
            <w:pPr>
              <w:spacing w:after="0"/>
              <w:rPr>
                <w:sz w:val="24"/>
                <w:szCs w:val="24"/>
                <w:color w:val="auto"/>
              </w:rPr>
            </w:pPr>
          </w:p>
        </w:tc>
        <w:tc>
          <w:tcPr>
            <w:tcW w:w="1300" w:type="dxa"/>
            <w:vAlign w:val="bottom"/>
            <w:gridSpan w:val="10"/>
          </w:tcPr>
          <w:p>
            <w:pPr>
              <w:ind w:left="80"/>
              <w:spacing w:after="0"/>
              <w:rPr>
                <w:sz w:val="20"/>
                <w:szCs w:val="20"/>
                <w:color w:val="auto"/>
              </w:rPr>
            </w:pPr>
            <w:r>
              <w:rPr>
                <w:rFonts w:ascii="Arial" w:cs="Arial" w:eastAsia="Arial" w:hAnsi="Arial"/>
                <w:sz w:val="18"/>
                <w:szCs w:val="18"/>
                <w:b w:val="1"/>
                <w:bCs w:val="1"/>
                <w:color w:val="auto"/>
              </w:rPr>
              <w:t>Exhibit No.</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40" w:type="dxa"/>
            <w:vAlign w:val="bottom"/>
            <w:gridSpan w:val="21"/>
          </w:tcPr>
          <w:p>
            <w:pPr>
              <w:ind w:left="114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4"/>
                <w:szCs w:val="24"/>
                <w:color w:val="auto"/>
              </w:rPr>
            </w:pPr>
          </w:p>
        </w:tc>
      </w:tr>
      <w:tr>
        <w:trPr>
          <w:trHeight w:val="27"/>
        </w:trPr>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720" w:type="dxa"/>
            <w:vAlign w:val="bottom"/>
            <w:gridSpan w:val="6"/>
          </w:tcPr>
          <w:p>
            <w:pPr>
              <w:jc w:val="center"/>
              <w:ind w:left="230"/>
              <w:spacing w:after="0"/>
              <w:rPr>
                <w:sz w:val="20"/>
                <w:szCs w:val="20"/>
                <w:color w:val="auto"/>
              </w:rPr>
            </w:pPr>
            <w:r>
              <w:rPr>
                <w:rFonts w:ascii="Arial" w:cs="Arial" w:eastAsia="Arial" w:hAnsi="Arial"/>
                <w:sz w:val="18"/>
                <w:szCs w:val="18"/>
                <w:color w:val="auto"/>
                <w:w w:val="99"/>
              </w:rPr>
              <w:t>1.1*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80" w:type="dxa"/>
            <w:vAlign w:val="bottom"/>
            <w:gridSpan w:val="28"/>
          </w:tcPr>
          <w:p>
            <w:pPr>
              <w:spacing w:after="0"/>
              <w:rPr>
                <w:sz w:val="20"/>
                <w:szCs w:val="20"/>
                <w:color w:val="auto"/>
              </w:rPr>
            </w:pPr>
            <w:r>
              <w:rPr>
                <w:rFonts w:ascii="Arial" w:cs="Arial" w:eastAsia="Arial" w:hAnsi="Arial"/>
                <w:sz w:val="18"/>
                <w:szCs w:val="18"/>
                <w:color w:val="auto"/>
              </w:rPr>
              <w:t>Form of Underwriting Agreement.</w:t>
            </w:r>
          </w:p>
        </w:tc>
        <w:tc>
          <w:tcPr>
            <w:tcW w:w="120" w:type="dxa"/>
            <w:vAlign w:val="bottom"/>
          </w:tcPr>
          <w:p>
            <w:pPr>
              <w:spacing w:after="0"/>
              <w:rPr>
                <w:sz w:val="20"/>
                <w:szCs w:val="20"/>
                <w:color w:val="auto"/>
              </w:rPr>
            </w:pPr>
          </w:p>
        </w:tc>
      </w:tr>
      <w:tr>
        <w:trPr>
          <w:trHeight w:val="230"/>
        </w:trPr>
        <w:tc>
          <w:tcPr>
            <w:tcW w:w="120" w:type="dxa"/>
            <w:vAlign w:val="bottom"/>
          </w:tcPr>
          <w:p>
            <w:pPr>
              <w:spacing w:after="0"/>
              <w:rPr>
                <w:sz w:val="19"/>
                <w:szCs w:val="19"/>
                <w:color w:val="auto"/>
              </w:rPr>
            </w:pPr>
          </w:p>
        </w:tc>
        <w:tc>
          <w:tcPr>
            <w:tcW w:w="720" w:type="dxa"/>
            <w:vAlign w:val="bottom"/>
            <w:gridSpan w:val="6"/>
          </w:tcPr>
          <w:p>
            <w:pPr>
              <w:jc w:val="center"/>
              <w:ind w:left="230"/>
              <w:spacing w:after="0"/>
              <w:rPr>
                <w:rFonts w:ascii="Arial" w:cs="Arial" w:eastAsia="Arial" w:hAnsi="Arial"/>
                <w:sz w:val="18"/>
                <w:szCs w:val="18"/>
                <w:color w:val="0000FF"/>
              </w:rPr>
            </w:pPr>
            <w:hyperlink r:id="rId329">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80" w:type="dxa"/>
            <w:vAlign w:val="bottom"/>
            <w:gridSpan w:val="28"/>
          </w:tcPr>
          <w:p>
            <w:pPr>
              <w:spacing w:after="0"/>
              <w:rPr>
                <w:rFonts w:ascii="Arial" w:cs="Arial" w:eastAsia="Arial" w:hAnsi="Arial"/>
                <w:sz w:val="18"/>
                <w:szCs w:val="18"/>
                <w:color w:val="0000FF"/>
              </w:rPr>
            </w:pPr>
            <w:hyperlink r:id="rId329">
              <w:r>
                <w:rPr>
                  <w:rFonts w:ascii="Arial" w:cs="Arial" w:eastAsia="Arial" w:hAnsi="Arial"/>
                  <w:sz w:val="18"/>
                  <w:szCs w:val="18"/>
                  <w:color w:val="0000FF"/>
                </w:rPr>
                <w:t>Fifth Amended and Restated Articles of Association of the Registrant (currently in effect).</w:t>
              </w:r>
            </w:hyperlink>
          </w:p>
        </w:tc>
        <w:tc>
          <w:tcPr>
            <w:tcW w:w="12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720" w:type="dxa"/>
            <w:vAlign w:val="bottom"/>
            <w:gridSpan w:val="6"/>
          </w:tcPr>
          <w:p>
            <w:pPr>
              <w:jc w:val="center"/>
              <w:ind w:left="230"/>
              <w:spacing w:after="0"/>
              <w:rPr>
                <w:rFonts w:ascii="Arial" w:cs="Arial" w:eastAsia="Arial" w:hAnsi="Arial"/>
                <w:sz w:val="18"/>
                <w:szCs w:val="18"/>
                <w:color w:val="0000FF"/>
              </w:rPr>
            </w:pPr>
            <w:hyperlink r:id="rId330">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80" w:type="dxa"/>
            <w:vAlign w:val="bottom"/>
            <w:gridSpan w:val="28"/>
          </w:tcPr>
          <w:p>
            <w:pPr>
              <w:spacing w:after="0"/>
              <w:rPr>
                <w:rFonts w:ascii="Arial" w:cs="Arial" w:eastAsia="Arial" w:hAnsi="Arial"/>
                <w:sz w:val="18"/>
                <w:szCs w:val="18"/>
                <w:color w:val="0000FF"/>
                <w:w w:val="97"/>
              </w:rPr>
            </w:pPr>
            <w:hyperlink r:id="rId330">
              <w:r>
                <w:rPr>
                  <w:rFonts w:ascii="Arial" w:cs="Arial" w:eastAsia="Arial" w:hAnsi="Arial"/>
                  <w:sz w:val="18"/>
                  <w:szCs w:val="18"/>
                  <w:color w:val="0000FF"/>
                  <w:w w:val="97"/>
                </w:rPr>
                <w:t>Form of Sixth Amended and Restated Articles of Association of the Registrant (to be effective upon the closing of this offering).</w:t>
              </w:r>
            </w:hyperlink>
          </w:p>
        </w:tc>
        <w:tc>
          <w:tcPr>
            <w:tcW w:w="12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720" w:type="dxa"/>
            <w:vAlign w:val="bottom"/>
            <w:gridSpan w:val="6"/>
          </w:tcPr>
          <w:p>
            <w:pPr>
              <w:jc w:val="center"/>
              <w:ind w:left="230"/>
              <w:spacing w:after="0"/>
              <w:rPr>
                <w:rFonts w:ascii="Arial" w:cs="Arial" w:eastAsia="Arial" w:hAnsi="Arial"/>
                <w:sz w:val="18"/>
                <w:szCs w:val="18"/>
                <w:color w:val="0000FF"/>
              </w:rPr>
            </w:pPr>
            <w:hyperlink r:id="rId331">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80" w:type="dxa"/>
            <w:vAlign w:val="bottom"/>
            <w:gridSpan w:val="28"/>
          </w:tcPr>
          <w:p>
            <w:pPr>
              <w:spacing w:after="0"/>
              <w:rPr>
                <w:rFonts w:ascii="Arial" w:cs="Arial" w:eastAsia="Arial" w:hAnsi="Arial"/>
                <w:sz w:val="18"/>
                <w:szCs w:val="18"/>
                <w:color w:val="0000FF"/>
              </w:rPr>
            </w:pPr>
            <w:hyperlink r:id="rId331">
              <w:r>
                <w:rPr>
                  <w:rFonts w:ascii="Arial" w:cs="Arial" w:eastAsia="Arial" w:hAnsi="Arial"/>
                  <w:sz w:val="18"/>
                  <w:szCs w:val="18"/>
                  <w:color w:val="0000FF"/>
                </w:rPr>
                <w:t>Specimen Form of Ordinary Share Certificate.</w:t>
              </w:r>
            </w:hyperlink>
          </w:p>
        </w:tc>
        <w:tc>
          <w:tcPr>
            <w:tcW w:w="12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400" w:type="dxa"/>
            <w:vAlign w:val="bottom"/>
            <w:gridSpan w:val="4"/>
          </w:tcPr>
          <w:p>
            <w:pPr>
              <w:spacing w:after="0"/>
              <w:rPr>
                <w:sz w:val="19"/>
                <w:szCs w:val="19"/>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80" w:type="dxa"/>
            <w:vAlign w:val="bottom"/>
            <w:gridSpan w:val="28"/>
          </w:tcPr>
          <w:p>
            <w:pPr>
              <w:spacing w:after="0"/>
              <w:rPr>
                <w:sz w:val="20"/>
                <w:szCs w:val="20"/>
                <w:color w:val="auto"/>
              </w:rPr>
            </w:pPr>
            <w:r>
              <w:rPr>
                <w:rFonts w:ascii="Arial" w:cs="Arial" w:eastAsia="Arial" w:hAnsi="Arial"/>
                <w:sz w:val="18"/>
                <w:szCs w:val="18"/>
                <w:color w:val="0000FF"/>
              </w:rPr>
              <w:t>Form of Warrant issued by the Registrant pursuant to this offering.</w:t>
            </w:r>
          </w:p>
        </w:tc>
        <w:tc>
          <w:tcPr>
            <w:tcW w:w="12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0" w:type="dxa"/>
            <w:vAlign w:val="bottom"/>
            <w:gridSpan w:val="4"/>
          </w:tcPr>
          <w:p>
            <w:pPr>
              <w:spacing w:after="0"/>
              <w:rPr>
                <w:sz w:val="17"/>
                <w:szCs w:val="17"/>
                <w:color w:val="auto"/>
              </w:rPr>
            </w:pPr>
          </w:p>
        </w:tc>
        <w:tc>
          <w:tcPr>
            <w:tcW w:w="220" w:type="dxa"/>
            <w:vAlign w:val="bottom"/>
          </w:tcPr>
          <w:p>
            <w:pPr>
              <w:jc w:val="center"/>
              <w:spacing w:after="0" w:line="196" w:lineRule="exact"/>
              <w:rPr>
                <w:sz w:val="20"/>
                <w:szCs w:val="20"/>
                <w:color w:val="auto"/>
              </w:rPr>
            </w:pPr>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80" w:type="dxa"/>
            <w:vAlign w:val="bottom"/>
            <w:gridSpan w:val="28"/>
          </w:tcPr>
          <w:p>
            <w:pPr>
              <w:spacing w:after="0" w:line="196" w:lineRule="exact"/>
              <w:rPr>
                <w:sz w:val="20"/>
                <w:szCs w:val="20"/>
                <w:color w:val="auto"/>
              </w:rPr>
            </w:pPr>
            <w:r>
              <w:rPr>
                <w:rFonts w:ascii="Arial" w:cs="Arial" w:eastAsia="Arial" w:hAnsi="Arial"/>
                <w:sz w:val="18"/>
                <w:szCs w:val="18"/>
                <w:color w:val="0000EE"/>
              </w:rPr>
              <w:t>Form of Underwriter Warrant issued by the Registrant to Maxim Group LLC.</w:t>
            </w:r>
          </w:p>
        </w:tc>
        <w:tc>
          <w:tcPr>
            <w:tcW w:w="1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720" w:type="dxa"/>
            <w:vAlign w:val="bottom"/>
            <w:gridSpan w:val="6"/>
          </w:tcPr>
          <w:p>
            <w:pPr>
              <w:jc w:val="center"/>
              <w:ind w:left="230"/>
              <w:spacing w:after="0"/>
              <w:rPr>
                <w:rFonts w:ascii="Arial" w:cs="Arial" w:eastAsia="Arial" w:hAnsi="Arial"/>
                <w:sz w:val="18"/>
                <w:szCs w:val="18"/>
                <w:color w:val="0000FF"/>
              </w:rPr>
            </w:pPr>
            <w:hyperlink r:id="rId332">
              <w:r>
                <w:rPr>
                  <w:rFonts w:ascii="Arial" w:cs="Arial" w:eastAsia="Arial" w:hAnsi="Arial"/>
                  <w:sz w:val="18"/>
                  <w:szCs w:val="18"/>
                  <w:color w:val="0000FF"/>
                </w:rPr>
                <w:t>4.</w:t>
              </w:r>
              <w:r>
                <w:rPr>
                  <w:rFonts w:ascii="Arial" w:cs="Arial" w:eastAsia="Arial" w:hAnsi="Arial"/>
                  <w:sz w:val="18"/>
                  <w:szCs w:val="18"/>
                  <w:u w:val="single" w:color="auto"/>
                  <w:color w:val="0000FF"/>
                </w:rPr>
                <w:t>4**</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80" w:type="dxa"/>
            <w:vAlign w:val="bottom"/>
            <w:gridSpan w:val="28"/>
          </w:tcPr>
          <w:p>
            <w:pPr>
              <w:spacing w:after="0"/>
              <w:rPr>
                <w:rFonts w:ascii="Arial" w:cs="Arial" w:eastAsia="Arial" w:hAnsi="Arial"/>
                <w:sz w:val="18"/>
                <w:szCs w:val="18"/>
                <w:color w:val="0000FF"/>
              </w:rPr>
            </w:pPr>
            <w:hyperlink r:id="rId332">
              <w:r>
                <w:rPr>
                  <w:rFonts w:ascii="Arial" w:cs="Arial" w:eastAsia="Arial" w:hAnsi="Arial"/>
                  <w:sz w:val="18"/>
                  <w:szCs w:val="18"/>
                  <w:color w:val="0000FF"/>
                </w:rPr>
                <w:t>Form of Warrant issued by the Registrant to Centillion Fund on each of January 29, 2014 and January 21, 2015.</w:t>
              </w:r>
            </w:hyperlink>
          </w:p>
        </w:tc>
        <w:tc>
          <w:tcPr>
            <w:tcW w:w="12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720" w:type="dxa"/>
            <w:vAlign w:val="bottom"/>
            <w:gridSpan w:val="6"/>
          </w:tcPr>
          <w:p>
            <w:pPr>
              <w:jc w:val="center"/>
              <w:ind w:left="230"/>
              <w:spacing w:after="0"/>
              <w:rPr>
                <w:rFonts w:ascii="Arial" w:cs="Arial" w:eastAsia="Arial" w:hAnsi="Arial"/>
                <w:sz w:val="18"/>
                <w:szCs w:val="18"/>
                <w:color w:val="0000FF"/>
              </w:rPr>
            </w:pPr>
            <w:hyperlink r:id="rId333">
              <w:r>
                <w:rPr>
                  <w:rFonts w:ascii="Arial" w:cs="Arial" w:eastAsia="Arial" w:hAnsi="Arial"/>
                  <w:sz w:val="18"/>
                  <w:szCs w:val="18"/>
                  <w:color w:val="0000FF"/>
                </w:rPr>
                <w:t>4.</w:t>
              </w:r>
              <w:r>
                <w:rPr>
                  <w:rFonts w:ascii="Arial" w:cs="Arial" w:eastAsia="Arial" w:hAnsi="Arial"/>
                  <w:sz w:val="18"/>
                  <w:szCs w:val="18"/>
                  <w:u w:val="single" w:color="auto"/>
                  <w:color w:val="0000FF"/>
                </w:rPr>
                <w:t>5**</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80" w:type="dxa"/>
            <w:vAlign w:val="bottom"/>
            <w:gridSpan w:val="28"/>
          </w:tcPr>
          <w:p>
            <w:pPr>
              <w:spacing w:after="0"/>
              <w:rPr>
                <w:rFonts w:ascii="Arial" w:cs="Arial" w:eastAsia="Arial" w:hAnsi="Arial"/>
                <w:sz w:val="18"/>
                <w:szCs w:val="18"/>
                <w:color w:val="0000FF"/>
              </w:rPr>
            </w:pPr>
            <w:hyperlink r:id="rId333">
              <w:r>
                <w:rPr>
                  <w:rFonts w:ascii="Arial" w:cs="Arial" w:eastAsia="Arial" w:hAnsi="Arial"/>
                  <w:sz w:val="18"/>
                  <w:szCs w:val="18"/>
                  <w:color w:val="0000FF"/>
                </w:rPr>
                <w:t>Form of additional Warrant issued by the Registrant to Centillion Fund on January 21, 2015.</w:t>
              </w:r>
            </w:hyperlink>
          </w:p>
        </w:tc>
        <w:tc>
          <w:tcPr>
            <w:tcW w:w="12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720" w:type="dxa"/>
            <w:vAlign w:val="bottom"/>
            <w:gridSpan w:val="6"/>
          </w:tcPr>
          <w:p>
            <w:pPr>
              <w:jc w:val="center"/>
              <w:ind w:left="230"/>
              <w:spacing w:after="0"/>
              <w:rPr>
                <w:rFonts w:ascii="Arial" w:cs="Arial" w:eastAsia="Arial" w:hAnsi="Arial"/>
                <w:sz w:val="18"/>
                <w:szCs w:val="18"/>
                <w:color w:val="0000FF"/>
              </w:rPr>
            </w:pPr>
            <w:hyperlink r:id="rId334">
              <w:r>
                <w:rPr>
                  <w:rFonts w:ascii="Arial" w:cs="Arial" w:eastAsia="Arial" w:hAnsi="Arial"/>
                  <w:sz w:val="18"/>
                  <w:szCs w:val="18"/>
                  <w:color w:val="0000FF"/>
                </w:rPr>
                <w:t>4.</w:t>
              </w:r>
              <w:r>
                <w:rPr>
                  <w:rFonts w:ascii="Arial" w:cs="Arial" w:eastAsia="Arial" w:hAnsi="Arial"/>
                  <w:sz w:val="18"/>
                  <w:szCs w:val="18"/>
                  <w:u w:val="single" w:color="auto"/>
                  <w:color w:val="0000FF"/>
                </w:rPr>
                <w:t>6**</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80" w:type="dxa"/>
            <w:vAlign w:val="bottom"/>
            <w:gridSpan w:val="28"/>
          </w:tcPr>
          <w:p>
            <w:pPr>
              <w:spacing w:after="0"/>
              <w:rPr>
                <w:rFonts w:ascii="Arial" w:cs="Arial" w:eastAsia="Arial" w:hAnsi="Arial"/>
                <w:sz w:val="18"/>
                <w:szCs w:val="18"/>
                <w:color w:val="0000FF"/>
              </w:rPr>
            </w:pPr>
            <w:hyperlink r:id="rId334">
              <w:r>
                <w:rPr>
                  <w:rFonts w:ascii="Arial" w:cs="Arial" w:eastAsia="Arial" w:hAnsi="Arial"/>
                  <w:sz w:val="18"/>
                  <w:szCs w:val="18"/>
                  <w:color w:val="0000FF"/>
                </w:rPr>
                <w:t>Form of Warrant issued by the Registrant to the lenders on June 24, 2016.</w:t>
              </w:r>
            </w:hyperlink>
          </w:p>
        </w:tc>
        <w:tc>
          <w:tcPr>
            <w:tcW w:w="12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720" w:type="dxa"/>
            <w:vAlign w:val="bottom"/>
            <w:gridSpan w:val="6"/>
          </w:tcPr>
          <w:p>
            <w:pPr>
              <w:jc w:val="center"/>
              <w:ind w:left="230"/>
              <w:spacing w:after="0"/>
              <w:rPr>
                <w:rFonts w:ascii="Arial" w:cs="Arial" w:eastAsia="Arial" w:hAnsi="Arial"/>
                <w:sz w:val="18"/>
                <w:szCs w:val="18"/>
                <w:color w:val="0000FF"/>
              </w:rPr>
            </w:pPr>
            <w:hyperlink r:id="rId335">
              <w:r>
                <w:rPr>
                  <w:rFonts w:ascii="Arial" w:cs="Arial" w:eastAsia="Arial" w:hAnsi="Arial"/>
                  <w:sz w:val="18"/>
                  <w:szCs w:val="18"/>
                  <w:color w:val="0000FF"/>
                </w:rPr>
                <w:t>4.</w:t>
              </w:r>
              <w:r>
                <w:rPr>
                  <w:rFonts w:ascii="Arial" w:cs="Arial" w:eastAsia="Arial" w:hAnsi="Arial"/>
                  <w:sz w:val="18"/>
                  <w:szCs w:val="18"/>
                  <w:u w:val="single" w:color="auto"/>
                  <w:color w:val="0000FF"/>
                </w:rPr>
                <w:t>7**</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80" w:type="dxa"/>
            <w:vAlign w:val="bottom"/>
            <w:gridSpan w:val="28"/>
          </w:tcPr>
          <w:p>
            <w:pPr>
              <w:spacing w:after="0"/>
              <w:rPr>
                <w:rFonts w:ascii="Arial" w:cs="Arial" w:eastAsia="Arial" w:hAnsi="Arial"/>
                <w:sz w:val="18"/>
                <w:szCs w:val="18"/>
                <w:color w:val="0000FF"/>
              </w:rPr>
            </w:pPr>
            <w:hyperlink r:id="rId335">
              <w:r>
                <w:rPr>
                  <w:rFonts w:ascii="Arial" w:cs="Arial" w:eastAsia="Arial" w:hAnsi="Arial"/>
                  <w:sz w:val="18"/>
                  <w:szCs w:val="18"/>
                  <w:color w:val="0000FF"/>
                </w:rPr>
                <w:t>Form of Warrant issued by the Registrant to GP Nurmenkari Inc.</w:t>
              </w:r>
            </w:hyperlink>
          </w:p>
        </w:tc>
        <w:tc>
          <w:tcPr>
            <w:tcW w:w="12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1"/>
        </w:trPr>
        <w:tc>
          <w:tcPr>
            <w:tcW w:w="120" w:type="dxa"/>
            <w:vAlign w:val="bottom"/>
          </w:tcPr>
          <w:p>
            <w:pPr>
              <w:spacing w:after="0"/>
              <w:rPr>
                <w:sz w:val="24"/>
                <w:szCs w:val="24"/>
                <w:color w:val="auto"/>
              </w:rPr>
            </w:pPr>
          </w:p>
        </w:tc>
        <w:tc>
          <w:tcPr>
            <w:tcW w:w="400" w:type="dxa"/>
            <w:vAlign w:val="bottom"/>
            <w:gridSpan w:val="4"/>
          </w:tcPr>
          <w:p>
            <w:pPr>
              <w:spacing w:after="0"/>
              <w:rPr>
                <w:sz w:val="24"/>
                <w:szCs w:val="24"/>
                <w:color w:val="auto"/>
              </w:rPr>
            </w:pPr>
          </w:p>
        </w:tc>
        <w:tc>
          <w:tcPr>
            <w:tcW w:w="320" w:type="dxa"/>
            <w:vAlign w:val="bottom"/>
            <w:gridSpan w:val="2"/>
          </w:tcPr>
          <w:p>
            <w:pPr>
              <w:jc w:val="center"/>
              <w:ind w:right="40"/>
              <w:spacing w:after="0"/>
              <w:rPr>
                <w:sz w:val="20"/>
                <w:szCs w:val="20"/>
                <w:color w:val="auto"/>
              </w:rPr>
            </w:pPr>
            <w:r>
              <w:rPr>
                <w:rFonts w:ascii="Arial" w:cs="Arial" w:eastAsia="Arial" w:hAnsi="Arial"/>
                <w:sz w:val="18"/>
                <w:szCs w:val="18"/>
                <w:color w:val="auto"/>
                <w:w w:val="87"/>
              </w:rPr>
              <w:t>5.1*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80" w:type="dxa"/>
            <w:vAlign w:val="bottom"/>
            <w:gridSpan w:val="28"/>
          </w:tcPr>
          <w:p>
            <w:pPr>
              <w:spacing w:after="0"/>
              <w:rPr>
                <w:sz w:val="20"/>
                <w:szCs w:val="20"/>
                <w:color w:val="auto"/>
              </w:rPr>
            </w:pPr>
            <w:r>
              <w:rPr>
                <w:rFonts w:ascii="Arial" w:cs="Arial" w:eastAsia="Arial" w:hAnsi="Arial"/>
                <w:sz w:val="18"/>
                <w:szCs w:val="18"/>
                <w:color w:val="auto"/>
              </w:rPr>
              <w:t>Opinion of Herzog Fox &amp; Neeman, Israeli counsel to the Registrant, as to the validity of the ordinary shares.</w:t>
            </w:r>
          </w:p>
        </w:tc>
        <w:tc>
          <w:tcPr>
            <w:tcW w:w="120" w:type="dxa"/>
            <w:vAlign w:val="bottom"/>
          </w:tcPr>
          <w:p>
            <w:pPr>
              <w:spacing w:after="0"/>
              <w:rPr>
                <w:sz w:val="24"/>
                <w:szCs w:val="24"/>
                <w:color w:val="auto"/>
              </w:rPr>
            </w:pPr>
          </w:p>
        </w:tc>
      </w:tr>
      <w:tr>
        <w:trPr>
          <w:trHeight w:val="270"/>
        </w:trPr>
        <w:tc>
          <w:tcPr>
            <w:tcW w:w="120" w:type="dxa"/>
            <w:vAlign w:val="bottom"/>
          </w:tcPr>
          <w:p>
            <w:pPr>
              <w:spacing w:after="0"/>
              <w:rPr>
                <w:sz w:val="23"/>
                <w:szCs w:val="23"/>
                <w:color w:val="auto"/>
              </w:rPr>
            </w:pPr>
          </w:p>
        </w:tc>
        <w:tc>
          <w:tcPr>
            <w:tcW w:w="720" w:type="dxa"/>
            <w:vAlign w:val="bottom"/>
            <w:gridSpan w:val="6"/>
          </w:tcPr>
          <w:p>
            <w:pPr>
              <w:jc w:val="center"/>
              <w:ind w:left="230"/>
              <w:spacing w:after="0"/>
              <w:rPr>
                <w:sz w:val="20"/>
                <w:szCs w:val="20"/>
                <w:color w:val="auto"/>
              </w:rPr>
            </w:pPr>
            <w:r>
              <w:rPr>
                <w:rFonts w:ascii="Arial" w:cs="Arial" w:eastAsia="Arial" w:hAnsi="Arial"/>
                <w:sz w:val="18"/>
                <w:szCs w:val="18"/>
                <w:color w:val="auto"/>
                <w:w w:val="99"/>
              </w:rPr>
              <w:t>8.1*</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80" w:type="dxa"/>
            <w:vAlign w:val="bottom"/>
            <w:gridSpan w:val="28"/>
          </w:tcPr>
          <w:p>
            <w:pPr>
              <w:spacing w:after="0"/>
              <w:rPr>
                <w:sz w:val="20"/>
                <w:szCs w:val="20"/>
                <w:color w:val="auto"/>
              </w:rPr>
            </w:pPr>
            <w:r>
              <w:rPr>
                <w:rFonts w:ascii="Arial" w:cs="Arial" w:eastAsia="Arial" w:hAnsi="Arial"/>
                <w:sz w:val="18"/>
                <w:szCs w:val="18"/>
                <w:color w:val="auto"/>
              </w:rPr>
              <w:t>Opinion of Davis Polk &amp; Wardwell LLP as to U.S. tax matters.</w:t>
            </w:r>
          </w:p>
        </w:tc>
        <w:tc>
          <w:tcPr>
            <w:tcW w:w="120" w:type="dxa"/>
            <w:vAlign w:val="bottom"/>
          </w:tcPr>
          <w:p>
            <w:pPr>
              <w:spacing w:after="0"/>
              <w:rPr>
                <w:sz w:val="23"/>
                <w:szCs w:val="23"/>
                <w:color w:val="auto"/>
              </w:rPr>
            </w:pPr>
          </w:p>
        </w:tc>
      </w:tr>
      <w:tr>
        <w:trPr>
          <w:trHeight w:val="230"/>
        </w:trPr>
        <w:tc>
          <w:tcPr>
            <w:tcW w:w="120" w:type="dxa"/>
            <w:vAlign w:val="bottom"/>
          </w:tcPr>
          <w:p>
            <w:pPr>
              <w:spacing w:after="0"/>
              <w:rPr>
                <w:sz w:val="19"/>
                <w:szCs w:val="19"/>
                <w:color w:val="auto"/>
              </w:rPr>
            </w:pPr>
          </w:p>
        </w:tc>
        <w:tc>
          <w:tcPr>
            <w:tcW w:w="260" w:type="dxa"/>
            <w:vAlign w:val="bottom"/>
            <w:gridSpan w:val="3"/>
          </w:tcPr>
          <w:p>
            <w:pPr>
              <w:spacing w:after="0"/>
              <w:rPr>
                <w:sz w:val="19"/>
                <w:szCs w:val="19"/>
                <w:color w:val="auto"/>
              </w:rPr>
            </w:pPr>
          </w:p>
        </w:tc>
        <w:tc>
          <w:tcPr>
            <w:tcW w:w="500" w:type="dxa"/>
            <w:vAlign w:val="bottom"/>
            <w:gridSpan w:val="4"/>
          </w:tcPr>
          <w:p>
            <w:pPr>
              <w:jc w:val="center"/>
              <w:spacing w:after="0"/>
              <w:rPr>
                <w:rFonts w:ascii="Arial" w:cs="Arial" w:eastAsia="Arial" w:hAnsi="Arial"/>
                <w:sz w:val="18"/>
                <w:szCs w:val="18"/>
                <w:color w:val="0000FF"/>
              </w:rPr>
            </w:pPr>
            <w:hyperlink r:id="rId336">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80" w:type="dxa"/>
            <w:vAlign w:val="bottom"/>
            <w:gridSpan w:val="28"/>
          </w:tcPr>
          <w:p>
            <w:pPr>
              <w:spacing w:after="0"/>
              <w:rPr>
                <w:rFonts w:ascii="Arial" w:cs="Arial" w:eastAsia="Arial" w:hAnsi="Arial"/>
                <w:sz w:val="18"/>
                <w:szCs w:val="18"/>
                <w:color w:val="0000FF"/>
              </w:rPr>
            </w:pPr>
            <w:hyperlink r:id="rId336">
              <w:r>
                <w:rPr>
                  <w:rFonts w:ascii="Arial" w:cs="Arial" w:eastAsia="Arial" w:hAnsi="Arial"/>
                  <w:sz w:val="18"/>
                  <w:szCs w:val="18"/>
                  <w:color w:val="0000FF"/>
                </w:rPr>
                <w:t>Patent Transfer Agreement, dated as of February 22, 2011, between the Registrant and Oramed Ltd.</w:t>
              </w:r>
            </w:hyperlink>
          </w:p>
        </w:tc>
        <w:tc>
          <w:tcPr>
            <w:tcW w:w="12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260" w:type="dxa"/>
            <w:vAlign w:val="bottom"/>
            <w:gridSpan w:val="3"/>
          </w:tcPr>
          <w:p>
            <w:pPr>
              <w:spacing w:after="0"/>
              <w:rPr>
                <w:sz w:val="21"/>
                <w:szCs w:val="21"/>
                <w:color w:val="auto"/>
              </w:rPr>
            </w:pPr>
          </w:p>
        </w:tc>
        <w:tc>
          <w:tcPr>
            <w:tcW w:w="500" w:type="dxa"/>
            <w:vAlign w:val="bottom"/>
            <w:tcBorders>
              <w:bottom w:val="single" w:sz="8" w:color="0000FF"/>
            </w:tcBorders>
            <w:gridSpan w:val="4"/>
          </w:tcPr>
          <w:p>
            <w:pPr>
              <w:jc w:val="center"/>
              <w:spacing w:after="0"/>
              <w:rPr>
                <w:rFonts w:ascii="Arial" w:cs="Arial" w:eastAsia="Arial" w:hAnsi="Arial"/>
                <w:sz w:val="18"/>
                <w:szCs w:val="18"/>
                <w:color w:val="0000FF"/>
              </w:rPr>
            </w:pPr>
            <w:hyperlink r:id="rId337">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80" w:type="dxa"/>
            <w:vAlign w:val="bottom"/>
            <w:tcBorders>
              <w:bottom w:val="single" w:sz="8" w:color="0000FF"/>
            </w:tcBorders>
            <w:gridSpan w:val="22"/>
          </w:tcPr>
          <w:p>
            <w:pPr>
              <w:spacing w:after="0"/>
              <w:rPr>
                <w:rFonts w:ascii="Arial" w:cs="Arial" w:eastAsia="Arial" w:hAnsi="Arial"/>
                <w:sz w:val="18"/>
                <w:szCs w:val="18"/>
                <w:color w:val="0000FF"/>
                <w:w w:val="91"/>
              </w:rPr>
            </w:pPr>
            <w:hyperlink r:id="rId337">
              <w:r>
                <w:rPr>
                  <w:rFonts w:ascii="Arial" w:cs="Arial" w:eastAsia="Arial" w:hAnsi="Arial"/>
                  <w:sz w:val="18"/>
                  <w:szCs w:val="18"/>
                  <w:color w:val="0000FF"/>
                  <w:w w:val="91"/>
                </w:rPr>
                <w:t>Convertible Financing Agreement, dated as of November 8, 2012, among the Registrant, D.N.A Biomedical Solutions, Ltd. and the</w:t>
              </w:r>
            </w:hyperlink>
          </w:p>
        </w:tc>
        <w:tc>
          <w:tcPr>
            <w:tcW w:w="400" w:type="dxa"/>
            <w:vAlign w:val="bottom"/>
            <w:gridSpan w:val="6"/>
          </w:tcPr>
          <w:p>
            <w:pPr>
              <w:spacing w:after="0"/>
              <w:rPr>
                <w:sz w:val="21"/>
                <w:szCs w:val="21"/>
                <w:color w:val="auto"/>
              </w:rPr>
            </w:pPr>
          </w:p>
        </w:tc>
        <w:tc>
          <w:tcPr>
            <w:tcW w:w="120" w:type="dxa"/>
            <w:vAlign w:val="bottom"/>
          </w:tcPr>
          <w:p>
            <w:pPr>
              <w:spacing w:after="0"/>
              <w:rPr>
                <w:sz w:val="21"/>
                <w:szCs w:val="2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337">
              <w:r>
                <w:rPr>
                  <w:rFonts w:ascii="Arial" w:cs="Arial" w:eastAsia="Arial" w:hAnsi="Arial"/>
                  <w:sz w:val="18"/>
                  <w:szCs w:val="18"/>
                  <w:color w:val="0000FF"/>
                  <w:w w:val="89"/>
                </w:rPr>
                <w:t>lenders thereto.</w:t>
              </w:r>
            </w:hyperlink>
          </w:p>
        </w:tc>
        <w:tc>
          <w:tcPr>
            <w:tcW w:w="8740" w:type="dxa"/>
            <w:vAlign w:val="bottom"/>
            <w:gridSpan w:val="25"/>
          </w:tcPr>
          <w:p>
            <w:pPr>
              <w:spacing w:after="0"/>
              <w:rPr>
                <w:sz w:val="17"/>
                <w:szCs w:val="17"/>
                <w:color w:val="auto"/>
              </w:rPr>
            </w:pPr>
          </w:p>
        </w:tc>
        <w:tc>
          <w:tcPr>
            <w:tcW w:w="120" w:type="dxa"/>
            <w:vAlign w:val="bottom"/>
          </w:tcPr>
          <w:p>
            <w:pPr>
              <w:spacing w:after="0"/>
              <w:rPr>
                <w:sz w:val="17"/>
                <w:szCs w:val="17"/>
                <w:color w:val="auto"/>
              </w:rPr>
            </w:pPr>
          </w:p>
        </w:tc>
      </w:tr>
      <w:tr>
        <w:trPr>
          <w:trHeight w:val="250"/>
        </w:trPr>
        <w:tc>
          <w:tcPr>
            <w:tcW w:w="120" w:type="dxa"/>
            <w:vAlign w:val="bottom"/>
          </w:tcPr>
          <w:p>
            <w:pPr>
              <w:spacing w:after="0"/>
              <w:rPr>
                <w:sz w:val="21"/>
                <w:szCs w:val="21"/>
                <w:color w:val="auto"/>
              </w:rPr>
            </w:pPr>
          </w:p>
        </w:tc>
        <w:tc>
          <w:tcPr>
            <w:tcW w:w="260" w:type="dxa"/>
            <w:vAlign w:val="bottom"/>
            <w:gridSpan w:val="3"/>
          </w:tcPr>
          <w:p>
            <w:pPr>
              <w:spacing w:after="0"/>
              <w:rPr>
                <w:sz w:val="21"/>
                <w:szCs w:val="21"/>
                <w:color w:val="auto"/>
              </w:rPr>
            </w:pPr>
          </w:p>
        </w:tc>
        <w:tc>
          <w:tcPr>
            <w:tcW w:w="500" w:type="dxa"/>
            <w:vAlign w:val="bottom"/>
            <w:tcBorders>
              <w:bottom w:val="single" w:sz="8" w:color="0000FF"/>
            </w:tcBorders>
            <w:gridSpan w:val="4"/>
          </w:tcPr>
          <w:p>
            <w:pPr>
              <w:jc w:val="center"/>
              <w:spacing w:after="0"/>
              <w:rPr>
                <w:rFonts w:ascii="Arial" w:cs="Arial" w:eastAsia="Arial" w:hAnsi="Arial"/>
                <w:sz w:val="18"/>
                <w:szCs w:val="18"/>
                <w:color w:val="0000FF"/>
              </w:rPr>
            </w:pPr>
            <w:hyperlink r:id="rId338">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560" w:type="dxa"/>
            <w:vAlign w:val="bottom"/>
            <w:tcBorders>
              <w:bottom w:val="single" w:sz="8" w:color="0000FF"/>
            </w:tcBorders>
            <w:gridSpan w:val="24"/>
          </w:tcPr>
          <w:p>
            <w:pPr>
              <w:spacing w:after="0"/>
              <w:rPr>
                <w:rFonts w:ascii="Arial" w:cs="Arial" w:eastAsia="Arial" w:hAnsi="Arial"/>
                <w:sz w:val="18"/>
                <w:szCs w:val="18"/>
                <w:color w:val="0000FF"/>
                <w:w w:val="91"/>
              </w:rPr>
            </w:pPr>
            <w:hyperlink r:id="rId338">
              <w:r>
                <w:rPr>
                  <w:rFonts w:ascii="Arial" w:cs="Arial" w:eastAsia="Arial" w:hAnsi="Arial"/>
                  <w:sz w:val="18"/>
                  <w:szCs w:val="18"/>
                  <w:color w:val="0000FF"/>
                  <w:w w:val="91"/>
                </w:rPr>
                <w:t>Convertible Financing Agreement, dated as of December 31, 2012, among the Registrant, D.N.A Biomedical Solutions, Ltd. and the</w:t>
              </w:r>
            </w:hyperlink>
          </w:p>
        </w:tc>
        <w:tc>
          <w:tcPr>
            <w:tcW w:w="320" w:type="dxa"/>
            <w:vAlign w:val="bottom"/>
            <w:gridSpan w:val="4"/>
          </w:tcPr>
          <w:p>
            <w:pPr>
              <w:spacing w:after="0"/>
              <w:rPr>
                <w:sz w:val="21"/>
                <w:szCs w:val="21"/>
                <w:color w:val="auto"/>
              </w:rPr>
            </w:pPr>
          </w:p>
        </w:tc>
        <w:tc>
          <w:tcPr>
            <w:tcW w:w="120" w:type="dxa"/>
            <w:vAlign w:val="bottom"/>
          </w:tcPr>
          <w:p>
            <w:pPr>
              <w:spacing w:after="0"/>
              <w:rPr>
                <w:sz w:val="21"/>
                <w:szCs w:val="2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Borders>
              <w:bottom w:val="single" w:sz="8" w:color="0000FF"/>
            </w:tcBorders>
            <w:gridSpan w:val="2"/>
          </w:tcPr>
          <w:p>
            <w:pPr>
              <w:spacing w:after="0" w:line="196" w:lineRule="exact"/>
              <w:rPr>
                <w:rFonts w:ascii="Arial" w:cs="Arial" w:eastAsia="Arial" w:hAnsi="Arial"/>
                <w:sz w:val="18"/>
                <w:szCs w:val="18"/>
                <w:color w:val="0000FF"/>
                <w:w w:val="87"/>
              </w:rPr>
            </w:pPr>
            <w:hyperlink r:id="rId338">
              <w:r>
                <w:rPr>
                  <w:rFonts w:ascii="Arial" w:cs="Arial" w:eastAsia="Arial" w:hAnsi="Arial"/>
                  <w:sz w:val="18"/>
                  <w:szCs w:val="18"/>
                  <w:color w:val="0000FF"/>
                  <w:w w:val="87"/>
                </w:rPr>
                <w:t>lenders thereto.</w:t>
              </w:r>
            </w:hyperlink>
          </w:p>
        </w:tc>
        <w:tc>
          <w:tcPr>
            <w:tcW w:w="8760" w:type="dxa"/>
            <w:vAlign w:val="bottom"/>
            <w:gridSpan w:val="26"/>
          </w:tcPr>
          <w:p>
            <w:pPr>
              <w:spacing w:after="0"/>
              <w:rPr>
                <w:sz w:val="17"/>
                <w:szCs w:val="17"/>
                <w:color w:val="auto"/>
              </w:rPr>
            </w:pPr>
          </w:p>
        </w:tc>
        <w:tc>
          <w:tcPr>
            <w:tcW w:w="120" w:type="dxa"/>
            <w:vAlign w:val="bottom"/>
          </w:tcPr>
          <w:p>
            <w:pPr>
              <w:spacing w:after="0"/>
              <w:rPr>
                <w:sz w:val="17"/>
                <w:szCs w:val="17"/>
                <w:color w:val="auto"/>
              </w:rPr>
            </w:pPr>
          </w:p>
        </w:tc>
      </w:tr>
      <w:tr>
        <w:trPr>
          <w:trHeight w:val="250"/>
        </w:trPr>
        <w:tc>
          <w:tcPr>
            <w:tcW w:w="120" w:type="dxa"/>
            <w:vAlign w:val="bottom"/>
          </w:tcPr>
          <w:p>
            <w:pPr>
              <w:spacing w:after="0"/>
              <w:rPr>
                <w:sz w:val="21"/>
                <w:szCs w:val="21"/>
                <w:color w:val="auto"/>
              </w:rPr>
            </w:pPr>
          </w:p>
        </w:tc>
        <w:tc>
          <w:tcPr>
            <w:tcW w:w="260" w:type="dxa"/>
            <w:vAlign w:val="bottom"/>
            <w:gridSpan w:val="3"/>
          </w:tcPr>
          <w:p>
            <w:pPr>
              <w:spacing w:after="0"/>
              <w:rPr>
                <w:sz w:val="21"/>
                <w:szCs w:val="21"/>
                <w:color w:val="auto"/>
              </w:rPr>
            </w:pPr>
          </w:p>
        </w:tc>
        <w:tc>
          <w:tcPr>
            <w:tcW w:w="500" w:type="dxa"/>
            <w:vAlign w:val="bottom"/>
            <w:gridSpan w:val="4"/>
          </w:tcPr>
          <w:p>
            <w:pPr>
              <w:jc w:val="center"/>
              <w:spacing w:after="0"/>
              <w:rPr>
                <w:rFonts w:ascii="Arial" w:cs="Arial" w:eastAsia="Arial" w:hAnsi="Arial"/>
                <w:sz w:val="18"/>
                <w:szCs w:val="18"/>
                <w:color w:val="0000FF"/>
              </w:rPr>
            </w:pPr>
            <w:hyperlink r:id="rId339">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80" w:type="dxa"/>
            <w:vAlign w:val="bottom"/>
            <w:gridSpan w:val="28"/>
          </w:tcPr>
          <w:p>
            <w:pPr>
              <w:spacing w:after="0"/>
              <w:rPr>
                <w:rFonts w:ascii="Arial" w:cs="Arial" w:eastAsia="Arial" w:hAnsi="Arial"/>
                <w:sz w:val="18"/>
                <w:szCs w:val="18"/>
                <w:color w:val="0000FF"/>
              </w:rPr>
            </w:pPr>
            <w:hyperlink r:id="rId339">
              <w:r>
                <w:rPr>
                  <w:rFonts w:ascii="Arial" w:cs="Arial" w:eastAsia="Arial" w:hAnsi="Arial"/>
                  <w:sz w:val="18"/>
                  <w:szCs w:val="18"/>
                  <w:color w:val="0000FF"/>
                </w:rPr>
                <w:t>The Entera Bio Ltd. Share Incentive Plan.</w:t>
              </w:r>
            </w:hyperlink>
          </w:p>
        </w:tc>
        <w:tc>
          <w:tcPr>
            <w:tcW w:w="12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260" w:type="dxa"/>
            <w:vAlign w:val="bottom"/>
            <w:gridSpan w:val="3"/>
          </w:tcPr>
          <w:p>
            <w:pPr>
              <w:spacing w:after="0"/>
              <w:rPr>
                <w:sz w:val="21"/>
                <w:szCs w:val="21"/>
                <w:color w:val="auto"/>
              </w:rPr>
            </w:pPr>
          </w:p>
        </w:tc>
        <w:tc>
          <w:tcPr>
            <w:tcW w:w="500" w:type="dxa"/>
            <w:vAlign w:val="bottom"/>
            <w:tcBorders>
              <w:bottom w:val="single" w:sz="8" w:color="0000FF"/>
            </w:tcBorders>
            <w:gridSpan w:val="4"/>
          </w:tcPr>
          <w:p>
            <w:pPr>
              <w:jc w:val="center"/>
              <w:spacing w:after="0"/>
              <w:rPr>
                <w:rFonts w:ascii="Arial" w:cs="Arial" w:eastAsia="Arial" w:hAnsi="Arial"/>
                <w:sz w:val="18"/>
                <w:szCs w:val="18"/>
                <w:color w:val="0000FF"/>
              </w:rPr>
            </w:pPr>
            <w:hyperlink r:id="rId340">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740" w:type="dxa"/>
            <w:vAlign w:val="bottom"/>
            <w:tcBorders>
              <w:bottom w:val="single" w:sz="8" w:color="0000FF"/>
            </w:tcBorders>
            <w:gridSpan w:val="19"/>
          </w:tcPr>
          <w:p>
            <w:pPr>
              <w:spacing w:after="0"/>
              <w:rPr>
                <w:rFonts w:ascii="Arial" w:cs="Arial" w:eastAsia="Arial" w:hAnsi="Arial"/>
                <w:sz w:val="18"/>
                <w:szCs w:val="18"/>
                <w:color w:val="0000FF"/>
                <w:w w:val="89"/>
              </w:rPr>
            </w:pPr>
            <w:hyperlink r:id="rId340">
              <w:r>
                <w:rPr>
                  <w:rFonts w:ascii="Arial" w:cs="Arial" w:eastAsia="Arial" w:hAnsi="Arial"/>
                  <w:sz w:val="18"/>
                  <w:szCs w:val="18"/>
                  <w:color w:val="0000FF"/>
                  <w:w w:val="89"/>
                </w:rPr>
                <w:t>Series A Preferred Share Purchase Agreement, dated as of January 29, 2014, between the Registrant and Centillion Fund.</w:t>
              </w:r>
            </w:hyperlink>
          </w:p>
        </w:tc>
        <w:tc>
          <w:tcPr>
            <w:tcW w:w="1140" w:type="dxa"/>
            <w:vAlign w:val="bottom"/>
            <w:gridSpan w:val="9"/>
          </w:tcPr>
          <w:p>
            <w:pPr>
              <w:spacing w:after="0"/>
              <w:rPr>
                <w:sz w:val="21"/>
                <w:szCs w:val="21"/>
                <w:color w:val="auto"/>
              </w:rPr>
            </w:pPr>
          </w:p>
        </w:tc>
        <w:tc>
          <w:tcPr>
            <w:tcW w:w="1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260" w:type="dxa"/>
            <w:vAlign w:val="bottom"/>
            <w:gridSpan w:val="3"/>
          </w:tcPr>
          <w:p>
            <w:pPr>
              <w:spacing w:after="0"/>
              <w:rPr>
                <w:sz w:val="21"/>
                <w:szCs w:val="21"/>
                <w:color w:val="auto"/>
              </w:rPr>
            </w:pPr>
          </w:p>
        </w:tc>
        <w:tc>
          <w:tcPr>
            <w:tcW w:w="500" w:type="dxa"/>
            <w:vAlign w:val="bottom"/>
            <w:tcBorders>
              <w:bottom w:val="single" w:sz="8" w:color="0000FF"/>
            </w:tcBorders>
            <w:gridSpan w:val="4"/>
          </w:tcPr>
          <w:p>
            <w:pPr>
              <w:jc w:val="center"/>
              <w:spacing w:after="0"/>
              <w:rPr>
                <w:rFonts w:ascii="Arial" w:cs="Arial" w:eastAsia="Arial" w:hAnsi="Arial"/>
                <w:sz w:val="18"/>
                <w:szCs w:val="18"/>
                <w:color w:val="0000FF"/>
              </w:rPr>
            </w:pPr>
            <w:hyperlink r:id="rId341">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540" w:type="dxa"/>
            <w:vAlign w:val="bottom"/>
            <w:tcBorders>
              <w:bottom w:val="single" w:sz="8" w:color="0000FF"/>
            </w:tcBorders>
            <w:gridSpan w:val="23"/>
          </w:tcPr>
          <w:p>
            <w:pPr>
              <w:spacing w:after="0"/>
              <w:rPr>
                <w:rFonts w:ascii="Arial" w:cs="Arial" w:eastAsia="Arial" w:hAnsi="Arial"/>
                <w:sz w:val="18"/>
                <w:szCs w:val="18"/>
                <w:color w:val="0000FF"/>
                <w:w w:val="89"/>
              </w:rPr>
            </w:pPr>
            <w:hyperlink r:id="rId341">
              <w:r>
                <w:rPr>
                  <w:rFonts w:ascii="Arial" w:cs="Arial" w:eastAsia="Arial" w:hAnsi="Arial"/>
                  <w:sz w:val="18"/>
                  <w:szCs w:val="18"/>
                  <w:color w:val="0000FF"/>
                  <w:w w:val="89"/>
                </w:rPr>
                <w:t>First Amendment to Series A Preferred Share Purchase Agreement, dated as of June 18, 2014, between the Registrant and Centillion</w:t>
              </w:r>
            </w:hyperlink>
          </w:p>
        </w:tc>
        <w:tc>
          <w:tcPr>
            <w:tcW w:w="340" w:type="dxa"/>
            <w:vAlign w:val="bottom"/>
            <w:gridSpan w:val="5"/>
          </w:tcPr>
          <w:p>
            <w:pPr>
              <w:spacing w:after="0"/>
              <w:rPr>
                <w:sz w:val="21"/>
                <w:szCs w:val="21"/>
                <w:color w:val="auto"/>
              </w:rPr>
            </w:pPr>
          </w:p>
        </w:tc>
        <w:tc>
          <w:tcPr>
            <w:tcW w:w="120" w:type="dxa"/>
            <w:vAlign w:val="bottom"/>
          </w:tcPr>
          <w:p>
            <w:pPr>
              <w:spacing w:after="0"/>
              <w:rPr>
                <w:sz w:val="21"/>
                <w:szCs w:val="2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341">
              <w:r>
                <w:rPr>
                  <w:rFonts w:ascii="Arial" w:cs="Arial" w:eastAsia="Arial" w:hAnsi="Arial"/>
                  <w:sz w:val="18"/>
                  <w:szCs w:val="18"/>
                  <w:color w:val="0000FF"/>
                  <w:w w:val="86"/>
                </w:rPr>
                <w:t>Fund.</w:t>
              </w:r>
            </w:hyperlink>
          </w:p>
        </w:tc>
        <w:tc>
          <w:tcPr>
            <w:tcW w:w="9460" w:type="dxa"/>
            <w:vAlign w:val="bottom"/>
            <w:gridSpan w:val="27"/>
          </w:tcPr>
          <w:p>
            <w:pPr>
              <w:spacing w:after="0"/>
              <w:rPr>
                <w:sz w:val="17"/>
                <w:szCs w:val="17"/>
                <w:color w:val="auto"/>
              </w:rPr>
            </w:pPr>
          </w:p>
        </w:tc>
        <w:tc>
          <w:tcPr>
            <w:tcW w:w="120" w:type="dxa"/>
            <w:vAlign w:val="bottom"/>
          </w:tcPr>
          <w:p>
            <w:pPr>
              <w:spacing w:after="0"/>
              <w:rPr>
                <w:sz w:val="17"/>
                <w:szCs w:val="17"/>
                <w:color w:val="auto"/>
              </w:rPr>
            </w:pPr>
          </w:p>
        </w:tc>
      </w:tr>
      <w:tr>
        <w:trPr>
          <w:trHeight w:val="250"/>
        </w:trPr>
        <w:tc>
          <w:tcPr>
            <w:tcW w:w="120" w:type="dxa"/>
            <w:vAlign w:val="bottom"/>
          </w:tcPr>
          <w:p>
            <w:pPr>
              <w:spacing w:after="0"/>
              <w:rPr>
                <w:sz w:val="21"/>
                <w:szCs w:val="21"/>
                <w:color w:val="auto"/>
              </w:rPr>
            </w:pPr>
          </w:p>
        </w:tc>
        <w:tc>
          <w:tcPr>
            <w:tcW w:w="260" w:type="dxa"/>
            <w:vAlign w:val="bottom"/>
            <w:gridSpan w:val="3"/>
          </w:tcPr>
          <w:p>
            <w:pPr>
              <w:spacing w:after="0"/>
              <w:rPr>
                <w:sz w:val="21"/>
                <w:szCs w:val="21"/>
                <w:color w:val="auto"/>
              </w:rPr>
            </w:pPr>
          </w:p>
        </w:tc>
        <w:tc>
          <w:tcPr>
            <w:tcW w:w="500" w:type="dxa"/>
            <w:vAlign w:val="bottom"/>
            <w:gridSpan w:val="4"/>
          </w:tcPr>
          <w:p>
            <w:pPr>
              <w:jc w:val="center"/>
              <w:spacing w:after="0"/>
              <w:rPr>
                <w:rFonts w:ascii="Arial" w:cs="Arial" w:eastAsia="Arial" w:hAnsi="Arial"/>
                <w:sz w:val="18"/>
                <w:szCs w:val="18"/>
                <w:color w:val="0000FF"/>
              </w:rPr>
            </w:pPr>
            <w:hyperlink r:id="rId342">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80" w:type="dxa"/>
            <w:vAlign w:val="bottom"/>
            <w:gridSpan w:val="28"/>
          </w:tcPr>
          <w:p>
            <w:pPr>
              <w:spacing w:after="0"/>
              <w:rPr>
                <w:rFonts w:ascii="Arial" w:cs="Arial" w:eastAsia="Arial" w:hAnsi="Arial"/>
                <w:sz w:val="18"/>
                <w:szCs w:val="18"/>
                <w:color w:val="0000FF"/>
                <w:w w:val="95"/>
              </w:rPr>
            </w:pPr>
            <w:hyperlink r:id="rId342">
              <w:r>
                <w:rPr>
                  <w:rFonts w:ascii="Arial" w:cs="Arial" w:eastAsia="Arial" w:hAnsi="Arial"/>
                  <w:sz w:val="18"/>
                  <w:szCs w:val="18"/>
                  <w:color w:val="0000FF"/>
                  <w:w w:val="95"/>
                </w:rPr>
                <w:t>Second Amendment to Series A Preferred Share Purchase Agreement, dated as of January 21, 2015, between the Registrant and</w:t>
              </w:r>
            </w:hyperlink>
          </w:p>
        </w:tc>
        <w:tc>
          <w:tcPr>
            <w:tcW w:w="120" w:type="dxa"/>
            <w:vAlign w:val="bottom"/>
          </w:tcPr>
          <w:p>
            <w:pPr>
              <w:spacing w:after="0"/>
              <w:rPr>
                <w:sz w:val="21"/>
                <w:szCs w:val="2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6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342">
              <w:r>
                <w:rPr>
                  <w:rFonts w:ascii="Arial" w:cs="Arial" w:eastAsia="Arial" w:hAnsi="Arial"/>
                  <w:sz w:val="18"/>
                  <w:szCs w:val="18"/>
                  <w:color w:val="0000FF"/>
                </w:rPr>
                <w:t>Centillion Fund.</w:t>
              </w:r>
            </w:hyperlink>
          </w:p>
        </w:tc>
        <w:tc>
          <w:tcPr>
            <w:tcW w:w="62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260" w:type="dxa"/>
            <w:vAlign w:val="bottom"/>
            <w:gridSpan w:val="3"/>
          </w:tcPr>
          <w:p>
            <w:pPr>
              <w:spacing w:after="0"/>
              <w:rPr>
                <w:sz w:val="21"/>
                <w:szCs w:val="21"/>
                <w:color w:val="auto"/>
              </w:rPr>
            </w:pPr>
          </w:p>
        </w:tc>
        <w:tc>
          <w:tcPr>
            <w:tcW w:w="500" w:type="dxa"/>
            <w:vAlign w:val="bottom"/>
            <w:gridSpan w:val="4"/>
          </w:tcPr>
          <w:p>
            <w:pPr>
              <w:jc w:val="center"/>
              <w:spacing w:after="0"/>
              <w:rPr>
                <w:rFonts w:ascii="Arial" w:cs="Arial" w:eastAsia="Arial" w:hAnsi="Arial"/>
                <w:sz w:val="18"/>
                <w:szCs w:val="18"/>
                <w:color w:val="0000FF"/>
              </w:rPr>
            </w:pPr>
            <w:hyperlink r:id="rId343">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80" w:type="dxa"/>
            <w:vAlign w:val="bottom"/>
            <w:gridSpan w:val="28"/>
          </w:tcPr>
          <w:p>
            <w:pPr>
              <w:spacing w:after="0"/>
              <w:rPr>
                <w:rFonts w:ascii="Arial" w:cs="Arial" w:eastAsia="Arial" w:hAnsi="Arial"/>
                <w:sz w:val="18"/>
                <w:szCs w:val="18"/>
                <w:color w:val="0000FF"/>
                <w:w w:val="90"/>
              </w:rPr>
            </w:pPr>
            <w:hyperlink r:id="rId343">
              <w:r>
                <w:rPr>
                  <w:rFonts w:ascii="Arial" w:cs="Arial" w:eastAsia="Arial" w:hAnsi="Arial"/>
                  <w:sz w:val="18"/>
                  <w:szCs w:val="18"/>
                  <w:color w:val="0000FF"/>
                  <w:w w:val="90"/>
                </w:rPr>
                <w:t>Third Amendment to Series A Preferred Share Purchase Agreement, dated as of November 2015, between the Registrant and Centillion</w:t>
              </w:r>
            </w:hyperlink>
          </w:p>
        </w:tc>
        <w:tc>
          <w:tcPr>
            <w:tcW w:w="120" w:type="dxa"/>
            <w:vAlign w:val="bottom"/>
          </w:tcPr>
          <w:p>
            <w:pPr>
              <w:spacing w:after="0"/>
              <w:rPr>
                <w:sz w:val="21"/>
                <w:szCs w:val="2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343">
              <w:r>
                <w:rPr>
                  <w:rFonts w:ascii="Arial" w:cs="Arial" w:eastAsia="Arial" w:hAnsi="Arial"/>
                  <w:sz w:val="18"/>
                  <w:szCs w:val="18"/>
                  <w:color w:val="0000FF"/>
                  <w:w w:val="86"/>
                </w:rPr>
                <w:t>Fund.</w:t>
              </w:r>
            </w:hyperlink>
          </w:p>
        </w:tc>
        <w:tc>
          <w:tcPr>
            <w:tcW w:w="9340" w:type="dxa"/>
            <w:vAlign w:val="bottom"/>
            <w:tcBorders>
              <w:top w:val="single" w:sz="8" w:color="0000FF"/>
            </w:tcBorders>
            <w:gridSpan w:val="26"/>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50"/>
        </w:trPr>
        <w:tc>
          <w:tcPr>
            <w:tcW w:w="120" w:type="dxa"/>
            <w:vAlign w:val="bottom"/>
          </w:tcPr>
          <w:p>
            <w:pPr>
              <w:spacing w:after="0"/>
              <w:rPr>
                <w:sz w:val="21"/>
                <w:szCs w:val="21"/>
                <w:color w:val="auto"/>
              </w:rPr>
            </w:pPr>
          </w:p>
        </w:tc>
        <w:tc>
          <w:tcPr>
            <w:tcW w:w="260" w:type="dxa"/>
            <w:vAlign w:val="bottom"/>
            <w:gridSpan w:val="3"/>
          </w:tcPr>
          <w:p>
            <w:pPr>
              <w:spacing w:after="0"/>
              <w:rPr>
                <w:sz w:val="21"/>
                <w:szCs w:val="21"/>
                <w:color w:val="auto"/>
              </w:rPr>
            </w:pPr>
          </w:p>
        </w:tc>
        <w:tc>
          <w:tcPr>
            <w:tcW w:w="500" w:type="dxa"/>
            <w:vAlign w:val="bottom"/>
            <w:tcBorders>
              <w:bottom w:val="single" w:sz="8" w:color="0000FF"/>
            </w:tcBorders>
            <w:gridSpan w:val="4"/>
          </w:tcPr>
          <w:p>
            <w:pPr>
              <w:jc w:val="center"/>
              <w:spacing w:after="0"/>
              <w:rPr>
                <w:rFonts w:ascii="Arial" w:cs="Arial" w:eastAsia="Arial" w:hAnsi="Arial"/>
                <w:sz w:val="18"/>
                <w:szCs w:val="18"/>
                <w:color w:val="0000FF"/>
              </w:rPr>
            </w:pPr>
            <w:hyperlink r:id="rId344">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60" w:type="dxa"/>
            <w:vAlign w:val="bottom"/>
            <w:tcBorders>
              <w:bottom w:val="single" w:sz="8" w:color="0000FF"/>
            </w:tcBorders>
            <w:gridSpan w:val="25"/>
          </w:tcPr>
          <w:p>
            <w:pPr>
              <w:spacing w:after="0"/>
              <w:rPr>
                <w:rFonts w:ascii="Arial" w:cs="Arial" w:eastAsia="Arial" w:hAnsi="Arial"/>
                <w:sz w:val="18"/>
                <w:szCs w:val="18"/>
                <w:color w:val="0000FF"/>
                <w:w w:val="89"/>
              </w:rPr>
            </w:pPr>
            <w:hyperlink r:id="rId344">
              <w:r>
                <w:rPr>
                  <w:rFonts w:ascii="Arial" w:cs="Arial" w:eastAsia="Arial" w:hAnsi="Arial"/>
                  <w:sz w:val="18"/>
                  <w:szCs w:val="18"/>
                  <w:color w:val="0000FF"/>
                  <w:w w:val="89"/>
                </w:rPr>
                <w:t>Fourth Amendment to Series A Preferred Share Purchase Agreement, dated as of July 20, 2017, between the Registrant and Centillion</w:t>
              </w:r>
            </w:hyperlink>
          </w:p>
        </w:tc>
        <w:tc>
          <w:tcPr>
            <w:tcW w:w="220" w:type="dxa"/>
            <w:vAlign w:val="bottom"/>
            <w:gridSpan w:val="3"/>
          </w:tcPr>
          <w:p>
            <w:pPr>
              <w:spacing w:after="0"/>
              <w:rPr>
                <w:sz w:val="21"/>
                <w:szCs w:val="21"/>
                <w:color w:val="auto"/>
              </w:rPr>
            </w:pPr>
          </w:p>
        </w:tc>
        <w:tc>
          <w:tcPr>
            <w:tcW w:w="120" w:type="dxa"/>
            <w:vAlign w:val="bottom"/>
          </w:tcPr>
          <w:p>
            <w:pPr>
              <w:spacing w:after="0"/>
              <w:rPr>
                <w:sz w:val="21"/>
                <w:szCs w:val="2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Arial" w:cs="Arial" w:eastAsia="Arial" w:hAnsi="Arial"/>
                <w:sz w:val="18"/>
                <w:szCs w:val="18"/>
                <w:color w:val="0000FF"/>
                <w:w w:val="86"/>
              </w:rPr>
            </w:pPr>
            <w:hyperlink r:id="rId344">
              <w:r>
                <w:rPr>
                  <w:rFonts w:ascii="Arial" w:cs="Arial" w:eastAsia="Arial" w:hAnsi="Arial"/>
                  <w:sz w:val="18"/>
                  <w:szCs w:val="18"/>
                  <w:color w:val="0000FF"/>
                  <w:w w:val="86"/>
                </w:rPr>
                <w:t>Fund.</w:t>
              </w:r>
            </w:hyperlink>
          </w:p>
        </w:tc>
        <w:tc>
          <w:tcPr>
            <w:tcW w:w="9460" w:type="dxa"/>
            <w:vAlign w:val="bottom"/>
            <w:gridSpan w:val="27"/>
          </w:tcPr>
          <w:p>
            <w:pPr>
              <w:spacing w:after="0"/>
              <w:rPr>
                <w:sz w:val="17"/>
                <w:szCs w:val="17"/>
                <w:color w:val="auto"/>
              </w:rPr>
            </w:pPr>
          </w:p>
        </w:tc>
        <w:tc>
          <w:tcPr>
            <w:tcW w:w="120" w:type="dxa"/>
            <w:vAlign w:val="bottom"/>
          </w:tcPr>
          <w:p>
            <w:pPr>
              <w:spacing w:after="0"/>
              <w:rPr>
                <w:sz w:val="17"/>
                <w:szCs w:val="17"/>
                <w:color w:val="auto"/>
              </w:rPr>
            </w:pPr>
          </w:p>
        </w:tc>
      </w:tr>
      <w:tr>
        <w:trPr>
          <w:trHeight w:val="250"/>
        </w:trPr>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Borders>
              <w:bottom w:val="single" w:sz="8" w:color="0000FF"/>
            </w:tcBorders>
            <w:gridSpan w:val="7"/>
          </w:tcPr>
          <w:p>
            <w:pPr>
              <w:jc w:val="center"/>
              <w:spacing w:after="0"/>
              <w:rPr>
                <w:rFonts w:ascii="Arial" w:cs="Arial" w:eastAsia="Arial" w:hAnsi="Arial"/>
                <w:sz w:val="18"/>
                <w:szCs w:val="18"/>
                <w:color w:val="0000FF"/>
                <w:w w:val="98"/>
              </w:rPr>
            </w:pPr>
            <w:hyperlink r:id="rId345">
              <w:r>
                <w:rPr>
                  <w:rFonts w:ascii="Arial" w:cs="Arial" w:eastAsia="Arial" w:hAnsi="Arial"/>
                  <w:sz w:val="18"/>
                  <w:szCs w:val="18"/>
                  <w:color w:val="0000FF"/>
                  <w:w w:val="98"/>
                </w:rPr>
                <w:t>10.</w:t>
              </w:r>
              <w:r>
                <w:rPr>
                  <w:rFonts w:ascii="Arial" w:cs="Arial" w:eastAsia="Arial" w:hAnsi="Arial"/>
                  <w:sz w:val="18"/>
                  <w:szCs w:val="18"/>
                  <w:u w:val="single" w:color="auto"/>
                  <w:color w:val="0000FF"/>
                  <w:w w:val="98"/>
                </w:rPr>
                <w:t>10**</w:t>
              </w:r>
            </w:hyperlink>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60" w:type="dxa"/>
            <w:vAlign w:val="bottom"/>
            <w:tcBorders>
              <w:bottom w:val="single" w:sz="8" w:color="0000FF"/>
            </w:tcBorders>
            <w:gridSpan w:val="21"/>
          </w:tcPr>
          <w:p>
            <w:pPr>
              <w:spacing w:after="0"/>
              <w:rPr>
                <w:rFonts w:ascii="Arial" w:cs="Arial" w:eastAsia="Arial" w:hAnsi="Arial"/>
                <w:sz w:val="18"/>
                <w:szCs w:val="18"/>
                <w:color w:val="0000FF"/>
                <w:w w:val="88"/>
              </w:rPr>
            </w:pPr>
            <w:hyperlink r:id="rId345">
              <w:r>
                <w:rPr>
                  <w:rFonts w:ascii="Arial" w:cs="Arial" w:eastAsia="Arial" w:hAnsi="Arial"/>
                  <w:sz w:val="18"/>
                  <w:szCs w:val="18"/>
                  <w:color w:val="0000FF"/>
                  <w:w w:val="88"/>
                </w:rPr>
                <w:t>Series B Preferred Share Purchase Agreement, dated as of October 4, 2017, October 25, 2017 and December 18, 2017, between the</w:t>
              </w:r>
            </w:hyperlink>
          </w:p>
        </w:tc>
        <w:tc>
          <w:tcPr>
            <w:tcW w:w="420" w:type="dxa"/>
            <w:vAlign w:val="bottom"/>
            <w:gridSpan w:val="7"/>
          </w:tcPr>
          <w:p>
            <w:pPr>
              <w:spacing w:after="0"/>
              <w:rPr>
                <w:sz w:val="21"/>
                <w:szCs w:val="21"/>
                <w:color w:val="auto"/>
              </w:rPr>
            </w:pPr>
          </w:p>
        </w:tc>
        <w:tc>
          <w:tcPr>
            <w:tcW w:w="120" w:type="dxa"/>
            <w:vAlign w:val="bottom"/>
          </w:tcPr>
          <w:p>
            <w:pPr>
              <w:spacing w:after="0"/>
              <w:rPr>
                <w:sz w:val="21"/>
                <w:szCs w:val="2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80" w:type="dxa"/>
            <w:vAlign w:val="bottom"/>
            <w:gridSpan w:val="28"/>
          </w:tcPr>
          <w:p>
            <w:pPr>
              <w:spacing w:after="0" w:line="196" w:lineRule="exact"/>
              <w:rPr>
                <w:rFonts w:ascii="Arial" w:cs="Arial" w:eastAsia="Arial" w:hAnsi="Arial"/>
                <w:sz w:val="18"/>
                <w:szCs w:val="18"/>
                <w:color w:val="0000FF"/>
              </w:rPr>
            </w:pPr>
            <w:hyperlink r:id="rId345">
              <w:r>
                <w:rPr>
                  <w:rFonts w:ascii="Arial" w:cs="Arial" w:eastAsia="Arial" w:hAnsi="Arial"/>
                  <w:sz w:val="18"/>
                  <w:szCs w:val="18"/>
                  <w:color w:val="0000FF"/>
                </w:rPr>
                <w:t>Registrant and the other parties thereto.</w:t>
              </w:r>
            </w:hyperlink>
          </w:p>
        </w:tc>
        <w:tc>
          <w:tcPr>
            <w:tcW w:w="1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40" w:type="dxa"/>
            <w:vAlign w:val="bottom"/>
            <w:gridSpan w:val="5"/>
            <w:shd w:val="clear" w:color="auto" w:fill="0000FF"/>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800" w:type="dxa"/>
            <w:vAlign w:val="bottom"/>
            <w:gridSpan w:val="8"/>
          </w:tcPr>
          <w:p>
            <w:pPr>
              <w:jc w:val="center"/>
              <w:ind w:left="130"/>
              <w:spacing w:after="0"/>
              <w:rPr>
                <w:rFonts w:ascii="Arial" w:cs="Arial" w:eastAsia="Arial" w:hAnsi="Arial"/>
                <w:sz w:val="18"/>
                <w:szCs w:val="18"/>
                <w:color w:val="0000FF"/>
                <w:w w:val="98"/>
              </w:rPr>
            </w:pPr>
            <w:hyperlink r:id="rId346">
              <w:r>
                <w:rPr>
                  <w:rFonts w:ascii="Arial" w:cs="Arial" w:eastAsia="Arial" w:hAnsi="Arial"/>
                  <w:sz w:val="18"/>
                  <w:szCs w:val="18"/>
                  <w:color w:val="0000FF"/>
                  <w:w w:val="98"/>
                </w:rPr>
                <w:t>10.</w:t>
              </w:r>
              <w:r>
                <w:rPr>
                  <w:rFonts w:ascii="Arial" w:cs="Arial" w:eastAsia="Arial" w:hAnsi="Arial"/>
                  <w:sz w:val="18"/>
                  <w:szCs w:val="18"/>
                  <w:u w:val="single" w:color="auto"/>
                  <w:color w:val="0000FF"/>
                  <w:w w:val="98"/>
                </w:rPr>
                <w:t>11**</w:t>
              </w:r>
            </w:hyperlink>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80" w:type="dxa"/>
            <w:vAlign w:val="bottom"/>
            <w:gridSpan w:val="28"/>
          </w:tcPr>
          <w:p>
            <w:pPr>
              <w:spacing w:after="0"/>
              <w:rPr>
                <w:rFonts w:ascii="Arial" w:cs="Arial" w:eastAsia="Arial" w:hAnsi="Arial"/>
                <w:sz w:val="18"/>
                <w:szCs w:val="18"/>
                <w:color w:val="0000FF"/>
                <w:w w:val="90"/>
              </w:rPr>
            </w:pPr>
            <w:hyperlink r:id="rId346">
              <w:r>
                <w:rPr>
                  <w:rFonts w:ascii="Arial" w:cs="Arial" w:eastAsia="Arial" w:hAnsi="Arial"/>
                  <w:sz w:val="18"/>
                  <w:szCs w:val="18"/>
                  <w:color w:val="0000FF"/>
                  <w:w w:val="90"/>
                </w:rPr>
                <w:t>Amended and Restated Investors’ Rights Agreement, dated as of October 4, 2017, between the Registrant and the other parties thereto.</w:t>
              </w:r>
            </w:hyperlink>
          </w:p>
        </w:tc>
        <w:tc>
          <w:tcPr>
            <w:tcW w:w="12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80" w:type="dxa"/>
            <w:vAlign w:val="bottom"/>
            <w:gridSpan w:val="1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360" w:type="dxa"/>
            <w:vAlign w:val="bottom"/>
            <w:gridSpan w:val="8"/>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Borders>
              <w:bottom w:val="single" w:sz="8" w:color="0000FF"/>
            </w:tcBorders>
            <w:gridSpan w:val="7"/>
          </w:tcPr>
          <w:p>
            <w:pPr>
              <w:jc w:val="center"/>
              <w:spacing w:after="0"/>
              <w:rPr>
                <w:rFonts w:ascii="Arial" w:cs="Arial" w:eastAsia="Arial" w:hAnsi="Arial"/>
                <w:sz w:val="18"/>
                <w:szCs w:val="18"/>
                <w:color w:val="0000FF"/>
                <w:w w:val="98"/>
              </w:rPr>
            </w:pPr>
            <w:hyperlink r:id="rId347">
              <w:r>
                <w:rPr>
                  <w:rFonts w:ascii="Arial" w:cs="Arial" w:eastAsia="Arial" w:hAnsi="Arial"/>
                  <w:sz w:val="18"/>
                  <w:szCs w:val="18"/>
                  <w:color w:val="0000FF"/>
                  <w:w w:val="98"/>
                </w:rPr>
                <w:t>10.</w:t>
              </w:r>
              <w:r>
                <w:rPr>
                  <w:rFonts w:ascii="Arial" w:cs="Arial" w:eastAsia="Arial" w:hAnsi="Arial"/>
                  <w:sz w:val="18"/>
                  <w:szCs w:val="18"/>
                  <w:u w:val="single" w:color="auto"/>
                  <w:color w:val="0000FF"/>
                  <w:w w:val="98"/>
                </w:rPr>
                <w:t>12**</w:t>
              </w:r>
            </w:hyperlink>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180" w:type="dxa"/>
            <w:vAlign w:val="bottom"/>
            <w:tcBorders>
              <w:bottom w:val="single" w:sz="8" w:color="0000FF"/>
            </w:tcBorders>
            <w:gridSpan w:val="16"/>
          </w:tcPr>
          <w:p>
            <w:pPr>
              <w:spacing w:after="0"/>
              <w:rPr>
                <w:rFonts w:ascii="Arial" w:cs="Arial" w:eastAsia="Arial" w:hAnsi="Arial"/>
                <w:sz w:val="18"/>
                <w:szCs w:val="18"/>
                <w:color w:val="0000FF"/>
                <w:w w:val="91"/>
              </w:rPr>
            </w:pPr>
            <w:hyperlink r:id="rId347">
              <w:r>
                <w:rPr>
                  <w:rFonts w:ascii="Arial" w:cs="Arial" w:eastAsia="Arial" w:hAnsi="Arial"/>
                  <w:sz w:val="18"/>
                  <w:szCs w:val="18"/>
                  <w:color w:val="0000FF"/>
                  <w:w w:val="91"/>
                </w:rPr>
                <w:t>Form of indemnification agreement between the Registrant and its directors and executive officers.</w:t>
              </w:r>
            </w:hyperlink>
          </w:p>
        </w:tc>
        <w:tc>
          <w:tcPr>
            <w:tcW w:w="2700" w:type="dxa"/>
            <w:vAlign w:val="bottom"/>
            <w:gridSpan w:val="12"/>
          </w:tcPr>
          <w:p>
            <w:pPr>
              <w:spacing w:after="0"/>
              <w:rPr>
                <w:sz w:val="21"/>
                <w:szCs w:val="21"/>
                <w:color w:val="auto"/>
              </w:rPr>
            </w:pPr>
          </w:p>
        </w:tc>
        <w:tc>
          <w:tcPr>
            <w:tcW w:w="1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gridSpan w:val="7"/>
          </w:tcPr>
          <w:p>
            <w:pPr>
              <w:jc w:val="center"/>
              <w:spacing w:after="0"/>
              <w:rPr>
                <w:rFonts w:ascii="Arial" w:cs="Arial" w:eastAsia="Arial" w:hAnsi="Arial"/>
                <w:sz w:val="18"/>
                <w:szCs w:val="18"/>
                <w:color w:val="0000FF"/>
                <w:w w:val="98"/>
              </w:rPr>
            </w:pPr>
            <w:hyperlink r:id="rId348">
              <w:r>
                <w:rPr>
                  <w:rFonts w:ascii="Arial" w:cs="Arial" w:eastAsia="Arial" w:hAnsi="Arial"/>
                  <w:sz w:val="18"/>
                  <w:szCs w:val="18"/>
                  <w:color w:val="0000FF"/>
                  <w:w w:val="98"/>
                </w:rPr>
                <w:t>10.</w:t>
              </w:r>
              <w:r>
                <w:rPr>
                  <w:rFonts w:ascii="Arial" w:cs="Arial" w:eastAsia="Arial" w:hAnsi="Arial"/>
                  <w:sz w:val="18"/>
                  <w:szCs w:val="18"/>
                  <w:u w:val="single" w:color="auto"/>
                  <w:color w:val="0000FF"/>
                  <w:w w:val="98"/>
                </w:rPr>
                <w:t>13**</w:t>
              </w:r>
            </w:hyperlink>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80" w:type="dxa"/>
            <w:vAlign w:val="bottom"/>
            <w:gridSpan w:val="28"/>
          </w:tcPr>
          <w:p>
            <w:pPr>
              <w:spacing w:after="0"/>
              <w:rPr>
                <w:rFonts w:ascii="Arial" w:cs="Arial" w:eastAsia="Arial" w:hAnsi="Arial"/>
                <w:sz w:val="18"/>
                <w:szCs w:val="18"/>
                <w:color w:val="0000FF"/>
              </w:rPr>
            </w:pPr>
            <w:hyperlink r:id="rId348">
              <w:r>
                <w:rPr>
                  <w:rFonts w:ascii="Arial" w:cs="Arial" w:eastAsia="Arial" w:hAnsi="Arial"/>
                  <w:sz w:val="18"/>
                  <w:szCs w:val="18"/>
                  <w:color w:val="0000FF"/>
                </w:rPr>
                <w:t>Form of Convertible Financing Agreement, dated as of June 14, 2016, among the Registrant and the lenders thereto.</w:t>
              </w:r>
            </w:hyperlink>
          </w:p>
        </w:tc>
        <w:tc>
          <w:tcPr>
            <w:tcW w:w="1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Borders>
              <w:top w:val="single" w:sz="8" w:color="0000FF"/>
            </w:tcBorders>
            <w:gridSpan w:val="7"/>
          </w:tcPr>
          <w:p>
            <w:pPr>
              <w:jc w:val="center"/>
              <w:spacing w:after="0"/>
              <w:rPr>
                <w:rFonts w:ascii="Arial" w:cs="Arial" w:eastAsia="Arial" w:hAnsi="Arial"/>
                <w:sz w:val="18"/>
                <w:szCs w:val="18"/>
                <w:color w:val="0000FF"/>
                <w:w w:val="98"/>
              </w:rPr>
            </w:pPr>
            <w:hyperlink r:id="rId349">
              <w:r>
                <w:rPr>
                  <w:rFonts w:ascii="Arial" w:cs="Arial" w:eastAsia="Arial" w:hAnsi="Arial"/>
                  <w:sz w:val="18"/>
                  <w:szCs w:val="18"/>
                  <w:color w:val="0000FF"/>
                  <w:w w:val="98"/>
                </w:rPr>
                <w:t>10.</w:t>
              </w:r>
              <w:r>
                <w:rPr>
                  <w:rFonts w:ascii="Arial" w:cs="Arial" w:eastAsia="Arial" w:hAnsi="Arial"/>
                  <w:sz w:val="18"/>
                  <w:szCs w:val="18"/>
                  <w:u w:val="single" w:color="auto"/>
                  <w:color w:val="0000FF"/>
                  <w:w w:val="98"/>
                </w:rPr>
                <w:t>14**</w:t>
              </w:r>
            </w:hyperlink>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360" w:type="dxa"/>
            <w:vAlign w:val="bottom"/>
            <w:tcBorders>
              <w:top w:val="single" w:sz="8" w:color="0000FF"/>
            </w:tcBorders>
            <w:gridSpan w:val="18"/>
          </w:tcPr>
          <w:p>
            <w:pPr>
              <w:spacing w:after="0"/>
              <w:rPr>
                <w:rFonts w:ascii="Arial" w:cs="Arial" w:eastAsia="Arial" w:hAnsi="Arial"/>
                <w:sz w:val="18"/>
                <w:szCs w:val="18"/>
                <w:color w:val="0000FF"/>
              </w:rPr>
            </w:pPr>
            <w:hyperlink r:id="rId349">
              <w:r>
                <w:rPr>
                  <w:rFonts w:ascii="Arial" w:cs="Arial" w:eastAsia="Arial" w:hAnsi="Arial"/>
                  <w:sz w:val="18"/>
                  <w:szCs w:val="18"/>
                  <w:color w:val="0000FF"/>
                </w:rPr>
                <w:t>Service Agreement, dated April 6, 2017, between Roger Garceau and the Company.</w:t>
              </w:r>
            </w:hyperlink>
          </w:p>
        </w:tc>
        <w:tc>
          <w:tcPr>
            <w:tcW w:w="1520" w:type="dxa"/>
            <w:vAlign w:val="bottom"/>
            <w:gridSpan w:val="10"/>
          </w:tcPr>
          <w:p>
            <w:pPr>
              <w:spacing w:after="0"/>
              <w:rPr>
                <w:sz w:val="21"/>
                <w:szCs w:val="21"/>
                <w:color w:val="auto"/>
              </w:rPr>
            </w:pPr>
          </w:p>
        </w:tc>
        <w:tc>
          <w:tcPr>
            <w:tcW w:w="1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Borders>
              <w:top w:val="single" w:sz="8" w:color="0000FF"/>
              <w:bottom w:val="single" w:sz="8" w:color="0000FF"/>
            </w:tcBorders>
            <w:gridSpan w:val="7"/>
          </w:tcPr>
          <w:p>
            <w:pPr>
              <w:jc w:val="center"/>
              <w:spacing w:after="0"/>
              <w:rPr>
                <w:rFonts w:ascii="Arial" w:cs="Arial" w:eastAsia="Arial" w:hAnsi="Arial"/>
                <w:sz w:val="18"/>
                <w:szCs w:val="18"/>
                <w:color w:val="0000FF"/>
                <w:w w:val="98"/>
              </w:rPr>
            </w:pPr>
            <w:hyperlink r:id="rId350">
              <w:r>
                <w:rPr>
                  <w:rFonts w:ascii="Arial" w:cs="Arial" w:eastAsia="Arial" w:hAnsi="Arial"/>
                  <w:sz w:val="18"/>
                  <w:szCs w:val="18"/>
                  <w:color w:val="0000FF"/>
                  <w:w w:val="98"/>
                </w:rPr>
                <w:t>10.</w:t>
              </w:r>
              <w:r>
                <w:rPr>
                  <w:rFonts w:ascii="Arial" w:cs="Arial" w:eastAsia="Arial" w:hAnsi="Arial"/>
                  <w:sz w:val="18"/>
                  <w:szCs w:val="18"/>
                  <w:u w:val="single" w:color="auto"/>
                  <w:color w:val="0000FF"/>
                  <w:w w:val="98"/>
                </w:rPr>
                <w:t>15**</w:t>
              </w:r>
            </w:hyperlink>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8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0"/>
              </w:rPr>
            </w:pPr>
            <w:hyperlink r:id="rId350">
              <w:r>
                <w:rPr>
                  <w:rFonts w:ascii="Arial" w:cs="Arial" w:eastAsia="Arial" w:hAnsi="Arial"/>
                  <w:sz w:val="18"/>
                  <w:szCs w:val="18"/>
                  <w:color w:val="0000FF"/>
                  <w:w w:val="90"/>
                </w:rPr>
                <w:t>Service Agreement, dated April 6, 2017, between Luke Beshar and the Company.</w:t>
              </w:r>
            </w:hyperlink>
          </w:p>
        </w:tc>
        <w:tc>
          <w:tcPr>
            <w:tcW w:w="160" w:type="dxa"/>
            <w:vAlign w:val="bottom"/>
            <w:tcBorders>
              <w:top w:val="single" w:sz="8" w:color="0000FF"/>
            </w:tcBorders>
          </w:tcPr>
          <w:p>
            <w:pPr>
              <w:spacing w:after="0"/>
              <w:rPr>
                <w:sz w:val="21"/>
                <w:szCs w:val="21"/>
                <w:color w:val="auto"/>
              </w:rPr>
            </w:pPr>
          </w:p>
        </w:tc>
        <w:tc>
          <w:tcPr>
            <w:tcW w:w="3840" w:type="dxa"/>
            <w:vAlign w:val="bottom"/>
            <w:gridSpan w:val="15"/>
          </w:tcPr>
          <w:p>
            <w:pPr>
              <w:spacing w:after="0"/>
              <w:rPr>
                <w:sz w:val="21"/>
                <w:szCs w:val="21"/>
                <w:color w:val="auto"/>
              </w:rPr>
            </w:pPr>
          </w:p>
        </w:tc>
        <w:tc>
          <w:tcPr>
            <w:tcW w:w="120" w:type="dxa"/>
            <w:vAlign w:val="bottom"/>
          </w:tcPr>
          <w:p>
            <w:pPr>
              <w:spacing w:after="0"/>
              <w:rPr>
                <w:sz w:val="21"/>
                <w:szCs w:val="21"/>
                <w:color w:val="auto"/>
              </w:rPr>
            </w:pPr>
          </w:p>
        </w:tc>
      </w:tr>
      <w:tr>
        <w:trPr>
          <w:trHeight w:val="291"/>
        </w:trPr>
        <w:tc>
          <w:tcPr>
            <w:tcW w:w="120" w:type="dxa"/>
            <w:vAlign w:val="bottom"/>
          </w:tcPr>
          <w:p>
            <w:pPr>
              <w:spacing w:after="0"/>
              <w:rPr>
                <w:sz w:val="24"/>
                <w:szCs w:val="24"/>
                <w:color w:val="auto"/>
              </w:rPr>
            </w:pPr>
          </w:p>
        </w:tc>
        <w:tc>
          <w:tcPr>
            <w:tcW w:w="760" w:type="dxa"/>
            <w:vAlign w:val="bottom"/>
            <w:gridSpan w:val="7"/>
          </w:tcPr>
          <w:p>
            <w:pPr>
              <w:jc w:val="center"/>
              <w:ind w:left="170"/>
              <w:spacing w:after="0"/>
              <w:rPr>
                <w:sz w:val="20"/>
                <w:szCs w:val="20"/>
                <w:color w:val="auto"/>
              </w:rPr>
            </w:pPr>
            <w:r>
              <w:rPr>
                <w:rFonts w:ascii="Arial" w:cs="Arial" w:eastAsia="Arial" w:hAnsi="Arial"/>
                <w:sz w:val="18"/>
                <w:szCs w:val="18"/>
                <w:color w:val="auto"/>
                <w:w w:val="95"/>
              </w:rPr>
              <w:t>10.16*</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80" w:type="dxa"/>
            <w:vAlign w:val="bottom"/>
            <w:gridSpan w:val="28"/>
          </w:tcPr>
          <w:p>
            <w:pPr>
              <w:spacing w:after="0"/>
              <w:rPr>
                <w:sz w:val="20"/>
                <w:szCs w:val="20"/>
                <w:color w:val="auto"/>
              </w:rPr>
            </w:pPr>
            <w:r>
              <w:rPr>
                <w:rFonts w:ascii="Arial" w:cs="Arial" w:eastAsia="Arial" w:hAnsi="Arial"/>
                <w:sz w:val="18"/>
                <w:szCs w:val="18"/>
                <w:color w:val="auto"/>
              </w:rPr>
              <w:t>2018 Equity Incentive Plan and forms of agreements thereunder (to be in effective upon the closing of this offering).</w:t>
            </w:r>
          </w:p>
        </w:tc>
        <w:tc>
          <w:tcPr>
            <w:tcW w:w="120" w:type="dxa"/>
            <w:vAlign w:val="bottom"/>
          </w:tcPr>
          <w:p>
            <w:pPr>
              <w:spacing w:after="0"/>
              <w:rPr>
                <w:sz w:val="24"/>
                <w:szCs w:val="24"/>
                <w:color w:val="auto"/>
              </w:rPr>
            </w:pPr>
          </w:p>
        </w:tc>
      </w:tr>
      <w:tr>
        <w:trPr>
          <w:trHeight w:val="351"/>
        </w:trPr>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gridSpan w:val="21"/>
          </w:tcPr>
          <w:p>
            <w:pPr>
              <w:jc w:val="center"/>
              <w:ind w:right="4680"/>
              <w:spacing w:after="0"/>
              <w:rPr>
                <w:sz w:val="20"/>
                <w:szCs w:val="20"/>
                <w:color w:val="auto"/>
              </w:rPr>
            </w:pPr>
            <w:r>
              <w:rPr>
                <w:rFonts w:ascii="Arial" w:cs="Arial" w:eastAsia="Arial" w:hAnsi="Arial"/>
                <w:sz w:val="18"/>
                <w:szCs w:val="18"/>
                <w:color w:val="auto"/>
                <w:w w:val="99"/>
              </w:rPr>
              <w:t>II-8</w:t>
            </w: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5" w:right="239" w:bottom="1440" w:gutter="0" w:footer="0" w:header="0"/>
        </w:sectPr>
      </w:pPr>
    </w:p>
    <w:bookmarkStart w:id="214" w:name="page215"/>
    <w:bookmarkEnd w:id="2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Borders>
              <w:bottom w:val="single" w:sz="8" w:color="0000EE"/>
            </w:tcBorders>
            <w:gridSpan w:val="8"/>
          </w:tcPr>
          <w:p>
            <w:pPr>
              <w:spacing w:after="0"/>
              <w:rPr>
                <w:rFonts w:ascii="Arial" w:cs="Arial" w:eastAsia="Arial" w:hAnsi="Arial"/>
                <w:sz w:val="14"/>
                <w:szCs w:val="14"/>
                <w:b w:val="1"/>
                <w:bCs w:val="1"/>
                <w:color w:val="0000EE"/>
                <w:w w:val="91"/>
              </w:rPr>
            </w:pPr>
            <w:hyperlink w:anchor="page5">
              <w:r>
                <w:rPr>
                  <w:rFonts w:ascii="Arial" w:cs="Arial" w:eastAsia="Arial" w:hAnsi="Arial"/>
                  <w:sz w:val="14"/>
                  <w:szCs w:val="14"/>
                  <w:b w:val="1"/>
                  <w:bCs w:val="1"/>
                  <w:color w:val="0000EE"/>
                  <w:w w:val="91"/>
                </w:rPr>
                <w:t>Table of Contents</w:t>
              </w:r>
            </w:hyperlink>
          </w:p>
        </w:tc>
        <w:tc>
          <w:tcPr>
            <w:tcW w:w="2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45"/>
        </w:trPr>
        <w:tc>
          <w:tcPr>
            <w:tcW w:w="120" w:type="dxa"/>
            <w:vAlign w:val="bottom"/>
          </w:tcPr>
          <w:p>
            <w:pPr>
              <w:spacing w:after="0"/>
              <w:rPr>
                <w:sz w:val="24"/>
                <w:szCs w:val="24"/>
                <w:color w:val="auto"/>
              </w:rPr>
            </w:pPr>
          </w:p>
        </w:tc>
        <w:tc>
          <w:tcPr>
            <w:tcW w:w="1260" w:type="dxa"/>
            <w:vAlign w:val="bottom"/>
            <w:gridSpan w:val="9"/>
          </w:tcPr>
          <w:p>
            <w:pPr>
              <w:ind w:left="80"/>
              <w:spacing w:after="0"/>
              <w:rPr>
                <w:sz w:val="20"/>
                <w:szCs w:val="20"/>
                <w:color w:val="auto"/>
              </w:rPr>
            </w:pPr>
            <w:r>
              <w:rPr>
                <w:rFonts w:ascii="Arial" w:cs="Arial" w:eastAsia="Arial" w:hAnsi="Arial"/>
                <w:sz w:val="18"/>
                <w:szCs w:val="18"/>
                <w:b w:val="1"/>
                <w:bCs w:val="1"/>
                <w:color w:val="auto"/>
              </w:rPr>
              <w:t>Exhibit No.</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300" w:type="dxa"/>
            <w:vAlign w:val="bottom"/>
            <w:gridSpan w:val="3"/>
          </w:tcPr>
          <w:p>
            <w:pPr>
              <w:ind w:left="90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6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96"/>
        </w:trPr>
        <w:tc>
          <w:tcPr>
            <w:tcW w:w="340" w:type="dxa"/>
            <w:vAlign w:val="bottom"/>
            <w:gridSpan w:val="2"/>
          </w:tcPr>
          <w:p>
            <w:pPr>
              <w:spacing w:after="0"/>
              <w:rPr>
                <w:sz w:val="17"/>
                <w:szCs w:val="17"/>
                <w:color w:val="auto"/>
              </w:rPr>
            </w:pPr>
          </w:p>
        </w:tc>
        <w:tc>
          <w:tcPr>
            <w:tcW w:w="760" w:type="dxa"/>
            <w:vAlign w:val="bottom"/>
            <w:gridSpan w:val="6"/>
          </w:tcPr>
          <w:p>
            <w:pPr>
              <w:jc w:val="center"/>
              <w:ind w:right="180"/>
              <w:spacing w:after="0" w:line="196" w:lineRule="exact"/>
              <w:rPr>
                <w:rFonts w:ascii="Arial" w:cs="Arial" w:eastAsia="Arial" w:hAnsi="Arial"/>
                <w:sz w:val="18"/>
                <w:szCs w:val="18"/>
                <w:color w:val="0000FF"/>
                <w:w w:val="98"/>
              </w:rPr>
            </w:pPr>
            <w:hyperlink r:id="rId351">
              <w:r>
                <w:rPr>
                  <w:rFonts w:ascii="Arial" w:cs="Arial" w:eastAsia="Arial" w:hAnsi="Arial"/>
                  <w:sz w:val="18"/>
                  <w:szCs w:val="18"/>
                  <w:color w:val="0000FF"/>
                  <w:w w:val="98"/>
                </w:rPr>
                <w:t>10.</w:t>
              </w:r>
              <w:r>
                <w:rPr>
                  <w:rFonts w:ascii="Arial" w:cs="Arial" w:eastAsia="Arial" w:hAnsi="Arial"/>
                  <w:sz w:val="18"/>
                  <w:szCs w:val="18"/>
                  <w:u w:val="single" w:color="auto"/>
                  <w:color w:val="0000FF"/>
                  <w:w w:val="98"/>
                </w:rPr>
                <w:t>17**</w:t>
              </w:r>
            </w:hyperlink>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80" w:type="dxa"/>
            <w:vAlign w:val="bottom"/>
            <w:gridSpan w:val="7"/>
          </w:tcPr>
          <w:p>
            <w:pPr>
              <w:spacing w:after="0" w:line="196" w:lineRule="exact"/>
              <w:rPr>
                <w:rFonts w:ascii="Arial" w:cs="Arial" w:eastAsia="Arial" w:hAnsi="Arial"/>
                <w:sz w:val="18"/>
                <w:szCs w:val="18"/>
                <w:color w:val="0000FF"/>
                <w:w w:val="89"/>
              </w:rPr>
            </w:pPr>
            <w:hyperlink r:id="rId351">
              <w:r>
                <w:rPr>
                  <w:rFonts w:ascii="Arial" w:cs="Arial" w:eastAsia="Arial" w:hAnsi="Arial"/>
                  <w:sz w:val="18"/>
                  <w:szCs w:val="18"/>
                  <w:color w:val="0000FF"/>
                  <w:w w:val="89"/>
                </w:rPr>
                <w:t>Amendment No. 1 to the Series B Preferred Share Purchase Agreement, dated December 18, 2017, between the Registrant and the other</w:t>
              </w:r>
            </w:hyperlink>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351">
              <w:r>
                <w:rPr>
                  <w:rFonts w:ascii="Arial" w:cs="Arial" w:eastAsia="Arial" w:hAnsi="Arial"/>
                  <w:sz w:val="18"/>
                  <w:szCs w:val="18"/>
                  <w:color w:val="0000FF"/>
                  <w:w w:val="88"/>
                </w:rPr>
                <w:t>parties thereto.</w:t>
              </w:r>
            </w:hyperlink>
          </w:p>
        </w:tc>
        <w:tc>
          <w:tcPr>
            <w:tcW w:w="8720" w:type="dxa"/>
            <w:vAlign w:val="bottom"/>
            <w:tcBorders>
              <w:top w:val="single" w:sz="8" w:color="0000FF"/>
            </w:tcBorders>
            <w:gridSpan w:val="4"/>
          </w:tcPr>
          <w:p>
            <w:pPr>
              <w:spacing w:after="0"/>
              <w:rPr>
                <w:sz w:val="17"/>
                <w:szCs w:val="17"/>
                <w:color w:val="auto"/>
              </w:rPr>
            </w:pPr>
          </w:p>
        </w:tc>
        <w:tc>
          <w:tcPr>
            <w:tcW w:w="80" w:type="dxa"/>
            <w:vAlign w:val="bottom"/>
          </w:tcPr>
          <w:p>
            <w:pPr>
              <w:spacing w:after="0"/>
              <w:rPr>
                <w:sz w:val="17"/>
                <w:szCs w:val="17"/>
                <w:color w:val="auto"/>
              </w:rPr>
            </w:pPr>
          </w:p>
        </w:tc>
      </w:tr>
      <w:tr>
        <w:trPr>
          <w:trHeight w:val="291"/>
        </w:trPr>
        <w:tc>
          <w:tcPr>
            <w:tcW w:w="920" w:type="dxa"/>
            <w:vAlign w:val="bottom"/>
            <w:gridSpan w:val="7"/>
          </w:tcPr>
          <w:p>
            <w:pPr>
              <w:jc w:val="center"/>
              <w:ind w:left="254"/>
              <w:spacing w:after="0"/>
              <w:rPr>
                <w:sz w:val="20"/>
                <w:szCs w:val="20"/>
                <w:color w:val="auto"/>
              </w:rPr>
            </w:pPr>
            <w:r>
              <w:rPr>
                <w:rFonts w:ascii="Arial" w:cs="Arial" w:eastAsia="Arial" w:hAnsi="Arial"/>
                <w:sz w:val="18"/>
                <w:szCs w:val="18"/>
                <w:color w:val="auto"/>
                <w:w w:val="95"/>
              </w:rPr>
              <w:t>10.18*</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80" w:type="dxa"/>
            <w:vAlign w:val="bottom"/>
            <w:gridSpan w:val="7"/>
          </w:tcPr>
          <w:p>
            <w:pPr>
              <w:spacing w:after="0"/>
              <w:rPr>
                <w:sz w:val="20"/>
                <w:szCs w:val="20"/>
                <w:color w:val="auto"/>
              </w:rPr>
            </w:pPr>
            <w:r>
              <w:rPr>
                <w:rFonts w:ascii="Arial" w:cs="Arial" w:eastAsia="Arial" w:hAnsi="Arial"/>
                <w:sz w:val="18"/>
                <w:szCs w:val="18"/>
                <w:color w:val="auto"/>
              </w:rPr>
              <w:t>Form of Warrant Agency Agreement.</w:t>
            </w:r>
          </w:p>
        </w:tc>
      </w:tr>
      <w:tr>
        <w:trPr>
          <w:trHeight w:val="230"/>
        </w:trPr>
        <w:tc>
          <w:tcPr>
            <w:tcW w:w="380" w:type="dxa"/>
            <w:vAlign w:val="bottom"/>
            <w:gridSpan w:val="3"/>
          </w:tcPr>
          <w:p>
            <w:pPr>
              <w:spacing w:after="0"/>
              <w:rPr>
                <w:sz w:val="19"/>
                <w:szCs w:val="19"/>
                <w:color w:val="auto"/>
              </w:rPr>
            </w:pPr>
          </w:p>
        </w:tc>
        <w:tc>
          <w:tcPr>
            <w:tcW w:w="540" w:type="dxa"/>
            <w:vAlign w:val="bottom"/>
            <w:gridSpan w:val="4"/>
          </w:tcPr>
          <w:p>
            <w:pPr>
              <w:jc w:val="center"/>
              <w:ind w:right="40"/>
              <w:spacing w:after="0"/>
              <w:rPr>
                <w:rFonts w:ascii="Arial" w:cs="Arial" w:eastAsia="Arial" w:hAnsi="Arial"/>
                <w:sz w:val="18"/>
                <w:szCs w:val="18"/>
                <w:color w:val="0000FF"/>
              </w:rPr>
            </w:pPr>
            <w:hyperlink r:id="rId352">
              <w:r>
                <w:rPr>
                  <w:rFonts w:ascii="Arial" w:cs="Arial" w:eastAsia="Arial" w:hAnsi="Arial"/>
                  <w:sz w:val="18"/>
                  <w:szCs w:val="18"/>
                  <w:color w:val="0000FF"/>
                </w:rPr>
                <w:t>21.</w:t>
              </w:r>
              <w:r>
                <w:rPr>
                  <w:rFonts w:ascii="Arial" w:cs="Arial" w:eastAsia="Arial" w:hAnsi="Arial"/>
                  <w:sz w:val="18"/>
                  <w:szCs w:val="18"/>
                  <w:u w:val="single" w:color="auto"/>
                  <w:color w:val="0000FF"/>
                </w:rPr>
                <w:t>1**</w:t>
              </w:r>
            </w:hyperlink>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80" w:type="dxa"/>
            <w:vAlign w:val="bottom"/>
            <w:gridSpan w:val="7"/>
          </w:tcPr>
          <w:p>
            <w:pPr>
              <w:spacing w:after="0"/>
              <w:rPr>
                <w:rFonts w:ascii="Arial" w:cs="Arial" w:eastAsia="Arial" w:hAnsi="Arial"/>
                <w:sz w:val="18"/>
                <w:szCs w:val="18"/>
                <w:color w:val="0000FF"/>
              </w:rPr>
            </w:pPr>
            <w:hyperlink r:id="rId352">
              <w:r>
                <w:rPr>
                  <w:rFonts w:ascii="Arial" w:cs="Arial" w:eastAsia="Arial" w:hAnsi="Arial"/>
                  <w:sz w:val="18"/>
                  <w:szCs w:val="18"/>
                  <w:color w:val="0000FF"/>
                </w:rPr>
                <w:t>List of subsidiaries.</w:t>
              </w:r>
            </w:hyperlink>
          </w:p>
        </w:tc>
      </w:tr>
      <w:tr>
        <w:trPr>
          <w:trHeight w:val="20"/>
        </w:trPr>
        <w:tc>
          <w:tcPr>
            <w:tcW w:w="38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50"/>
        </w:trPr>
        <w:tc>
          <w:tcPr>
            <w:tcW w:w="380" w:type="dxa"/>
            <w:vAlign w:val="bottom"/>
            <w:gridSpan w:val="3"/>
          </w:tcPr>
          <w:p>
            <w:pPr>
              <w:spacing w:after="0"/>
              <w:rPr>
                <w:sz w:val="21"/>
                <w:szCs w:val="21"/>
                <w:color w:val="auto"/>
              </w:rPr>
            </w:pPr>
          </w:p>
        </w:tc>
        <w:tc>
          <w:tcPr>
            <w:tcW w:w="420" w:type="dxa"/>
            <w:vAlign w:val="bottom"/>
            <w:gridSpan w:val="2"/>
          </w:tcPr>
          <w:p>
            <w:pPr>
              <w:jc w:val="center"/>
              <w:ind w:left="10"/>
              <w:spacing w:after="0"/>
              <w:rPr>
                <w:sz w:val="20"/>
                <w:szCs w:val="20"/>
                <w:color w:val="auto"/>
              </w:rPr>
            </w:pPr>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80" w:type="dxa"/>
            <w:vAlign w:val="bottom"/>
            <w:gridSpan w:val="7"/>
          </w:tcPr>
          <w:p>
            <w:pPr>
              <w:spacing w:after="0"/>
              <w:rPr>
                <w:sz w:val="20"/>
                <w:szCs w:val="20"/>
                <w:color w:val="auto"/>
              </w:rPr>
            </w:pPr>
            <w:r>
              <w:rPr>
                <w:rFonts w:ascii="Arial" w:cs="Arial" w:eastAsia="Arial" w:hAnsi="Arial"/>
                <w:sz w:val="18"/>
                <w:szCs w:val="18"/>
                <w:color w:val="0000EE"/>
                <w:w w:val="93"/>
              </w:rPr>
              <w:t>Consent of Kesselman &amp; Kesselman, Certified Public Accountants, a member firm of PricewaterhouseCoopers International Limited,</w:t>
            </w: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4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an independent registered public accounting firm.</w:t>
            </w:r>
          </w:p>
        </w:tc>
        <w:tc>
          <w:tcPr>
            <w:tcW w:w="240" w:type="dxa"/>
            <w:vAlign w:val="bottom"/>
            <w:gridSpan w:val="2"/>
          </w:tcPr>
          <w:p>
            <w:pPr>
              <w:spacing w:after="0"/>
              <w:rPr>
                <w:sz w:val="17"/>
                <w:szCs w:val="17"/>
                <w:color w:val="auto"/>
              </w:rPr>
            </w:pPr>
          </w:p>
        </w:tc>
      </w:tr>
      <w:tr>
        <w:trPr>
          <w:trHeight w:val="20"/>
        </w:trPr>
        <w:tc>
          <w:tcPr>
            <w:tcW w:w="4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80" w:type="dxa"/>
            <w:vAlign w:val="bottom"/>
            <w:tcBorders>
              <w:right w:val="single" w:sz="8" w:color="0000EE"/>
            </w:tcBorders>
            <w:gridSpan w:val="3"/>
            <w:shd w:val="clear" w:color="auto" w:fill="0000EE"/>
          </w:tcPr>
          <w:p>
            <w:pPr>
              <w:spacing w:after="0" w:line="20" w:lineRule="exact"/>
              <w:rPr>
                <w:sz w:val="1"/>
                <w:szCs w:val="1"/>
                <w:color w:val="auto"/>
              </w:rPr>
            </w:pPr>
          </w:p>
        </w:tc>
        <w:tc>
          <w:tcPr>
            <w:tcW w:w="6300" w:type="dxa"/>
            <w:vAlign w:val="bottom"/>
            <w:gridSpan w:val="3"/>
          </w:tcPr>
          <w:p>
            <w:pPr>
              <w:spacing w:after="0" w:line="20" w:lineRule="exact"/>
              <w:rPr>
                <w:sz w:val="1"/>
                <w:szCs w:val="1"/>
                <w:color w:val="auto"/>
              </w:rPr>
            </w:pPr>
          </w:p>
        </w:tc>
      </w:tr>
      <w:tr>
        <w:trPr>
          <w:trHeight w:val="291"/>
        </w:trPr>
        <w:tc>
          <w:tcPr>
            <w:tcW w:w="880" w:type="dxa"/>
            <w:vAlign w:val="bottom"/>
            <w:gridSpan w:val="6"/>
          </w:tcPr>
          <w:p>
            <w:pPr>
              <w:jc w:val="center"/>
              <w:ind w:left="314"/>
              <w:spacing w:after="0"/>
              <w:rPr>
                <w:sz w:val="20"/>
                <w:szCs w:val="20"/>
                <w:color w:val="auto"/>
              </w:rPr>
            </w:pPr>
            <w:r>
              <w:rPr>
                <w:rFonts w:ascii="Arial" w:cs="Arial" w:eastAsia="Arial" w:hAnsi="Arial"/>
                <w:sz w:val="18"/>
                <w:szCs w:val="18"/>
                <w:color w:val="auto"/>
                <w:w w:val="95"/>
              </w:rPr>
              <w:t>23.2*</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80" w:type="dxa"/>
            <w:vAlign w:val="bottom"/>
            <w:gridSpan w:val="7"/>
          </w:tcPr>
          <w:p>
            <w:pPr>
              <w:spacing w:after="0"/>
              <w:rPr>
                <w:sz w:val="20"/>
                <w:szCs w:val="20"/>
                <w:color w:val="auto"/>
              </w:rPr>
            </w:pPr>
            <w:r>
              <w:rPr>
                <w:rFonts w:ascii="Arial" w:cs="Arial" w:eastAsia="Arial" w:hAnsi="Arial"/>
                <w:sz w:val="18"/>
                <w:szCs w:val="18"/>
                <w:color w:val="auto"/>
              </w:rPr>
              <w:t>Consent of Herzog Fox &amp; Neeman (included in Exhibits 5.1).</w:t>
            </w:r>
          </w:p>
        </w:tc>
      </w:tr>
      <w:tr>
        <w:trPr>
          <w:trHeight w:val="270"/>
        </w:trPr>
        <w:tc>
          <w:tcPr>
            <w:tcW w:w="880" w:type="dxa"/>
            <w:vAlign w:val="bottom"/>
            <w:gridSpan w:val="6"/>
          </w:tcPr>
          <w:p>
            <w:pPr>
              <w:jc w:val="center"/>
              <w:ind w:left="314"/>
              <w:spacing w:after="0"/>
              <w:rPr>
                <w:sz w:val="20"/>
                <w:szCs w:val="20"/>
                <w:color w:val="auto"/>
              </w:rPr>
            </w:pPr>
            <w:r>
              <w:rPr>
                <w:rFonts w:ascii="Arial" w:cs="Arial" w:eastAsia="Arial" w:hAnsi="Arial"/>
                <w:sz w:val="18"/>
                <w:szCs w:val="18"/>
                <w:color w:val="auto"/>
                <w:w w:val="95"/>
              </w:rPr>
              <w:t>23.3*</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880" w:type="dxa"/>
            <w:vAlign w:val="bottom"/>
            <w:gridSpan w:val="7"/>
          </w:tcPr>
          <w:p>
            <w:pPr>
              <w:spacing w:after="0"/>
              <w:rPr>
                <w:sz w:val="20"/>
                <w:szCs w:val="20"/>
                <w:color w:val="auto"/>
              </w:rPr>
            </w:pPr>
            <w:r>
              <w:rPr>
                <w:rFonts w:ascii="Arial" w:cs="Arial" w:eastAsia="Arial" w:hAnsi="Arial"/>
                <w:sz w:val="18"/>
                <w:szCs w:val="18"/>
                <w:color w:val="auto"/>
              </w:rPr>
              <w:t>Consent of Davis Polk &amp; Wardwell LLP (included in Exhibit 8.1)</w:t>
            </w:r>
          </w:p>
        </w:tc>
      </w:tr>
      <w:tr>
        <w:trPr>
          <w:trHeight w:val="230"/>
        </w:trPr>
        <w:tc>
          <w:tcPr>
            <w:tcW w:w="800" w:type="dxa"/>
            <w:vAlign w:val="bottom"/>
            <w:gridSpan w:val="5"/>
          </w:tcPr>
          <w:p>
            <w:pPr>
              <w:jc w:val="center"/>
              <w:ind w:left="394"/>
              <w:spacing w:after="0"/>
              <w:rPr>
                <w:rFonts w:ascii="Arial" w:cs="Arial" w:eastAsia="Arial" w:hAnsi="Arial"/>
                <w:sz w:val="18"/>
                <w:szCs w:val="18"/>
                <w:color w:val="0000FF"/>
                <w:w w:val="91"/>
              </w:rPr>
            </w:pPr>
            <w:hyperlink w:anchor="page217">
              <w:r>
                <w:rPr>
                  <w:rFonts w:ascii="Arial" w:cs="Arial" w:eastAsia="Arial" w:hAnsi="Arial"/>
                  <w:sz w:val="18"/>
                  <w:szCs w:val="18"/>
                  <w:color w:val="0000FF"/>
                  <w:w w:val="91"/>
                </w:rPr>
                <w:t>24.</w:t>
              </w:r>
              <w:r>
                <w:rPr>
                  <w:rFonts w:ascii="Arial" w:cs="Arial" w:eastAsia="Arial" w:hAnsi="Arial"/>
                  <w:sz w:val="18"/>
                  <w:szCs w:val="18"/>
                  <w:u w:val="single" w:color="auto"/>
                  <w:color w:val="0000FF"/>
                  <w:w w:val="91"/>
                </w:rPr>
                <w:t>1</w:t>
              </w:r>
            </w:hyperlink>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80" w:type="dxa"/>
            <w:vAlign w:val="bottom"/>
            <w:gridSpan w:val="7"/>
          </w:tcPr>
          <w:p>
            <w:pPr>
              <w:spacing w:after="0"/>
              <w:rPr>
                <w:rFonts w:ascii="Arial" w:cs="Arial" w:eastAsia="Arial" w:hAnsi="Arial"/>
                <w:sz w:val="18"/>
                <w:szCs w:val="18"/>
                <w:color w:val="0000FF"/>
              </w:rPr>
            </w:pPr>
            <w:hyperlink w:anchor="page217">
              <w:r>
                <w:rPr>
                  <w:rFonts w:ascii="Arial" w:cs="Arial" w:eastAsia="Arial" w:hAnsi="Arial"/>
                  <w:sz w:val="18"/>
                  <w:szCs w:val="18"/>
                  <w:color w:val="0000FF"/>
                </w:rPr>
                <w:t>Powers of Attorney (included on signature page).</w:t>
              </w:r>
            </w:hyperlink>
          </w:p>
        </w:tc>
      </w:tr>
      <w:tr>
        <w:trPr>
          <w:trHeight w:val="291"/>
        </w:trPr>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top w:val="single" w:sz="8" w:color="0000FF"/>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top w:val="single" w:sz="8" w:color="0000FF"/>
              <w:bottom w:val="single" w:sz="8" w:color="auto"/>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160" w:type="dxa"/>
            <w:vAlign w:val="bottom"/>
            <w:tcBorders>
              <w:top w:val="single" w:sz="8" w:color="0000FF"/>
            </w:tcBorders>
          </w:tcPr>
          <w:p>
            <w:pPr>
              <w:spacing w:after="0"/>
              <w:rPr>
                <w:sz w:val="24"/>
                <w:szCs w:val="24"/>
                <w:color w:val="auto"/>
              </w:rPr>
            </w:pPr>
          </w:p>
        </w:tc>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42" w:lineRule="exact"/>
        <w:rPr>
          <w:sz w:val="20"/>
          <w:szCs w:val="20"/>
          <w:color w:val="auto"/>
        </w:rPr>
      </w:pPr>
    </w:p>
    <w:p>
      <w:pPr>
        <w:ind w:right="9000" w:firstLine="8"/>
        <w:spacing w:after="0" w:line="624" w:lineRule="auto"/>
        <w:tabs>
          <w:tab w:leader="none" w:pos="357"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2" w:right="359" w:bottom="1440" w:gutter="0" w:footer="0" w:header="0"/>
        </w:sectPr>
      </w:pPr>
    </w:p>
    <w:bookmarkStart w:id="215" w:name="page216"/>
    <w:bookmarkEnd w:id="21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SIGNATURES</w:t>
      </w:r>
    </w:p>
    <w:p>
      <w:pPr>
        <w:spacing w:after="0" w:line="2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City of Jerusalem, Israel, on May 17, 2018.</w:t>
      </w:r>
    </w:p>
    <w:p>
      <w:pPr>
        <w:spacing w:after="0" w:line="17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ENTERA BIO LTD.</w:t>
      </w:r>
    </w:p>
    <w:p>
      <w:pPr>
        <w:spacing w:after="0" w:line="229" w:lineRule="exact"/>
        <w:rPr>
          <w:sz w:val="20"/>
          <w:szCs w:val="20"/>
          <w:color w:val="auto"/>
        </w:rPr>
      </w:pPr>
    </w:p>
    <w:p>
      <w:pPr>
        <w:ind w:left="3880"/>
        <w:spacing w:after="0"/>
        <w:tabs>
          <w:tab w:leader="none" w:pos="4340" w:val="left"/>
        </w:tabs>
        <w:rPr>
          <w:sz w:val="20"/>
          <w:szCs w:val="20"/>
          <w:color w:val="auto"/>
        </w:rPr>
      </w:pPr>
      <w:r>
        <w:rPr>
          <w:rFonts w:ascii="Arial" w:cs="Arial" w:eastAsia="Arial" w:hAnsi="Arial"/>
          <w:sz w:val="18"/>
          <w:szCs w:val="18"/>
          <w:color w:val="auto"/>
        </w:rPr>
        <w:t>By:</w:t>
        <w:tab/>
        <w:t>/s/ Dr. Phillip Schwartz</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Dr. Phillip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-130810</wp:posOffset>
            </wp:positionV>
            <wp:extent cx="441642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4">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  Chief Executive Officer</w:t>
      </w:r>
    </w:p>
    <w:p>
      <w:pPr>
        <w:spacing w:after="0" w:line="10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225" w:right="419" w:bottom="1440" w:gutter="0" w:footer="0" w:header="0"/>
        </w:sectPr>
      </w:pPr>
    </w:p>
    <w:bookmarkStart w:id="216" w:name="page217"/>
    <w:bookmarkEnd w:id="21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POWER OF ATTORNEY</w:t>
      </w:r>
    </w:p>
    <w:p>
      <w:pPr>
        <w:spacing w:after="0" w:line="24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Each person whose signature appears below constitutes and appoints Phillip Schwartz and Mira Rosenzweig, and each of them, as attorney-in-fact with full power of substitution, for him or her in any and all capacities, to do any and all acts and all things and to execute any and all instruments which said attorney and agent may deem necessary or desirable to enable the registrant to comply with the Securities Act, and any rules, regulations and requirements of the SEC thereunder, in connection with the registration under the Securities Act of ordinary shares of the registrant (the “Shares”), including, without limitation, the power and authority to sign the name of each of the undersigned in the capacities indicated below to the Registration Statement on Form F-1 (the “Registration Statement”) to be filed with the SEC with respect to such Shares,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spacing w:after="0" w:line="1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24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26"/>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Dr. Phillip Schwartz</w:t>
            </w:r>
          </w:p>
        </w:tc>
        <w:tc>
          <w:tcPr>
            <w:tcW w:w="240" w:type="dxa"/>
            <w:vAlign w:val="bottom"/>
          </w:tcPr>
          <w:p>
            <w:pPr>
              <w:spacing w:after="0"/>
              <w:rPr>
                <w:sz w:val="24"/>
                <w:szCs w:val="24"/>
                <w:color w:val="auto"/>
              </w:rPr>
            </w:pPr>
          </w:p>
        </w:tc>
        <w:tc>
          <w:tcPr>
            <w:tcW w:w="52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Chief Executive Officer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May 17, 2018</w:t>
            </w: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3"/>
              </w:rPr>
              <w:t>Dr. Phillip Schwartz</w:t>
            </w:r>
          </w:p>
        </w:tc>
        <w:tc>
          <w:tcPr>
            <w:tcW w:w="240" w:type="dxa"/>
            <w:vAlign w:val="bottom"/>
          </w:tcPr>
          <w:p>
            <w:pPr>
              <w:spacing w:after="0"/>
              <w:rPr>
                <w:sz w:val="19"/>
                <w:szCs w:val="19"/>
                <w:color w:val="auto"/>
              </w:rPr>
            </w:pPr>
          </w:p>
        </w:tc>
        <w:tc>
          <w:tcPr>
            <w:tcW w:w="524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(Principal Executive Officer) and Director</w:t>
            </w:r>
          </w:p>
        </w:tc>
        <w:tc>
          <w:tcPr>
            <w:tcW w:w="1940" w:type="dxa"/>
            <w:vAlign w:val="bottom"/>
          </w:tcPr>
          <w:p>
            <w:pPr>
              <w:spacing w:after="0"/>
              <w:rPr>
                <w:sz w:val="19"/>
                <w:szCs w:val="19"/>
                <w:color w:val="auto"/>
              </w:rPr>
            </w:pPr>
          </w:p>
        </w:tc>
      </w:tr>
      <w:tr>
        <w:trPr>
          <w:trHeight w:val="41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Mira Rosenzweig</w:t>
            </w:r>
          </w:p>
        </w:tc>
        <w:tc>
          <w:tcPr>
            <w:tcW w:w="240" w:type="dxa"/>
            <w:vAlign w:val="bottom"/>
          </w:tcPr>
          <w:p>
            <w:pPr>
              <w:spacing w:after="0"/>
              <w:rPr>
                <w:sz w:val="24"/>
                <w:szCs w:val="24"/>
                <w:color w:val="auto"/>
              </w:rPr>
            </w:pPr>
          </w:p>
        </w:tc>
        <w:tc>
          <w:tcPr>
            <w:tcW w:w="52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Chief Financial Officer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May 17, 2018</w:t>
            </w: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2"/>
              </w:rPr>
              <w:t>Mira Rosenzweig</w:t>
            </w:r>
          </w:p>
        </w:tc>
        <w:tc>
          <w:tcPr>
            <w:tcW w:w="240" w:type="dxa"/>
            <w:vAlign w:val="bottom"/>
          </w:tcPr>
          <w:p>
            <w:pPr>
              <w:spacing w:after="0"/>
              <w:rPr>
                <w:sz w:val="19"/>
                <w:szCs w:val="19"/>
                <w:color w:val="auto"/>
              </w:rPr>
            </w:pPr>
          </w:p>
        </w:tc>
        <w:tc>
          <w:tcPr>
            <w:tcW w:w="524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(Principal Financial and Accounting Officer)</w:t>
            </w:r>
          </w:p>
        </w:tc>
        <w:tc>
          <w:tcPr>
            <w:tcW w:w="1940" w:type="dxa"/>
            <w:vAlign w:val="bottom"/>
          </w:tcPr>
          <w:p>
            <w:pPr>
              <w:spacing w:after="0"/>
              <w:rPr>
                <w:sz w:val="19"/>
                <w:szCs w:val="19"/>
                <w:color w:val="auto"/>
              </w:rPr>
            </w:pPr>
          </w:p>
        </w:tc>
      </w:tr>
      <w:tr>
        <w:trPr>
          <w:trHeight w:val="41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Chairman of the Board</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May 17, 2018</w:t>
            </w: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1"/>
              </w:rPr>
              <w:t>Luke M. Beshar</w:t>
            </w:r>
          </w:p>
        </w:tc>
        <w:tc>
          <w:tcPr>
            <w:tcW w:w="2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2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May 17, 2018</w:t>
            </w: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5"/>
              </w:rPr>
              <w:t>David Ben Ami</w:t>
            </w:r>
          </w:p>
        </w:tc>
        <w:tc>
          <w:tcPr>
            <w:tcW w:w="2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2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May 17, 2018</w:t>
            </w: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2"/>
              </w:rPr>
              <w:t>Chaim Davis</w:t>
            </w:r>
          </w:p>
        </w:tc>
        <w:tc>
          <w:tcPr>
            <w:tcW w:w="2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2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May 17, 2018</w:t>
            </w: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87"/>
              </w:rPr>
              <w:t>Roger Garceau</w:t>
            </w:r>
          </w:p>
        </w:tc>
        <w:tc>
          <w:tcPr>
            <w:tcW w:w="2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2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May 17, 2018</w:t>
            </w: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1"/>
              </w:rPr>
              <w:t>Gerald Lieberman</w:t>
            </w:r>
          </w:p>
        </w:tc>
        <w:tc>
          <w:tcPr>
            <w:tcW w:w="2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2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May 17, 2018</w:t>
            </w: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89"/>
              </w:rPr>
              <w:t>Yonatan Malca</w:t>
            </w:r>
          </w:p>
        </w:tc>
        <w:tc>
          <w:tcPr>
            <w:tcW w:w="2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8"/>
        </w:trPr>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2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May 14, 2018</w:t>
            </w:r>
          </w:p>
        </w:tc>
      </w:tr>
      <w:tr>
        <w:trPr>
          <w:trHeight w:val="224"/>
        </w:trPr>
        <w:tc>
          <w:tcPr>
            <w:tcW w:w="3780" w:type="dxa"/>
            <w:vAlign w:val="bottom"/>
          </w:tcPr>
          <w:p>
            <w:pPr>
              <w:jc w:val="center"/>
              <w:spacing w:after="0"/>
              <w:rPr>
                <w:sz w:val="20"/>
                <w:szCs w:val="20"/>
                <w:color w:val="auto"/>
              </w:rPr>
            </w:pPr>
            <w:r>
              <w:rPr>
                <w:rFonts w:ascii="Arial" w:cs="Arial" w:eastAsia="Arial" w:hAnsi="Arial"/>
                <w:sz w:val="18"/>
                <w:szCs w:val="18"/>
                <w:color w:val="auto"/>
                <w:w w:val="92"/>
              </w:rPr>
              <w:t>Zeev Bronfeld</w:t>
            </w:r>
          </w:p>
        </w:tc>
        <w:tc>
          <w:tcPr>
            <w:tcW w:w="2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By:/s/ Phillip Schwartz</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Phillip Schwartz, </w:t>
      </w:r>
      <w:r>
        <w:rPr>
          <w:rFonts w:ascii="Arial" w:cs="Arial" w:eastAsia="Arial" w:hAnsi="Arial"/>
          <w:sz w:val="18"/>
          <w:szCs w:val="18"/>
          <w:i w:val="1"/>
          <w:iCs w:val="1"/>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-130810</wp:posOffset>
            </wp:positionV>
            <wp:extent cx="216090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6">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sectPr>
      </w:pPr>
    </w:p>
    <w:bookmarkStart w:id="217" w:name="page218"/>
    <w:bookmarkEnd w:id="21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91" w:lineRule="exact"/>
        <w:rPr>
          <w:sz w:val="20"/>
          <w:szCs w:val="20"/>
          <w:color w:val="auto"/>
        </w:rPr>
      </w:pPr>
    </w:p>
    <w:p>
      <w:pPr>
        <w:ind w:left="1860"/>
        <w:spacing w:after="0"/>
        <w:rPr>
          <w:sz w:val="20"/>
          <w:szCs w:val="20"/>
          <w:color w:val="auto"/>
        </w:rPr>
      </w:pPr>
      <w:r>
        <w:rPr>
          <w:rFonts w:ascii="Arial" w:cs="Arial" w:eastAsia="Arial" w:hAnsi="Arial"/>
          <w:sz w:val="22"/>
          <w:szCs w:val="22"/>
          <w:b w:val="1"/>
          <w:bCs w:val="1"/>
          <w:color w:val="auto"/>
        </w:rPr>
        <w:t>SIGNATURE OF AUTHORIZED REPRESENTATIVE IN THE UNITED STATES</w:t>
      </w:r>
    </w:p>
    <w:p>
      <w:pPr>
        <w:spacing w:after="0" w:line="2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undersigned has signed this registration statement, solely in its capacity as the duly authorized representative of the Registrant in the United States on May 17, 2018.</w:t>
      </w:r>
    </w:p>
    <w:p>
      <w:pPr>
        <w:spacing w:after="0" w:line="170" w:lineRule="exact"/>
        <w:rPr>
          <w:sz w:val="20"/>
          <w:szCs w:val="20"/>
          <w:color w:val="auto"/>
        </w:rPr>
      </w:pPr>
    </w:p>
    <w:p>
      <w:pPr>
        <w:ind w:left="5240"/>
        <w:spacing w:after="0"/>
        <w:tabs>
          <w:tab w:leader="none" w:pos="5700" w:val="left"/>
        </w:tabs>
        <w:rPr>
          <w:sz w:val="20"/>
          <w:szCs w:val="20"/>
          <w:color w:val="auto"/>
        </w:rPr>
      </w:pPr>
      <w:r>
        <w:rPr>
          <w:rFonts w:ascii="Arial" w:cs="Arial" w:eastAsia="Arial" w:hAnsi="Arial"/>
          <w:sz w:val="18"/>
          <w:szCs w:val="18"/>
          <w:color w:val="auto"/>
        </w:rPr>
        <w:t>By:</w:t>
        <w:tab/>
        <w:t>/s/ Colleen A. DeVries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Colleen A.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55028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SVP on behalf of Cogency Global</w:t>
      </w:r>
    </w:p>
    <w:p>
      <w:pPr>
        <w:spacing w:after="0" w:line="200" w:lineRule="exact"/>
        <w:rPr>
          <w:sz w:val="20"/>
          <w:szCs w:val="20"/>
          <w:color w:val="auto"/>
        </w:rPr>
      </w:pPr>
    </w:p>
    <w:p>
      <w:pPr>
        <w:spacing w:after="0" w:line="3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225" w:right="55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68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4.2</w:t>
            </w:r>
          </w:p>
        </w:tc>
      </w:tr>
      <w:tr>
        <w:trPr>
          <w:trHeight w:val="432"/>
        </w:trPr>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80" w:type="dxa"/>
            <w:vAlign w:val="bottom"/>
          </w:tcPr>
          <w:p>
            <w:pPr>
              <w:jc w:val="center"/>
              <w:ind w:right="2050"/>
              <w:spacing w:after="0"/>
              <w:rPr>
                <w:sz w:val="20"/>
                <w:szCs w:val="20"/>
                <w:color w:val="auto"/>
              </w:rPr>
            </w:pPr>
            <w:r>
              <w:rPr>
                <w:rFonts w:ascii="Arial" w:cs="Arial" w:eastAsia="Arial" w:hAnsi="Arial"/>
                <w:sz w:val="18"/>
                <w:szCs w:val="18"/>
                <w:b w:val="1"/>
                <w:bCs w:val="1"/>
                <w:color w:val="auto"/>
                <w:w w:val="99"/>
              </w:rPr>
              <w:t>ORDINARY SHARE PURCHASE WARRANT</w:t>
            </w:r>
          </w:p>
        </w:tc>
        <w:tc>
          <w:tcPr>
            <w:tcW w:w="600" w:type="dxa"/>
            <w:vAlign w:val="bottom"/>
          </w:tcPr>
          <w:p>
            <w:pPr>
              <w:spacing w:after="0"/>
              <w:rPr>
                <w:sz w:val="24"/>
                <w:szCs w:val="24"/>
                <w:color w:val="auto"/>
              </w:rPr>
            </w:pPr>
          </w:p>
        </w:tc>
      </w:tr>
      <w:tr>
        <w:trPr>
          <w:trHeight w:val="432"/>
        </w:trPr>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80" w:type="dxa"/>
            <w:vAlign w:val="bottom"/>
          </w:tcPr>
          <w:p>
            <w:pPr>
              <w:jc w:val="center"/>
              <w:ind w:right="2050"/>
              <w:spacing w:after="0"/>
              <w:rPr>
                <w:sz w:val="20"/>
                <w:szCs w:val="20"/>
                <w:color w:val="auto"/>
              </w:rPr>
            </w:pPr>
            <w:r>
              <w:rPr>
                <w:rFonts w:ascii="Arial" w:cs="Arial" w:eastAsia="Arial" w:hAnsi="Arial"/>
                <w:sz w:val="18"/>
                <w:szCs w:val="18"/>
                <w:b w:val="1"/>
                <w:bCs w:val="1"/>
                <w:color w:val="auto"/>
              </w:rPr>
              <w:t>ENTERA BIO LTD.</w:t>
            </w:r>
          </w:p>
        </w:tc>
        <w:tc>
          <w:tcPr>
            <w:tcW w:w="600" w:type="dxa"/>
            <w:vAlign w:val="bottom"/>
          </w:tcPr>
          <w:p>
            <w:pPr>
              <w:spacing w:after="0"/>
              <w:rPr>
                <w:sz w:val="24"/>
                <w:szCs w:val="24"/>
                <w:color w:val="auto"/>
              </w:rPr>
            </w:pPr>
          </w:p>
        </w:tc>
      </w:tr>
      <w:tr>
        <w:trPr>
          <w:trHeight w:val="418"/>
        </w:trPr>
        <w:tc>
          <w:tcPr>
            <w:tcW w:w="1460" w:type="dxa"/>
            <w:vAlign w:val="bottom"/>
          </w:tcPr>
          <w:p>
            <w:pPr>
              <w:spacing w:after="0"/>
              <w:rPr>
                <w:sz w:val="20"/>
                <w:szCs w:val="20"/>
                <w:color w:val="auto"/>
              </w:rPr>
            </w:pPr>
            <w:r>
              <w:rPr>
                <w:rFonts w:ascii="Arial" w:cs="Arial" w:eastAsia="Arial" w:hAnsi="Arial"/>
                <w:sz w:val="18"/>
                <w:szCs w:val="18"/>
                <w:color w:val="auto"/>
                <w:w w:val="98"/>
              </w:rPr>
              <w:t>Warrant Shares:  [</w:t>
            </w:r>
          </w:p>
        </w:tc>
        <w:tc>
          <w:tcPr>
            <w:tcW w:w="1280" w:type="dxa"/>
            <w:vAlign w:val="bottom"/>
          </w:tcPr>
          <w:p>
            <w:pPr>
              <w:jc w:val="right"/>
              <w:ind w:right="1110"/>
              <w:spacing w:after="0"/>
              <w:rPr>
                <w:sz w:val="20"/>
                <w:szCs w:val="20"/>
                <w:color w:val="auto"/>
              </w:rPr>
            </w:pPr>
            <w:r>
              <w:rPr>
                <w:rFonts w:ascii="Arial" w:cs="Arial" w:eastAsia="Arial" w:hAnsi="Arial"/>
                <w:sz w:val="18"/>
                <w:szCs w:val="18"/>
                <w:color w:val="auto"/>
              </w:rPr>
              <w:t>]</w:t>
            </w:r>
          </w:p>
        </w:tc>
        <w:tc>
          <w:tcPr>
            <w:tcW w:w="8080" w:type="dxa"/>
            <w:vAlign w:val="bottom"/>
          </w:tcPr>
          <w:p>
            <w:pPr>
              <w:ind w:left="6320"/>
              <w:spacing w:after="0"/>
              <w:rPr>
                <w:sz w:val="20"/>
                <w:szCs w:val="20"/>
                <w:color w:val="auto"/>
              </w:rPr>
            </w:pPr>
            <w:r>
              <w:rPr>
                <w:rFonts w:ascii="Arial" w:cs="Arial" w:eastAsia="Arial" w:hAnsi="Arial"/>
                <w:sz w:val="18"/>
                <w:szCs w:val="18"/>
                <w:color w:val="auto"/>
                <w:w w:val="99"/>
              </w:rPr>
              <w:t>Initial Exercise Date: [</w:t>
            </w:r>
          </w:p>
        </w:tc>
        <w:tc>
          <w:tcPr>
            <w:tcW w:w="600" w:type="dxa"/>
            <w:vAlign w:val="bottom"/>
          </w:tcPr>
          <w:p>
            <w:pPr>
              <w:jc w:val="right"/>
              <w:spacing w:after="0"/>
              <w:rPr>
                <w:sz w:val="20"/>
                <w:szCs w:val="20"/>
                <w:color w:val="auto"/>
              </w:rPr>
            </w:pPr>
            <w:r>
              <w:rPr>
                <w:rFonts w:ascii="Arial" w:cs="Arial" w:eastAsia="Arial" w:hAnsi="Arial"/>
                <w:sz w:val="18"/>
                <w:szCs w:val="18"/>
                <w:color w:val="auto"/>
              </w:rPr>
              <w:t>], 2018</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w w:val="97"/>
              </w:rPr>
              <w:t>Warrant Number: [</w:t>
            </w:r>
          </w:p>
        </w:tc>
        <w:tc>
          <w:tcPr>
            <w:tcW w:w="1280" w:type="dxa"/>
            <w:vAlign w:val="bottom"/>
          </w:tcPr>
          <w:p>
            <w:pPr>
              <w:jc w:val="right"/>
              <w:ind w:right="1030"/>
              <w:spacing w:after="0"/>
              <w:rPr>
                <w:sz w:val="20"/>
                <w:szCs w:val="20"/>
                <w:color w:val="auto"/>
              </w:rPr>
            </w:pPr>
            <w:r>
              <w:rPr>
                <w:rFonts w:ascii="Arial" w:cs="Arial" w:eastAsia="Arial" w:hAnsi="Arial"/>
                <w:sz w:val="18"/>
                <w:szCs w:val="18"/>
                <w:color w:val="auto"/>
              </w:rPr>
              <w:t>]</w:t>
            </w:r>
          </w:p>
        </w:tc>
        <w:tc>
          <w:tcPr>
            <w:tcW w:w="8080" w:type="dxa"/>
            <w:vAlign w:val="bottom"/>
          </w:tcPr>
          <w:p>
            <w:pPr>
              <w:ind w:left="6720"/>
              <w:spacing w:after="0"/>
              <w:rPr>
                <w:sz w:val="20"/>
                <w:szCs w:val="20"/>
                <w:color w:val="auto"/>
              </w:rPr>
            </w:pPr>
            <w:r>
              <w:rPr>
                <w:rFonts w:ascii="Arial" w:cs="Arial" w:eastAsia="Arial" w:hAnsi="Arial"/>
                <w:sz w:val="18"/>
                <w:szCs w:val="18"/>
                <w:color w:val="auto"/>
              </w:rPr>
              <w:t>Issue Date: [</w:t>
            </w:r>
          </w:p>
        </w:tc>
        <w:tc>
          <w:tcPr>
            <w:tcW w:w="600" w:type="dxa"/>
            <w:vAlign w:val="bottom"/>
          </w:tcPr>
          <w:p>
            <w:pPr>
              <w:jc w:val="right"/>
              <w:spacing w:after="0"/>
              <w:rPr>
                <w:sz w:val="20"/>
                <w:szCs w:val="20"/>
                <w:color w:val="auto"/>
              </w:rPr>
            </w:pPr>
            <w:r>
              <w:rPr>
                <w:rFonts w:ascii="Arial" w:cs="Arial" w:eastAsia="Arial" w:hAnsi="Arial"/>
                <w:sz w:val="18"/>
                <w:szCs w:val="18"/>
                <w:color w:val="auto"/>
              </w:rPr>
              <w:t>], 2018</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CUSIP: [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 ]</w:t>
      </w:r>
    </w:p>
    <w:p>
      <w:pPr>
        <w:spacing w:after="0" w:line="211"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THIS ORDINARY SHARE PURCHASE WARRANT (the “</w:t>
      </w:r>
      <w:r>
        <w:rPr>
          <w:rFonts w:ascii="Arial" w:cs="Arial" w:eastAsia="Arial" w:hAnsi="Arial"/>
          <w:sz w:val="16"/>
          <w:szCs w:val="16"/>
          <w:u w:val="single" w:color="auto"/>
          <w:color w:val="auto"/>
        </w:rPr>
        <w:t>Warrant</w:t>
      </w:r>
      <w:r>
        <w:rPr>
          <w:rFonts w:ascii="Arial" w:cs="Arial" w:eastAsia="Arial" w:hAnsi="Arial"/>
          <w:sz w:val="16"/>
          <w:szCs w:val="16"/>
          <w:color w:val="auto"/>
        </w:rPr>
        <w:t>”) certifies that, for value received, Cede &amp; Co. or its assigns (the “</w:t>
      </w:r>
      <w:r>
        <w:rPr>
          <w:rFonts w:ascii="Arial" w:cs="Arial" w:eastAsia="Arial" w:hAnsi="Arial"/>
          <w:sz w:val="16"/>
          <w:szCs w:val="16"/>
          <w:u w:val="single" w:color="auto"/>
          <w:color w:val="auto"/>
        </w:rPr>
        <w:t>Holder</w:t>
      </w:r>
      <w:r>
        <w:rPr>
          <w:rFonts w:ascii="Arial" w:cs="Arial" w:eastAsia="Arial" w:hAnsi="Arial"/>
          <w:sz w:val="16"/>
          <w:szCs w:val="16"/>
          <w:color w:val="auto"/>
        </w:rPr>
        <w:t>”) is entitled, upon the terms and subject to the limitations on exercise and the conditions hereinafter set forth, at any time on or after [ ], 2018 (the “</w:t>
      </w:r>
      <w:r>
        <w:rPr>
          <w:rFonts w:ascii="Arial" w:cs="Arial" w:eastAsia="Arial" w:hAnsi="Arial"/>
          <w:sz w:val="16"/>
          <w:szCs w:val="16"/>
          <w:u w:val="single" w:color="auto"/>
          <w:color w:val="auto"/>
        </w:rPr>
        <w:t>Initial Exercise Date</w:t>
      </w:r>
      <w:r>
        <w:rPr>
          <w:rFonts w:ascii="Arial" w:cs="Arial" w:eastAsia="Arial" w:hAnsi="Arial"/>
          <w:sz w:val="16"/>
          <w:szCs w:val="16"/>
          <w:color w:val="auto"/>
        </w:rPr>
        <w:t>”) and on or prior to 5:00 p.m., New York City time, on the fifth (5) year anniversary of the Initial Exercise Date, subject to early acceleration as set forth in Section 3(h) below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but not thereafter, to subscribe for and purchase from Entera Bio Ltd., a company limited by shares incorporated under the laws of Israel (the “</w:t>
      </w:r>
      <w:r>
        <w:rPr>
          <w:rFonts w:ascii="Arial" w:cs="Arial" w:eastAsia="Arial" w:hAnsi="Arial"/>
          <w:sz w:val="16"/>
          <w:szCs w:val="16"/>
          <w:u w:val="single" w:color="auto"/>
          <w:color w:val="auto"/>
        </w:rPr>
        <w:t>Company</w:t>
      </w:r>
      <w:r>
        <w:rPr>
          <w:rFonts w:ascii="Arial" w:cs="Arial" w:eastAsia="Arial" w:hAnsi="Arial"/>
          <w:sz w:val="16"/>
          <w:szCs w:val="16"/>
          <w:color w:val="auto"/>
        </w:rPr>
        <w:t>”), up to [_______] Ordinary Shares (as subject to adjustment hereunder, the “</w:t>
      </w:r>
      <w:r>
        <w:rPr>
          <w:rFonts w:ascii="Arial" w:cs="Arial" w:eastAsia="Arial" w:hAnsi="Arial"/>
          <w:sz w:val="16"/>
          <w:szCs w:val="16"/>
          <w:u w:val="single" w:color="auto"/>
          <w:color w:val="auto"/>
        </w:rPr>
        <w:t>Warrant</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 The purchase price of one Ordinary Share under this Warrant shall be equal to the Exercise Price, as defined in Section 2(b). This Warrant shall initially be issued and maintained in the form of a security held in book-entry form and the Depository Trust Company or its nominee (“</w:t>
      </w:r>
      <w:r>
        <w:rPr>
          <w:rFonts w:ascii="Arial" w:cs="Arial" w:eastAsia="Arial" w:hAnsi="Arial"/>
          <w:sz w:val="18"/>
          <w:szCs w:val="18"/>
          <w:u w:val="single" w:color="auto"/>
          <w:color w:val="auto"/>
        </w:rPr>
        <w:t>DTC</w:t>
      </w:r>
      <w:r>
        <w:rPr>
          <w:rFonts w:ascii="Arial" w:cs="Arial" w:eastAsia="Arial" w:hAnsi="Arial"/>
          <w:sz w:val="18"/>
          <w:szCs w:val="18"/>
          <w:color w:val="auto"/>
        </w:rPr>
        <w:t>”) shall initially be the sole registered holder of this Warrant, subject to the Holder’s right to elect to receive a Warrant in certificated form pursuant to the terms of the Warrant Agency Agreement, in which case this sentence shall not apply.</w:t>
      </w:r>
    </w:p>
    <w:p>
      <w:pPr>
        <w:spacing w:after="0" w:line="1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Warrant, the following terms shall have the meanings indicated in this Section 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2018 Plan</w:t>
      </w:r>
      <w:r>
        <w:rPr>
          <w:rFonts w:ascii="Arial" w:cs="Arial" w:eastAsia="Arial" w:hAnsi="Arial"/>
          <w:sz w:val="18"/>
          <w:szCs w:val="18"/>
          <w:color w:val="auto"/>
        </w:rPr>
        <w:t>” has the meaning set forth in the Registration Statement.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Accredited Investor</w:t>
      </w:r>
      <w:r>
        <w:rPr>
          <w:rFonts w:ascii="Arial" w:cs="Arial" w:eastAsia="Arial" w:hAnsi="Arial"/>
          <w:sz w:val="18"/>
          <w:szCs w:val="18"/>
          <w:color w:val="auto"/>
        </w:rPr>
        <w:t>” has the meaning set forth in Rule 501 of Regulation D promulgated under the Securities Act.</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Adjustment Right</w:t>
      </w:r>
      <w:r>
        <w:rPr>
          <w:rFonts w:ascii="Arial" w:cs="Arial" w:eastAsia="Arial" w:hAnsi="Arial"/>
          <w:sz w:val="17"/>
          <w:szCs w:val="17"/>
          <w:color w:val="auto"/>
        </w:rPr>
        <w:t>” means any right granted with respect to any securities issued in connection with, or with respect to, any issuance or sale (or deemed issuance or sale in accordance with Section 3(b)) of Ordinary Shares (other than rights of the type described in Section 3(f) and (g) hereof) that could result in a decrease in the net consideration received by the Company in connection with, or with respect to, such securities (including, without limitation, any cash settlement rights, cash adjustment or other similar rights).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Bloomberg</w:t>
      </w:r>
      <w:r>
        <w:rPr>
          <w:rFonts w:ascii="Arial" w:cs="Arial" w:eastAsia="Arial" w:hAnsi="Arial"/>
          <w:sz w:val="18"/>
          <w:szCs w:val="18"/>
          <w:color w:val="auto"/>
        </w:rPr>
        <w:t>” means Bloomberg L.P.</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left="6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except any Saturday, any Sunday, any day which is a federal legal holiday in the United States or Israel or any day on which banking institutions in the State of New York or Israel are authorized or required by law or other governmental action to close.</w:t>
      </w:r>
    </w:p>
    <w:p>
      <w:pPr>
        <w:spacing w:after="0" w:line="124"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Calculation Period</w:t>
      </w:r>
      <w:r>
        <w:rPr>
          <w:rFonts w:ascii="Arial" w:cs="Arial" w:eastAsia="Arial" w:hAnsi="Arial"/>
          <w:sz w:val="18"/>
          <w:szCs w:val="18"/>
          <w:color w:val="auto"/>
        </w:rPr>
        <w:t>” means the 10 consecutive Trading Day period beginning on, and including, the Trading Day immediately following the Cashless Exercise Date for a Warrant.</w:t>
      </w:r>
    </w:p>
    <w:p>
      <w:pPr>
        <w:spacing w:after="0" w:line="170"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Cashless Exercise Date</w:t>
      </w:r>
      <w:r>
        <w:rPr>
          <w:rFonts w:ascii="Arial" w:cs="Arial" w:eastAsia="Arial" w:hAnsi="Arial"/>
          <w:sz w:val="18"/>
          <w:szCs w:val="18"/>
          <w:color w:val="auto"/>
        </w:rPr>
        <w:t xml:space="preserve">” means the date on which a Holder complies with the applicable requirements for cashless exercise, if permitted, as set forth in Sections 2(a) and 2(c);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date is not a Trading Day or the Holder satisfies such requirements after 5:00 p.m. on a Trading Day, then the Cashless Exercise Date shall be (i) the immediately succeeding Trading Day, or (ii) if such date is the Termination Date, the immediately preceding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9" w:name="page220"/>
    <w:bookmarkEnd w:id="219"/>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Issuance</w:t>
      </w:r>
      <w:r>
        <w:rPr>
          <w:rFonts w:ascii="Arial" w:cs="Arial" w:eastAsia="Arial" w:hAnsi="Arial"/>
          <w:sz w:val="16"/>
          <w:szCs w:val="16"/>
          <w:color w:val="auto"/>
        </w:rPr>
        <w:t xml:space="preserve">” means the issuance of (a) Ordinary Shares or options to employees, officers, consultants or directors of the Company pursuant to any stock or option plan duly adopted by a majority of the non-employee members of the Board of Directors of the Company or a majority of the members of a committee of non-employee directors established for such purpose for services rendered to the Company, provided, however, issuances to consultants shall not exceed 250,000 Ordinary Shares during any calendar quarter (it being understood that this limitation, if applied to an issuance of options to consultants during any calendar quarter, shall not apply to subsequent exercises of such options), (b) securities to be sold pursuant to and issuable upon the exercise or exchange of any securities issued pursuant to this Warrant and/or rights, options or other securities exercisable or exchangeable for or convertible into Ordinary Shares issued and outstanding as of [____], 2018,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securities have not been amended since [____], 2018 to increase the number of such securities or to decrease the exercise price, exchange price or</w:t>
      </w:r>
    </w:p>
    <w:p>
      <w:pPr>
        <w:spacing w:after="0" w:line="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conversion price of any such securities, (c) securities issued pursuant to acquisitions or strategic transactions approved by a majority of the disinterested directors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issuance shall only be to a Person (or to the equityholders of a Person) which is, itself or through its subsidiaries, an operating company or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and (d) securities in the IPO Transactions or the 2018 Plan, including any deemed issuance or automatic conversion of securities issued therein (including, for the avoidance of doubt, the issuance of shares upon conversion of convertible loans under the convertible financing agreements immediately prior to the closing of the Company’s initial public offering).</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 Transactions</w:t>
      </w:r>
      <w:r>
        <w:rPr>
          <w:rFonts w:ascii="Arial" w:cs="Arial" w:eastAsia="Arial" w:hAnsi="Arial"/>
          <w:sz w:val="18"/>
          <w:szCs w:val="18"/>
          <w:color w:val="auto"/>
        </w:rPr>
        <w:t>” has the meaning set forth in the Registration Statement.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Last Reported Sale Price</w:t>
      </w:r>
      <w:r>
        <w:rPr>
          <w:rFonts w:ascii="Arial" w:cs="Arial" w:eastAsia="Arial" w:hAnsi="Arial"/>
          <w:sz w:val="16"/>
          <w:szCs w:val="16"/>
          <w:color w:val="auto"/>
        </w:rPr>
        <w:t>” of the Ordinary Shares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Ordinary Shares are traded. If the Ordinary Shares are not listed for trading on a U.S. national or regional securities exchange on the relevant date, the “</w:t>
      </w:r>
      <w:r>
        <w:rPr>
          <w:rFonts w:ascii="Arial" w:cs="Arial" w:eastAsia="Arial" w:hAnsi="Arial"/>
          <w:sz w:val="16"/>
          <w:szCs w:val="16"/>
          <w:u w:val="single" w:color="auto"/>
          <w:color w:val="auto"/>
        </w:rPr>
        <w:t>Last Reported Sale Price</w:t>
      </w:r>
      <w:r>
        <w:rPr>
          <w:rFonts w:ascii="Arial" w:cs="Arial" w:eastAsia="Arial" w:hAnsi="Arial"/>
          <w:sz w:val="16"/>
          <w:szCs w:val="16"/>
          <w:color w:val="auto"/>
        </w:rPr>
        <w:t>” shall be the last quoted bid price for the Ordinary Shares in the over-the-counter market on the relevant date as reported by OTC Markets Group Inc. (or a similar organization or agency succeeding to its functions of reporting prices). If the Ordinary Shares (or such other security) are not so quoted, the “</w:t>
      </w:r>
      <w:r>
        <w:rPr>
          <w:rFonts w:ascii="Arial" w:cs="Arial" w:eastAsia="Arial" w:hAnsi="Arial"/>
          <w:sz w:val="16"/>
          <w:szCs w:val="16"/>
          <w:u w:val="single" w:color="auto"/>
          <w:color w:val="auto"/>
        </w:rPr>
        <w:t>Last Reported Sale Price</w:t>
      </w:r>
      <w:r>
        <w:rPr>
          <w:rFonts w:ascii="Arial" w:cs="Arial" w:eastAsia="Arial" w:hAnsi="Arial"/>
          <w:sz w:val="16"/>
          <w:szCs w:val="16"/>
          <w:color w:val="auto"/>
        </w:rPr>
        <w:t>” shall be the average of the mid-point of the last bid and ask prices for the Ordinary Shares (or such other security) on the relevant date from a nationally recognized independent investment banking firm selected by the Company for this purpose.</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Listed Stock Transaction</w:t>
      </w:r>
      <w:r>
        <w:rPr>
          <w:rFonts w:ascii="Arial" w:cs="Arial" w:eastAsia="Arial" w:hAnsi="Arial"/>
          <w:sz w:val="18"/>
          <w:szCs w:val="18"/>
          <w:color w:val="auto"/>
        </w:rPr>
        <w:t>” means a Fundamental Transaction for which at least 90% of the consideration received or to be received by holders of Ordinary Shares, excluding cash payments for fractional shares and cash payments made pursuant to dissenters’ or appraisal rights, in connection with such Fundamental Transaction consists of ordinary shares, common shares or American Depositary shares that are listed or quoted on any of the NYSE American, the Nasdaq Capital Market, the Nasdaq Global Market, the Nasdaq Global Select Market, the New York Stock Exchange, OTCQB or OTCQX (or any of their respective successors) or will be so listed or quoted when issued or exchanged in connection with such Fundamental Transaction.</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Disruption Event</w:t>
      </w:r>
      <w:r>
        <w:rPr>
          <w:rFonts w:ascii="Arial" w:cs="Arial" w:eastAsia="Arial" w:hAnsi="Arial"/>
          <w:sz w:val="18"/>
          <w:szCs w:val="18"/>
          <w:color w:val="auto"/>
        </w:rPr>
        <w:t>” means (a) a failure by the primary U.S. national or regional securities exchange or market on which the Ordinary Shares are listed or admitted for trading to open for trading during its regular trading session or (b) the occurrence or existence prior to 1:00 p.m., New York City time, on any Scheduled Trading Day for the Ordinary Shares for more than one half-hour period in the aggregate during regular trading hours of any suspension or limitation imposed on trading (by reason of movements</w:t>
      </w:r>
    </w:p>
    <w:p>
      <w:pPr>
        <w:spacing w:after="0" w:line="29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585" w:right="239" w:bottom="1440" w:gutter="0" w:footer="0" w:header="0"/>
        </w:sectPr>
      </w:pPr>
    </w:p>
    <w:bookmarkStart w:id="220" w:name="page221"/>
    <w:bookmarkEnd w:id="220"/>
    <w:p>
      <w:pPr>
        <w:jc w:val="both"/>
        <w:spacing w:after="0" w:line="277" w:lineRule="auto"/>
        <w:rPr>
          <w:sz w:val="20"/>
          <w:szCs w:val="20"/>
          <w:color w:val="auto"/>
        </w:rPr>
      </w:pPr>
      <w:r>
        <w:rPr>
          <w:rFonts w:ascii="Arial" w:cs="Arial" w:eastAsia="Arial" w:hAnsi="Arial"/>
          <w:sz w:val="18"/>
          <w:szCs w:val="18"/>
          <w:color w:val="auto"/>
        </w:rPr>
        <w:t>in price exceeding limits permitted by the relevant stock exchange or otherwise) in the Ordinary Shares or in any options contracts or futures contracts relating to the Ordinary Shares.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NIS</w:t>
      </w:r>
      <w:r>
        <w:rPr>
          <w:rFonts w:ascii="Arial" w:cs="Arial" w:eastAsia="Arial" w:hAnsi="Arial"/>
          <w:sz w:val="18"/>
          <w:szCs w:val="18"/>
          <w:color w:val="auto"/>
        </w:rPr>
        <w:t>” means the legal currency of Israel.</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Ordinary Share Equivalents</w:t>
      </w:r>
      <w:r>
        <w:rPr>
          <w:rFonts w:ascii="Arial" w:cs="Arial" w:eastAsia="Arial" w:hAnsi="Arial"/>
          <w:sz w:val="17"/>
          <w:szCs w:val="17"/>
          <w:color w:val="auto"/>
        </w:rPr>
        <w:t>” means any securities of the Company or the Subsidiaries which would entitle the holder thereof to acquire at any time Ordinary Shares, including, without limitation, any debt, preferred stock, right, option, warrant or other instrument that is at any time convertible into or exercisable or exchangeable for, or otherwise entitles the holder thereof to receive, Ordinary Shares.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Shares</w:t>
      </w:r>
      <w:r>
        <w:rPr>
          <w:rFonts w:ascii="Arial" w:cs="Arial" w:eastAsia="Arial" w:hAnsi="Arial"/>
          <w:sz w:val="18"/>
          <w:szCs w:val="18"/>
          <w:color w:val="auto"/>
        </w:rPr>
        <w:t>” means the ordinary shares of the Company, nominal value NIS [__] per share, and any other class of securities into which such securities may hereafter be reclassified or changed.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Company’s registration statement on Form F-1, as amended (File No. 333- 221472).</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Scheduled Trading Day</w:t>
      </w:r>
      <w:r>
        <w:rPr>
          <w:rFonts w:ascii="Arial" w:cs="Arial" w:eastAsia="Arial" w:hAnsi="Arial"/>
          <w:sz w:val="17"/>
          <w:szCs w:val="17"/>
          <w:color w:val="auto"/>
        </w:rPr>
        <w:t>” means a day that is scheduled to be a Trading Day on a Trading Market or, if the Ordinary Shares are not then listed on a Trading Market, on the principal other U.S. national or regional securities exchange on which the Ordinary Shares are then listed or admitted for trading. If the Ordinary Shares are not so listed or admitted for trading, “</w:t>
      </w:r>
      <w:r>
        <w:rPr>
          <w:rFonts w:ascii="Arial" w:cs="Arial" w:eastAsia="Arial" w:hAnsi="Arial"/>
          <w:sz w:val="17"/>
          <w:szCs w:val="17"/>
          <w:u w:val="single" w:color="auto"/>
          <w:color w:val="auto"/>
        </w:rPr>
        <w:t>Scheduled Trading Day</w:t>
      </w:r>
      <w:r>
        <w:rPr>
          <w:rFonts w:ascii="Arial" w:cs="Arial" w:eastAsia="Arial" w:hAnsi="Arial"/>
          <w:sz w:val="17"/>
          <w:szCs w:val="17"/>
          <w:color w:val="auto"/>
        </w:rPr>
        <w:t>” means a Business Day.</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Fundamental Transaction</w:t>
      </w:r>
      <w:r>
        <w:rPr>
          <w:rFonts w:ascii="Arial" w:cs="Arial" w:eastAsia="Arial" w:hAnsi="Arial"/>
          <w:sz w:val="17"/>
          <w:szCs w:val="17"/>
          <w:color w:val="auto"/>
        </w:rPr>
        <w:t>” means (I) one or more related transactions described in clause (i) of the first sentence of Section 3(e) where, immediately after giving effect thereto (x) the holders of all of the Company’s classes of common equity immediately prior to such transaction(s) own, directly or indirectly, more than 50% of all classes of common equity of the continuing or surviving corporation or transferee or the parent thereof immediately after such transaction(s) in substantially the same proportions as such ownership immediately prior to such transaction(s), or (y) the Company will be the surviving entity or (II) a Listed Stock Transaction.</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Company and shall, where applicable, also include any direct or indirect subsidiary of the Company formed or acquired after the date hereof.</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xml:space="preserve">” means a day on which (i) there is no Market Disruption Event and (ii) the Ordinary Shares are traded on a Trading Market or, if the Ordinary Shares are not then listed on a Trading Market, on the principal other U.S. national or regional securities exchange on which the Ordinary Shares are then listed or, if the Ordinary Shares are not then listed on a U.S. national or regional securities exchange, on the principal other market on which the Ordinary Shares are then traded;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Ordinary Shares are not so listed or traded, “</w:t>
      </w:r>
      <w:r>
        <w:rPr>
          <w:rFonts w:ascii="Arial" w:cs="Arial" w:eastAsia="Arial" w:hAnsi="Arial"/>
          <w:sz w:val="18"/>
          <w:szCs w:val="18"/>
          <w:u w:val="single" w:color="auto"/>
          <w:color w:val="auto"/>
        </w:rPr>
        <w:t>Trading Day</w:t>
      </w:r>
      <w:r>
        <w:rPr>
          <w:rFonts w:ascii="Arial" w:cs="Arial" w:eastAsia="Arial" w:hAnsi="Arial"/>
          <w:sz w:val="18"/>
          <w:szCs w:val="18"/>
          <w:color w:val="auto"/>
        </w:rPr>
        <w:t>” means a Business Day.</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Ordinary Shares are listed or quoted for trading on the date in question: the NYSE American, the Nasdaq Capital Market, the Nasdaq Global Market, the Nasdaq Global Select Market, the New York Stock Exchange, OTCQB or OTCQX (or any successors to any of the foregoing).</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American Stock Transfer &amp; Trust Company, LLC, the current transfer agent for the Ordinary Shares and the Warrants, with a mailing address of [ ], a phone number of [ ], and an e-mail address of [ ], and any successor transfer agent for the Ordinary Shares and the Warrants.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means the underwriting agreement, dated as of [_________], 2018 among the Company and Maxim Group LLC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representative of the underwriters named therein, as amended, modified or supplemented from time to time in accordance with its terms.</w:t>
      </w:r>
    </w:p>
    <w:p>
      <w:pPr>
        <w:spacing w:after="0" w:line="33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584" w:right="239" w:bottom="1440" w:gutter="0" w:footer="0" w:header="0"/>
        </w:sectPr>
      </w:pPr>
    </w:p>
    <w:bookmarkStart w:id="221" w:name="page222"/>
    <w:bookmarkEnd w:id="221"/>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United States dollars.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VWAP</w:t>
      </w:r>
      <w:r>
        <w:rPr>
          <w:rFonts w:ascii="Arial" w:cs="Arial" w:eastAsia="Arial" w:hAnsi="Arial"/>
          <w:sz w:val="16"/>
          <w:szCs w:val="16"/>
          <w:color w:val="auto"/>
        </w:rPr>
        <w:t>” means, for any date, with respect to the Ordinary Shares or any other security, the price determined by the first of the following clauses that applies: (a) if the Ordinary Shares or such other security are then listed or quoted on a Trading Market, the daily volume-weighted average price per share of the Ordinary Shares or of such other security for such date (or the nearest preceding date) on the primary Trading Market on which the Ordinary Shares or such other security are then listed or quoted as reported by Bloomberg (based on a Trading Day from 9:30 a.m. (New York City time) to 4:02 p.m. (New York City time)), (b) if the Ordinary Shares or such other security are not then listed or quoted for trading on a Trading Market and if prices for the Ordinary Shares or such other security are then reported in the “Pink Sheets” published by OTC Markets Group, Inc. (or a similar organization or agency succeeding to its functions of reporting prices), the most recent bid price per share of the Ordinary Shares or such other security so reported, or (c) in all other cases, the fair market value of an Ordinary Share or such other security as determined, using a volume-weighted average method, by an independent appraiser selected in good faith by the holders of a majority in interest of the Warrants then outstanding and reasonably acceptable to the Company, the reasonable fees and expenses of which shall be paid by the Company.</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Agency Agreement</w:t>
      </w:r>
      <w:r>
        <w:rPr>
          <w:rFonts w:ascii="Arial" w:cs="Arial" w:eastAsia="Arial" w:hAnsi="Arial"/>
          <w:sz w:val="18"/>
          <w:szCs w:val="18"/>
          <w:color w:val="auto"/>
        </w:rPr>
        <w:t>” means that certain warrant agency agreement, dated as of the Initial Exercise Date, between the Company and the Warrant Agent.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Agent</w:t>
      </w:r>
      <w:r>
        <w:rPr>
          <w:rFonts w:ascii="Arial" w:cs="Arial" w:eastAsia="Arial" w:hAnsi="Arial"/>
          <w:sz w:val="18"/>
          <w:szCs w:val="18"/>
          <w:color w:val="auto"/>
        </w:rPr>
        <w:t>” means the Transfer Agent and any successor warrant agent of the Company.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Warrants</w:t>
      </w:r>
      <w:r>
        <w:rPr>
          <w:rFonts w:ascii="Arial" w:cs="Arial" w:eastAsia="Arial" w:hAnsi="Arial"/>
          <w:sz w:val="16"/>
          <w:szCs w:val="16"/>
          <w:color w:val="auto"/>
        </w:rPr>
        <w:t>” means this Warrant and other Ordinary Share purchase warrants issued by the Company pursuant to the Registration Statement.</w:t>
      </w:r>
    </w:p>
    <w:p>
      <w:pPr>
        <w:spacing w:after="0" w:line="248"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Exercise</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85" w:lineRule="auto"/>
        <w:tabs>
          <w:tab w:leader="none" w:pos="1656"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Exercise of Warrant</w:t>
      </w:r>
      <w:r>
        <w:rPr>
          <w:rFonts w:ascii="Arial" w:cs="Arial" w:eastAsia="Arial" w:hAnsi="Arial"/>
          <w:sz w:val="16"/>
          <w:szCs w:val="16"/>
          <w:color w:val="auto"/>
        </w:rPr>
        <w:t xml:space="preserve">. Exercise of the purchase rights represented by this Warrant may be made, in whole or in part, at any time or times on or after the Initial Exercise Date and on or before the Termination Date by delivery to the Company or the Warrant Agent (or such other office, agency or bank that the Company may designate by notice in writing to the registered Holder at the address of the Holder appearing on the books of the Company), as applicable, of (i) a duly executed facsimile copy (or electronic copy, i.e. “PDF” or “TIF”, submitted by e-mail) of the Notice of Exercise in the form annexed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 of Exercise</w:t>
      </w:r>
      <w:r>
        <w:rPr>
          <w:rFonts w:ascii="Arial" w:cs="Arial" w:eastAsia="Arial" w:hAnsi="Arial"/>
          <w:sz w:val="16"/>
          <w:szCs w:val="16"/>
          <w:color w:val="auto"/>
        </w:rPr>
        <w:t xml:space="preserve">”), to be delivered to the Warrant Agent (in the case of cashless exercise pursuant to Section 2(c)) or the Company (in all other cases), and (ii) within one (1) Trading Day following the date said Notice of Exercise is received by the Warrant Agent the aggregate Exercise Price for the number of Warrant Shares specified in the applicable Notice of Exercise by wire transfer or cashier’s check drawn on a United States bank, unless the cashless exercise procedure specified in Section 2(c) below is permitted and is specified in the applicable Notice of Exercise;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partial exercise of a Warrant hereunder must be in relation to a whole number of Warrant Shares. On the Termination Date, this Warrant, to the extent not previously exercised or expired pursuant to Section 3(h), shall terminate and expire worthless.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until the Holder has purchased all of the Warrant Shares available hereunder and the Warrant has been exercised in full, in which case, the Holder shall surrender this Warrant to the Warrant Agent for cancellation within three (3) Trading Days of the date on which the final Notice of Exercise is received by the Warrant Agent.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so purchased. The Holder and the Warrant Agent shall maintain records showing the number of Warrant Shares purchased and the date of such purchases. The Company shall deliver any objection to any Notice of Exercise within one (1) Business Day of receipt of such notice. Any reference in this Warrant to the issuance of a certificate or the certificates representing the Warrant Shares shall also be deemed to be a reference to the book-entry issuance of such Warrant Shares. If there is no effective registration statement</w:t>
      </w:r>
    </w:p>
    <w:p>
      <w:pPr>
        <w:spacing w:after="0" w:line="27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584" w:right="239" w:bottom="1440" w:gutter="0" w:footer="0" w:header="0"/>
        </w:sectPr>
      </w:pPr>
    </w:p>
    <w:bookmarkStart w:id="222" w:name="page223"/>
    <w:bookmarkEnd w:id="222"/>
    <w:p>
      <w:pPr>
        <w:jc w:val="both"/>
        <w:spacing w:after="0" w:line="257" w:lineRule="auto"/>
        <w:rPr>
          <w:sz w:val="20"/>
          <w:szCs w:val="20"/>
          <w:color w:val="auto"/>
        </w:rPr>
      </w:pPr>
      <w:r>
        <w:rPr>
          <w:rFonts w:ascii="Arial" w:cs="Arial" w:eastAsia="Arial" w:hAnsi="Arial"/>
          <w:sz w:val="18"/>
          <w:szCs w:val="18"/>
          <w:color w:val="auto"/>
        </w:rPr>
        <w:t xml:space="preserve">under the Securities Act permitting the issuance of Warrant Shares upon exercise of this Warrant, a Holder may only exercise the purchase rights represented by this Warrant by “cashless” exercise pursuant to Section 2(c). </w:t>
      </w:r>
      <w:r>
        <w:rPr>
          <w:rFonts w:ascii="Arial" w:cs="Arial" w:eastAsia="Arial" w:hAnsi="Arial"/>
          <w:sz w:val="18"/>
          <w:szCs w:val="18"/>
          <w:b w:val="1"/>
          <w:bCs w:val="1"/>
          <w:color w:val="auto"/>
        </w:rPr>
        <w:t>The Holder and any assignee, by acceptance of this Warrant,</w:t>
      </w:r>
      <w:r>
        <w:rPr>
          <w:rFonts w:ascii="Arial" w:cs="Arial" w:eastAsia="Arial" w:hAnsi="Arial"/>
          <w:sz w:val="18"/>
          <w:szCs w:val="18"/>
          <w:color w:val="auto"/>
        </w:rPr>
        <w:t xml:space="preserve"> </w:t>
      </w:r>
      <w:r>
        <w:rPr>
          <w:rFonts w:ascii="Arial" w:cs="Arial" w:eastAsia="Arial" w:hAnsi="Arial"/>
          <w:sz w:val="18"/>
          <w:szCs w:val="18"/>
          <w:b w:val="1"/>
          <w:bCs w:val="1"/>
          <w:color w:val="auto"/>
        </w:rPr>
        <w:t>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Notwithstanding the foregoing in this Section 2(a), a beneficial owner whose interest in this Warrant is a beneficial interest in certificate(s) representing this Warrant held in book-entry form through DTC (or another established clearing corporation performing similar functions), shall effect exercises made pursuant to this Section 2(a) by delivering to DTC (or such other clearing corporation, as applicable) the appropriate instruction form for exercise, complying with the procedures to effect exercise that are then required by DTC (or such other clearing corporation, as applicable), subject to a Holder’s right to elect to receive a Warrant in certificated form pursuant to the terms of the Warrant Agency Agreement, in which case this sentence shall not apply.</w:t>
      </w:r>
    </w:p>
    <w:p>
      <w:pPr>
        <w:spacing w:after="0" w:line="189" w:lineRule="exact"/>
        <w:rPr>
          <w:sz w:val="20"/>
          <w:szCs w:val="20"/>
          <w:color w:val="auto"/>
        </w:rPr>
      </w:pPr>
    </w:p>
    <w:p>
      <w:pPr>
        <w:jc w:val="both"/>
        <w:ind w:firstLine="645"/>
        <w:spacing w:after="0" w:line="266" w:lineRule="auto"/>
        <w:tabs>
          <w:tab w:leader="none" w:pos="1775"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exercise price per Ordinary Share under this Warrant shall be </w:t>
      </w:r>
      <w:r>
        <w:rPr>
          <w:rFonts w:ascii="Arial" w:cs="Arial" w:eastAsia="Arial" w:hAnsi="Arial"/>
          <w:sz w:val="18"/>
          <w:szCs w:val="18"/>
          <w:b w:val="1"/>
          <w:bCs w:val="1"/>
          <w:color w:val="auto"/>
        </w:rPr>
        <w:t>$[ ]</w:t>
      </w:r>
      <w:r>
        <w:rPr>
          <w:rFonts w:ascii="Arial" w:cs="Arial" w:eastAsia="Arial" w:hAnsi="Arial"/>
          <w:sz w:val="18"/>
          <w:szCs w:val="18"/>
          <w:color w:val="auto"/>
        </w:rPr>
        <w:t>,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 Exercise Price be adjusted below the nominal value (or U.S. dollar equivalent) of the Ordinary Shares.</w:t>
      </w:r>
    </w:p>
    <w:p>
      <w:pPr>
        <w:spacing w:after="0" w:line="180" w:lineRule="exact"/>
        <w:rPr>
          <w:rFonts w:ascii="Arial" w:cs="Arial" w:eastAsia="Arial" w:hAnsi="Arial"/>
          <w:sz w:val="18"/>
          <w:szCs w:val="18"/>
          <w:color w:val="auto"/>
        </w:rPr>
      </w:pPr>
    </w:p>
    <w:p>
      <w:pPr>
        <w:jc w:val="both"/>
        <w:ind w:firstLine="645"/>
        <w:spacing w:after="0" w:line="257" w:lineRule="auto"/>
        <w:tabs>
          <w:tab w:leader="none" w:pos="1967"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If at the time of exercise hereof there is no effective registration statement under the Securities Act registering, or the prospectus contained therein is not available for, the issuance of the Warrant Shares to the Holder, or, if required, there is not an effective state law registration of such issuance, then this Warrant may only be exercised, in whole or in part, at such time by means of a “cashless exercise” in which the Holder shall be entitled to receive a number of Warrant Shares equal to the quotient obtained by dividing [(A-B) (X)] by (A), where:</w:t>
      </w:r>
    </w:p>
    <w:p>
      <w:pPr>
        <w:spacing w:after="0" w:line="188" w:lineRule="exact"/>
        <w:rPr>
          <w:sz w:val="20"/>
          <w:szCs w:val="20"/>
          <w:color w:val="auto"/>
        </w:rPr>
      </w:pPr>
    </w:p>
    <w:p>
      <w:pPr>
        <w:ind w:left="640" w:firstLine="5"/>
        <w:spacing w:after="0" w:line="277" w:lineRule="auto"/>
        <w:tabs>
          <w:tab w:leader="none" w:pos="96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the arithmetic average of the VWAPs of the Ordinary Shares over each of the 10 consecutive Trading Days during the related Calculation Period;</w:t>
      </w:r>
    </w:p>
    <w:p>
      <w:pPr>
        <w:spacing w:after="0" w:line="170" w:lineRule="exact"/>
        <w:rPr>
          <w:rFonts w:ascii="Arial" w:cs="Arial" w:eastAsia="Arial" w:hAnsi="Arial"/>
          <w:sz w:val="18"/>
          <w:szCs w:val="18"/>
          <w:color w:val="auto"/>
        </w:rPr>
      </w:pPr>
    </w:p>
    <w:p>
      <w:pPr>
        <w:ind w:left="920" w:hanging="275"/>
        <w:spacing w:after="0"/>
        <w:tabs>
          <w:tab w:leader="none" w:pos="9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the Exercise Price of this Warrant, as adjusted hereunder; and</w:t>
      </w:r>
    </w:p>
    <w:p>
      <w:pPr>
        <w:spacing w:after="0" w:line="225" w:lineRule="exact"/>
        <w:rPr>
          <w:sz w:val="20"/>
          <w:szCs w:val="20"/>
          <w:color w:val="auto"/>
        </w:rPr>
      </w:pPr>
    </w:p>
    <w:p>
      <w:pPr>
        <w:ind w:left="640" w:right="20" w:firstLine="5"/>
        <w:spacing w:after="0" w:line="277" w:lineRule="auto"/>
        <w:tabs>
          <w:tab w:leader="none" w:pos="95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assuming such exercise were by means of a cash exercise rather than a cashless exercise.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Warrant Shares are issued in such a cashless exercise, the parties acknowledge and agree that in accordance with Section 3(a)(9) of the Securities Act, the Warrant Shares shall take on the characteristics under the Securities Act of the Warrants being exercised. The Company agrees not to take any position contrary to this Section 2(c).</w:t>
      </w:r>
    </w:p>
    <w:p>
      <w:pPr>
        <w:spacing w:after="0" w:line="181" w:lineRule="exact"/>
        <w:rPr>
          <w:sz w:val="20"/>
          <w:szCs w:val="20"/>
          <w:color w:val="auto"/>
        </w:rPr>
      </w:pPr>
    </w:p>
    <w:p>
      <w:pPr>
        <w:ind w:left="1640" w:hanging="995"/>
        <w:spacing w:after="0"/>
        <w:tabs>
          <w:tab w:leader="none" w:pos="164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Mechanics upon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940" w:hanging="647"/>
        <w:spacing w:after="0" w:line="270" w:lineRule="auto"/>
        <w:tabs>
          <w:tab w:leader="none" w:pos="1940" w:val="left"/>
        </w:tabs>
        <w:numPr>
          <w:ilvl w:val="1"/>
          <w:numId w:val="149"/>
        </w:numPr>
        <w:rPr>
          <w:rFonts w:ascii="Arial" w:cs="Arial" w:eastAsia="Arial" w:hAnsi="Arial"/>
          <w:sz w:val="17"/>
          <w:szCs w:val="17"/>
          <w:color w:val="auto"/>
        </w:rPr>
      </w:pPr>
      <w:r>
        <w:rPr>
          <w:rFonts w:ascii="Arial" w:cs="Arial" w:eastAsia="Arial" w:hAnsi="Arial"/>
          <w:sz w:val="17"/>
          <w:szCs w:val="17"/>
          <w:u w:val="single" w:color="auto"/>
          <w:color w:val="auto"/>
        </w:rPr>
        <w:t>Delivery of Warrant Shares Upon Exercise</w:t>
      </w:r>
      <w:r>
        <w:rPr>
          <w:rFonts w:ascii="Arial" w:cs="Arial" w:eastAsia="Arial" w:hAnsi="Arial"/>
          <w:sz w:val="17"/>
          <w:szCs w:val="17"/>
          <w:color w:val="auto"/>
        </w:rPr>
        <w:t>. The Company shall cause the Warrant Shares purchased hereunder to be transmitted by the Transfer Agent to the Holder by crediting the Holder’s, or its designee’s, balance account with The Depository Trust Company through its Deposit or Withdrawal at Custodian system (“</w:t>
      </w:r>
      <w:r>
        <w:rPr>
          <w:rFonts w:ascii="Arial" w:cs="Arial" w:eastAsia="Arial" w:hAnsi="Arial"/>
          <w:sz w:val="17"/>
          <w:szCs w:val="17"/>
          <w:u w:val="single" w:color="auto"/>
          <w:color w:val="auto"/>
        </w:rPr>
        <w:t>DWAC</w:t>
      </w:r>
      <w:r>
        <w:rPr>
          <w:rFonts w:ascii="Arial" w:cs="Arial" w:eastAsia="Arial" w:hAnsi="Arial"/>
          <w:sz w:val="17"/>
          <w:szCs w:val="17"/>
          <w:color w:val="auto"/>
        </w:rPr>
        <w:t>”) if the Company is then a participant in such system and there is an effective registration statement under the Securities Act permitting the issuance of the Warrant Shares to or resale of the Warrant Shares by the Holder,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two (2) Trading Days after (A) for exercises other than cashless exercises pursuant to Section 2(c), the receipt by the Warrant Agent of the Notice of Exercise and by the Company of the timely payment of the aggregate Exercise Price of the</w:t>
      </w:r>
    </w:p>
    <w:p>
      <w:pPr>
        <w:spacing w:after="0" w:line="28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585" w:right="239" w:bottom="1440" w:gutter="0" w:footer="0" w:header="0"/>
        </w:sectPr>
      </w:pPr>
    </w:p>
    <w:bookmarkStart w:id="223" w:name="page224"/>
    <w:bookmarkEnd w:id="223"/>
    <w:p>
      <w:pPr>
        <w:jc w:val="both"/>
        <w:ind w:left="1400"/>
        <w:spacing w:after="0" w:line="285" w:lineRule="auto"/>
        <w:rPr>
          <w:sz w:val="20"/>
          <w:szCs w:val="20"/>
          <w:color w:val="auto"/>
        </w:rPr>
      </w:pPr>
      <w:r>
        <w:rPr>
          <w:rFonts w:ascii="Arial" w:cs="Arial" w:eastAsia="Arial" w:hAnsi="Arial"/>
          <w:sz w:val="16"/>
          <w:szCs w:val="16"/>
          <w:color w:val="auto"/>
        </w:rPr>
        <w:t>Warrant Shares thereby purchased or (B) for cashless exercises pursuant to Section 2(c), the final day of the related Calculation Period (such date in the case of (A) or (B) above, the “</w:t>
      </w:r>
      <w:r>
        <w:rPr>
          <w:rFonts w:ascii="Arial" w:cs="Arial" w:eastAsia="Arial" w:hAnsi="Arial"/>
          <w:sz w:val="16"/>
          <w:szCs w:val="16"/>
          <w:u w:val="single" w:color="auto"/>
          <w:color w:val="auto"/>
        </w:rPr>
        <w:t>Warrant Share Delivery Date</w:t>
      </w:r>
      <w:r>
        <w:rPr>
          <w:rFonts w:ascii="Arial" w:cs="Arial" w:eastAsia="Arial" w:hAnsi="Arial"/>
          <w:sz w:val="16"/>
          <w:szCs w:val="16"/>
          <w:color w:val="auto"/>
        </w:rPr>
        <w:t xml:space="preserve">”). The Warrant Shares shall be deemed to have been issued, and the Holder, or any other person so designated by the Holder to be named in the share register, shall be deemed to have become a holder of record of such shares for all purposes, as of the date of delivery of the Notice of Exercise in accordance with this Section 2 (in respect of any exercise other than a cashless exercise) or as of the final day of the related Calculation Period (in the case of a cashless exercise),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payment to the Company of the aggregate Exercise Price (other than in the case of a cashless exercise) and all taxes required to be paid by the Holder, if any, pursuant to Section 2(d)(vi) have timely been made prior to the issuance of such shares;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the date of such payment and submission or such final date of the Calculation Period, as the case may be, is a date upon which the Ordinary Share transfer books of the Company are closed, such person shall be deemed to have become the record holder of such shares on, and such certificate shall be dated, the next succeeding day on which the Ordinary Share transfer books of the Company are open.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Ordinary Shares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w:t>
      </w:r>
    </w:p>
    <w:p>
      <w:pPr>
        <w:spacing w:after="0" w:line="389" w:lineRule="exact"/>
        <w:rPr>
          <w:sz w:val="20"/>
          <w:szCs w:val="20"/>
          <w:color w:val="auto"/>
        </w:rPr>
      </w:pPr>
    </w:p>
    <w:p>
      <w:pPr>
        <w:jc w:val="both"/>
        <w:ind w:left="1400" w:hanging="647"/>
        <w:spacing w:after="0" w:line="257" w:lineRule="auto"/>
        <w:tabs>
          <w:tab w:leader="none" w:pos="140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Delivery of New Warrants Upon Exercise</w:t>
      </w:r>
      <w:r>
        <w:rPr>
          <w:rFonts w:ascii="Arial" w:cs="Arial" w:eastAsia="Arial" w:hAnsi="Arial"/>
          <w:sz w:val="18"/>
          <w:szCs w:val="18"/>
          <w:color w:val="auto"/>
        </w:rPr>
        <w:t>. If this Warrant is not held in global form through DTC (or any successor depositary) and if this Warrant shall have been exercised in part, the Company shall, at the request of the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88" w:lineRule="exact"/>
        <w:rPr>
          <w:rFonts w:ascii="Arial" w:cs="Arial" w:eastAsia="Arial" w:hAnsi="Arial"/>
          <w:sz w:val="18"/>
          <w:szCs w:val="18"/>
          <w:color w:val="auto"/>
        </w:rPr>
      </w:pPr>
    </w:p>
    <w:p>
      <w:pPr>
        <w:ind w:left="1400" w:hanging="647"/>
        <w:spacing w:after="0" w:line="342" w:lineRule="auto"/>
        <w:tabs>
          <w:tab w:leader="none" w:pos="1400"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Rescission Rights</w:t>
      </w:r>
      <w:r>
        <w:rPr>
          <w:rFonts w:ascii="Arial" w:cs="Arial" w:eastAsia="Arial" w:hAnsi="Arial"/>
          <w:sz w:val="16"/>
          <w:szCs w:val="16"/>
          <w:color w:val="auto"/>
        </w:rPr>
        <w:t>. If the Company fails to cause the Transfer Agent to transmit to the Holder the Warrant Shares pursuant to Section 2(d)(i) by the Warrant Share Delivery Date, then the Holder will have the right to rescind such exercise.</w:t>
      </w:r>
    </w:p>
    <w:p>
      <w:pPr>
        <w:spacing w:after="0" w:line="123" w:lineRule="exact"/>
        <w:rPr>
          <w:rFonts w:ascii="Arial" w:cs="Arial" w:eastAsia="Arial" w:hAnsi="Arial"/>
          <w:sz w:val="16"/>
          <w:szCs w:val="16"/>
          <w:color w:val="auto"/>
        </w:rPr>
      </w:pPr>
    </w:p>
    <w:p>
      <w:pPr>
        <w:jc w:val="both"/>
        <w:ind w:left="1400" w:hanging="647"/>
        <w:spacing w:after="0" w:line="270" w:lineRule="auto"/>
        <w:tabs>
          <w:tab w:leader="none" w:pos="1400"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Compensation for Buy-In on Failure to Timely Deliver Warrant Shares Upon Exercise</w:t>
      </w:r>
      <w:r>
        <w:rPr>
          <w:rFonts w:ascii="Arial" w:cs="Arial" w:eastAsia="Arial" w:hAnsi="Arial"/>
          <w:sz w:val="17"/>
          <w:szCs w:val="17"/>
          <w:color w:val="auto"/>
        </w:rPr>
        <w:t>. In addition to any other rights available to the Holder, if the Company fails to cause the Transfer Agent to transmit to the Holder the Warrant Shares in accordance with the provisions of Section 2(d)(i) above on or before the applicable Warrant Share Delivery Date (other than any such failure that is solely due to any action or inaction by the Holder with respect to such exercise), and if after such date the Holder is required by its broker to purchase (in an open market transaction or otherwise), or the Holder’s brokerage firm otherwise purchases, Ordinary Shares to deliver in satisfaction of a sale by the Holder of the Warrant Shares which the Holder anticipated receiving upon such exercise (a “</w:t>
      </w:r>
      <w:r>
        <w:rPr>
          <w:rFonts w:ascii="Arial" w:cs="Arial" w:eastAsia="Arial" w:hAnsi="Arial"/>
          <w:sz w:val="17"/>
          <w:szCs w:val="17"/>
          <w:u w:val="single" w:color="auto"/>
          <w:color w:val="auto"/>
        </w:rPr>
        <w:t>Buy-In</w:t>
      </w:r>
      <w:r>
        <w:rPr>
          <w:rFonts w:ascii="Arial" w:cs="Arial" w:eastAsia="Arial" w:hAnsi="Arial"/>
          <w:sz w:val="17"/>
          <w:szCs w:val="17"/>
          <w:color w:val="auto"/>
        </w:rPr>
        <w:t>”), then the Company shall (A) pay in cash to the Holder the amount, if any, by which (x) the Holder’s total purchase price (including brokerage commissions, if any) for the Ordinary Shares so purchased exceeds (y) the</w:t>
      </w:r>
    </w:p>
    <w:p>
      <w:pPr>
        <w:spacing w:after="0" w:line="29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85" w:right="239" w:bottom="1440" w:gutter="0" w:footer="0" w:header="0"/>
        </w:sectPr>
      </w:pPr>
    </w:p>
    <w:bookmarkStart w:id="224" w:name="page225"/>
    <w:bookmarkEnd w:id="224"/>
    <w:p>
      <w:pPr>
        <w:jc w:val="both"/>
        <w:ind w:left="1400"/>
        <w:spacing w:after="0" w:line="268" w:lineRule="auto"/>
        <w:rPr>
          <w:sz w:val="20"/>
          <w:szCs w:val="20"/>
          <w:color w:val="auto"/>
        </w:rPr>
      </w:pPr>
      <w:r>
        <w:rPr>
          <w:rFonts w:ascii="Arial" w:cs="Arial" w:eastAsia="Arial" w:hAnsi="Arial"/>
          <w:sz w:val="17"/>
          <w:szCs w:val="17"/>
          <w:color w:val="auto"/>
        </w:rPr>
        <w:t xml:space="preserve">amount obtained by </w:t>
      </w:r>
      <w:r>
        <w:rPr>
          <w:rFonts w:ascii="Arial" w:cs="Arial" w:eastAsia="Arial" w:hAnsi="Arial"/>
          <w:sz w:val="17"/>
          <w:szCs w:val="17"/>
          <w:i w:val="1"/>
          <w:iCs w:val="1"/>
          <w:color w:val="auto"/>
        </w:rPr>
        <w:t>multiplying</w:t>
      </w:r>
      <w:r>
        <w:rPr>
          <w:rFonts w:ascii="Arial" w:cs="Arial" w:eastAsia="Arial" w:hAnsi="Arial"/>
          <w:sz w:val="17"/>
          <w:szCs w:val="17"/>
          <w:color w:val="auto"/>
        </w:rPr>
        <w:t xml:space="preserve">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Ordinary Shares that would have been issued had the Company timely complied with its exercise and delivery obligations hereunder. For example, if the Holder purchases Ordinary Shares having a total purchase price of $11,000 to cover a Buy-In with respect to an attempted exercise of Ordinary Shares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Ordinary Shares upon exercise of the Warrant as required pursuant to the terms hereof.</w:t>
      </w:r>
    </w:p>
    <w:p>
      <w:pPr>
        <w:spacing w:after="0" w:line="185" w:lineRule="exact"/>
        <w:rPr>
          <w:sz w:val="20"/>
          <w:szCs w:val="20"/>
          <w:color w:val="auto"/>
        </w:rPr>
      </w:pPr>
    </w:p>
    <w:p>
      <w:pPr>
        <w:jc w:val="both"/>
        <w:ind w:left="1400" w:hanging="647"/>
        <w:spacing w:after="0" w:line="279" w:lineRule="auto"/>
        <w:tabs>
          <w:tab w:leader="none" w:pos="1400" w:val="left"/>
        </w:tabs>
        <w:numPr>
          <w:ilvl w:val="1"/>
          <w:numId w:val="151"/>
        </w:numPr>
        <w:rPr>
          <w:rFonts w:ascii="Arial" w:cs="Arial" w:eastAsia="Arial" w:hAnsi="Arial"/>
          <w:sz w:val="17"/>
          <w:szCs w:val="17"/>
          <w:color w:val="auto"/>
        </w:rPr>
      </w:pPr>
      <w:r>
        <w:rPr>
          <w:rFonts w:ascii="Arial" w:cs="Arial" w:eastAsia="Arial" w:hAnsi="Arial"/>
          <w:sz w:val="17"/>
          <w:szCs w:val="17"/>
          <w:u w:val="single" w:color="auto"/>
          <w:color w:val="auto"/>
        </w:rPr>
        <w:t>No Fractional Shares or Scrip</w:t>
      </w:r>
      <w:r>
        <w:rPr>
          <w:rFonts w:ascii="Arial" w:cs="Arial" w:eastAsia="Arial" w:hAnsi="Arial"/>
          <w:sz w:val="17"/>
          <w:szCs w:val="17"/>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1" w:lineRule="exact"/>
        <w:rPr>
          <w:rFonts w:ascii="Arial" w:cs="Arial" w:eastAsia="Arial" w:hAnsi="Arial"/>
          <w:sz w:val="17"/>
          <w:szCs w:val="17"/>
          <w:color w:val="auto"/>
        </w:rPr>
      </w:pPr>
    </w:p>
    <w:p>
      <w:pPr>
        <w:jc w:val="both"/>
        <w:ind w:left="1400" w:hanging="647"/>
        <w:spacing w:after="0" w:line="270" w:lineRule="auto"/>
        <w:tabs>
          <w:tab w:leader="none" w:pos="1400" w:val="left"/>
        </w:tabs>
        <w:numPr>
          <w:ilvl w:val="1"/>
          <w:numId w:val="151"/>
        </w:numPr>
        <w:rPr>
          <w:rFonts w:ascii="Arial" w:cs="Arial" w:eastAsia="Arial" w:hAnsi="Arial"/>
          <w:sz w:val="17"/>
          <w:szCs w:val="17"/>
          <w:color w:val="auto"/>
        </w:rPr>
      </w:pPr>
      <w:r>
        <w:rPr>
          <w:rFonts w:ascii="Arial" w:cs="Arial" w:eastAsia="Arial" w:hAnsi="Arial"/>
          <w:sz w:val="17"/>
          <w:szCs w:val="17"/>
          <w:u w:val="single" w:color="auto"/>
          <w:color w:val="auto"/>
        </w:rPr>
        <w:t>Charges, Taxes and Expenses</w:t>
      </w:r>
      <w:r>
        <w:rPr>
          <w:rFonts w:ascii="Arial" w:cs="Arial" w:eastAsia="Arial" w:hAnsi="Arial"/>
          <w:sz w:val="17"/>
          <w:szCs w:val="17"/>
          <w:color w:val="auto"/>
        </w:rPr>
        <w:t xml:space="preserve">. Issuance of Warrant Shares shall be made without charge to a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that Warrant Shares are to be issued in a name other than the name of the Holder, this Warrant when surrendered for exercise shall be accompanied by the Assignment Form attached hereto as </w:t>
      </w:r>
      <w:r>
        <w:rPr>
          <w:rFonts w:ascii="Arial" w:cs="Arial" w:eastAsia="Arial" w:hAnsi="Arial"/>
          <w:sz w:val="17"/>
          <w:szCs w:val="17"/>
          <w:u w:val="single" w:color="auto"/>
          <w:color w:val="auto"/>
        </w:rPr>
        <w:t>Exhibt B</w:t>
      </w:r>
      <w:r>
        <w:rPr>
          <w:rFonts w:ascii="Arial" w:cs="Arial" w:eastAsia="Arial" w:hAnsi="Arial"/>
          <w:sz w:val="17"/>
          <w:szCs w:val="17"/>
          <w:color w:val="auto"/>
        </w:rPr>
        <w:t xml:space="preserve">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77" w:lineRule="exact"/>
        <w:rPr>
          <w:rFonts w:ascii="Arial" w:cs="Arial" w:eastAsia="Arial" w:hAnsi="Arial"/>
          <w:sz w:val="17"/>
          <w:szCs w:val="17"/>
          <w:color w:val="auto"/>
        </w:rPr>
      </w:pPr>
    </w:p>
    <w:p>
      <w:pPr>
        <w:ind w:left="1400" w:hanging="647"/>
        <w:spacing w:after="0" w:line="277" w:lineRule="auto"/>
        <w:tabs>
          <w:tab w:leader="none" w:pos="1400"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shareholder books or records in any manner which prevents the timely exercise of this Warrant, pursuant to the terms hereof.</w:t>
      </w:r>
    </w:p>
    <w:p>
      <w:pPr>
        <w:spacing w:after="0" w:line="170" w:lineRule="exact"/>
        <w:rPr>
          <w:rFonts w:ascii="Arial" w:cs="Arial" w:eastAsia="Arial" w:hAnsi="Arial"/>
          <w:sz w:val="18"/>
          <w:szCs w:val="18"/>
          <w:color w:val="auto"/>
        </w:rPr>
      </w:pPr>
    </w:p>
    <w:p>
      <w:pPr>
        <w:jc w:val="both"/>
        <w:ind w:left="-540" w:firstLine="645"/>
        <w:spacing w:after="0" w:line="297" w:lineRule="auto"/>
        <w:tabs>
          <w:tab w:leader="none" w:pos="1197"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the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xml:space="preserve">”)), would beneficially own in excess of the Beneficial Ownership Limitation (as defined below); </w:t>
      </w:r>
      <w:r>
        <w:rPr>
          <w:rFonts w:ascii="Arial" w:cs="Arial" w:eastAsia="Arial" w:hAnsi="Arial"/>
          <w:sz w:val="16"/>
          <w:szCs w:val="16"/>
          <w:u w:val="single" w:color="auto"/>
          <w:color w:val="auto"/>
        </w:rPr>
        <w:t>provided</w:t>
      </w:r>
      <w:r>
        <w:rPr>
          <w:rFonts w:ascii="Arial" w:cs="Arial" w:eastAsia="Arial" w:hAnsi="Arial"/>
          <w:sz w:val="16"/>
          <w:szCs w:val="16"/>
          <w:color w:val="auto"/>
        </w:rPr>
        <w:t>, that this restriction shall not apply with respect to exercises of this Warrant to the extent that such</w:t>
      </w:r>
    </w:p>
    <w:p>
      <w:pPr>
        <w:spacing w:after="0" w:line="26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225" w:name="page226"/>
    <w:bookmarkEnd w:id="225"/>
    <w:p>
      <w:pPr>
        <w:jc w:val="both"/>
        <w:spacing w:after="0" w:line="283" w:lineRule="auto"/>
        <w:rPr>
          <w:sz w:val="20"/>
          <w:szCs w:val="20"/>
          <w:color w:val="auto"/>
        </w:rPr>
      </w:pPr>
      <w:r>
        <w:rPr>
          <w:rFonts w:ascii="Arial" w:cs="Arial" w:eastAsia="Arial" w:hAnsi="Arial"/>
          <w:sz w:val="16"/>
          <w:szCs w:val="16"/>
          <w:color w:val="auto"/>
        </w:rPr>
        <w:t>Holder together with its Affiliates and Attribution Parties beneficially owned in excess of the Beneficial Ownership Limitation prior to the Initial Exercise Date. For purposes of the foregoing sentence, the number of Ordinary Shares beneficially owned by the Holder and its Affiliates and Attribution Parties shall include the number of Ordinary Shares issuable upon exercise of this Warrant with respect to which such determination is being made, but shall exclude the number of Ordinary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this Warrant that are not in compliance with the Beneficial Ownership Limitation. In addition, a determination as to any group status as contemplated above shall be determined in accordance with Section 13(d) of the Exchange Act and the rules and regulations promulgated thereunder. For purposes of this Section 2(e), in determining the number of outstanding Ordinary Shares, a Holder may rely on the number of outstanding Ordinary Shares as reflected in (A) the Company’s most recent periodic or annual report filed with the Commission, as the case may be, (B) a more recent public announcement by the Company or (C) a more recent written notice by the Company or the Transfer Agent setting forth the number of Ordinary Shares outstanding. Upon the written request of a Holder, the Company shall within two Business Days confirm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shall be 4.99% of the number of Ordinary Shares outstanding immediately after giving effect to the issuance of Ordinary Shares issuable upon exercise of this Warrant. The Holder, upon notice to the Company, may increase or decrease the Beneficial Ownership Limitation provisions of this Section 2(e), provided that the Beneficial Ownership Limitation in no event exceeds 9.99% of the number of shares of the Ordinary Shares outstanding immediately after giving effect to the issuance of Ordinary Shares upon exercise of this Warrant held by the Holder and the provisions of this Section 2(e) shall continue to apply. Any increase in the Beneficial Ownership Limitation will not be effective until the 61st day after such notice is delivered to the Company. The limitations contained in this paragraph shall apply to a successor holder of this Warrant.</w:t>
      </w:r>
    </w:p>
    <w:p>
      <w:pPr>
        <w:spacing w:after="0" w:line="200" w:lineRule="exact"/>
        <w:rPr>
          <w:sz w:val="20"/>
          <w:szCs w:val="20"/>
          <w:color w:val="auto"/>
        </w:rPr>
      </w:pPr>
    </w:p>
    <w:p>
      <w:pPr>
        <w:spacing w:after="0" w:line="206"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Certain Adjustments</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54" w:lineRule="auto"/>
        <w:tabs>
          <w:tab w:leader="none" w:pos="1926"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Stock Dividends and Splits</w:t>
      </w:r>
      <w:r>
        <w:rPr>
          <w:rFonts w:ascii="Arial" w:cs="Arial" w:eastAsia="Arial" w:hAnsi="Arial"/>
          <w:sz w:val="18"/>
          <w:szCs w:val="18"/>
          <w:color w:val="auto"/>
        </w:rPr>
        <w:t>. If the Company, at any time while this Warrant is outstanding: (i) pays a stock dividend or otherwise makes a distribution or distributions payable in Ordinary Shares on its Ordinary Shares or any Ordinary Share Equivalents or preferred stock (which, for avoidance of doubt, shall not include any Ordinary Shares issued by the Company upon exercise of this Warrant or upon exercise of any other warrants to purchase Ordinary Shares outstanding as of the Initial Exercise Date or any securities issued pursuant to the IPO Transactions), (ii) subdivides outstanding Ordinary Shares into a larger number of shares or (iii) combines (including by way of reverse stock split) outstanding Ordinary Shares into a smaller number of shares, then the Exercise Price shall be multiplied by a fraction of which the numerator shall be the number of Ordinary Shares (excluding any treasury shares of the Company) outstanding immediately before such event and of which the denominator shall be the</w:t>
      </w:r>
    </w:p>
    <w:p>
      <w:pPr>
        <w:spacing w:after="0" w:line="30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584" w:right="239" w:bottom="1440" w:gutter="0" w:footer="0" w:header="0"/>
        </w:sectPr>
      </w:pPr>
    </w:p>
    <w:bookmarkStart w:id="226" w:name="page227"/>
    <w:bookmarkEnd w:id="226"/>
    <w:p>
      <w:pPr>
        <w:jc w:val="both"/>
        <w:ind w:left="660"/>
        <w:spacing w:after="0" w:line="279" w:lineRule="auto"/>
        <w:rPr>
          <w:sz w:val="20"/>
          <w:szCs w:val="20"/>
          <w:color w:val="auto"/>
        </w:rPr>
      </w:pPr>
      <w:r>
        <w:rPr>
          <w:rFonts w:ascii="Arial" w:cs="Arial" w:eastAsia="Arial" w:hAnsi="Arial"/>
          <w:sz w:val="17"/>
          <w:szCs w:val="17"/>
          <w:color w:val="auto"/>
        </w:rPr>
        <w:t>number of Ordinary Shares outstanding immediately after such event, and the number of Warrant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or combination.</w:t>
      </w:r>
    </w:p>
    <w:p>
      <w:pPr>
        <w:spacing w:after="0" w:line="171" w:lineRule="exact"/>
        <w:rPr>
          <w:sz w:val="20"/>
          <w:szCs w:val="20"/>
          <w:color w:val="auto"/>
        </w:rPr>
      </w:pPr>
    </w:p>
    <w:p>
      <w:pPr>
        <w:jc w:val="both"/>
        <w:ind w:left="660" w:firstLine="645"/>
        <w:spacing w:after="0" w:line="288" w:lineRule="auto"/>
        <w:tabs>
          <w:tab w:leader="none" w:pos="2327"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Adjustment Upon Issuance of Ordinary Shares</w:t>
      </w:r>
      <w:r>
        <w:rPr>
          <w:rFonts w:ascii="Arial" w:cs="Arial" w:eastAsia="Arial" w:hAnsi="Arial"/>
          <w:sz w:val="16"/>
          <w:szCs w:val="16"/>
          <w:color w:val="auto"/>
        </w:rPr>
        <w:t>. If within two (2) years after [____], 2018 (the “</w:t>
      </w:r>
      <w:r>
        <w:rPr>
          <w:rFonts w:ascii="Arial" w:cs="Arial" w:eastAsia="Arial" w:hAnsi="Arial"/>
          <w:sz w:val="16"/>
          <w:szCs w:val="16"/>
          <w:u w:val="single" w:color="auto"/>
          <w:color w:val="auto"/>
        </w:rPr>
        <w:t>Issuance Date</w:t>
      </w:r>
      <w:r>
        <w:rPr>
          <w:rFonts w:ascii="Arial" w:cs="Arial" w:eastAsia="Arial" w:hAnsi="Arial"/>
          <w:sz w:val="16"/>
          <w:szCs w:val="16"/>
          <w:color w:val="auto"/>
        </w:rPr>
        <w:t>”), the Company issues or sells, or in accordance with this Section 3(b) is deemed to have issued or sold, any Ordinary Shares and/or Ordinary Share Equivalents (including the issuance or sale of Ordinary Shares owned or held by or for the account of the Company, but excluding any Exempt Issuance issued or</w:t>
      </w:r>
    </w:p>
    <w:p>
      <w:pPr>
        <w:jc w:val="both"/>
        <w:ind w:left="660"/>
        <w:spacing w:after="0" w:line="224" w:lineRule="auto"/>
        <w:rPr>
          <w:sz w:val="20"/>
          <w:szCs w:val="20"/>
          <w:color w:val="auto"/>
        </w:rPr>
      </w:pPr>
      <w:r>
        <w:rPr>
          <w:rFonts w:ascii="Arial" w:cs="Arial" w:eastAsia="Arial" w:hAnsi="Arial"/>
          <w:sz w:val="18"/>
          <w:szCs w:val="18"/>
          <w:color w:val="auto"/>
        </w:rPr>
        <w:t>sold or deemed to have been issued or sold) for a consideration per share (the “</w:t>
      </w:r>
      <w:r>
        <w:rPr>
          <w:rFonts w:ascii="Arial" w:cs="Arial" w:eastAsia="Arial" w:hAnsi="Arial"/>
          <w:sz w:val="18"/>
          <w:szCs w:val="18"/>
          <w:u w:val="single" w:color="auto"/>
          <w:color w:val="auto"/>
        </w:rPr>
        <w:t>New Issuance Price</w:t>
      </w:r>
      <w:r>
        <w:rPr>
          <w:rFonts w:ascii="Arial" w:cs="Arial" w:eastAsia="Arial" w:hAnsi="Arial"/>
          <w:sz w:val="18"/>
          <w:szCs w:val="18"/>
          <w:color w:val="auto"/>
        </w:rPr>
        <w:t>”) less than a price equal to $[___]</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(as adjusted in proportion with any adjustments made from time to time to the Exercise Price pursuant to this Section 3, the “</w:t>
      </w:r>
      <w:r>
        <w:rPr>
          <w:rFonts w:ascii="Arial" w:cs="Arial" w:eastAsia="Arial" w:hAnsi="Arial"/>
          <w:sz w:val="18"/>
          <w:szCs w:val="18"/>
          <w:u w:val="single" w:color="auto"/>
          <w:color w:val="auto"/>
        </w:rPr>
        <w:t>Applicable Price</w:t>
      </w:r>
      <w:r>
        <w:rPr>
          <w:rFonts w:ascii="Arial" w:cs="Arial" w:eastAsia="Arial" w:hAnsi="Arial"/>
          <w:sz w:val="18"/>
          <w:szCs w:val="18"/>
          <w:color w:val="auto"/>
        </w:rPr>
        <w:t>”) (the foregoing a “</w:t>
      </w:r>
      <w:r>
        <w:rPr>
          <w:rFonts w:ascii="Arial" w:cs="Arial" w:eastAsia="Arial" w:hAnsi="Arial"/>
          <w:sz w:val="18"/>
          <w:szCs w:val="18"/>
          <w:u w:val="single" w:color="auto"/>
          <w:color w:val="auto"/>
        </w:rPr>
        <w:t>Dilutive Issuance</w:t>
      </w:r>
      <w:r>
        <w:rPr>
          <w:rFonts w:ascii="Arial" w:cs="Arial" w:eastAsia="Arial" w:hAnsi="Arial"/>
          <w:sz w:val="18"/>
          <w:szCs w:val="18"/>
          <w:color w:val="auto"/>
        </w:rPr>
        <w:t xml:space="preserve">”), then immediately upon such Dilutive Issuance, the Exercise Price then in effect shall be reduced to an amount determined by dividing [(A) </w:t>
      </w:r>
      <w:r>
        <w:rPr>
          <w:rFonts w:ascii="Arial" w:cs="Arial" w:eastAsia="Arial" w:hAnsi="Arial"/>
          <w:sz w:val="18"/>
          <w:szCs w:val="18"/>
          <w:i w:val="1"/>
          <w:iCs w:val="1"/>
          <w:color w:val="auto"/>
        </w:rPr>
        <w:t>x</w:t>
      </w:r>
      <w:r>
        <w:rPr>
          <w:rFonts w:ascii="Arial" w:cs="Arial" w:eastAsia="Arial" w:hAnsi="Arial"/>
          <w:sz w:val="18"/>
          <w:szCs w:val="18"/>
          <w:color w:val="auto"/>
        </w:rPr>
        <w:t xml:space="preserve"> (X) + (B) </w:t>
      </w:r>
      <w:r>
        <w:rPr>
          <w:rFonts w:ascii="Arial" w:cs="Arial" w:eastAsia="Arial" w:hAnsi="Arial"/>
          <w:sz w:val="18"/>
          <w:szCs w:val="18"/>
          <w:i w:val="1"/>
          <w:iCs w:val="1"/>
          <w:color w:val="auto"/>
        </w:rPr>
        <w:t>x</w:t>
      </w:r>
      <w:r>
        <w:rPr>
          <w:rFonts w:ascii="Arial" w:cs="Arial" w:eastAsia="Arial" w:hAnsi="Arial"/>
          <w:sz w:val="18"/>
          <w:szCs w:val="18"/>
          <w:color w:val="auto"/>
        </w:rPr>
        <w:t xml:space="preserve"> (Y)] by [(A) + (B)] where:</w:t>
      </w:r>
    </w:p>
    <w:p>
      <w:pPr>
        <w:spacing w:after="0" w:line="205" w:lineRule="exact"/>
        <w:rPr>
          <w:sz w:val="20"/>
          <w:szCs w:val="20"/>
          <w:color w:val="auto"/>
        </w:rPr>
      </w:pPr>
    </w:p>
    <w:p>
      <w:pPr>
        <w:jc w:val="both"/>
        <w:ind w:left="1300" w:firstLine="5"/>
        <w:spacing w:after="0" w:line="264" w:lineRule="auto"/>
        <w:tabs>
          <w:tab w:leader="none" w:pos="161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the number of Ordinary Shares outstanding immediately prior to such Dilutive Issuance (giving effect to the aggregate number of Ordinary Shares issuable pursuant to this Warrant and any other substantially identical warrants originally issued on the Issuance Date, assuming the exercise thereof were by means of a cash exercise rather than a cashless exercise);</w:t>
      </w:r>
    </w:p>
    <w:p>
      <w:pPr>
        <w:spacing w:after="0" w:line="181" w:lineRule="exact"/>
        <w:rPr>
          <w:rFonts w:ascii="Arial" w:cs="Arial" w:eastAsia="Arial" w:hAnsi="Arial"/>
          <w:sz w:val="18"/>
          <w:szCs w:val="18"/>
          <w:color w:val="auto"/>
        </w:rPr>
      </w:pPr>
    </w:p>
    <w:p>
      <w:pPr>
        <w:ind w:left="1580" w:hanging="275"/>
        <w:spacing w:after="0"/>
        <w:tabs>
          <w:tab w:leader="none" w:pos="15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the number of Ordinary Shares issued or sold or deemed issued or sold in such Dilutive Issuance;</w:t>
      </w:r>
    </w:p>
    <w:p>
      <w:pPr>
        <w:spacing w:after="0" w:line="225" w:lineRule="exact"/>
        <w:rPr>
          <w:sz w:val="20"/>
          <w:szCs w:val="20"/>
          <w:color w:val="auto"/>
        </w:rPr>
      </w:pPr>
    </w:p>
    <w:p>
      <w:pPr>
        <w:ind w:left="1600" w:hanging="295"/>
        <w:spacing w:after="0"/>
        <w:tabs>
          <w:tab w:leader="none" w:pos="16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the Exercise Price in effect immediately prior to such issuance or sale or deemed issuance or sale; and</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the New Issuance Price.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all purposes of the foregoing (including, without limitation, determining the adjusted Exercise Price and the New Issuance Price under this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3(b)), the following shall be applicable:</w:t>
      </w:r>
    </w:p>
    <w:p>
      <w:pPr>
        <w:spacing w:after="0" w:line="211" w:lineRule="exact"/>
        <w:rPr>
          <w:sz w:val="20"/>
          <w:szCs w:val="20"/>
          <w:color w:val="auto"/>
        </w:rPr>
      </w:pPr>
    </w:p>
    <w:p>
      <w:pPr>
        <w:jc w:val="both"/>
        <w:ind w:left="2600" w:hanging="639"/>
        <w:spacing w:after="0" w:line="286" w:lineRule="auto"/>
        <w:tabs>
          <w:tab w:leader="none" w:pos="258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6"/>
          <w:szCs w:val="16"/>
          <w:u w:val="single" w:color="auto"/>
          <w:color w:val="auto"/>
        </w:rPr>
        <w:t>Issuance of Options</w:t>
      </w:r>
      <w:r>
        <w:rPr>
          <w:rFonts w:ascii="Arial" w:cs="Arial" w:eastAsia="Arial" w:hAnsi="Arial"/>
          <w:sz w:val="16"/>
          <w:szCs w:val="16"/>
          <w:color w:val="auto"/>
        </w:rPr>
        <w:t>. If the Company in any manner grants or sells any rights, warrants or options to subscribe for or purchase Ordinary Shares or Ordinary Share Equivalents (“</w:t>
      </w:r>
      <w:r>
        <w:rPr>
          <w:rFonts w:ascii="Arial" w:cs="Arial" w:eastAsia="Arial" w:hAnsi="Arial"/>
          <w:sz w:val="16"/>
          <w:szCs w:val="16"/>
          <w:u w:val="single" w:color="auto"/>
          <w:color w:val="auto"/>
        </w:rPr>
        <w:t>Options</w:t>
      </w:r>
      <w:r>
        <w:rPr>
          <w:rFonts w:ascii="Arial" w:cs="Arial" w:eastAsia="Arial" w:hAnsi="Arial"/>
          <w:sz w:val="16"/>
          <w:szCs w:val="16"/>
          <w:color w:val="auto"/>
        </w:rPr>
        <w:t>”) and the weighted average price per share for which one Ordinary Share is, as of the time of such grant or sale, at any time issuable upon the exercise of the Options so granted or sold or upon conversion, exercise or exchange of any Ordinary Share Equivalents issuable upon exercise of such Options or otherwise pursuant to the terms thereof is less than the Applicable Price, then the Ordinary Shares underlying such Options shall be deemed to have been issued and sold for purposes of the adjustment under this Section 3(b) at the time of the granting or sale of such Options for such price per share. For purposes of this Section 3(b) (i), the “weighted average price per share for which one Ordinary Share is issuable upon the exercise of any such Options or upon conversion, exercise or exchange of any Ordinary Share Equivalents issuable upon exercise of any such Options or otherwise pursuant to the terms thereof” shall be equal to the arithmetic average of the sums of the amounts of consideration (if any) received or receivable by the Company with respect to each Ordinary Share issuable upon the granting or sale of the relevant Options, upon exercise of such Options and upon conversion, exercise or exchange of any Ordinary Share Equivalents issuable upon exercise of such Options or otherwise pursuant to the terms thereof. Except as contemplated below, no further adjustment of the Exercise Price shall be made upon the actual issuance of such Ordinary Shares or of such Ordinary Share Equivalents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08902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 xml:space="preserve"> To be the IPO price per unit.</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7" w:name="page228"/>
    <w:bookmarkEnd w:id="227"/>
    <w:p>
      <w:pPr>
        <w:ind w:left="1400"/>
        <w:spacing w:after="0" w:line="277" w:lineRule="auto"/>
        <w:rPr>
          <w:sz w:val="20"/>
          <w:szCs w:val="20"/>
          <w:color w:val="auto"/>
        </w:rPr>
      </w:pPr>
      <w:r>
        <w:rPr>
          <w:rFonts w:ascii="Arial" w:cs="Arial" w:eastAsia="Arial" w:hAnsi="Arial"/>
          <w:sz w:val="18"/>
          <w:szCs w:val="18"/>
          <w:color w:val="auto"/>
        </w:rPr>
        <w:t>the exercise of such Options or otherwise pursuant to the terms of or upon the actual issuance of such Ordinary Shares upon conversion, exercise or exchange of such Ordinary Share Equivalents.</w:t>
      </w:r>
    </w:p>
    <w:p>
      <w:pPr>
        <w:spacing w:after="0" w:line="170" w:lineRule="exact"/>
        <w:rPr>
          <w:sz w:val="20"/>
          <w:szCs w:val="20"/>
          <w:color w:val="auto"/>
        </w:rPr>
      </w:pPr>
    </w:p>
    <w:p>
      <w:pPr>
        <w:jc w:val="both"/>
        <w:ind w:left="1400" w:hanging="647"/>
        <w:spacing w:after="0" w:line="285" w:lineRule="auto"/>
        <w:tabs>
          <w:tab w:leader="none" w:pos="1400"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Issuance of Ordinary Share Equivalents</w:t>
      </w:r>
      <w:r>
        <w:rPr>
          <w:rFonts w:ascii="Arial" w:cs="Arial" w:eastAsia="Arial" w:hAnsi="Arial"/>
          <w:sz w:val="16"/>
          <w:szCs w:val="16"/>
          <w:color w:val="auto"/>
        </w:rPr>
        <w:t xml:space="preserve">. If the Company in any manner issues or sells any Ordinary Share Equivalents and the weighted average price per share for which one Ordinary Share is, as of the time of such issuance or sale, at any time issuable upon the conversion, exercise or exchange thereof or otherwise pursuant to the terms thereof is less than the Applicable Price, then the Ordinary Shares underlying such Ordinary Share Equivalents shall be deemed to have been issued and sold for purposes of the adjustment under this Section 3(b) at the time of the issuance or sale of such Ordinary Share Equivalents for such price per share. For the purposes of this Section 3(b)(ii), the “weighted average price per share for which one Ordinary Share is issuable upon the conversion, exercise or exchange thereof or otherwise pursuant to the terms thereof” shall be equal to (1) the arithmetic average of the sums of the amounts of consideration (if any) received or receivable by the Company with respect to each Ordinary Share underlying the relevant Ordinary Share Equivalents upon the issuance or sale of such Ordinary Share Equivalents and upon conversion, exercise or exchange of such Ordinary Share Equivalents or otherwise pursuant to the terms thereof </w:t>
      </w:r>
      <w:r>
        <w:rPr>
          <w:rFonts w:ascii="Arial" w:cs="Arial" w:eastAsia="Arial" w:hAnsi="Arial"/>
          <w:sz w:val="16"/>
          <w:szCs w:val="16"/>
          <w:i w:val="1"/>
          <w:iCs w:val="1"/>
          <w:color w:val="auto"/>
        </w:rPr>
        <w:t>minus</w:t>
      </w:r>
      <w:r>
        <w:rPr>
          <w:rFonts w:ascii="Arial" w:cs="Arial" w:eastAsia="Arial" w:hAnsi="Arial"/>
          <w:sz w:val="16"/>
          <w:szCs w:val="16"/>
          <w:color w:val="auto"/>
        </w:rPr>
        <w:t xml:space="preserve"> (2) the arithmetic average of the sums (determined on a per share basis with respect to the Ordinary Shares underlying each such Ordinary Share Equivalent) of (I) all amounts paid or payable to the holder(s) of each such Ordinary Share Equivalent (or any other Person) upon the issuance or sale of each such Ordinary Share Equivalent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value of any other consideration received or receivable by, or benefit conferred on, the holder(s) of each such Ordinary Share Equivalent (or any other Person). Except as contemplated below, no further adjustment of the Exercise Price shall be made upon the actual issuance of such Ordinary Shares upon conversion, exercise or exchange of such Ordinary Share Equivalents or otherwise pursuant to the terms thereof, and if any such issuance or sale of such Ordinary Share Equivalents is made upon exercise of any Options for which adjustment of the Warrant has been or is to be made pursuant to other provisions of this Section 3(b), except as contemplated below, no further adjustment of the Exercise Price shall be made by reason of such issuance or sale.</w:t>
      </w:r>
    </w:p>
    <w:p>
      <w:pPr>
        <w:spacing w:after="0" w:line="168" w:lineRule="exact"/>
        <w:rPr>
          <w:rFonts w:ascii="Arial" w:cs="Arial" w:eastAsia="Arial" w:hAnsi="Arial"/>
          <w:sz w:val="16"/>
          <w:szCs w:val="16"/>
          <w:color w:val="auto"/>
        </w:rPr>
      </w:pPr>
    </w:p>
    <w:p>
      <w:pPr>
        <w:jc w:val="both"/>
        <w:ind w:left="1400" w:hanging="647"/>
        <w:spacing w:after="0" w:line="269" w:lineRule="auto"/>
        <w:tabs>
          <w:tab w:leader="none" w:pos="1400"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Change in Option Price or Rate of Conversion</w:t>
      </w:r>
      <w:r>
        <w:rPr>
          <w:rFonts w:ascii="Arial" w:cs="Arial" w:eastAsia="Arial" w:hAnsi="Arial"/>
          <w:sz w:val="17"/>
          <w:szCs w:val="17"/>
          <w:color w:val="auto"/>
        </w:rPr>
        <w:t>. If the purchase or exercise price provided for in any Options, the additional consideration, if any, payable upon the issue, conversion, exercise or exchange of any Ordinary Share Equivalents, or the rate at which any Ordinary Share Equivalents are convertible into or exercisable or exchangeable for Ordinary Shares increases or decreases at any time (other than proportional changes in conversion or exercise prices, as applicable, in connection with an event referred to in Section 3(a)), the Exercise Price in effect at the time of such increase or decrease shall be adjusted as provided in this Section 3(b) as if such Options or Ordinary Share Equivalents were a new issuance and sale as of the time of such increase or decrease. For purposes of this Section 3(b)(iii), if the terms of any Option or Ordinary Share Equivalent that was outstanding as of the Issuance Date are increased or decreased in the manner described in the immediately preceding sentence, then such Option or Ordinary Share Equivalents and the Ordinary Shares deemed issuable upon exercise, conversion or exchange thereof shall be deemed to have been issued as of the date of such increase or decrease. No adjustment pursuant to this Section 3(b) shall be made if such adjustment would result in an increase of the Exercise Price then in effect.</w:t>
      </w:r>
    </w:p>
    <w:p>
      <w:pPr>
        <w:spacing w:after="0" w:line="28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85" w:right="239" w:bottom="1440" w:gutter="0" w:footer="0" w:header="0"/>
        </w:sectPr>
      </w:pPr>
    </w:p>
    <w:bookmarkStart w:id="228" w:name="page229"/>
    <w:bookmarkEnd w:id="228"/>
    <w:p>
      <w:pPr>
        <w:jc w:val="both"/>
        <w:ind w:left="1400" w:hanging="647"/>
        <w:spacing w:after="0" w:line="284" w:lineRule="auto"/>
        <w:tabs>
          <w:tab w:leader="none" w:pos="1400" w:val="left"/>
        </w:tabs>
        <w:numPr>
          <w:ilvl w:val="1"/>
          <w:numId w:val="158"/>
        </w:numPr>
        <w:rPr>
          <w:rFonts w:ascii="Arial" w:cs="Arial" w:eastAsia="Arial" w:hAnsi="Arial"/>
          <w:sz w:val="16"/>
          <w:szCs w:val="16"/>
          <w:color w:val="auto"/>
        </w:rPr>
      </w:pPr>
      <w:r>
        <w:rPr>
          <w:rFonts w:ascii="Arial" w:cs="Arial" w:eastAsia="Arial" w:hAnsi="Arial"/>
          <w:sz w:val="16"/>
          <w:szCs w:val="16"/>
          <w:u w:val="single" w:color="auto"/>
          <w:color w:val="auto"/>
        </w:rPr>
        <w:t>Calculation of Consideration Received</w:t>
      </w:r>
      <w:r>
        <w:rPr>
          <w:rFonts w:ascii="Arial" w:cs="Arial" w:eastAsia="Arial" w:hAnsi="Arial"/>
          <w:sz w:val="16"/>
          <w:szCs w:val="16"/>
          <w:color w:val="auto"/>
        </w:rPr>
        <w:t>. If any Option and/or Ordinary Share Equivalent and/or Adjustment Right (each, a “</w:t>
      </w:r>
      <w:r>
        <w:rPr>
          <w:rFonts w:ascii="Arial" w:cs="Arial" w:eastAsia="Arial" w:hAnsi="Arial"/>
          <w:sz w:val="16"/>
          <w:szCs w:val="16"/>
          <w:u w:val="single" w:color="auto"/>
          <w:color w:val="auto"/>
        </w:rPr>
        <w:t>Component Security</w:t>
      </w:r>
      <w:r>
        <w:rPr>
          <w:rFonts w:ascii="Arial" w:cs="Arial" w:eastAsia="Arial" w:hAnsi="Arial"/>
          <w:sz w:val="16"/>
          <w:szCs w:val="16"/>
          <w:color w:val="auto"/>
        </w:rPr>
        <w:t>”) is issued in connection with the issuance or sale or deemed issuance or sale of any other securities of the Company (“</w:t>
      </w:r>
      <w:r>
        <w:rPr>
          <w:rFonts w:ascii="Arial" w:cs="Arial" w:eastAsia="Arial" w:hAnsi="Arial"/>
          <w:sz w:val="16"/>
          <w:szCs w:val="16"/>
          <w:u w:val="single" w:color="auto"/>
          <w:color w:val="auto"/>
        </w:rPr>
        <w:t>Units</w:t>
      </w:r>
      <w:r>
        <w:rPr>
          <w:rFonts w:ascii="Arial" w:cs="Arial" w:eastAsia="Arial" w:hAnsi="Arial"/>
          <w:sz w:val="16"/>
          <w:szCs w:val="16"/>
          <w:color w:val="auto"/>
        </w:rPr>
        <w:t>”), together comprising one integrated transaction, the Exercise Price in effect at the time of such issuance or sale or deemed issuance or sale shall be adjusted in accordance with the formula in the first paragraph of this Section 3(b) based on clauses (b)(i) and (b)(ii) above, as applicable, based on the Company’s allocation of the purchase price among the different Component Securities included in the Units issued or sold or deemed to be issued or sold in such transaction. If any Ordinary Shares, Options or Ordinary Share Equivalents are issued or sold or deemed to have been issued or sold for cash, the consideration received therefor will be deemed to be the net amount of consideration received by the Company therefor. If any Ordinary Shares, Options or Ordinary Share Equivalents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Ordinary Shares, Options or Ordinary Share Equivalents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Ordinary Shares, Options or Ordinary Share Equivalents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Arial" w:cs="Arial" w:eastAsia="Arial" w:hAnsi="Arial"/>
          <w:sz w:val="16"/>
          <w:szCs w:val="16"/>
          <w:u w:val="single" w:color="auto"/>
          <w:color w:val="auto"/>
        </w:rPr>
        <w:t>Valuation Event</w:t>
      </w:r>
      <w:r>
        <w:rPr>
          <w:rFonts w:ascii="Arial" w:cs="Arial" w:eastAsia="Arial" w:hAnsi="Arial"/>
          <w:sz w:val="16"/>
          <w:szCs w:val="16"/>
          <w:color w:val="auto"/>
        </w:rPr>
        <w:t>”), the fair value of such consideration will be determined within five (5) Trading Days after the tenth (10th) day following such Valuation Event by an independent, reputable appraiser jointly selected by the Company and the Holder. The determination of such appraiser shall be final and binding upon all parties absent manifest error and the reasonable fees and expenses of such appraiser shall be borne by the Company.</w:t>
      </w:r>
    </w:p>
    <w:p>
      <w:pPr>
        <w:spacing w:after="0" w:line="396" w:lineRule="exact"/>
        <w:rPr>
          <w:rFonts w:ascii="Arial" w:cs="Arial" w:eastAsia="Arial" w:hAnsi="Arial"/>
          <w:sz w:val="16"/>
          <w:szCs w:val="16"/>
          <w:color w:val="auto"/>
        </w:rPr>
      </w:pPr>
    </w:p>
    <w:p>
      <w:pPr>
        <w:jc w:val="both"/>
        <w:ind w:left="1400" w:hanging="647"/>
        <w:spacing w:after="0" w:line="255" w:lineRule="auto"/>
        <w:tabs>
          <w:tab w:leader="none" w:pos="1400"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Record Date</w:t>
      </w:r>
      <w:r>
        <w:rPr>
          <w:rFonts w:ascii="Arial" w:cs="Arial" w:eastAsia="Arial" w:hAnsi="Arial"/>
          <w:sz w:val="18"/>
          <w:szCs w:val="18"/>
          <w:color w:val="auto"/>
        </w:rPr>
        <w:t>. If the Company takes a record of the holders of Ordinary Shares for the purpose of entitling them (A) to receive a dividend or other distribution payable in Ordinary Shares, Options or in Ordinary Share Equivalents or (B) to subscribe for or purchase Ordinary Shares, Options or Ordinary Share Equivalents, then such record date will be deemed to be the date of the issuance or sale of the Ordinary Shares deemed to have been issued or sold upon the declaration of such dividend or the making of such other distribution or the date of the granting of such right of subscription or purchase (as the case may be).</w:t>
      </w:r>
    </w:p>
    <w:p>
      <w:pPr>
        <w:spacing w:after="0" w:line="193" w:lineRule="exact"/>
        <w:rPr>
          <w:rFonts w:ascii="Arial" w:cs="Arial" w:eastAsia="Arial" w:hAnsi="Arial"/>
          <w:sz w:val="18"/>
          <w:szCs w:val="18"/>
          <w:color w:val="auto"/>
        </w:rPr>
      </w:pPr>
    </w:p>
    <w:p>
      <w:pPr>
        <w:jc w:val="both"/>
        <w:ind w:left="-540" w:firstLine="645"/>
        <w:spacing w:after="0" w:line="290" w:lineRule="auto"/>
        <w:tabs>
          <w:tab w:leader="none" w:pos="1184"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Subsequent Rights Offerings</w:t>
      </w:r>
      <w:r>
        <w:rPr>
          <w:rFonts w:ascii="Arial" w:cs="Arial" w:eastAsia="Arial" w:hAnsi="Arial"/>
          <w:sz w:val="16"/>
          <w:szCs w:val="16"/>
          <w:color w:val="auto"/>
        </w:rPr>
        <w:t>. In addition to any adjustments pursuant to Section 3(a) above, if at any time during which this Warrant is outstanding the Company grants, issues or sells any Ordinary Share Equivalents or rights to purchase stock, warrants, securities or other property pro rata to the record holders of any class of Ordinary Shares (the “</w:t>
      </w:r>
      <w:r>
        <w:rPr>
          <w:rFonts w:ascii="Arial" w:cs="Arial" w:eastAsia="Arial" w:hAnsi="Arial"/>
          <w:sz w:val="16"/>
          <w:szCs w:val="16"/>
          <w:u w:val="single" w:color="auto"/>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Ordinary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Ordinary Shares are to be determined for the grant, issue or sale of such Purchase Rights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to the extent that the Holder’s right to participate in any such Purchase Right would</w:t>
      </w:r>
    </w:p>
    <w:p>
      <w:pPr>
        <w:spacing w:after="0" w:line="27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85" w:right="239" w:bottom="1440" w:gutter="0" w:footer="0" w:header="0"/>
        </w:sectPr>
      </w:pPr>
    </w:p>
    <w:bookmarkStart w:id="229" w:name="page230"/>
    <w:bookmarkEnd w:id="229"/>
    <w:p>
      <w:pPr>
        <w:jc w:val="both"/>
        <w:spacing w:after="0" w:line="302" w:lineRule="auto"/>
        <w:rPr>
          <w:sz w:val="20"/>
          <w:szCs w:val="20"/>
          <w:color w:val="auto"/>
        </w:rPr>
      </w:pPr>
      <w:r>
        <w:rPr>
          <w:rFonts w:ascii="Arial" w:cs="Arial" w:eastAsia="Arial" w:hAnsi="Arial"/>
          <w:sz w:val="16"/>
          <w:szCs w:val="16"/>
          <w:color w:val="auto"/>
        </w:rPr>
        <w:t>result in the Holder exceeding the Beneficial Ownership Limitation, then the Holder shall not be entitled to participate in such Purchase Right to such extent (or beneficial ownership of such Ordinary Shares as a result of such Purchase Right to such extent) and such Purchase Right to such extent shall be held in abeyance for the Holder until the earlier of (i) such time, if ever, as the delivery to such Holder of such Purchase Right to such extent would not result in the Holder exceeding the Beneficial Ownership Limitation and (ii) such time as the Holder has exercised this Warrant).</w:t>
      </w:r>
    </w:p>
    <w:p>
      <w:pPr>
        <w:spacing w:after="0" w:line="154" w:lineRule="exact"/>
        <w:rPr>
          <w:sz w:val="20"/>
          <w:szCs w:val="20"/>
          <w:color w:val="auto"/>
        </w:rPr>
      </w:pPr>
    </w:p>
    <w:p>
      <w:pPr>
        <w:jc w:val="both"/>
        <w:ind w:firstLine="645"/>
        <w:spacing w:after="0" w:line="286" w:lineRule="auto"/>
        <w:tabs>
          <w:tab w:leader="none" w:pos="1653"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Pro Rata Distributions</w:t>
      </w:r>
      <w:r>
        <w:rPr>
          <w:rFonts w:ascii="Arial" w:cs="Arial" w:eastAsia="Arial" w:hAnsi="Arial"/>
          <w:sz w:val="16"/>
          <w:szCs w:val="16"/>
          <w:color w:val="auto"/>
        </w:rPr>
        <w:t>. During such time as this Warrant is outstanding, if the Company shall declare or make any dividend or other distribution of its assets (or rights to acquire its assets) to holders of Ordinary Shares, by way of return of capital or otherwise (including, without limitation, any distribution of cash, stock or other securities, property or options by way of a dividend, spin-off, corporate rearrangement, scheme of arrangement or other similar transaction, other than (x) a reclassification as to which Section 3(e) applies or (y) any issuance, deemed issuance or automatic conversion of securities in the IPO Transactions or the 2018 Plan) (a “</w:t>
      </w:r>
      <w:r>
        <w:rPr>
          <w:rFonts w:ascii="Arial" w:cs="Arial" w:eastAsia="Arial" w:hAnsi="Arial"/>
          <w:sz w:val="16"/>
          <w:szCs w:val="16"/>
          <w:u w:val="single" w:color="auto"/>
          <w:color w:val="auto"/>
        </w:rPr>
        <w:t>Distribution</w:t>
      </w:r>
      <w:r>
        <w:rPr>
          <w:rFonts w:ascii="Arial" w:cs="Arial" w:eastAsia="Arial" w:hAnsi="Arial"/>
          <w:sz w:val="16"/>
          <w:szCs w:val="16"/>
          <w:color w:val="auto"/>
        </w:rPr>
        <w:t>”), at any time after the issuance of this Warrant, then, in each such case, the Holder shall be entitled to participate in such Distribution to the same extent that the Holder would have participated therein if the Holder had held the number of Ordinary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Ordinary Shares are to be determined for the participation in such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Ordinary Shares as a result of such Distribution to such extent) and the portion of such Distribution shall be held in abeyance for the benefit of the Holder until the earlier of (i) such time, if ever, as the delivery to such Holder of such portion would not result in the Holder exceeding the Beneficial Ownership Limitation and (ii) such time as the Holder has exercised this Warrant.</w:t>
      </w:r>
    </w:p>
    <w:p>
      <w:pPr>
        <w:spacing w:after="0" w:line="171" w:lineRule="exact"/>
        <w:rPr>
          <w:rFonts w:ascii="Arial" w:cs="Arial" w:eastAsia="Arial" w:hAnsi="Arial"/>
          <w:sz w:val="16"/>
          <w:szCs w:val="16"/>
          <w:color w:val="auto"/>
        </w:rPr>
      </w:pPr>
    </w:p>
    <w:p>
      <w:pPr>
        <w:jc w:val="both"/>
        <w:ind w:firstLine="645"/>
        <w:spacing w:after="0" w:line="284" w:lineRule="auto"/>
        <w:tabs>
          <w:tab w:leader="none" w:pos="1751"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assignment, transfer, conveyance or other disposition of all or substantially all of its assets in one or a series of related transactions (other than, for the avoidance of doubt, pursuant to a licensing arrangement so long as, after giving effect to such arrangement, the Ordinary Shares are listed or quoted on a Trading Market),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50% or more of the outstanding Ordinary Shares,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Ordinary Shares (not including any Ordinary Shares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capital stock of the successor or acquiring corporation or Ordinary Shares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Fundamental Transaction by a holder of the number of Ordinary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w:t>
      </w:r>
    </w:p>
    <w:p>
      <w:pPr>
        <w:spacing w:after="0" w:line="29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584" w:right="239" w:bottom="1440" w:gutter="0" w:footer="0" w:header="0"/>
        </w:sectPr>
      </w:pPr>
    </w:p>
    <w:bookmarkStart w:id="230" w:name="page231"/>
    <w:bookmarkEnd w:id="230"/>
    <w:p>
      <w:pPr>
        <w:jc w:val="both"/>
        <w:spacing w:after="0" w:line="283" w:lineRule="auto"/>
        <w:rPr>
          <w:sz w:val="20"/>
          <w:szCs w:val="20"/>
          <w:color w:val="auto"/>
        </w:rPr>
      </w:pPr>
      <w:r>
        <w:rPr>
          <w:rFonts w:ascii="Arial" w:cs="Arial" w:eastAsia="Arial" w:hAnsi="Arial"/>
          <w:sz w:val="16"/>
          <w:szCs w:val="16"/>
          <w:color w:val="auto"/>
        </w:rPr>
        <w:t xml:space="preserve">Consideration issuable in respect of one Ordinary Share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(other than (x) a Fundamental Transaction that is not within the Company’s control, including not approved by the Company’s Board of Directors, or (y) a Specified Fundamental Transaction, in each case, as to which this right shall not apply), purchase this Warrant from the Holder by paying to the Holder an amount of cash equal to the Black Scholes Value of the remaining unexercised portion of this Warrant on the date of the consummation of such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Fundamental Transaction is not within the Company’s control, including not approved by the Company’s Board of Directors, the Holder shall be entitled to receive from the Company or any Successor Entity, upon exercise at any time concurrently with, or within 30 days after, the date of consummation of such Fundamental Transaction, the same type or form of consideration (and in the same proportion), at the Black Scholes Value (as defined below) of the unexercised portion of this Warrant, that is being offered and paid to the holders of Ordinary Shares in connection with the Fundamental Transaction, whether that consideration be in the form of cash, stock or any combination thereof, or whether the holders of Ordinary Shares are given the choice to receive from among alternative forms of consideration in connection with the Fundamental Transaction. “</w:t>
      </w:r>
      <w:r>
        <w:rPr>
          <w:rFonts w:ascii="Arial" w:cs="Arial" w:eastAsia="Arial" w:hAnsi="Arial"/>
          <w:sz w:val="16"/>
          <w:szCs w:val="16"/>
          <w:u w:val="single" w:color="auto"/>
          <w:color w:val="auto"/>
        </w:rPr>
        <w:t>Black Scholes Value</w:t>
      </w:r>
      <w:r>
        <w:rPr>
          <w:rFonts w:ascii="Arial" w:cs="Arial" w:eastAsia="Arial" w:hAnsi="Arial"/>
          <w:sz w:val="16"/>
          <w:szCs w:val="16"/>
          <w:color w:val="auto"/>
        </w:rPr>
        <w:t>” means the value of this Warrant based on the Black and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100 day volatility obtained from the HVT function on Bloomberg as of the Trading Day immediately following the public announcement of the applicable Fundamental Transaction, (C) an underlying price per share equal to the sum of the price per share being offered in cash, if any, plus the value of any non-cash consideration, if any, being offered in such Fundamental Transaction and (D) a remaining option time equal to the time between the date of the public announcement of the applicable Fundamental Transaction and the Termination Date. The payment of any Black Scholes Value payable in cash pursuant to the second immediately preceding sentence will be made by wire transfer of immediately available funds within five Business Days of the Holder’s election (or, if later, on the effective date of the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in accordance with the provisions of this Section 3(e) pursuant to written agreements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200" w:lineRule="exact"/>
        <w:rPr>
          <w:sz w:val="20"/>
          <w:szCs w:val="20"/>
          <w:color w:val="auto"/>
        </w:rPr>
      </w:pPr>
    </w:p>
    <w:p>
      <w:pPr>
        <w:spacing w:after="0" w:line="30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585" w:right="239" w:bottom="1440" w:gutter="0" w:footer="0" w:header="0"/>
        </w:sectPr>
      </w:pPr>
    </w:p>
    <w:bookmarkStart w:id="231" w:name="page232"/>
    <w:bookmarkEnd w:id="231"/>
    <w:p>
      <w:pPr>
        <w:jc w:val="both"/>
        <w:ind w:left="660" w:firstLine="645"/>
        <w:spacing w:after="0" w:line="259" w:lineRule="auto"/>
        <w:tabs>
          <w:tab w:leader="none" w:pos="2504"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The Company shall make all calculations under this Section 3 to the nearest cent or the nearest 1/100th of a share, as the case may be. For purposes of this Section 3, except as otherwise expressly set forth herein, the number of Ordinary Shares deemed to be issued and outstanding as of a given date shall be the sum of the number of Ordinary Shares (excluding treasury shares, if any) issued and outstanding.</w:t>
      </w:r>
    </w:p>
    <w:p>
      <w:pPr>
        <w:spacing w:after="0" w:line="186" w:lineRule="exact"/>
        <w:rPr>
          <w:rFonts w:ascii="Arial" w:cs="Arial" w:eastAsia="Arial" w:hAnsi="Arial"/>
          <w:sz w:val="18"/>
          <w:szCs w:val="18"/>
          <w:color w:val="auto"/>
        </w:rPr>
      </w:pPr>
    </w:p>
    <w:p>
      <w:pPr>
        <w:ind w:left="2300" w:hanging="995"/>
        <w:spacing w:after="0"/>
        <w:tabs>
          <w:tab w:leader="none" w:pos="230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600" w:hanging="647"/>
        <w:spacing w:after="0" w:line="259" w:lineRule="auto"/>
        <w:tabs>
          <w:tab w:leader="none" w:pos="2600" w:val="left"/>
        </w:tabs>
        <w:numPr>
          <w:ilvl w:val="1"/>
          <w:numId w:val="161"/>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86" w:lineRule="exact"/>
        <w:rPr>
          <w:rFonts w:ascii="Arial" w:cs="Arial" w:eastAsia="Arial" w:hAnsi="Arial"/>
          <w:sz w:val="18"/>
          <w:szCs w:val="18"/>
          <w:color w:val="auto"/>
        </w:rPr>
      </w:pPr>
    </w:p>
    <w:p>
      <w:pPr>
        <w:jc w:val="both"/>
        <w:ind w:left="2600" w:hanging="647"/>
        <w:spacing w:after="0" w:line="284" w:lineRule="auto"/>
        <w:tabs>
          <w:tab w:leader="none" w:pos="2600" w:val="left"/>
        </w:tabs>
        <w:numPr>
          <w:ilvl w:val="1"/>
          <w:numId w:val="161"/>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xml:space="preserve">. If (A) the Company shall declare a dividend (or any other distribution in whatever form) on the Ordinary Shares, (B) the Company shall declare a special nonrecurring cash dividend on or a redemption of the Ordinary Shares, (C) the Company shall authorize the granting to all holders of the Ordinary Shares rights or warrants to subscribe for or purchase any shares of capital stock of any class or of any rights, (D) the approval of any shareholders of the Company shall be required in connection with any reclassification of the Ordinary Shares, any consolidation or merger to which the Company is a party, any sale or transfer of all or substantially all of the assets of the Company, or any compulsory share exchange whereby the Ordinary Shares are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record of the Ordinary Shares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record of the Ordinary Shares shall be entitled to exchange their Ordinary Shares for securities, cash or other property deliverable upon such reclassification, consolidation, merger, sale, transfer or share exchange;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deliver such notice or any defect therein or in the delivery thereof shall not affect the validity of the corporate action required to be specified in such notice. To the extent that any notice required by this Warrant constitutes, or contains, material, non-public information regarding the Company, the Company shall simultaneously file such notice with the Commission pursuant to a Report on Form 6-K. The Holder shall remain entitled to exercise this Warrant during the period commencing on the date of such notice to the effective date of the event triggering such notice except as may otherwise be expressly set forth herein.</w:t>
      </w:r>
    </w:p>
    <w:p>
      <w:pPr>
        <w:spacing w:after="0" w:line="396" w:lineRule="exact"/>
        <w:rPr>
          <w:rFonts w:ascii="Arial" w:cs="Arial" w:eastAsia="Arial" w:hAnsi="Arial"/>
          <w:sz w:val="16"/>
          <w:szCs w:val="16"/>
          <w:color w:val="auto"/>
        </w:rPr>
      </w:pPr>
    </w:p>
    <w:p>
      <w:pPr>
        <w:ind w:left="2560" w:hanging="1255"/>
        <w:spacing w:after="0"/>
        <w:tabs>
          <w:tab w:leader="none" w:pos="2560"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Early Termination upon Satisfaction of Sale Price Condition</w:t>
      </w:r>
      <w:r>
        <w:rPr>
          <w:rFonts w:ascii="Arial" w:cs="Arial" w:eastAsia="Arial" w:hAnsi="Arial"/>
          <w:sz w:val="16"/>
          <w:szCs w:val="16"/>
          <w:color w:val="auto"/>
        </w:rPr>
        <w:t>. The Company may accelerate the Termination Date of this</w:t>
      </w:r>
    </w:p>
    <w:p>
      <w:pPr>
        <w:spacing w:after="0" w:line="46" w:lineRule="exact"/>
        <w:rPr>
          <w:sz w:val="20"/>
          <w:szCs w:val="20"/>
          <w:color w:val="auto"/>
        </w:rPr>
      </w:pPr>
    </w:p>
    <w:p>
      <w:pPr>
        <w:ind w:left="660"/>
        <w:spacing w:after="0" w:line="219" w:lineRule="auto"/>
        <w:rPr>
          <w:sz w:val="20"/>
          <w:szCs w:val="20"/>
          <w:color w:val="auto"/>
        </w:rPr>
      </w:pPr>
      <w:r>
        <w:rPr>
          <w:rFonts w:ascii="Arial" w:cs="Arial" w:eastAsia="Arial" w:hAnsi="Arial"/>
          <w:sz w:val="17"/>
          <w:szCs w:val="17"/>
          <w:color w:val="auto"/>
        </w:rPr>
        <w:t>Warrant upon written notice to the Holder at any time if the Last Reported Sale Price exceeds $[___]</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(as adjusted in proportion with any adjustments made from time to time to the Exercise Price pursuant to Section 3) for a ten (10) consecutive Trading Day period. In the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08902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35" w:lineRule="exact"/>
        <w:rPr>
          <w:sz w:val="20"/>
          <w:szCs w:val="20"/>
          <w:color w:val="auto"/>
        </w:rPr>
      </w:pPr>
    </w:p>
    <w:p>
      <w:pPr>
        <w:ind w:left="120" w:hanging="112"/>
        <w:spacing w:after="0"/>
        <w:tabs>
          <w:tab w:leader="none" w:pos="120" w:val="left"/>
        </w:tabs>
        <w:numPr>
          <w:ilvl w:val="0"/>
          <w:numId w:val="162"/>
        </w:numPr>
        <w:rPr>
          <w:rFonts w:ascii="Arial" w:cs="Arial" w:eastAsia="Arial" w:hAnsi="Arial"/>
          <w:sz w:val="30"/>
          <w:szCs w:val="30"/>
          <w:color w:val="auto"/>
          <w:vertAlign w:val="superscript"/>
        </w:rPr>
      </w:pPr>
      <w:r>
        <w:rPr>
          <w:rFonts w:ascii="Arial" w:cs="Arial" w:eastAsia="Arial" w:hAnsi="Arial"/>
          <w:sz w:val="18"/>
          <w:szCs w:val="18"/>
          <w:color w:val="auto"/>
        </w:rPr>
        <w:t>To be 300% of the IPO price per unit.</w:t>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2" w:name="page233"/>
    <w:bookmarkEnd w:id="232"/>
    <w:p>
      <w:pPr>
        <w:jc w:val="both"/>
        <w:spacing w:after="0" w:line="286" w:lineRule="auto"/>
        <w:rPr>
          <w:sz w:val="20"/>
          <w:szCs w:val="20"/>
          <w:color w:val="auto"/>
        </w:rPr>
      </w:pPr>
      <w:r>
        <w:rPr>
          <w:rFonts w:ascii="Arial" w:cs="Arial" w:eastAsia="Arial" w:hAnsi="Arial"/>
          <w:sz w:val="17"/>
          <w:szCs w:val="17"/>
          <w:color w:val="auto"/>
        </w:rPr>
        <w:t>calendar days following the date the acceleration notice is given in accordance with this Section 3(h) (the “</w:t>
      </w:r>
      <w:r>
        <w:rPr>
          <w:rFonts w:ascii="Arial" w:cs="Arial" w:eastAsia="Arial" w:hAnsi="Arial"/>
          <w:sz w:val="17"/>
          <w:szCs w:val="17"/>
          <w:u w:val="single" w:color="auto"/>
          <w:color w:val="auto"/>
        </w:rPr>
        <w:t>Early Termination Exercise Period</w:t>
      </w:r>
      <w:r>
        <w:rPr>
          <w:rFonts w:ascii="Arial" w:cs="Arial" w:eastAsia="Arial" w:hAnsi="Arial"/>
          <w:sz w:val="17"/>
          <w:szCs w:val="17"/>
          <w:color w:val="auto"/>
        </w:rPr>
        <w:t>”), Holders may exercise this Warrant or a portion of the Warrant in accordance with Section 2(a) and, if applicable, Section 2(c). Any Warrants not exercised by 5:00 p.m., New York City Time, on the last day of the Early Termination Exercise Period shall terminate and expire worthless.</w:t>
      </w:r>
    </w:p>
    <w:p>
      <w:pPr>
        <w:spacing w:after="0" w:line="166"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Transfer of Warrant</w:t>
      </w:r>
      <w:r>
        <w:rPr>
          <w:rFonts w:ascii="Arial" w:cs="Arial" w:eastAsia="Arial" w:hAnsi="Arial"/>
          <w:sz w:val="16"/>
          <w:szCs w:val="16"/>
          <w:color w:val="auto"/>
        </w:rPr>
        <w:t>.</w:t>
      </w:r>
    </w:p>
    <w:p>
      <w:pPr>
        <w:spacing w:after="0" w:line="225" w:lineRule="exact"/>
        <w:rPr>
          <w:sz w:val="20"/>
          <w:szCs w:val="20"/>
          <w:color w:val="auto"/>
        </w:rPr>
      </w:pPr>
    </w:p>
    <w:p>
      <w:pPr>
        <w:jc w:val="both"/>
        <w:ind w:firstLine="645"/>
        <w:spacing w:after="0" w:line="288" w:lineRule="auto"/>
        <w:tabs>
          <w:tab w:leader="none" w:pos="1737"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Business Days of the date the Holder delivers an assignment form to the Company assigning this Warrant full. The Warrant, if properly assigned in accordance herewith, may be exercised by a new holder for the purchase of Warrant Shares without having a new Warrant issued.</w:t>
      </w:r>
    </w:p>
    <w:p>
      <w:pPr>
        <w:spacing w:after="0" w:line="169" w:lineRule="exact"/>
        <w:rPr>
          <w:rFonts w:ascii="Arial" w:cs="Arial" w:eastAsia="Arial" w:hAnsi="Arial"/>
          <w:sz w:val="16"/>
          <w:szCs w:val="16"/>
          <w:color w:val="auto"/>
        </w:rPr>
      </w:pPr>
    </w:p>
    <w:p>
      <w:pPr>
        <w:jc w:val="both"/>
        <w:ind w:firstLine="645"/>
        <w:spacing w:after="0" w:line="273" w:lineRule="auto"/>
        <w:tabs>
          <w:tab w:leader="none" w:pos="1667"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New Warrants</w:t>
      </w:r>
      <w:r>
        <w:rPr>
          <w:rFonts w:ascii="Arial" w:cs="Arial" w:eastAsia="Arial" w:hAnsi="Arial"/>
          <w:sz w:val="17"/>
          <w:szCs w:val="17"/>
          <w:color w:val="auto"/>
        </w:rPr>
        <w:t>. This Warrant may be divided or combined with other Warrants upon presentation hereof at the aforesaid office of the Company or its agent,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78" w:lineRule="exact"/>
        <w:rPr>
          <w:rFonts w:ascii="Arial" w:cs="Arial" w:eastAsia="Arial" w:hAnsi="Arial"/>
          <w:sz w:val="17"/>
          <w:szCs w:val="17"/>
          <w:color w:val="auto"/>
        </w:rPr>
      </w:pPr>
    </w:p>
    <w:p>
      <w:pPr>
        <w:jc w:val="both"/>
        <w:ind w:firstLine="645"/>
        <w:spacing w:after="0" w:line="259" w:lineRule="auto"/>
        <w:tabs>
          <w:tab w:leader="none" w:pos="1683"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Warrant Agent shall register this Warrant, upon records to be maintained by the Warrant Agent for that purpose (the “</w:t>
      </w:r>
      <w:r>
        <w:rPr>
          <w:rFonts w:ascii="Arial" w:cs="Arial" w:eastAsia="Arial" w:hAnsi="Arial"/>
          <w:sz w:val="18"/>
          <w:szCs w:val="18"/>
          <w:u w:val="single" w:color="auto"/>
          <w:color w:val="auto"/>
        </w:rPr>
        <w:t>Warrant Register</w:t>
      </w:r>
      <w:r>
        <w:rPr>
          <w:rFonts w:ascii="Arial" w:cs="Arial" w:eastAsia="Arial" w:hAnsi="Arial"/>
          <w:sz w:val="18"/>
          <w:szCs w:val="18"/>
          <w:color w:val="auto"/>
        </w:rPr>
        <w:t>”), in the name of the record Holder hereof from time to time. The Company and the Warrant Agent may deem and treat the registered Holder of this Warrant as the absolute owner hereof for the purpose of any exercise hereof or any distribution to the Holder, and for all other purposes, absent actual notice to the contrary.</w:t>
      </w:r>
    </w:p>
    <w:p>
      <w:pPr>
        <w:spacing w:after="0" w:line="187"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5" w:lineRule="exact"/>
        <w:rPr>
          <w:sz w:val="20"/>
          <w:szCs w:val="20"/>
          <w:color w:val="auto"/>
        </w:rPr>
      </w:pPr>
    </w:p>
    <w:p>
      <w:pPr>
        <w:ind w:right="20" w:firstLine="645"/>
        <w:spacing w:after="0" w:line="308" w:lineRule="auto"/>
        <w:tabs>
          <w:tab w:leader="none" w:pos="1818"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No Rights as Shareholder Until Exercise</w:t>
      </w:r>
      <w:r>
        <w:rPr>
          <w:rFonts w:ascii="Arial" w:cs="Arial" w:eastAsia="Arial" w:hAnsi="Arial"/>
          <w:sz w:val="17"/>
          <w:szCs w:val="17"/>
          <w:color w:val="auto"/>
        </w:rPr>
        <w:t>. This Warrant does not entitle the Holder to any voting rights, dividends or other rights as a shareholder of the Company until the exercise hereof as set forth in Section 2(d)(i), except as expressly set forth in Section 3.</w:t>
      </w:r>
    </w:p>
    <w:p>
      <w:pPr>
        <w:spacing w:after="0" w:line="146" w:lineRule="exact"/>
        <w:rPr>
          <w:rFonts w:ascii="Arial" w:cs="Arial" w:eastAsia="Arial" w:hAnsi="Arial"/>
          <w:sz w:val="17"/>
          <w:szCs w:val="17"/>
          <w:color w:val="auto"/>
        </w:rPr>
      </w:pPr>
    </w:p>
    <w:p>
      <w:pPr>
        <w:jc w:val="both"/>
        <w:ind w:firstLine="645"/>
        <w:spacing w:after="0" w:line="276" w:lineRule="auto"/>
        <w:tabs>
          <w:tab w:leader="none" w:pos="1802"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Loss, Theft, Destruction or Mutilation of Warrant</w:t>
      </w:r>
      <w:r>
        <w:rPr>
          <w:rFonts w:ascii="Arial" w:cs="Arial" w:eastAsia="Arial" w:hAnsi="Arial"/>
          <w:sz w:val="17"/>
          <w:szCs w:val="17"/>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72" w:lineRule="exact"/>
        <w:rPr>
          <w:rFonts w:ascii="Arial" w:cs="Arial" w:eastAsia="Arial" w:hAnsi="Arial"/>
          <w:sz w:val="17"/>
          <w:szCs w:val="17"/>
          <w:color w:val="auto"/>
        </w:rPr>
      </w:pPr>
    </w:p>
    <w:p>
      <w:pPr>
        <w:jc w:val="both"/>
        <w:ind w:firstLine="645"/>
        <w:spacing w:after="0" w:line="264" w:lineRule="auto"/>
        <w:tabs>
          <w:tab w:leader="none" w:pos="1886"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Saturdays, Sundays, Holidays, etc</w:t>
      </w:r>
      <w:r>
        <w:rPr>
          <w:rFonts w:ascii="Arial" w:cs="Arial" w:eastAsia="Arial" w:hAnsi="Arial"/>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28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584" w:right="239" w:bottom="1440" w:gutter="0" w:footer="0" w:header="0"/>
        </w:sectPr>
      </w:pPr>
    </w:p>
    <w:bookmarkStart w:id="233" w:name="page234"/>
    <w:bookmarkEnd w:id="233"/>
    <w:p>
      <w:pPr>
        <w:ind w:left="1100" w:hanging="995"/>
        <w:spacing w:after="0"/>
        <w:tabs>
          <w:tab w:leader="none" w:pos="110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sz w:val="20"/>
          <w:szCs w:val="20"/>
          <w:color w:val="auto"/>
        </w:rPr>
      </w:pPr>
    </w:p>
    <w:p>
      <w:pPr>
        <w:jc w:val="both"/>
        <w:ind w:left="100" w:firstLine="648"/>
        <w:spacing w:after="0" w:line="288" w:lineRule="auto"/>
        <w:rPr>
          <w:sz w:val="20"/>
          <w:szCs w:val="20"/>
          <w:color w:val="auto"/>
        </w:rPr>
      </w:pPr>
      <w:r>
        <w:rPr>
          <w:rFonts w:ascii="Arial" w:cs="Arial" w:eastAsia="Arial" w:hAnsi="Arial"/>
          <w:sz w:val="16"/>
          <w:szCs w:val="16"/>
          <w:color w:val="auto"/>
        </w:rPr>
        <w:t>The Company covenants that, during the period the Warrant is outstanding, it will reserve from its authorized and unissued Ordinary Shares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Ordinary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69" w:lineRule="exact"/>
        <w:rPr>
          <w:sz w:val="20"/>
          <w:szCs w:val="20"/>
          <w:color w:val="auto"/>
        </w:rPr>
      </w:pPr>
    </w:p>
    <w:p>
      <w:pPr>
        <w:jc w:val="both"/>
        <w:ind w:left="100" w:firstLine="648"/>
        <w:spacing w:after="0" w:line="270" w:lineRule="auto"/>
        <w:rPr>
          <w:sz w:val="20"/>
          <w:szCs w:val="20"/>
          <w:color w:val="auto"/>
        </w:rPr>
      </w:pPr>
      <w:r>
        <w:rPr>
          <w:rFonts w:ascii="Arial" w:cs="Arial" w:eastAsia="Arial" w:hAnsi="Arial"/>
          <w:sz w:val="17"/>
          <w:szCs w:val="17"/>
          <w:color w:val="auto"/>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nominal value of any Warrant Shares above the amount payable therefor upon such exercise immediately prior to such increase in nominal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78" w:lineRule="exact"/>
        <w:rPr>
          <w:sz w:val="20"/>
          <w:szCs w:val="20"/>
          <w:color w:val="auto"/>
        </w:rPr>
      </w:pPr>
    </w:p>
    <w:p>
      <w:pPr>
        <w:jc w:val="both"/>
        <w:ind w:left="100" w:firstLine="648"/>
        <w:spacing w:after="0" w:line="264"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1" w:lineRule="exact"/>
        <w:rPr>
          <w:sz w:val="20"/>
          <w:szCs w:val="20"/>
          <w:color w:val="auto"/>
        </w:rPr>
      </w:pPr>
    </w:p>
    <w:p>
      <w:pPr>
        <w:jc w:val="both"/>
        <w:ind w:left="-540" w:firstLine="645"/>
        <w:spacing w:after="0" w:line="286" w:lineRule="auto"/>
        <w:tabs>
          <w:tab w:leader="none" w:pos="1224"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w:t>
      </w:r>
    </w:p>
    <w:p>
      <w:pPr>
        <w:spacing w:after="0" w:line="28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585" w:right="239" w:bottom="1440" w:gutter="0" w:footer="0" w:header="0"/>
        </w:sectPr>
      </w:pPr>
    </w:p>
    <w:bookmarkStart w:id="234" w:name="page235"/>
    <w:bookmarkEnd w:id="234"/>
    <w:p>
      <w:pPr>
        <w:spacing w:after="0" w:line="274" w:lineRule="auto"/>
        <w:rPr>
          <w:sz w:val="20"/>
          <w:szCs w:val="20"/>
          <w:color w:val="auto"/>
        </w:rPr>
      </w:pPr>
      <w:r>
        <w:rPr>
          <w:rFonts w:ascii="Arial" w:cs="Arial" w:eastAsia="Arial" w:hAnsi="Arial"/>
          <w:sz w:val="17"/>
          <w:szCs w:val="17"/>
          <w:color w:val="auto"/>
        </w:rPr>
        <w:t xml:space="preserve">other party for their reasonable attorneys’ fees and other costs and expenses incurred with the investigation, preparation and prosecution of such action or proceeding. </w:t>
      </w:r>
      <w:r>
        <w:rPr>
          <w:rFonts w:ascii="Arial" w:cs="Arial" w:eastAsia="Arial" w:hAnsi="Arial"/>
          <w:sz w:val="17"/>
          <w:szCs w:val="17"/>
          <w:b w:val="1"/>
          <w:bCs w:val="1"/>
          <w:color w:val="auto"/>
        </w:rPr>
        <w:t>EACH PARTY HEREBY IRREVOCABLY WAIVES ANY RIGHT IT MAY HAVE, AND AGREES NOT TO</w:t>
      </w:r>
    </w:p>
    <w:p>
      <w:pPr>
        <w:ind w:right="20"/>
        <w:spacing w:after="0" w:line="261" w:lineRule="auto"/>
        <w:rPr>
          <w:sz w:val="20"/>
          <w:szCs w:val="20"/>
          <w:color w:val="auto"/>
        </w:rPr>
      </w:pPr>
      <w:r>
        <w:rPr>
          <w:rFonts w:ascii="Arial" w:cs="Arial" w:eastAsia="Arial" w:hAnsi="Arial"/>
          <w:sz w:val="18"/>
          <w:szCs w:val="18"/>
          <w:b w:val="1"/>
          <w:bCs w:val="1"/>
          <w:color w:val="auto"/>
        </w:rPr>
        <w:t>REQUEST, A JURY TRIAL FOR THE ADJUDICATION OF ANY DISPUTE HEREUNDER OR IN CONNECTION WITH OR ARISING OUT OF THIS WARRANT OR ANY TRANSACTION CONTEMPLATED HEREBY.</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the avoidance of doubt, matters involving the rights of shareholders, issuance of Ordinary Shares and the validity of Ordinary Shares shall be governed by the laws of Israel.</w:t>
      </w:r>
    </w:p>
    <w:p>
      <w:pPr>
        <w:spacing w:after="0" w:line="170" w:lineRule="exact"/>
        <w:rPr>
          <w:sz w:val="20"/>
          <w:szCs w:val="20"/>
          <w:color w:val="auto"/>
        </w:rPr>
      </w:pPr>
    </w:p>
    <w:p>
      <w:pPr>
        <w:ind w:firstLine="645"/>
        <w:spacing w:after="0" w:line="277" w:lineRule="auto"/>
        <w:tabs>
          <w:tab w:leader="none" w:pos="1749"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Holder acknowledges that the Warrant Shares acquired upon the exercise of this Warrant, if not registered, will have restrictions upon resale imposed by state and federal securities laws.</w:t>
      </w:r>
    </w:p>
    <w:p>
      <w:pPr>
        <w:spacing w:after="0" w:line="170" w:lineRule="exact"/>
        <w:rPr>
          <w:rFonts w:ascii="Arial" w:cs="Arial" w:eastAsia="Arial" w:hAnsi="Arial"/>
          <w:sz w:val="18"/>
          <w:szCs w:val="18"/>
          <w:color w:val="auto"/>
        </w:rPr>
      </w:pPr>
    </w:p>
    <w:p>
      <w:pPr>
        <w:jc w:val="both"/>
        <w:ind w:firstLine="645"/>
        <w:spacing w:after="0" w:line="255" w:lineRule="auto"/>
        <w:tabs>
          <w:tab w:leader="none" w:pos="1748"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Nonwaiver and Expenses</w:t>
      </w:r>
      <w:r>
        <w:rPr>
          <w:rFonts w:ascii="Arial" w:cs="Arial" w:eastAsia="Arial" w:hAnsi="Arial"/>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93" w:lineRule="exact"/>
        <w:rPr>
          <w:rFonts w:ascii="Arial" w:cs="Arial" w:eastAsia="Arial" w:hAnsi="Arial"/>
          <w:sz w:val="18"/>
          <w:szCs w:val="18"/>
          <w:color w:val="auto"/>
        </w:rPr>
      </w:pPr>
    </w:p>
    <w:p>
      <w:pPr>
        <w:jc w:val="both"/>
        <w:ind w:firstLine="645"/>
        <w:spacing w:after="0" w:line="253" w:lineRule="auto"/>
        <w:tabs>
          <w:tab w:leader="none" w:pos="1707"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consents, waivers or other document or communications required or permitted to be given or delivered under the terms of this Warrant must be in writing and will be deemed to have been delivered: (i) upon receipt, if delivered personally; (ii) when sent, if sent by facsimile (provided confirmation of transmission is mechanically or electronically generated and kept on file by the sending party); (iii) when sent, if sent by e-mail (provided that such sent e-mail is kept on file (whether electronically or otherwise) by the sending party and the sending party does not receive an automatically generated message from the recipient’s e-mail server that such e-mail could not be delivered to such recipient) and (iv) if sent by overnight courier service, one (1) Business Day after deposit with an overnight courier service with next day delivery specified, in each case, properly addressed to the party to receive the same. If notice is given by facsimile or email, a copy of such notice shall be dispatched no later than the next business day by first class mail, postage prepaid. The addresses, facsimile numbers and e-mail addresses for such communications shall be:</w:t>
      </w:r>
    </w:p>
    <w:p>
      <w:pPr>
        <w:spacing w:after="0" w:line="19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If to the Company, to its agent for service: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Cogency Global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 E 40th Street, 40th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Reference: Entera Bio Ltd.</w:t>
      </w:r>
    </w:p>
    <w:p>
      <w:pPr>
        <w:spacing w:after="0" w:line="21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Notice@enterabio.com</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And with a copy (for informational purposes only)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Michael P. Kaplan, Esq.</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Sophia Hudson, Esq.</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Davis Polk &amp; Wardwell LLP</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(212) 450-4000</w:t>
      </w:r>
    </w:p>
    <w:p>
      <w:pPr>
        <w:spacing w:after="0" w:line="31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584" w:right="239" w:bottom="1440" w:gutter="0" w:footer="0" w:header="0"/>
        </w:sectPr>
      </w:pPr>
    </w:p>
    <w:bookmarkStart w:id="235" w:name="page236"/>
    <w:bookmarkEnd w:id="235"/>
    <w:p>
      <w:pPr>
        <w:ind w:left="1304"/>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Yair Geva, Adv.</w:t>
      </w:r>
    </w:p>
    <w:p>
      <w:pPr>
        <w:spacing w:after="0" w:line="23"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Ron Ben Menachem, Adv.</w:t>
      </w:r>
    </w:p>
    <w:p>
      <w:pPr>
        <w:spacing w:after="0" w:line="9"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Tomer Farkash, Adv.</w:t>
      </w:r>
    </w:p>
    <w:p>
      <w:pPr>
        <w:spacing w:after="0" w:line="9"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Herzog Fox &amp; Neeman</w:t>
      </w:r>
    </w:p>
    <w:p>
      <w:pPr>
        <w:spacing w:after="0" w:line="9"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4 Weizmann Street</w:t>
      </w:r>
    </w:p>
    <w:p>
      <w:pPr>
        <w:spacing w:after="0" w:line="9"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Tel Aviv 6423904, Israel</w:t>
      </w:r>
    </w:p>
    <w:p>
      <w:pPr>
        <w:spacing w:after="0" w:line="9" w:lineRule="exact"/>
        <w:rPr>
          <w:sz w:val="20"/>
          <w:szCs w:val="20"/>
          <w:color w:val="auto"/>
        </w:rPr>
      </w:pPr>
    </w:p>
    <w:p>
      <w:pPr>
        <w:ind w:left="1304"/>
        <w:spacing w:after="0"/>
        <w:rPr>
          <w:sz w:val="20"/>
          <w:szCs w:val="20"/>
          <w:color w:val="auto"/>
        </w:rPr>
      </w:pPr>
      <w:r>
        <w:rPr>
          <w:rFonts w:ascii="Arial" w:cs="Arial" w:eastAsia="Arial" w:hAnsi="Arial"/>
          <w:sz w:val="18"/>
          <w:szCs w:val="18"/>
          <w:color w:val="auto"/>
        </w:rPr>
        <w:t>+972 (3) 692-2020</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If to the Warrant Agent, to its address, facsimile number or e-mail address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to a Holder, to its address, facsimile number or e-mail address set forth herein or on the books and records of the Company.</w:t>
      </w:r>
    </w:p>
    <w:p>
      <w:pPr>
        <w:spacing w:after="0" w:line="225" w:lineRule="exact"/>
        <w:rPr>
          <w:sz w:val="20"/>
          <w:szCs w:val="20"/>
          <w:color w:val="auto"/>
        </w:rPr>
      </w:pPr>
    </w:p>
    <w:p>
      <w:pPr>
        <w:jc w:val="both"/>
        <w:ind w:left="4"/>
        <w:spacing w:after="0" w:line="285" w:lineRule="auto"/>
        <w:rPr>
          <w:sz w:val="20"/>
          <w:szCs w:val="20"/>
          <w:color w:val="auto"/>
        </w:rPr>
      </w:pPr>
      <w:r>
        <w:rPr>
          <w:rFonts w:ascii="Arial" w:cs="Arial" w:eastAsia="Arial" w:hAnsi="Arial"/>
          <w:sz w:val="16"/>
          <w:szCs w:val="16"/>
          <w:color w:val="auto"/>
        </w:rPr>
        <w:t>Or, in each of the above instances, to such other address, facsimile number or e-mail address and/or to the attention of such other Person as the recipient party has specified by written notice given to each other party at least five (5) days prior to the effectiveness of such change. Written confirmation of receipt (A) given by the recipient of such notice, consent, waiver or other communication, (B) mechanically or electronically generated by the sender’s facsimile machine containing the time, date and recipient facsimile number or (C) provided by an overnight courier service shall be rebuttable evidence of personal service, receipt by facsimile or receipt from an overnight courier service in accordance with clause (i), (ii) or</w:t>
      </w:r>
    </w:p>
    <w:p>
      <w:pPr>
        <w:spacing w:after="0" w:line="2" w:lineRule="exact"/>
        <w:rPr>
          <w:sz w:val="20"/>
          <w:szCs w:val="20"/>
          <w:color w:val="auto"/>
        </w:rPr>
      </w:pPr>
    </w:p>
    <w:p>
      <w:pPr>
        <w:jc w:val="both"/>
        <w:ind w:left="4" w:hanging="4"/>
        <w:spacing w:after="0" w:line="292" w:lineRule="auto"/>
        <w:tabs>
          <w:tab w:leader="none" w:pos="32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above, respectively. A copy of the e-mail transmission containing the time, date and recipient e- mail address shall be rebuttable evidence of receipt by e-mail in accordance with clause (iii) above. Notwithstanding any other provision of this Warrant, where this Warrant provides for notice of any event to the Holder, if this Warrant is held in global form by DTC (or any successor depositary), such notice shall be sufficiently given if given to DTC (or any successor depositary) pursuant to the procedures of DTC (or such successor depositary), subject to the Holder’s right to elect to receive a Warrant in certificated form pursuant to the terms of the Warrant Agency Agreement, in which case this sentence shall not apply.</w:t>
      </w:r>
    </w:p>
    <w:p>
      <w:pPr>
        <w:spacing w:after="0" w:line="162" w:lineRule="exact"/>
        <w:rPr>
          <w:rFonts w:ascii="Arial" w:cs="Arial" w:eastAsia="Arial" w:hAnsi="Arial"/>
          <w:sz w:val="16"/>
          <w:szCs w:val="16"/>
          <w:color w:val="auto"/>
        </w:rPr>
      </w:pPr>
    </w:p>
    <w:p>
      <w:pPr>
        <w:jc w:val="both"/>
        <w:ind w:left="4" w:firstLine="645"/>
        <w:spacing w:after="0" w:line="259" w:lineRule="auto"/>
        <w:tabs>
          <w:tab w:leader="none" w:pos="1676" w:val="left"/>
        </w:tabs>
        <w:numPr>
          <w:ilvl w:val="1"/>
          <w:numId w:val="168"/>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Ordinary Shares or as a shareholder of the Company, whether such liability is asserted by the Company or by creditors of the Company.</w:t>
      </w:r>
    </w:p>
    <w:p>
      <w:pPr>
        <w:spacing w:after="0" w:line="186" w:lineRule="exact"/>
        <w:rPr>
          <w:rFonts w:ascii="Arial" w:cs="Arial" w:eastAsia="Arial" w:hAnsi="Arial"/>
          <w:sz w:val="18"/>
          <w:szCs w:val="18"/>
          <w:color w:val="auto"/>
        </w:rPr>
      </w:pPr>
    </w:p>
    <w:p>
      <w:pPr>
        <w:jc w:val="both"/>
        <w:ind w:left="4" w:firstLine="645"/>
        <w:spacing w:after="0" w:line="259" w:lineRule="auto"/>
        <w:tabs>
          <w:tab w:leader="none" w:pos="1716" w:val="left"/>
        </w:tabs>
        <w:numPr>
          <w:ilvl w:val="1"/>
          <w:numId w:val="168"/>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6" w:lineRule="exact"/>
        <w:rPr>
          <w:rFonts w:ascii="Arial" w:cs="Arial" w:eastAsia="Arial" w:hAnsi="Arial"/>
          <w:sz w:val="18"/>
          <w:szCs w:val="18"/>
          <w:color w:val="auto"/>
        </w:rPr>
      </w:pPr>
    </w:p>
    <w:p>
      <w:pPr>
        <w:jc w:val="both"/>
        <w:ind w:left="4" w:firstLine="645"/>
        <w:spacing w:after="0" w:line="259" w:lineRule="auto"/>
        <w:tabs>
          <w:tab w:leader="none" w:pos="1778" w:val="left"/>
        </w:tabs>
        <w:numPr>
          <w:ilvl w:val="1"/>
          <w:numId w:val="16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6" w:lineRule="exact"/>
        <w:rPr>
          <w:rFonts w:ascii="Arial" w:cs="Arial" w:eastAsia="Arial" w:hAnsi="Arial"/>
          <w:sz w:val="18"/>
          <w:szCs w:val="18"/>
          <w:color w:val="auto"/>
        </w:rPr>
      </w:pPr>
    </w:p>
    <w:p>
      <w:pPr>
        <w:ind w:left="4" w:firstLine="645"/>
        <w:spacing w:after="0" w:line="277" w:lineRule="auto"/>
        <w:tabs>
          <w:tab w:leader="none" w:pos="1703" w:val="left"/>
        </w:tabs>
        <w:numPr>
          <w:ilvl w:val="1"/>
          <w:numId w:val="168"/>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Warrant may be modified or amended or the provisions hereof waived only with the written consent of the Company, on the one hand, and the Holder or the beneficial owner of this Warrant, on the other hand.</w:t>
      </w:r>
    </w:p>
    <w:p>
      <w:pPr>
        <w:spacing w:after="0" w:line="170" w:lineRule="exact"/>
        <w:rPr>
          <w:rFonts w:ascii="Arial" w:cs="Arial" w:eastAsia="Arial" w:hAnsi="Arial"/>
          <w:sz w:val="18"/>
          <w:szCs w:val="18"/>
          <w:color w:val="auto"/>
        </w:rPr>
      </w:pPr>
    </w:p>
    <w:p>
      <w:pPr>
        <w:jc w:val="both"/>
        <w:ind w:left="4" w:firstLine="645"/>
        <w:spacing w:after="0" w:line="312" w:lineRule="auto"/>
        <w:tabs>
          <w:tab w:leader="none" w:pos="1630" w:val="left"/>
        </w:tabs>
        <w:numPr>
          <w:ilvl w:val="1"/>
          <w:numId w:val="16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255" w:lineRule="exact"/>
        <w:rPr>
          <w:sz w:val="20"/>
          <w:szCs w:val="20"/>
          <w:color w:val="auto"/>
        </w:rPr>
      </w:pPr>
    </w:p>
    <w:p>
      <w:pPr>
        <w:ind w:left="4944"/>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585" w:right="239" w:bottom="1440" w:gutter="0" w:footer="0" w:header="0"/>
        </w:sectPr>
      </w:pPr>
    </w:p>
    <w:bookmarkStart w:id="236" w:name="page237"/>
    <w:bookmarkEnd w:id="236"/>
    <w:p>
      <w:pPr>
        <w:ind w:firstLine="645"/>
        <w:spacing w:after="0" w:line="277" w:lineRule="auto"/>
        <w:tabs>
          <w:tab w:leader="none" w:pos="1869"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Warrant are for the convenience of reference only and shall not, for any purpose, be deemed a part of this Warrant.</w:t>
      </w:r>
    </w:p>
    <w:p>
      <w:pPr>
        <w:spacing w:after="0" w:line="170" w:lineRule="exact"/>
        <w:rPr>
          <w:rFonts w:ascii="Arial" w:cs="Arial" w:eastAsia="Arial" w:hAnsi="Arial"/>
          <w:sz w:val="18"/>
          <w:szCs w:val="18"/>
          <w:color w:val="auto"/>
        </w:rPr>
      </w:pPr>
    </w:p>
    <w:p>
      <w:pPr>
        <w:jc w:val="both"/>
        <w:ind w:firstLine="645"/>
        <w:spacing w:after="0" w:line="264" w:lineRule="auto"/>
        <w:tabs>
          <w:tab w:leader="none" w:pos="168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Warrant Agency Agreement</w:t>
      </w:r>
      <w:r>
        <w:rPr>
          <w:rFonts w:ascii="Arial" w:cs="Arial" w:eastAsia="Arial" w:hAnsi="Arial"/>
          <w:sz w:val="18"/>
          <w:szCs w:val="18"/>
          <w:color w:val="auto"/>
        </w:rPr>
        <w:t>. If this Warrant is held in global form through DTC (or any successor depositary), this Warrant is issued subject to the Warrant Agency Agreement. To the extent any provision of this Warrant conflicts with the express provisions of the Warrant Agency Agreement, the provisions of this Warrant shall govern and be controlling.</w:t>
      </w:r>
    </w:p>
    <w:p>
      <w:pPr>
        <w:spacing w:after="0" w:line="181"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900" w:top="584" w:right="25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color w:val="auto"/>
        </w:rPr>
        <w:t>IN WITNESS WHEREOF, the Company has caused this Warrant to be executed by its officer thereunto duly authorized as of the date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indicated.</w:t>
      </w:r>
    </w:p>
    <w:p>
      <w:pPr>
        <w:spacing w:after="0" w:line="207"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ENTERA BIO LTD.</w:t>
      </w:r>
    </w:p>
    <w:p>
      <w:pPr>
        <w:spacing w:after="0" w:line="200" w:lineRule="exact"/>
        <w:rPr>
          <w:sz w:val="20"/>
          <w:szCs w:val="20"/>
          <w:color w:val="auto"/>
        </w:rPr>
      </w:pPr>
    </w:p>
    <w:p>
      <w:pPr>
        <w:spacing w:after="0" w:line="24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38" w:name="page239"/>
    <w:bookmarkEnd w:id="2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EXHIBIT A</w:t>
      </w:r>
    </w:p>
    <w:p>
      <w:pPr>
        <w:spacing w:after="0" w:line="2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 ENTERA BIO LTD.]</w:t>
      </w:r>
      <w:r>
        <w:rPr>
          <w:rFonts w:ascii="Arial" w:cs="Arial" w:eastAsia="Arial" w:hAnsi="Arial"/>
          <w:sz w:val="30"/>
          <w:szCs w:val="30"/>
          <w:color w:val="auto"/>
          <w:vertAlign w:val="superscript"/>
        </w:rPr>
        <w:t>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ENTERA BIO LTD.]</w:t>
      </w:r>
      <w:r>
        <w:rPr>
          <w:rFonts w:ascii="Arial" w:cs="Arial" w:eastAsia="Arial" w:hAnsi="Arial"/>
          <w:sz w:val="30"/>
          <w:szCs w:val="30"/>
          <w:color w:val="auto"/>
          <w:vertAlign w:val="superscript"/>
        </w:rPr>
        <w:t>4</w:t>
      </w:r>
    </w:p>
    <w:p>
      <w:pPr>
        <w:spacing w:after="0" w:line="124" w:lineRule="exact"/>
        <w:rPr>
          <w:sz w:val="20"/>
          <w:szCs w:val="20"/>
          <w:color w:val="auto"/>
        </w:rPr>
      </w:pPr>
    </w:p>
    <w:p>
      <w:pPr>
        <w:sectPr>
          <w:pgSz w:w="11900" w:h="16838" w:orient="portrait"/>
          <w:cols w:equalWidth="0" w:num="2">
            <w:col w:w="480" w:space="300"/>
            <w:col w:w="10640"/>
          </w:cols>
          <w:pgMar w:left="240" w:top="585" w:right="239" w:bottom="1440" w:gutter="0" w:footer="0" w:header="0"/>
        </w:sectPr>
      </w:pPr>
    </w:p>
    <w:p>
      <w:pPr>
        <w:ind w:firstLine="1305"/>
        <w:spacing w:after="0" w:line="308" w:lineRule="auto"/>
        <w:tabs>
          <w:tab w:leader="none" w:pos="1571"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undersigned hereby elects to purchase ________ Warrant Shares of the Company pursuant to the terms of the attached Warrant (only if exercised in full), and tenders herewith payment of the aggregate Exercise Price in full, together with all applicable transfer taxes, if any.</w:t>
      </w:r>
    </w:p>
    <w:p>
      <w:pPr>
        <w:spacing w:after="0" w:line="146" w:lineRule="exact"/>
        <w:rPr>
          <w:rFonts w:ascii="Arial" w:cs="Arial" w:eastAsia="Arial" w:hAnsi="Arial"/>
          <w:sz w:val="17"/>
          <w:szCs w:val="17"/>
          <w:color w:val="auto"/>
        </w:rPr>
      </w:pPr>
    </w:p>
    <w:p>
      <w:pPr>
        <w:ind w:left="1560" w:hanging="255"/>
        <w:spacing w:after="0"/>
        <w:tabs>
          <w:tab w:leader="none" w:pos="15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 in lawful money of the United States; if by wire transfer, to the following account of Entera Bio Ltd.:</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Bank Name:</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Beneficiary: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Account No.:</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SWIFT:</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jc w:val="both"/>
        <w:ind w:left="1960"/>
        <w:spacing w:after="0" w:line="264" w:lineRule="auto"/>
        <w:rPr>
          <w:sz w:val="20"/>
          <w:szCs w:val="20"/>
          <w:color w:val="auto"/>
        </w:rPr>
      </w:pPr>
      <w:r>
        <w:rPr>
          <w:rFonts w:ascii="Arial" w:cs="Arial" w:eastAsia="Arial" w:hAnsi="Arial"/>
          <w:sz w:val="18"/>
          <w:szCs w:val="18"/>
          <w:color w:val="auto"/>
        </w:rPr>
        <w:t>__ if permitted the cancellation of such number of Warrant Shares as is necessary, in accordance with the formula set forth in Section 2(c), to exercise this Warrant with respect to the maximum number of Warrant Shares purchasable pursuant to the cashless exercise procedure set forth in Section 2(c).</w:t>
      </w:r>
    </w:p>
    <w:p>
      <w:pPr>
        <w:spacing w:after="0" w:line="181" w:lineRule="exact"/>
        <w:rPr>
          <w:sz w:val="20"/>
          <w:szCs w:val="20"/>
          <w:color w:val="auto"/>
        </w:rPr>
      </w:pPr>
    </w:p>
    <w:p>
      <w:pPr>
        <w:ind w:left="1560" w:hanging="255"/>
        <w:spacing w:after="0"/>
        <w:tabs>
          <w:tab w:leader="none" w:pos="15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2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_______________________________________</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_______________________________________</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25" w:lineRule="exact"/>
        <w:rPr>
          <w:sz w:val="20"/>
          <w:szCs w:val="20"/>
          <w:color w:val="auto"/>
        </w:rPr>
      </w:pPr>
    </w:p>
    <w:p>
      <w:pPr>
        <w:spacing w:after="0"/>
        <w:tabs>
          <w:tab w:leader="none" w:pos="3520" w:val="left"/>
        </w:tabs>
        <w:rPr>
          <w:sz w:val="20"/>
          <w:szCs w:val="20"/>
          <w:color w:val="auto"/>
        </w:rPr>
      </w:pPr>
      <w:r>
        <w:rPr>
          <w:rFonts w:ascii="Arial" w:cs="Arial" w:eastAsia="Arial" w:hAnsi="Arial"/>
          <w:sz w:val="18"/>
          <w:szCs w:val="18"/>
          <w:color w:val="auto"/>
        </w:rPr>
        <w:t>Name of Investing Entity:</w:t>
      </w:r>
      <w:r>
        <w:rPr>
          <w:sz w:val="20"/>
          <w:szCs w:val="20"/>
          <w:color w:val="auto"/>
        </w:rPr>
        <w:tab/>
      </w:r>
      <w:r>
        <w:rPr>
          <w:rFonts w:ascii="Arial" w:cs="Arial" w:eastAsia="Arial" w:hAnsi="Arial"/>
          <w:sz w:val="16"/>
          <w:szCs w:val="16"/>
          <w:color w:val="auto"/>
        </w:rPr>
        <w:t>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Authorized Signatory of</w:t>
      </w:r>
    </w:p>
    <w:p>
      <w:pPr>
        <w:spacing w:after="0" w:line="23" w:lineRule="exact"/>
        <w:rPr>
          <w:sz w:val="20"/>
          <w:szCs w:val="20"/>
          <w:color w:val="auto"/>
        </w:rPr>
      </w:pPr>
    </w:p>
    <w:p>
      <w:pPr>
        <w:spacing w:after="0"/>
        <w:tabs>
          <w:tab w:leader="none" w:pos="3520" w:val="left"/>
        </w:tabs>
        <w:rPr>
          <w:sz w:val="20"/>
          <w:szCs w:val="20"/>
          <w:color w:val="auto"/>
        </w:rPr>
      </w:pPr>
      <w:r>
        <w:rPr>
          <w:rFonts w:ascii="Arial" w:cs="Arial" w:eastAsia="Arial" w:hAnsi="Arial"/>
          <w:sz w:val="18"/>
          <w:szCs w:val="18"/>
          <w:color w:val="auto"/>
        </w:rPr>
        <w:t>Investing Entity:</w:t>
      </w:r>
      <w:r>
        <w:rPr>
          <w:sz w:val="20"/>
          <w:szCs w:val="20"/>
          <w:color w:val="auto"/>
        </w:rPr>
        <w:tab/>
      </w:r>
      <w:r>
        <w:rPr>
          <w:rFonts w:ascii="Arial" w:cs="Arial" w:eastAsia="Arial" w:hAnsi="Arial"/>
          <w:sz w:val="16"/>
          <w:szCs w:val="16"/>
          <w:color w:val="auto"/>
        </w:rPr>
        <w:t>_______________________________________</w:t>
      </w:r>
    </w:p>
    <w:p>
      <w:pPr>
        <w:spacing w:after="0" w:line="211" w:lineRule="exact"/>
        <w:rPr>
          <w:sz w:val="20"/>
          <w:szCs w:val="20"/>
          <w:color w:val="auto"/>
        </w:rPr>
      </w:pPr>
    </w:p>
    <w:p>
      <w:pPr>
        <w:spacing w:after="0"/>
        <w:tabs>
          <w:tab w:leader="none" w:pos="3520" w:val="left"/>
        </w:tabs>
        <w:rPr>
          <w:sz w:val="20"/>
          <w:szCs w:val="20"/>
          <w:color w:val="auto"/>
        </w:rPr>
      </w:pPr>
      <w:r>
        <w:rPr>
          <w:rFonts w:ascii="Arial" w:cs="Arial" w:eastAsia="Arial" w:hAnsi="Arial"/>
          <w:sz w:val="18"/>
          <w:szCs w:val="18"/>
          <w:color w:val="auto"/>
        </w:rPr>
        <w:t>Name of Authorized Signatory:</w:t>
      </w:r>
      <w:r>
        <w:rPr>
          <w:sz w:val="20"/>
          <w:szCs w:val="20"/>
          <w:color w:val="auto"/>
        </w:rPr>
        <w:tab/>
      </w:r>
      <w:r>
        <w:rPr>
          <w:rFonts w:ascii="Arial" w:cs="Arial" w:eastAsia="Arial" w:hAnsi="Arial"/>
          <w:sz w:val="16"/>
          <w:szCs w:val="16"/>
          <w:color w:val="auto"/>
        </w:rPr>
        <w:t>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615315</wp:posOffset>
            </wp:positionV>
            <wp:extent cx="108902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hanging="112"/>
        <w:spacing w:after="0"/>
        <w:tabs>
          <w:tab w:leader="none" w:pos="120" w:val="left"/>
        </w:tabs>
        <w:numPr>
          <w:ilvl w:val="0"/>
          <w:numId w:val="172"/>
        </w:numPr>
        <w:rPr>
          <w:rFonts w:ascii="Arial" w:cs="Arial" w:eastAsia="Arial" w:hAnsi="Arial"/>
          <w:sz w:val="30"/>
          <w:szCs w:val="30"/>
          <w:color w:val="auto"/>
          <w:vertAlign w:val="superscript"/>
        </w:rPr>
      </w:pPr>
      <w:r>
        <w:rPr>
          <w:rFonts w:ascii="Arial" w:cs="Arial" w:eastAsia="Arial" w:hAnsi="Arial"/>
          <w:sz w:val="18"/>
          <w:szCs w:val="18"/>
          <w:color w:val="auto"/>
        </w:rPr>
        <w:t>To be included for exercises other than cashless exercise as provided in Section 2(c).</w:t>
      </w:r>
    </w:p>
    <w:p>
      <w:pPr>
        <w:spacing w:after="0" w:line="42" w:lineRule="exact"/>
        <w:rPr>
          <w:rFonts w:ascii="Arial" w:cs="Arial" w:eastAsia="Arial" w:hAnsi="Arial"/>
          <w:sz w:val="30"/>
          <w:szCs w:val="30"/>
          <w:color w:val="auto"/>
          <w:vertAlign w:val="superscript"/>
        </w:rPr>
      </w:pPr>
    </w:p>
    <w:p>
      <w:pPr>
        <w:spacing w:after="0" w:line="234"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4</w:t>
      </w:r>
      <w:r>
        <w:rPr>
          <w:rFonts w:ascii="Arial" w:cs="Arial" w:eastAsia="Arial" w:hAnsi="Arial"/>
          <w:sz w:val="18"/>
          <w:szCs w:val="18"/>
          <w:color w:val="auto"/>
        </w:rPr>
        <w:t xml:space="preserve"> To be included for cashless exercise as provided in Section 2(c).</w:t>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type w:val="continuous"/>
        </w:sectPr>
      </w:pPr>
    </w:p>
    <w:bookmarkStart w:id="239" w:name="page240"/>
    <w:bookmarkEnd w:id="239"/>
    <w:p>
      <w:pPr>
        <w:spacing w:after="0"/>
        <w:rPr>
          <w:sz w:val="20"/>
          <w:szCs w:val="20"/>
          <w:color w:val="auto"/>
        </w:rPr>
      </w:pPr>
      <w:r>
        <w:rPr>
          <w:rFonts w:ascii="Arial" w:cs="Arial" w:eastAsia="Arial" w:hAnsi="Arial"/>
          <w:sz w:val="16"/>
          <w:szCs w:val="16"/>
          <w:color w:val="auto"/>
        </w:rPr>
        <w:t>Title of Authorized Signatory: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_______________________________________</w:t>
      </w:r>
    </w:p>
    <w:p>
      <w:pPr>
        <w:spacing w:after="0" w:line="200" w:lineRule="exact"/>
        <w:rPr>
          <w:sz w:val="20"/>
          <w:szCs w:val="20"/>
          <w:color w:val="auto"/>
        </w:rPr>
      </w:pPr>
    </w:p>
    <w:p>
      <w:pPr>
        <w:sectPr>
          <w:pgSz w:w="11900" w:h="16838" w:orient="portrait"/>
          <w:cols w:equalWidth="0" w:num="2">
            <w:col w:w="2820" w:space="720"/>
            <w:col w:w="6679"/>
          </w:cols>
          <w:pgMar w:left="240" w:top="1314" w:right="1440"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w:t>
      </w:r>
    </w:p>
    <w:p>
      <w:pPr>
        <w:spacing w:after="0" w:line="200" w:lineRule="exact"/>
        <w:rPr>
          <w:sz w:val="20"/>
          <w:szCs w:val="20"/>
          <w:color w:val="auto"/>
        </w:rPr>
      </w:pPr>
    </w:p>
    <w:p>
      <w:pPr>
        <w:sectPr>
          <w:pgSz w:w="11900" w:h="16838" w:orient="portrait"/>
          <w:cols w:equalWidth="0" w:num="2">
            <w:col w:w="2820" w:space="720"/>
            <w:col w:w="6679"/>
          </w:cols>
          <w:pgMar w:left="240" w:top="13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314" w:right="1440" w:bottom="1440" w:gutter="0" w:footer="0" w:header="0"/>
          <w:type w:val="continuous"/>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(To assign the foregoing Warrant, execute this form and supply required information. Do not use this form to purchase shares.)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VALUE RECEIVED, the foregoing Warrant and all rights evidenced thereby are hereby assigned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__, 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Holder’s Signature:__________________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Holder’s Address: 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Underwriter’s Warrant</w:t>
      </w:r>
    </w:p>
    <w:p>
      <w:pPr>
        <w:spacing w:after="0" w:line="229" w:lineRule="exact"/>
        <w:rPr>
          <w:sz w:val="20"/>
          <w:szCs w:val="20"/>
          <w:color w:val="auto"/>
        </w:rPr>
      </w:pPr>
    </w:p>
    <w:p>
      <w:pPr>
        <w:jc w:val="both"/>
        <w:ind w:firstLine="4"/>
        <w:spacing w:after="0" w:line="255" w:lineRule="auto"/>
        <w:rPr>
          <w:sz w:val="20"/>
          <w:szCs w:val="20"/>
          <w:color w:val="auto"/>
        </w:rPr>
      </w:pPr>
      <w:r>
        <w:rPr>
          <w:rFonts w:ascii="Arial" w:cs="Arial" w:eastAsia="Arial" w:hAnsi="Arial"/>
          <w:sz w:val="18"/>
          <w:szCs w:val="18"/>
          <w:color w:val="auto"/>
        </w:rPr>
        <w:t>THE REGISTERED HOLDER OF THIS PURCHASE WARRANT, BY ITS ACCEPTANCE HEREOF, AGREES THAT IT WILL NOT SELL, TRANSFER OR ASSIGN THIS PURCHASE WARRANT EXCEPT AS HEREIN PROVIDED AND THE REGISTERED HOLDER OF THIS PURCHASE WARRANT AGREES THAT IT WILL NOT SELL, TRANSFER, ASSIGN, PLEDGE OR HYPOTHECATE THIS PURCHASE WARRANT FOR A PERIOD OF ONE HUNDRED EIGHTY DAYS FOLLOWING THE LATER OF THE EFFECTIVE DATE (AS DEFINED BELOW) OR THE COMMENCEMENT OF SALES OF THE OFFERING TO WHICH THIS PURCHASE WARRANT RELATES TO ANYONE OTHER THAN (I) MAXIM GROUP LLC OR AN UNDERWRITER OR A SELECTED DEALER IN CONNECTION WITH THE OFFERING, OR (II) A BONA FIDE OFFICER OR PARTNER OF MAXIM GROUP LLC OR OF ANY SUCH UNDERWRITER OR SELECTED DEALER.</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PURCHASE WARRANT IS NOT EXERCISABLE PRIOR TO [________________] [</w:t>
      </w:r>
      <w:r>
        <w:rPr>
          <w:rFonts w:ascii="Arial" w:cs="Arial" w:eastAsia="Arial" w:hAnsi="Arial"/>
          <w:sz w:val="18"/>
          <w:szCs w:val="18"/>
          <w:b w:val="1"/>
          <w:bCs w:val="1"/>
          <w:color w:val="auto"/>
        </w:rPr>
        <w:t>DATE THAT IS 180 DAYS FROM THE EFFECTIVE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THE OFFERING</w:t>
      </w:r>
      <w:r>
        <w:rPr>
          <w:rFonts w:ascii="Arial" w:cs="Arial" w:eastAsia="Arial" w:hAnsi="Arial"/>
          <w:sz w:val="18"/>
          <w:szCs w:val="18"/>
          <w:color w:val="auto"/>
        </w:rPr>
        <w:t>]. VOID AFTER 5:00 P.M., EASTERN TIME, [___________________] [</w:t>
      </w:r>
      <w:r>
        <w:rPr>
          <w:rFonts w:ascii="Arial" w:cs="Arial" w:eastAsia="Arial" w:hAnsi="Arial"/>
          <w:sz w:val="18"/>
          <w:szCs w:val="18"/>
          <w:b w:val="1"/>
          <w:bCs w:val="1"/>
          <w:color w:val="auto"/>
        </w:rPr>
        <w:t>DATE THAT IS FIVE YEARS FROM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DATE OF THE OFFERING</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ORDINARY SHARE PURCHASE WARRANT</w:t>
      </w:r>
    </w:p>
    <w:p>
      <w:pPr>
        <w:spacing w:after="0" w:line="15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For the Purchase of [_____]</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Ordinary Shares</w:t>
      </w:r>
    </w:p>
    <w:p>
      <w:pPr>
        <w:jc w:val="center"/>
        <w:ind w:right="40"/>
        <w:spacing w:after="0"/>
        <w:rPr>
          <w:sz w:val="20"/>
          <w:szCs w:val="20"/>
          <w:color w:val="auto"/>
        </w:rPr>
      </w:pPr>
      <w:r>
        <w:rPr>
          <w:rFonts w:ascii="Arial" w:cs="Arial" w:eastAsia="Arial" w:hAnsi="Arial"/>
          <w:sz w:val="18"/>
          <w:szCs w:val="18"/>
          <w:color w:val="auto"/>
        </w:rPr>
        <w:t>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ENTERA BIO LTD.</w:t>
      </w:r>
    </w:p>
    <w:p>
      <w:pPr>
        <w:spacing w:after="0" w:line="207" w:lineRule="exact"/>
        <w:rPr>
          <w:sz w:val="20"/>
          <w:szCs w:val="20"/>
          <w:color w:val="auto"/>
        </w:rPr>
      </w:pPr>
    </w:p>
    <w:p>
      <w:pPr>
        <w:jc w:val="both"/>
        <w:ind w:firstLine="8"/>
        <w:spacing w:after="0" w:line="289" w:lineRule="auto"/>
        <w:tabs>
          <w:tab w:leader="none" w:pos="612"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Purchase Warrant</w:t>
      </w:r>
      <w:r>
        <w:rPr>
          <w:rFonts w:ascii="Arial" w:cs="Arial" w:eastAsia="Arial" w:hAnsi="Arial"/>
          <w:sz w:val="16"/>
          <w:szCs w:val="16"/>
          <w:color w:val="auto"/>
        </w:rPr>
        <w:t>. THIS ORDINARY SHARE PURCHASE WARRANT (THIS “</w:t>
      </w:r>
      <w:r>
        <w:rPr>
          <w:rFonts w:ascii="Arial" w:cs="Arial" w:eastAsia="Arial" w:hAnsi="Arial"/>
          <w:sz w:val="16"/>
          <w:szCs w:val="16"/>
          <w:b w:val="1"/>
          <w:bCs w:val="1"/>
          <w:color w:val="auto"/>
        </w:rPr>
        <w:t>PURCHASE WARRANT</w:t>
      </w:r>
      <w:r>
        <w:rPr>
          <w:rFonts w:ascii="Arial" w:cs="Arial" w:eastAsia="Arial" w:hAnsi="Arial"/>
          <w:sz w:val="16"/>
          <w:szCs w:val="16"/>
          <w:color w:val="auto"/>
        </w:rPr>
        <w:t>”) CERTIFIES THAT, for good and valuable consideration, the receipt and sufficiency of which is hereby acknowledged, Maxim Group LLC (the “</w:t>
      </w:r>
      <w:r>
        <w:rPr>
          <w:rFonts w:ascii="Arial" w:cs="Arial" w:eastAsia="Arial" w:hAnsi="Arial"/>
          <w:sz w:val="16"/>
          <w:szCs w:val="16"/>
          <w:b w:val="1"/>
          <w:bCs w:val="1"/>
          <w:color w:val="auto"/>
        </w:rPr>
        <w:t>Holder</w:t>
      </w:r>
      <w:r>
        <w:rPr>
          <w:rFonts w:ascii="Arial" w:cs="Arial" w:eastAsia="Arial" w:hAnsi="Arial"/>
          <w:sz w:val="16"/>
          <w:szCs w:val="16"/>
          <w:color w:val="auto"/>
        </w:rPr>
        <w:t>”), as registered owner of this Purchase Warrant, is entitled, upon the terms and subject to the limitations on exercise and the conditions hereinafter set forth, at any time or from time to time from [________________] [</w:t>
      </w:r>
      <w:r>
        <w:rPr>
          <w:rFonts w:ascii="Arial" w:cs="Arial" w:eastAsia="Arial" w:hAnsi="Arial"/>
          <w:sz w:val="16"/>
          <w:szCs w:val="16"/>
          <w:b w:val="1"/>
          <w:bCs w:val="1"/>
          <w:color w:val="auto"/>
        </w:rPr>
        <w:t>DATE THAT IS ONE HUNDRED EIGHTY (180) DAYS FROM THE EFFECTIVE DATE OF THE OFFERING</w:t>
      </w:r>
      <w:r>
        <w:rPr>
          <w:rFonts w:ascii="Arial" w:cs="Arial" w:eastAsia="Arial" w:hAnsi="Arial"/>
          <w:sz w:val="16"/>
          <w:szCs w:val="16"/>
          <w:color w:val="auto"/>
        </w:rPr>
        <w:t>] (the “</w:t>
      </w:r>
      <w:r>
        <w:rPr>
          <w:rFonts w:ascii="Arial" w:cs="Arial" w:eastAsia="Arial" w:hAnsi="Arial"/>
          <w:sz w:val="16"/>
          <w:szCs w:val="16"/>
          <w:b w:val="1"/>
          <w:bCs w:val="1"/>
          <w:color w:val="auto"/>
        </w:rPr>
        <w:t>Commencement Date</w:t>
      </w:r>
      <w:r>
        <w:rPr>
          <w:rFonts w:ascii="Arial" w:cs="Arial" w:eastAsia="Arial" w:hAnsi="Arial"/>
          <w:sz w:val="16"/>
          <w:szCs w:val="16"/>
          <w:color w:val="auto"/>
        </w:rPr>
        <w:t>”), and until at or before 5:00 p.m., Eastern time, on [____________] [</w:t>
      </w:r>
      <w:r>
        <w:rPr>
          <w:rFonts w:ascii="Arial" w:cs="Arial" w:eastAsia="Arial" w:hAnsi="Arial"/>
          <w:sz w:val="16"/>
          <w:szCs w:val="16"/>
          <w:b w:val="1"/>
          <w:bCs w:val="1"/>
          <w:color w:val="auto"/>
        </w:rPr>
        <w:t>DATE THAT IS FIVE YEARS FROM THE EFFECTIVE</w:t>
      </w:r>
      <w:r>
        <w:rPr>
          <w:rFonts w:ascii="Arial" w:cs="Arial" w:eastAsia="Arial" w:hAnsi="Arial"/>
          <w:sz w:val="16"/>
          <w:szCs w:val="16"/>
          <w:color w:val="auto"/>
        </w:rPr>
        <w:t xml:space="preserve"> </w:t>
      </w:r>
      <w:r>
        <w:rPr>
          <w:rFonts w:ascii="Arial" w:cs="Arial" w:eastAsia="Arial" w:hAnsi="Arial"/>
          <w:sz w:val="16"/>
          <w:szCs w:val="16"/>
          <w:b w:val="1"/>
          <w:bCs w:val="1"/>
          <w:color w:val="auto"/>
        </w:rPr>
        <w:t>DATE OF THE OFFERING</w:t>
      </w:r>
      <w:r>
        <w:rPr>
          <w:rFonts w:ascii="Arial" w:cs="Arial" w:eastAsia="Arial" w:hAnsi="Arial"/>
          <w:sz w:val="16"/>
          <w:szCs w:val="16"/>
          <w:color w:val="auto"/>
        </w:rPr>
        <w:t>] (the “</w:t>
      </w:r>
      <w:r>
        <w:rPr>
          <w:rFonts w:ascii="Arial" w:cs="Arial" w:eastAsia="Arial" w:hAnsi="Arial"/>
          <w:sz w:val="16"/>
          <w:szCs w:val="16"/>
          <w:b w:val="1"/>
          <w:bCs w:val="1"/>
          <w:color w:val="auto"/>
        </w:rPr>
        <w:t>Expiration Date</w:t>
      </w:r>
      <w:r>
        <w:rPr>
          <w:rFonts w:ascii="Arial" w:cs="Arial" w:eastAsia="Arial" w:hAnsi="Arial"/>
          <w:sz w:val="16"/>
          <w:szCs w:val="16"/>
          <w:color w:val="auto"/>
        </w:rPr>
        <w:t>”), but not thereafter, to subscribe for, purchase and receive, in whole or in part, up to [____] ordinary</w:t>
      </w:r>
      <w:r>
        <w:rPr>
          <w:rFonts w:ascii="Arial" w:cs="Arial" w:eastAsia="Arial" w:hAnsi="Arial"/>
          <w:sz w:val="16"/>
          <w:szCs w:val="16"/>
          <w:b w:val="1"/>
          <w:bCs w:val="1"/>
          <w:color w:val="auto"/>
        </w:rPr>
        <w:t xml:space="preserve"> </w:t>
      </w:r>
      <w:r>
        <w:rPr>
          <w:rFonts w:ascii="Arial" w:cs="Arial" w:eastAsia="Arial" w:hAnsi="Arial"/>
          <w:sz w:val="16"/>
          <w:szCs w:val="16"/>
          <w:color w:val="auto"/>
        </w:rPr>
        <w:t>shares (the “</w:t>
      </w:r>
      <w:r>
        <w:rPr>
          <w:rFonts w:ascii="Arial" w:cs="Arial" w:eastAsia="Arial" w:hAnsi="Arial"/>
          <w:sz w:val="16"/>
          <w:szCs w:val="16"/>
          <w:b w:val="1"/>
          <w:bCs w:val="1"/>
          <w:color w:val="auto"/>
        </w:rPr>
        <w:t>Shares</w:t>
      </w:r>
      <w:r>
        <w:rPr>
          <w:rFonts w:ascii="Arial" w:cs="Arial" w:eastAsia="Arial" w:hAnsi="Arial"/>
          <w:sz w:val="16"/>
          <w:szCs w:val="16"/>
          <w:color w:val="auto"/>
        </w:rPr>
        <w:t>”), nominal value NIS [__] per share (the “</w:t>
      </w:r>
      <w:r>
        <w:rPr>
          <w:rFonts w:ascii="Arial" w:cs="Arial" w:eastAsia="Arial" w:hAnsi="Arial"/>
          <w:sz w:val="16"/>
          <w:szCs w:val="16"/>
          <w:b w:val="1"/>
          <w:bCs w:val="1"/>
          <w:color w:val="auto"/>
        </w:rPr>
        <w:t>Ordinary Shares</w:t>
      </w:r>
      <w:r>
        <w:rPr>
          <w:rFonts w:ascii="Arial" w:cs="Arial" w:eastAsia="Arial" w:hAnsi="Arial"/>
          <w:sz w:val="16"/>
          <w:szCs w:val="16"/>
          <w:color w:val="auto"/>
        </w:rPr>
        <w:t>”), of Entera Bio Ltd., an Israeli company (the “</w:t>
      </w:r>
      <w:r>
        <w:rPr>
          <w:rFonts w:ascii="Arial" w:cs="Arial" w:eastAsia="Arial" w:hAnsi="Arial"/>
          <w:sz w:val="16"/>
          <w:szCs w:val="16"/>
          <w:b w:val="1"/>
          <w:bCs w:val="1"/>
          <w:color w:val="auto"/>
        </w:rPr>
        <w:t>Company</w:t>
      </w:r>
      <w:r>
        <w:rPr>
          <w:rFonts w:ascii="Arial" w:cs="Arial" w:eastAsia="Arial" w:hAnsi="Arial"/>
          <w:sz w:val="16"/>
          <w:szCs w:val="16"/>
          <w:color w:val="auto"/>
        </w:rPr>
        <w:t>”), subject to adjustment as provided in Section 6 hereof. If the Expiration Date is a day on which the Federal Reserve Bank of New York is authorized or required by law or executive order to close, then this Purchase Warrant may be exercised on the next succeeding day which is not such a day in accordance with the terms herein. During the period ending on the Expiration Date, the Company agrees not to take any action that would terminate this Purchase Warrant. This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w:t>
      </w:r>
    </w:p>
    <w:p>
      <w:pPr>
        <w:ind w:left="120" w:hanging="112"/>
        <w:spacing w:after="0" w:line="194" w:lineRule="auto"/>
        <w:tabs>
          <w:tab w:leader="none" w:pos="120" w:val="left"/>
        </w:tabs>
        <w:numPr>
          <w:ilvl w:val="0"/>
          <w:numId w:val="174"/>
        </w:numPr>
        <w:rPr>
          <w:rFonts w:ascii="Arial" w:cs="Arial" w:eastAsia="Arial" w:hAnsi="Arial"/>
          <w:sz w:val="30"/>
          <w:szCs w:val="30"/>
          <w:color w:val="auto"/>
          <w:vertAlign w:val="superscript"/>
        </w:rPr>
      </w:pPr>
      <w:r>
        <w:rPr>
          <w:rFonts w:ascii="Arial" w:cs="Arial" w:eastAsia="Arial" w:hAnsi="Arial"/>
          <w:sz w:val="18"/>
          <w:szCs w:val="18"/>
          <w:color w:val="auto"/>
        </w:rPr>
        <w:t>To be 5.0% of the total number of shares being sold in the offering (excluding for the avoidance of doubt any warrants issued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2" w:name="page243"/>
    <w:bookmarkEnd w:id="242"/>
    <w:p>
      <w:pPr>
        <w:jc w:val="both"/>
        <w:spacing w:after="0" w:line="292" w:lineRule="auto"/>
        <w:rPr>
          <w:sz w:val="20"/>
          <w:szCs w:val="20"/>
          <w:color w:val="auto"/>
        </w:rPr>
      </w:pPr>
      <w:r>
        <w:rPr>
          <w:rFonts w:ascii="Arial" w:cs="Arial" w:eastAsia="Arial" w:hAnsi="Arial"/>
          <w:sz w:val="16"/>
          <w:szCs w:val="16"/>
          <w:color w:val="auto"/>
        </w:rPr>
        <w:t>Purchase Warrant is initially exercisable at $[ ] per Share [</w:t>
      </w:r>
      <w:r>
        <w:rPr>
          <w:rFonts w:ascii="Arial" w:cs="Arial" w:eastAsia="Arial" w:hAnsi="Arial"/>
          <w:sz w:val="16"/>
          <w:szCs w:val="16"/>
          <w:b w:val="1"/>
          <w:bCs w:val="1"/>
          <w:color w:val="auto"/>
        </w:rPr>
        <w:t>110% of the price of the units sold in the Offering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upon the occurrence of any of the events specified in Section 6 hereof, the rights granted by this Purchase Warrant, including the exercise price per Share and the number of Shares to be received upon such exercise, shall be adjusted as therein specified. This Purchase Warrant is being issued in connection with a public offering of Ordinary Shares and warrants to purchase Ordinary Shares pursuant to the Company’s registration statement on Form F-1, as amended (File No.: 333-221472) (the “</w:t>
      </w:r>
      <w:r>
        <w:rPr>
          <w:rFonts w:ascii="Arial" w:cs="Arial" w:eastAsia="Arial" w:hAnsi="Arial"/>
          <w:sz w:val="16"/>
          <w:szCs w:val="16"/>
          <w:b w:val="1"/>
          <w:bCs w:val="1"/>
          <w:color w:val="auto"/>
        </w:rPr>
        <w:t>Offering</w:t>
      </w:r>
      <w:r>
        <w:rPr>
          <w:rFonts w:ascii="Arial" w:cs="Arial" w:eastAsia="Arial" w:hAnsi="Arial"/>
          <w:sz w:val="16"/>
          <w:szCs w:val="16"/>
          <w:color w:val="auto"/>
        </w:rPr>
        <w:t>”). As used herein, the term “</w:t>
      </w:r>
      <w:r>
        <w:rPr>
          <w:rFonts w:ascii="Arial" w:cs="Arial" w:eastAsia="Arial" w:hAnsi="Arial"/>
          <w:sz w:val="16"/>
          <w:szCs w:val="16"/>
          <w:b w:val="1"/>
          <w:bCs w:val="1"/>
          <w:color w:val="auto"/>
        </w:rPr>
        <w:t>Exercise Price</w:t>
      </w:r>
      <w:r>
        <w:rPr>
          <w:rFonts w:ascii="Arial" w:cs="Arial" w:eastAsia="Arial" w:hAnsi="Arial"/>
          <w:sz w:val="16"/>
          <w:szCs w:val="16"/>
          <w:color w:val="auto"/>
        </w:rPr>
        <w:t>” shall mean the initial exercise price or the adjusted exercise price, depending on the context. As used herein, “</w:t>
      </w:r>
      <w:r>
        <w:rPr>
          <w:rFonts w:ascii="Arial" w:cs="Arial" w:eastAsia="Arial" w:hAnsi="Arial"/>
          <w:sz w:val="16"/>
          <w:szCs w:val="16"/>
          <w:b w:val="1"/>
          <w:bCs w:val="1"/>
          <w:color w:val="auto"/>
        </w:rPr>
        <w:t>Effective Date</w:t>
      </w:r>
      <w:r>
        <w:rPr>
          <w:rFonts w:ascii="Arial" w:cs="Arial" w:eastAsia="Arial" w:hAnsi="Arial"/>
          <w:sz w:val="16"/>
          <w:szCs w:val="16"/>
          <w:color w:val="auto"/>
        </w:rPr>
        <w:t>” means the date on which the Shares being sold in the Offering first become legally eligible for distribution to the public as determined in accordance with Financial Industry Regulatory Authority (“</w:t>
      </w:r>
      <w:r>
        <w:rPr>
          <w:rFonts w:ascii="Arial" w:cs="Arial" w:eastAsia="Arial" w:hAnsi="Arial"/>
          <w:sz w:val="16"/>
          <w:szCs w:val="16"/>
          <w:b w:val="1"/>
          <w:bCs w:val="1"/>
          <w:color w:val="auto"/>
        </w:rPr>
        <w:t>FINRA</w:t>
      </w:r>
      <w:r>
        <w:rPr>
          <w:rFonts w:ascii="Arial" w:cs="Arial" w:eastAsia="Arial" w:hAnsi="Arial"/>
          <w:sz w:val="16"/>
          <w:szCs w:val="16"/>
          <w:color w:val="auto"/>
        </w:rPr>
        <w:t>”) Conduct Rule 5110(a)(12).</w:t>
      </w:r>
    </w:p>
    <w:p>
      <w:pPr>
        <w:spacing w:after="0" w:line="166" w:lineRule="exact"/>
        <w:rPr>
          <w:sz w:val="20"/>
          <w:szCs w:val="20"/>
          <w:color w:val="auto"/>
        </w:rPr>
      </w:pPr>
    </w:p>
    <w:p>
      <w:pPr>
        <w:ind w:left="460" w:hanging="452"/>
        <w:spacing w:after="0"/>
        <w:tabs>
          <w:tab w:leader="none" w:pos="46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Exercise Form</w:t>
      </w:r>
      <w:r>
        <w:rPr>
          <w:rFonts w:ascii="Arial" w:cs="Arial" w:eastAsia="Arial" w:hAnsi="Arial"/>
          <w:sz w:val="17"/>
          <w:szCs w:val="17"/>
          <w:color w:val="auto"/>
        </w:rPr>
        <w:t>. In order to exercise this Purchase Warrant, the exercise form attached hereto must be duly executed and completed and delivered to the Company, together with this Purchase Warrant and payment of the Exercise Price for the Shares being purchased in cash by wire transfer of immediately available funds to an account designated by the Company or by certified check or official bank check, subject to Section 2.2 below. If the subscription rights represented hereby shall not be exercised at or before 5:00 p.m., Eastern time, on the Expiration Date, this Purchase Warrant shall become and be void without further force or effect, and all rights and obligations represented hereby shall cease and expire.</w:t>
      </w:r>
    </w:p>
    <w:p>
      <w:pPr>
        <w:spacing w:after="0" w:line="173"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Cashless Exercise</w:t>
      </w:r>
      <w:r>
        <w:rPr>
          <w:rFonts w:ascii="Arial" w:cs="Arial" w:eastAsia="Arial" w:hAnsi="Arial"/>
          <w:sz w:val="18"/>
          <w:szCs w:val="18"/>
          <w:color w:val="auto"/>
        </w:rPr>
        <w:t>. Unless a registration statement covering the exercise of this Purchase Warrant and the sale of the Shares by the Holder is in effect and available, in lieu of exercising this Purchase Warrant by payment of cash or check payable to the order of the Company pursuant to Section 2.1 above, the Holder may exercise this Purchase Warrant to receive the number of Shares equal to the net value of this Purchase Warrant (or the portion thereof being exercised), by surrender of this Purchase Warrant to the Company, together with the exercise form attached hereto, in which event the Company will issue to Holder Shares in accordance with the following formula: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ind w:left="240"/>
              <w:spacing w:after="0"/>
              <w:rPr>
                <w:sz w:val="20"/>
                <w:szCs w:val="20"/>
                <w:color w:val="auto"/>
              </w:rPr>
            </w:pPr>
            <w:r>
              <w:rPr>
                <w:rFonts w:ascii="Arial" w:cs="Arial" w:eastAsia="Arial" w:hAnsi="Arial"/>
                <w:sz w:val="18"/>
                <w:szCs w:val="18"/>
                <w:color w:val="auto"/>
              </w:rPr>
              <w:t>X</w:t>
            </w:r>
          </w:p>
        </w:tc>
        <w:tc>
          <w:tcPr>
            <w:tcW w:w="8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Y(A-B)</w:t>
            </w:r>
          </w:p>
        </w:tc>
        <w:tc>
          <w:tcPr>
            <w:tcW w:w="5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80" w:type="dxa"/>
            <w:vAlign w:val="bottom"/>
            <w:vMerge w:val="restart"/>
          </w:tcPr>
          <w:p>
            <w:pPr>
              <w:spacing w:after="0"/>
              <w:rPr>
                <w:sz w:val="20"/>
                <w:szCs w:val="20"/>
                <w:color w:val="auto"/>
              </w:rPr>
            </w:pPr>
            <w:r>
              <w:rPr>
                <w:rFonts w:ascii="Arial" w:cs="Arial" w:eastAsia="Arial" w:hAnsi="Arial"/>
                <w:sz w:val="18"/>
                <w:szCs w:val="18"/>
                <w:color w:val="auto"/>
              </w:rPr>
              <w:t>Where,</w:t>
            </w:r>
          </w:p>
        </w:tc>
        <w:tc>
          <w:tcPr>
            <w:tcW w:w="840" w:type="dxa"/>
            <w:vAlign w:val="bottom"/>
          </w:tcPr>
          <w:p>
            <w:pPr>
              <w:spacing w:after="0"/>
              <w:rPr>
                <w:sz w:val="20"/>
                <w:szCs w:val="20"/>
                <w:color w:val="auto"/>
              </w:rPr>
            </w:pPr>
          </w:p>
        </w:tc>
        <w:tc>
          <w:tcPr>
            <w:tcW w:w="5980" w:type="dxa"/>
            <w:vAlign w:val="bottom"/>
            <w:gridSpan w:val="2"/>
          </w:tcPr>
          <w:p>
            <w:pPr>
              <w:jc w:val="center"/>
              <w:ind w:right="544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680" w:type="dxa"/>
            <w:vAlign w:val="bottom"/>
            <w:vMerge w:val="continue"/>
          </w:tcPr>
          <w:p>
            <w:pPr>
              <w:spacing w:after="0"/>
              <w:rPr>
                <w:sz w:val="18"/>
                <w:szCs w:val="18"/>
                <w:color w:val="auto"/>
              </w:rPr>
            </w:pPr>
          </w:p>
        </w:tc>
        <w:tc>
          <w:tcPr>
            <w:tcW w:w="840" w:type="dxa"/>
            <w:vAlign w:val="bottom"/>
            <w:vMerge w:val="restart"/>
          </w:tcPr>
          <w:p>
            <w:pPr>
              <w:ind w:left="620"/>
              <w:spacing w:after="0"/>
              <w:rPr>
                <w:sz w:val="20"/>
                <w:szCs w:val="20"/>
                <w:color w:val="auto"/>
              </w:rPr>
            </w:pPr>
            <w:r>
              <w:rPr>
                <w:rFonts w:ascii="Arial" w:cs="Arial" w:eastAsia="Arial" w:hAnsi="Arial"/>
                <w:sz w:val="18"/>
                <w:szCs w:val="18"/>
                <w:color w:val="auto"/>
              </w:rPr>
              <w:t>X</w:t>
            </w:r>
          </w:p>
        </w:tc>
        <w:tc>
          <w:tcPr>
            <w:tcW w:w="5980" w:type="dxa"/>
            <w:vAlign w:val="bottom"/>
            <w:gridSpan w:val="2"/>
            <w:vMerge w:val="restart"/>
          </w:tcPr>
          <w:p>
            <w:pPr>
              <w:ind w:left="400"/>
              <w:spacing w:after="0"/>
              <w:rPr>
                <w:sz w:val="20"/>
                <w:szCs w:val="20"/>
                <w:color w:val="auto"/>
              </w:rPr>
            </w:pPr>
            <w:r>
              <w:rPr>
                <w:rFonts w:ascii="Arial" w:cs="Arial" w:eastAsia="Arial" w:hAnsi="Arial"/>
                <w:sz w:val="18"/>
                <w:szCs w:val="18"/>
                <w:color w:val="auto"/>
              </w:rPr>
              <w:t>=  The number of Shares to be issued to Holder;</w:t>
            </w:r>
          </w:p>
        </w:tc>
        <w:tc>
          <w:tcPr>
            <w:tcW w:w="0" w:type="dxa"/>
            <w:vAlign w:val="bottom"/>
          </w:tcPr>
          <w:p>
            <w:pPr>
              <w:spacing w:after="0"/>
              <w:rPr>
                <w:sz w:val="1"/>
                <w:szCs w:val="1"/>
                <w:color w:val="auto"/>
              </w:rPr>
            </w:pPr>
          </w:p>
        </w:tc>
      </w:tr>
      <w:tr>
        <w:trPr>
          <w:trHeight w:val="202"/>
        </w:trPr>
        <w:tc>
          <w:tcPr>
            <w:tcW w:w="6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5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Y</w:t>
            </w:r>
          </w:p>
        </w:tc>
        <w:tc>
          <w:tcPr>
            <w:tcW w:w="5980" w:type="dxa"/>
            <w:vAlign w:val="bottom"/>
            <w:gridSpan w:val="2"/>
          </w:tcPr>
          <w:p>
            <w:pPr>
              <w:ind w:left="400"/>
              <w:spacing w:after="0"/>
              <w:rPr>
                <w:sz w:val="20"/>
                <w:szCs w:val="20"/>
                <w:color w:val="auto"/>
              </w:rPr>
            </w:pPr>
            <w:r>
              <w:rPr>
                <w:rFonts w:ascii="Arial" w:cs="Arial" w:eastAsia="Arial" w:hAnsi="Arial"/>
                <w:sz w:val="18"/>
                <w:szCs w:val="18"/>
                <w:color w:val="auto"/>
                <w:w w:val="91"/>
              </w:rPr>
              <w:t>=  The number of Shares for which the Purchase Warrant is being exercised;</w:t>
            </w:r>
          </w:p>
        </w:tc>
        <w:tc>
          <w:tcPr>
            <w:tcW w:w="0" w:type="dxa"/>
            <w:vAlign w:val="bottom"/>
          </w:tcPr>
          <w:p>
            <w:pPr>
              <w:spacing w:after="0"/>
              <w:rPr>
                <w:sz w:val="1"/>
                <w:szCs w:val="1"/>
                <w:color w:val="auto"/>
              </w:rPr>
            </w:pPr>
          </w:p>
        </w:tc>
      </w:tr>
    </w:tbl>
    <w:p>
      <w:pPr>
        <w:ind w:left="2200" w:right="320" w:hanging="909"/>
        <w:spacing w:after="0" w:line="265" w:lineRule="auto"/>
        <w:tabs>
          <w:tab w:leader="none" w:pos="1926" w:val="left"/>
        </w:tabs>
        <w:numPr>
          <w:ilvl w:val="0"/>
          <w:numId w:val="176"/>
        </w:numPr>
        <w:rPr>
          <w:rFonts w:ascii="Arial" w:cs="Arial" w:eastAsia="Arial" w:hAnsi="Arial"/>
          <w:sz w:val="17"/>
          <w:szCs w:val="17"/>
          <w:color w:val="auto"/>
        </w:rPr>
      </w:pPr>
      <w:r>
        <w:rPr>
          <w:rFonts w:ascii="Arial" w:cs="Arial" w:eastAsia="Arial" w:hAnsi="Arial"/>
          <w:sz w:val="17"/>
          <w:szCs w:val="17"/>
          <w:color w:val="auto"/>
        </w:rPr>
        <w:t>= The arithmetic average of the VWAPs over each of the 10 consecutive Trading Day period beginning on, and including, the Trading Day immediately following the date of the Holder’s notice of exercise pursuant to this Section 2.2; and</w:t>
      </w:r>
    </w:p>
    <w:p>
      <w:pPr>
        <w:ind w:left="1920" w:hanging="629"/>
        <w:spacing w:after="0"/>
        <w:tabs>
          <w:tab w:leader="none" w:pos="19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The Exercise Price.</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this Section 2.2:</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(i) there is no (a) failure by the primary U.S. national or regional securities exchange or market on which the Ordinary Shares are listed or admitted for trading to open for trading during its regular trading session or (b) occurrence or existence prior to 1:00 p.m., New York City time, on any day that is scheduled to be a Trading Day for more than one half-hour period in</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43" w:name="page244"/>
    <w:bookmarkEnd w:id="243"/>
    <w:p>
      <w:pPr>
        <w:jc w:val="both"/>
        <w:spacing w:after="0" w:line="255" w:lineRule="auto"/>
        <w:rPr>
          <w:sz w:val="20"/>
          <w:szCs w:val="20"/>
          <w:color w:val="auto"/>
        </w:rPr>
      </w:pPr>
      <w:r>
        <w:rPr>
          <w:rFonts w:ascii="Arial" w:cs="Arial" w:eastAsia="Arial" w:hAnsi="Arial"/>
          <w:sz w:val="18"/>
          <w:szCs w:val="18"/>
          <w:color w:val="auto"/>
        </w:rPr>
        <w:t xml:space="preserve">the aggregate during regular trading hours of any suspension or limitation imposed on trading (by reason of movements in price exceeding limits permitted by the relevant stock exchange or otherwise) in the Ordinary Shares or in any options contracts or futures contracts relating to the Ordinary Shares and (ii) the Ordinary Shares are traded on a Trading Market or, if the Ordinary Shares are not then listed on a Trading Market, on the principal other U.S. national or regional securities exchange on which the Ordinary Shares are then listed or, if the Ordinary Shares are not then listed on a U.S. national or regional securities exchange, on the principal other market on which the Ordinary Shares are then traded;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Ordinary Shares are not so listed or traded, “</w:t>
      </w:r>
      <w:r>
        <w:rPr>
          <w:rFonts w:ascii="Arial" w:cs="Arial" w:eastAsia="Arial" w:hAnsi="Arial"/>
          <w:sz w:val="18"/>
          <w:szCs w:val="18"/>
          <w:u w:val="single" w:color="auto"/>
          <w:color w:val="auto"/>
        </w:rPr>
        <w:t>Trading Day</w:t>
      </w:r>
      <w:r>
        <w:rPr>
          <w:rFonts w:ascii="Arial" w:cs="Arial" w:eastAsia="Arial" w:hAnsi="Arial"/>
          <w:sz w:val="18"/>
          <w:szCs w:val="18"/>
          <w:color w:val="auto"/>
        </w:rPr>
        <w:t>” means a business day.</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Ordinary Shares are listed or quoted for trading on the date in question: the NYSE American, the Nasdaq Capital Market, the Nasdaq Global Market, the Nasdaq Global Select Market, the New York Stock Exchange, OTCQB or OTCQX (or any successors to any of the foregoing).</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with respect to the Ordinary Shares, the price determined by the first of the following clauses that applies: (a) if the Ordinary Shares are then listed or quoted on a Trading Market, the daily volume-weighted average price per share of the Ordinary Shares for such date (or the nearest preceding date) on the primary such exchange on which the Ordinary Shares are then listed or quoted as reported by Bloomberg L.P. (based on a Trading Day from 9:30 a.m. (New York City time) to 4:02 p.m. (New York City time)), (b) if the Ordinary Shares are not then listed or quoted for trading on a Trading Market and if prices for the Ordinary Shares are then reported in the “Pink Sheets” published by OTC Markets Group, Inc. (or a similar organization or agency succeeding to its functions of reporting prices), the most recent bid price per share of the Ordinary Shares so reported, or (c) in all other cases, the fair market value of an Ordinary Share, as determined in good faith by the Company’s Board of Directors.</w:t>
      </w:r>
    </w:p>
    <w:p>
      <w:pPr>
        <w:spacing w:after="0" w:line="178" w:lineRule="exact"/>
        <w:rPr>
          <w:sz w:val="20"/>
          <w:szCs w:val="20"/>
          <w:color w:val="auto"/>
        </w:rPr>
      </w:pPr>
    </w:p>
    <w:p>
      <w:pPr>
        <w:jc w:val="both"/>
        <w:ind w:firstLine="8"/>
        <w:spacing w:after="0" w:line="268" w:lineRule="auto"/>
        <w:tabs>
          <w:tab w:leader="none" w:pos="477"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Transfer</w:t>
      </w:r>
      <w:r>
        <w:rPr>
          <w:rFonts w:ascii="Arial" w:cs="Arial" w:eastAsia="Arial" w:hAnsi="Arial"/>
          <w:sz w:val="17"/>
          <w:szCs w:val="17"/>
          <w:color w:val="auto"/>
        </w:rPr>
        <w:t>. The registered Holder of this Purchase Warrant agrees by his, her or its acceptance hereof, that such Holder will not: (a) sell, transfer, assign, pledge or hypothecate this Purchase Warrant for a period of one hundred eighty (180) days following the later of the Effective Date or the commencement of sales of the offering to which this Purchase Warrant relates (the later of such dates, the “</w:t>
      </w:r>
      <w:r>
        <w:rPr>
          <w:rFonts w:ascii="Arial" w:cs="Arial" w:eastAsia="Arial" w:hAnsi="Arial"/>
          <w:sz w:val="17"/>
          <w:szCs w:val="17"/>
          <w:b w:val="1"/>
          <w:bCs w:val="1"/>
          <w:color w:val="auto"/>
        </w:rPr>
        <w:t>Transferability Date</w:t>
      </w:r>
      <w:r>
        <w:rPr>
          <w:rFonts w:ascii="Arial" w:cs="Arial" w:eastAsia="Arial" w:hAnsi="Arial"/>
          <w:sz w:val="17"/>
          <w:szCs w:val="17"/>
          <w:color w:val="auto"/>
        </w:rPr>
        <w:t>”) to anyone other than: (i) Maxim Group LLC (“</w:t>
      </w:r>
      <w:r>
        <w:rPr>
          <w:rFonts w:ascii="Arial" w:cs="Arial" w:eastAsia="Arial" w:hAnsi="Arial"/>
          <w:sz w:val="17"/>
          <w:szCs w:val="17"/>
          <w:b w:val="1"/>
          <w:bCs w:val="1"/>
          <w:color w:val="auto"/>
        </w:rPr>
        <w:t>Maxim</w:t>
      </w:r>
      <w:r>
        <w:rPr>
          <w:rFonts w:ascii="Arial" w:cs="Arial" w:eastAsia="Arial" w:hAnsi="Arial"/>
          <w:sz w:val="17"/>
          <w:szCs w:val="17"/>
          <w:color w:val="auto"/>
        </w:rPr>
        <w:t>”) or an underwriter or a selected dealer participating in the Offering, or (ii) a bona fide officer or partner of Maxim or of any such underwriter or selected dealer, in each case in accordance with FINRA Conduct Rule 5110(g)(1), or (b) cause this Purchase Warrant or the securities issuable hereunder to be the subject of any hedging, short sale, derivative, put or call transaction that would result in the effective economic disposition of this Purchase Warrant or the securities hereunder, except as provided for in FINRA Rule 5110(g)(2). On and after the Transferability Date, transfers to others may be made subject to compliance with or exemptions from applicable securities laws. In order to make any permitted assignment, the Holder must deliver to the Company the assignment form attached hereto duly executed and completed, together with the Purchase Warrant and payment of all transfer taxes, if any, payable in connection therewith. The Company shall within five (5) business days transfer this Purchase Warrant on the books of the Company and shall execute and deliver a new Purchase Warrant or Purchase Warrants of like tenor to the appropriate assignee(s) expressly evidencing the right to purchase the aggregate number of Shares purchasable hereunder or such portion of such number as shall be contemplated by any such assignment. Notwithstanding the foregoing, the registered Holder of this Purchase Warrant agrees by his, her or its acceptance hereof, that such Holder will not sell, transfer, assign, pledge or hypothecate this Purchase Warrant.</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44" w:name="page245"/>
    <w:bookmarkEnd w:id="244"/>
    <w:p>
      <w:pPr>
        <w:ind w:left="460" w:hanging="452"/>
        <w:spacing w:after="0"/>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Grant of Right</w:t>
      </w:r>
      <w:r>
        <w:rPr>
          <w:rFonts w:ascii="Arial" w:cs="Arial" w:eastAsia="Arial" w:hAnsi="Arial"/>
          <w:sz w:val="17"/>
          <w:szCs w:val="17"/>
          <w:color w:val="auto"/>
        </w:rPr>
        <w:t>. Unless a registration statement covering the exercise of this Warrant and the sale of the Shares by the Holder is in effect and available, the Company, upon written demand (a “</w:t>
      </w:r>
      <w:r>
        <w:rPr>
          <w:rFonts w:ascii="Arial" w:cs="Arial" w:eastAsia="Arial" w:hAnsi="Arial"/>
          <w:sz w:val="17"/>
          <w:szCs w:val="17"/>
          <w:b w:val="1"/>
          <w:bCs w:val="1"/>
          <w:color w:val="auto"/>
        </w:rPr>
        <w:t>Demand Notice</w:t>
      </w:r>
      <w:r>
        <w:rPr>
          <w:rFonts w:ascii="Arial" w:cs="Arial" w:eastAsia="Arial" w:hAnsi="Arial"/>
          <w:sz w:val="17"/>
          <w:szCs w:val="17"/>
          <w:color w:val="auto"/>
        </w:rPr>
        <w:t>”) of the Holder(s) of at least 51% of the Purchase Warrants and/or the underlying Shares (“</w:t>
      </w:r>
      <w:r>
        <w:rPr>
          <w:rFonts w:ascii="Arial" w:cs="Arial" w:eastAsia="Arial" w:hAnsi="Arial"/>
          <w:sz w:val="17"/>
          <w:szCs w:val="17"/>
          <w:b w:val="1"/>
          <w:bCs w:val="1"/>
          <w:color w:val="auto"/>
        </w:rPr>
        <w:t>Majority Holders</w:t>
      </w:r>
      <w:r>
        <w:rPr>
          <w:rFonts w:ascii="Arial" w:cs="Arial" w:eastAsia="Arial" w:hAnsi="Arial"/>
          <w:sz w:val="17"/>
          <w:szCs w:val="17"/>
          <w:color w:val="auto"/>
        </w:rPr>
        <w:t>”), agrees to register, on up to two separate occasions, all or any portion of the Shares underlying the Purchase Warrants (collectively, the “</w:t>
      </w:r>
      <w:r>
        <w:rPr>
          <w:rFonts w:ascii="Arial" w:cs="Arial" w:eastAsia="Arial" w:hAnsi="Arial"/>
          <w:sz w:val="17"/>
          <w:szCs w:val="17"/>
          <w:b w:val="1"/>
          <w:bCs w:val="1"/>
          <w:color w:val="auto"/>
        </w:rPr>
        <w:t>Registrable Securities</w:t>
      </w:r>
      <w:r>
        <w:rPr>
          <w:rFonts w:ascii="Arial" w:cs="Arial" w:eastAsia="Arial" w:hAnsi="Arial"/>
          <w:sz w:val="17"/>
          <w:szCs w:val="17"/>
          <w:color w:val="auto"/>
        </w:rPr>
        <w:t>”) (each such registration, a “</w:t>
      </w:r>
      <w:r>
        <w:rPr>
          <w:rFonts w:ascii="Arial" w:cs="Arial" w:eastAsia="Arial" w:hAnsi="Arial"/>
          <w:sz w:val="17"/>
          <w:szCs w:val="17"/>
          <w:b w:val="1"/>
          <w:bCs w:val="1"/>
          <w:color w:val="auto"/>
        </w:rPr>
        <w:t>Demand Registration</w:t>
      </w:r>
      <w:r>
        <w:rPr>
          <w:rFonts w:ascii="Arial" w:cs="Arial" w:eastAsia="Arial" w:hAnsi="Arial"/>
          <w:sz w:val="17"/>
          <w:szCs w:val="17"/>
          <w:color w:val="auto"/>
        </w:rPr>
        <w:t>”). On each such occasion, the Company will file a registration statement with the U.S.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xml:space="preserve">”) covering the Registrable Securities within sixty (60) days after receipt of a Demand Notice and use its reasonable best efforts to have the registration statement declared effective promptly thereafter, subject to compliance with review by the Commission;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comply with a Demand Notice if the Company has filed a registration statement with respect to which the Holder is entitled to piggyback registration rights pursuant to Section 4.2 hereof and either: (i) the Holder has elected to participate in the offering covered by such registration statement or (ii) if such registration statement relates to an underwritten primary offering of securities of the Company, until the offering covered by such registration statement has been withdrawn or until thirty (30) days after such offering is consummated. The demand for registration may be made at any time after the Commencement Date and for a period of no more than five (5) years from the Effective Date or the commencement of sales of the Offering in accordance with FINRA Rule 5110(f)(2)(G)(iv). The Company covenants and agrees to give written notice of its receipt of any Demand Notice by any Holder(s) to all other registered Holders of the Purchase Warrants and/or the Registrable Securities within ten (10) days after the date of the receipt of any such Demand Notice.</w:t>
      </w:r>
    </w:p>
    <w:p>
      <w:pPr>
        <w:spacing w:after="0" w:line="18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Terms</w:t>
      </w:r>
      <w:r>
        <w:rPr>
          <w:rFonts w:ascii="Arial" w:cs="Arial" w:eastAsia="Arial" w:hAnsi="Arial"/>
          <w:sz w:val="16"/>
          <w:szCs w:val="16"/>
          <w:color w:val="auto"/>
        </w:rPr>
        <w:t xml:space="preserve">. With respect to one Demand Registration, the Company shall bear all fees and expenses attendant to such Demand Registration, but the Holders whose Registrable Securities are being registered shall pay any and all underwriting commissions and the expenses of any legal counsel selected by the Holders to represent them in connection with the sale of the Registrable Securities. With respect to one additional Demand Registration, the Holders whose Registrable Securities are being registered shall bear all fees and expenses attendant to such Demand Registration. The Company agrees to use its reasonable best efforts to cause any filings required herein to become effective promptly and to qualify or register the Registrable Securities in such States as are reasonably requested by the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the Company be required to register the Registrable Securities in a State in which such registration would cause: (i) the Company to be obligated to register or license to do business in such State or submit to general service of process in such State, or (ii) the principal shareholders of the Company to be obligated to escrow their shares of capital stock of the Company. The Company shall use its reasonable best efforts to cause any registration statement filed pursuant to the demand right granted under Section 4.1.1 to remain effective for a period of at least twelve (12) consecutive months after the date that the Holders of the Registrable Securities covered by such registration statement are first given the opportunity to sell all of such securities. The Holders shall only use the prospectuses provided by the Company to sell the Shares covered by such registration statement, and will immediately cease to use any prospectus furnished by the Company if the Company advises the Holder that such prospectus may no longer be used due to a material misstatement or omission.</w:t>
      </w:r>
    </w:p>
    <w:p>
      <w:pPr>
        <w:spacing w:after="0" w:line="17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u w:val="single" w:color="auto"/>
          <w:color w:val="auto"/>
        </w:rPr>
        <w:t>“Piggy-Back” Registration</w:t>
      </w:r>
      <w:r>
        <w:rPr>
          <w:rFonts w:ascii="Arial" w:cs="Arial" w:eastAsia="Arial" w:hAnsi="Arial"/>
          <w:sz w:val="17"/>
          <w:szCs w:val="17"/>
          <w:color w:val="auto"/>
        </w:rPr>
        <w:t>.</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Grant of Right</w:t>
      </w:r>
      <w:r>
        <w:rPr>
          <w:rFonts w:ascii="Arial" w:cs="Arial" w:eastAsia="Arial" w:hAnsi="Arial"/>
          <w:sz w:val="18"/>
          <w:szCs w:val="18"/>
          <w:color w:val="auto"/>
        </w:rPr>
        <w:t>. In addition to the demand right of registration described in Section 4.1 hereof, unless a registration statement covering the exercise of this Warrant and the sale of the</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5" w:name="page246"/>
    <w:bookmarkEnd w:id="245"/>
    <w:p>
      <w:pPr>
        <w:jc w:val="both"/>
        <w:spacing w:after="0" w:line="269" w:lineRule="auto"/>
        <w:rPr>
          <w:sz w:val="20"/>
          <w:szCs w:val="20"/>
          <w:color w:val="auto"/>
        </w:rPr>
      </w:pPr>
      <w:r>
        <w:rPr>
          <w:rFonts w:ascii="Arial" w:cs="Arial" w:eastAsia="Arial" w:hAnsi="Arial"/>
          <w:sz w:val="17"/>
          <w:szCs w:val="17"/>
          <w:color w:val="auto"/>
        </w:rPr>
        <w:t>Shares by the Holder is in effect and available, the Holder shall have the right, for a period of no more than seven (7) years from the Effective Date or the commencement of sales of the Offering in accordance with FINRA Rule 5110(f)(2)(G)(v), to include the Registrable Securities as part of any other registration of securities filed by the Company (other than in connection with a transaction contemplated by Rule 145(a) promulgated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xml:space="preserve">”), or pursuant to Form S-8 or any equivalent form);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solely in connection with any primary underwritten public offering for the account of the Company, the managing underwriter(s) thereof shall, in its reasonable discretion, impose a limitation on the number of Ordinary Shares which may be included in the Registration Statement because, in such underwriter(s)’ judgment, marketing or other factors dictate such limitation is necessary to facilitate public distribution, then the Company shall be obligated to include in such Registration Statement only such limited portion of the Registrable Securities with respect to which the Holder requested inclusion hereunder as the underwriter shall reasonably permit. Any exclusion of Registrable Securities shall be made pro rata among the Holders seeking to include Registrable Securities in proportion to the number of Registrable Securities sought to be included by such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exclude any Registrable Securities unless the Company has first excluded all outstanding securities, the holders of which are not entitled to inclusion of such securities in such Registration Statement or are not entitled to pro rata inclusion with the Registrable Securities.</w:t>
      </w:r>
    </w:p>
    <w:p>
      <w:pPr>
        <w:spacing w:after="0" w:line="180"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4.2.2 </w:t>
      </w:r>
      <w:r>
        <w:rPr>
          <w:rFonts w:ascii="Arial" w:cs="Arial" w:eastAsia="Arial" w:hAnsi="Arial"/>
          <w:sz w:val="17"/>
          <w:szCs w:val="17"/>
          <w:u w:val="single" w:color="auto"/>
          <w:color w:val="auto"/>
        </w:rPr>
        <w:t>Terms</w:t>
      </w:r>
      <w:r>
        <w:rPr>
          <w:rFonts w:ascii="Arial" w:cs="Arial" w:eastAsia="Arial" w:hAnsi="Arial"/>
          <w:sz w:val="17"/>
          <w:szCs w:val="17"/>
          <w:color w:val="auto"/>
        </w:rPr>
        <w:t xml:space="preserve">. The Company shall bear all fees and expenses attendant to registering the Registrable Securities pursuant to Section 4.2.1 hereof, but the Holders whose Registrable Securities are being registered shall pay any and all underwriting commissions and the expenses of any legal counsel selected by the Holders to represent them in connection with the sale of the Registrable Securities. In the event of such a proposed registration, the Company shall furnish the then Holders of outstanding Registrable Securities with not less than thirty (30) days written notice prior to the proposed date of filing of such registration statement. Such notice to the Holders shall continue to be given for each registration statement filed by the Company until such time as all of the Registrable Securities have been sold by the Holder. The holders of the Registrable Securities shall exercise the “piggy-back” rights provided for herein by giving written notice within ten (10) days of the receipt of the Company’s notice of its intention to file a registration statement. Except as otherwise provided in this Purchase Warrant, there shall be no limit on the number of times the Holder may request registration under this Section 4.2.2;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registration rights shall terminate on the seventh anniversary of the Effective Date or the commencement of sales of the Offering in accordance with FINRA Rule 5110(f)(2)(G)(v).</w:t>
      </w:r>
    </w:p>
    <w:p>
      <w:pPr>
        <w:spacing w:after="0" w:line="17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u w:val="single" w:color="auto"/>
          <w:color w:val="auto"/>
        </w:rPr>
        <w:t>General Terms</w:t>
      </w:r>
      <w:r>
        <w:rPr>
          <w:rFonts w:ascii="Arial" w:cs="Arial" w:eastAsia="Arial" w:hAnsi="Arial"/>
          <w:sz w:val="15"/>
          <w:szCs w:val="15"/>
          <w:color w:val="auto"/>
        </w:rPr>
        <w:t>.</w:t>
      </w:r>
    </w:p>
    <w:p>
      <w:pPr>
        <w:spacing w:after="0" w:line="225"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Indemnification</w:t>
      </w:r>
      <w:r>
        <w:rPr>
          <w:rFonts w:ascii="Arial" w:cs="Arial" w:eastAsia="Arial" w:hAnsi="Arial"/>
          <w:sz w:val="16"/>
          <w:szCs w:val="16"/>
          <w:color w:val="auto"/>
        </w:rPr>
        <w:t>. The Company shall indemnify the Holder(s) of the Registrable Securities to be sold pursuant to any registration statement hereunder and each person, if any, who controls such Holders within the meaning of Section 15 of the Securities Act or Section 20(a) of the Securities Exchange Act of 1934, as amended (“</w:t>
      </w:r>
      <w:r>
        <w:rPr>
          <w:rFonts w:ascii="Arial" w:cs="Arial" w:eastAsia="Arial" w:hAnsi="Arial"/>
          <w:sz w:val="16"/>
          <w:szCs w:val="16"/>
          <w:b w:val="1"/>
          <w:bCs w:val="1"/>
          <w:color w:val="auto"/>
        </w:rPr>
        <w:t>Exchange Act</w:t>
      </w:r>
      <w:r>
        <w:rPr>
          <w:rFonts w:ascii="Arial" w:cs="Arial" w:eastAsia="Arial" w:hAnsi="Arial"/>
          <w:sz w:val="16"/>
          <w:szCs w:val="16"/>
          <w:color w:val="auto"/>
        </w:rPr>
        <w:t>”), against all loss, claim, damage, expense or liability (including all reasonable attorneys’ fees and other expenses reasonably incurred in investigating, preparing or defending against any claim whatsoever) to which any of them may become subject under the Securities Act, the Exchange Act or otherwise, arising from such registration statement but only to the same extent and with the same effect as the provisions pursuant to which the Company has agreed to indemnify the Underwriters contained in Section 7(a) of the Underwriting Agreement between Maxim Group LLC, as the representative of the several Underwriters named therein in Schedule I attached thereto, and the Company, dated as of [ ], 2018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The Holder(s) of the Registrable Securities to be sold pursuant to such registration statement, and their</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46" w:name="page247"/>
    <w:bookmarkEnd w:id="246"/>
    <w:p>
      <w:pPr>
        <w:jc w:val="both"/>
        <w:spacing w:after="0" w:line="276" w:lineRule="auto"/>
        <w:rPr>
          <w:sz w:val="20"/>
          <w:szCs w:val="20"/>
          <w:color w:val="auto"/>
        </w:rPr>
      </w:pPr>
      <w:r>
        <w:rPr>
          <w:rFonts w:ascii="Arial" w:cs="Arial" w:eastAsia="Arial" w:hAnsi="Arial"/>
          <w:sz w:val="17"/>
          <w:szCs w:val="17"/>
          <w:color w:val="auto"/>
        </w:rPr>
        <w:t>successors and assigns, shall severally, and not jointly, indemnify the Company, against all loss, claim, damage, expense or liability (including all reasonable attorneys’ fees and other expenses reasonably incurred in investigating, preparing or defending against any claim whatsoever) to which they may become subject under the Securities Act, the Exchange Act or otherwise, arising from information furnished by or on behalf of such Holder(s), or their successors or assigns, in writing, for specific inclusion in such registration statement to the same extent and with the same effect as the provisions contained in Section 7(b) of the Underwriting Agreement pursuant to which the Underwriters have agreed to indemnify the Company.</w:t>
      </w:r>
    </w:p>
    <w:p>
      <w:pPr>
        <w:spacing w:after="0" w:line="173"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4.3.2 </w:t>
      </w:r>
      <w:r>
        <w:rPr>
          <w:rFonts w:ascii="Arial" w:cs="Arial" w:eastAsia="Arial" w:hAnsi="Arial"/>
          <w:sz w:val="18"/>
          <w:szCs w:val="18"/>
          <w:u w:val="single" w:color="auto"/>
          <w:color w:val="auto"/>
        </w:rPr>
        <w:t>Exercise of Purchase Warrants</w:t>
      </w:r>
      <w:r>
        <w:rPr>
          <w:rFonts w:ascii="Arial" w:cs="Arial" w:eastAsia="Arial" w:hAnsi="Arial"/>
          <w:sz w:val="18"/>
          <w:szCs w:val="18"/>
          <w:color w:val="auto"/>
        </w:rPr>
        <w:t>. Nothing contained in this Purchase Warrant shall be construed as requiring the Holder(s) to exercise their Purchase Warrants prior to or after the initial filing of any registration statement or the effectiveness thereof.</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4.3.3 </w:t>
      </w:r>
      <w:r>
        <w:rPr>
          <w:rFonts w:ascii="Arial" w:cs="Arial" w:eastAsia="Arial" w:hAnsi="Arial"/>
          <w:sz w:val="16"/>
          <w:szCs w:val="16"/>
          <w:u w:val="single" w:color="auto"/>
          <w:color w:val="auto"/>
        </w:rPr>
        <w:t>Documents Delivered to Holders</w:t>
      </w:r>
      <w:r>
        <w:rPr>
          <w:rFonts w:ascii="Arial" w:cs="Arial" w:eastAsia="Arial" w:hAnsi="Arial"/>
          <w:sz w:val="16"/>
          <w:szCs w:val="16"/>
          <w:color w:val="auto"/>
        </w:rPr>
        <w:t>. The Company shall furnish to each Holder participating in any of the offerings pursuant to Sections 4.1 and 4.2 hereof and to each underwriter of any such offering, if any, a signed counterpart, addressed to such Holder or underwriter, of: (i) if such registration includes an underwritten public offering, an opinion of counsel to the Company, dated the date of the closing under any underwriting agreement related thereto, and (ii) if such registration includes an underwritten public offering, a “cold comfort” letter dated the effective date of such registration statement and a letter dated the date of the closing under the underwriting agreement, signed by the independent registered public accounting firm which has issued a report on the Company’s financial statements included in such registration statement, in each case covering substantially the same matters with respect to such registration statement (and the prospectus included therein) and, in the case of such accountants’ letter, with respect to events subsequent to the date of such financial statements, as are customarily covered in opinions of issuer’s counsel and in accountants’ letters delivered to underwriters in underwritten public offerings of securities. The Company shall also deliver promptly to each Holder participating in the offering requesting the correspondence and memoranda described below and to the managing underwriter, if any, copies of all correspondence between the Commission and the Company, its counsel or auditors and all memoranda relating to discussions with the Commission or its staff with respect to the registration statement and permit each Holder and underwriter to do such investigation, upon reasonable advance notice, with respect to information contained in or omitted from the registration statement as it deems reasonably necessary to comply with applicable securities laws or rules of FINRA. Such investigation shall include access to books, records and properties and opportunities to discuss the business of the Company with its officers and independent auditors, all to such reasonable extent and at such reasonable times as any such Holder shall reasonably request in connection with the underwritten offering.</w:t>
      </w:r>
    </w:p>
    <w:p>
      <w:pPr>
        <w:spacing w:after="0" w:line="16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4.3.4 </w:t>
      </w:r>
      <w:r>
        <w:rPr>
          <w:rFonts w:ascii="Arial" w:cs="Arial" w:eastAsia="Arial" w:hAnsi="Arial"/>
          <w:sz w:val="17"/>
          <w:szCs w:val="17"/>
          <w:u w:val="single" w:color="auto"/>
          <w:color w:val="auto"/>
        </w:rPr>
        <w:t>Underwriting Agreement</w:t>
      </w:r>
      <w:r>
        <w:rPr>
          <w:rFonts w:ascii="Arial" w:cs="Arial" w:eastAsia="Arial" w:hAnsi="Arial"/>
          <w:sz w:val="17"/>
          <w:szCs w:val="17"/>
          <w:color w:val="auto"/>
        </w:rPr>
        <w:t>. The Company shall enter into an underwriting agreement with the managing underwriter(s), if any, selected by Holder(s) of at least 51% of the Registrable Securities being registered pursuant to Section 4.1 and Section 4.2, which managing underwriter(s) shall be reasonably satisfactory to the Company. Such agreement shall be in form and substance reasonably satisfactory to the Company, the Holders whose Registrable Securities are being registered and such managing underwriters, and shall contain such representations, warranties and covenants by the Company and such other terms as are customarily contained in agreements of that type used by the managing underwriter. The Holders shall be parties to any underwriting agreement relating to an underwritten sale of their Registrable Securities and may, at their option, require that any or all the representations, warranties and covenants of the Company to or for the benefit of such underwriters shall also be made to and for the benefit of such Holders. Such Holders shall not be required to make any representations or warranties to or agreements with the Company or the underwriters except as they may relate to such Holders, their Shares and their intended methods of distribution.</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47" w:name="page248"/>
    <w:bookmarkEnd w:id="247"/>
    <w:p>
      <w:pPr>
        <w:jc w:val="both"/>
        <w:ind w:firstLine="1297"/>
        <w:spacing w:after="0" w:line="308" w:lineRule="auto"/>
        <w:rPr>
          <w:sz w:val="20"/>
          <w:szCs w:val="20"/>
          <w:color w:val="auto"/>
        </w:rPr>
      </w:pPr>
      <w:r>
        <w:rPr>
          <w:rFonts w:ascii="Arial" w:cs="Arial" w:eastAsia="Arial" w:hAnsi="Arial"/>
          <w:sz w:val="17"/>
          <w:szCs w:val="17"/>
          <w:color w:val="auto"/>
        </w:rPr>
        <w:t xml:space="preserve">4.3.5 </w:t>
      </w:r>
      <w:r>
        <w:rPr>
          <w:rFonts w:ascii="Arial" w:cs="Arial" w:eastAsia="Arial" w:hAnsi="Arial"/>
          <w:sz w:val="17"/>
          <w:szCs w:val="17"/>
          <w:u w:val="single" w:color="auto"/>
          <w:color w:val="auto"/>
        </w:rPr>
        <w:t>Documents to be Delivered by Holder(s)</w:t>
      </w:r>
      <w:r>
        <w:rPr>
          <w:rFonts w:ascii="Arial" w:cs="Arial" w:eastAsia="Arial" w:hAnsi="Arial"/>
          <w:sz w:val="17"/>
          <w:szCs w:val="17"/>
          <w:color w:val="auto"/>
        </w:rPr>
        <w:t>. Each of the Holder(s) participating in any of the foregoing offerings shall furnish to the Company a completed and executed questionnaire provided by the Company requesting information customarily sought of selling security holders.</w:t>
      </w:r>
    </w:p>
    <w:p>
      <w:pPr>
        <w:spacing w:after="0" w:line="147"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4.3.6 </w:t>
      </w:r>
      <w:r>
        <w:rPr>
          <w:rFonts w:ascii="Arial" w:cs="Arial" w:eastAsia="Arial" w:hAnsi="Arial"/>
          <w:sz w:val="17"/>
          <w:szCs w:val="17"/>
          <w:u w:val="single" w:color="auto"/>
          <w:color w:val="auto"/>
        </w:rPr>
        <w:t>Damages</w:t>
      </w:r>
      <w:r>
        <w:rPr>
          <w:rFonts w:ascii="Arial" w:cs="Arial" w:eastAsia="Arial" w:hAnsi="Arial"/>
          <w:sz w:val="17"/>
          <w:szCs w:val="17"/>
          <w:color w:val="auto"/>
        </w:rPr>
        <w:t>. Should the registration or the effectiveness thereof required by Sections 4.1 and 4.2 hereof be delayed by the Company or the Company otherwise fail to comply with such provisions, the Holder(s) shall, in addition to any other legal or other relief available to the Holder(s), be entitled to obtain specific performance or other equitable (including injunctive) relief against the threatened breach of such provisions or the continuation of any such breach, without the necessity of proving actual damages and without the necessity of posting bond or other security.</w:t>
      </w:r>
    </w:p>
    <w:p>
      <w:pPr>
        <w:spacing w:after="0" w:line="171" w:lineRule="exact"/>
        <w:rPr>
          <w:sz w:val="20"/>
          <w:szCs w:val="20"/>
          <w:color w:val="auto"/>
        </w:rPr>
      </w:pPr>
    </w:p>
    <w:p>
      <w:pPr>
        <w:ind w:left="460" w:hanging="452"/>
        <w:spacing w:after="0"/>
        <w:tabs>
          <w:tab w:leader="none" w:pos="46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New Purchase Warrants to be Issued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Partial Exercise</w:t>
      </w:r>
      <w:r>
        <w:rPr>
          <w:rFonts w:ascii="Arial" w:cs="Arial" w:eastAsia="Arial" w:hAnsi="Arial"/>
          <w:sz w:val="17"/>
          <w:szCs w:val="17"/>
          <w:color w:val="auto"/>
        </w:rPr>
        <w:t>. Subject to the restrictions in Section 3 hereof and the other terms and conditions of this Purchase Warrant, this Purchase Warrant may be exercised in whole or in part, at any time or from time to time, on any business day from the Commencement Date until the Expiration Date. In the event of the exercise hereof in part only, upon surrender of this Purchase Warrant for cancellation, together with the duly exercised exercise form and funds sufficient to pay the Exercise Price pursuant to Section 2.1 hereto, if applicable, the Company shall cause to be delivered to the Holder without charge a new Purchase Warrant of like tenor to this Purchase Warrant in the name of the Holder evidencing the right of the Holder to purchase the number of Shares purchasable hereunder as to which this Purchase Warrant has not been exercised.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Lost Purchase Warrant</w:t>
      </w:r>
      <w:r>
        <w:rPr>
          <w:rFonts w:ascii="Arial" w:cs="Arial" w:eastAsia="Arial" w:hAnsi="Arial"/>
          <w:sz w:val="18"/>
          <w:szCs w:val="18"/>
          <w:color w:val="auto"/>
        </w:rPr>
        <w:t>. Upon receipt by the Company of evidence satisfactory to it of the loss, theft, destruction or mutilation of this Purchase Warrant and of reasonably satisfactory indemnification or the posting of a bond, the Company shall execute and deliver a new Purchase Warrant of like tenor. Any such new Purchase Warrant executed and delivered as a result of such loss, theft, mutilation or destruction shall constitute a substitute contractual obligation on the part of the Company.</w:t>
      </w:r>
    </w:p>
    <w:p>
      <w:pPr>
        <w:spacing w:after="0" w:line="187" w:lineRule="exact"/>
        <w:rPr>
          <w:sz w:val="20"/>
          <w:szCs w:val="20"/>
          <w:color w:val="auto"/>
        </w:rPr>
      </w:pPr>
    </w:p>
    <w:p>
      <w:pPr>
        <w:ind w:left="460" w:hanging="452"/>
        <w:spacing w:after="0"/>
        <w:tabs>
          <w:tab w:leader="none" w:pos="46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Adjustments to Exercise Price and Number of Securities</w:t>
      </w:r>
      <w:r>
        <w:rPr>
          <w:rFonts w:ascii="Arial" w:cs="Arial" w:eastAsia="Arial" w:hAnsi="Arial"/>
          <w:sz w:val="18"/>
          <w:szCs w:val="18"/>
          <w:color w:val="auto"/>
        </w:rPr>
        <w:t>. The Exercise Price and the number of Shares underlying the Purchase Warrant shall be subject to adjustment from time to time as hereinafter set forth:</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Share Dividends; Split Ups</w:t>
      </w:r>
      <w:r>
        <w:rPr>
          <w:rFonts w:ascii="Arial" w:cs="Arial" w:eastAsia="Arial" w:hAnsi="Arial"/>
          <w:sz w:val="18"/>
          <w:szCs w:val="18"/>
          <w:color w:val="auto"/>
        </w:rPr>
        <w:t>. If, after the date hereof, and subject to the provisions of Section 6.3 below, the number of outstanding Shares is increased by a stock dividend payable in Shares or by a split up of Shares or other similar event, then, on the effective day thereof, the number of Shares purchasable hereunder shall be increased in proportion to such increase in outstanding Shares, and the Exercise Price shall be proportionately decreased.</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If, after the date hereof, and subject to the provisions of Section 6.3 below, the number of outstanding Shares is decreased by a consolidation, combination, reverse stock split or reclassification of Shares or other similar event, then, on the effective date thereof, the number of Shares purchasable hereunder shall be decreased in proportion to such decrease in outstanding Shares, and the Exercise Price shall be proportionately increased.</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8" w:name="page249"/>
    <w:bookmarkEnd w:id="248"/>
    <w:p>
      <w:pPr>
        <w:jc w:val="both"/>
        <w:ind w:firstLine="1297"/>
        <w:spacing w:after="0" w:line="269" w:lineRule="auto"/>
        <w:rPr>
          <w:sz w:val="20"/>
          <w:szCs w:val="20"/>
          <w:color w:val="auto"/>
        </w:rPr>
      </w:pPr>
      <w:r>
        <w:rPr>
          <w:rFonts w:ascii="Arial" w:cs="Arial" w:eastAsia="Arial" w:hAnsi="Arial"/>
          <w:sz w:val="17"/>
          <w:szCs w:val="17"/>
          <w:color w:val="auto"/>
        </w:rPr>
        <w:t xml:space="preserve">6.1.3 </w:t>
      </w:r>
      <w:r>
        <w:rPr>
          <w:rFonts w:ascii="Arial" w:cs="Arial" w:eastAsia="Arial" w:hAnsi="Arial"/>
          <w:sz w:val="17"/>
          <w:szCs w:val="17"/>
          <w:u w:val="single" w:color="auto"/>
          <w:color w:val="auto"/>
        </w:rPr>
        <w:t>Replacement of Securities upon Reorganization, etc.</w:t>
      </w:r>
      <w:r>
        <w:rPr>
          <w:rFonts w:ascii="Arial" w:cs="Arial" w:eastAsia="Arial" w:hAnsi="Arial"/>
          <w:sz w:val="17"/>
          <w:szCs w:val="17"/>
          <w:color w:val="auto"/>
        </w:rPr>
        <w:t xml:space="preserve"> In case of any reclassification or reorganization of the outstanding Shares other than a change covered by Section 6.1.1 or 6.1.2 hereof or that solely affects the nominal value of such Shares, or in the case of any merger or consolidation of the Company with or into another corporation (other than a merger or consolidation in which the Company is the continuing corporation and that does not result in any reclassification or reorganization of the outstanding Shares), or in the case of any sale or conveyance to another corporation or entity of the property of the Company as an entirety or substantially as an entirety in connection with which the Company is dissolved, the Holder of this Purchase Warrant shall have the right thereafter (until the expiration of the right of exercise of this Purchase Warrant) to receive upon the exercise hereof, for the same aggregate Exercise Price payable hereunder (as adjusted pursuant to this Section 6.1.3) immediately prior to such event, the kind and amount of shares of stock or other securities or property (including cash) receivable upon such reclassification, reorganization, share reconstruction or amalgamation, or consolidation, or upon a dissolution following any such sale or transfer, by a Holder of the number of Shares obtainable upon exercise of this Purchase Warrant immediately prior to such event. The provisions of this Section 6.1.3 shall similarly apply to successive reclassifications, reorganizations, share reconstructions or amalgamations, or consolidations, sales or other transfers.</w:t>
      </w:r>
    </w:p>
    <w:p>
      <w:pPr>
        <w:spacing w:after="0" w:line="183"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6.1.4 </w:t>
      </w:r>
      <w:r>
        <w:rPr>
          <w:rFonts w:ascii="Arial" w:cs="Arial" w:eastAsia="Arial" w:hAnsi="Arial"/>
          <w:sz w:val="16"/>
          <w:szCs w:val="16"/>
          <w:u w:val="single" w:color="auto"/>
          <w:color w:val="auto"/>
        </w:rPr>
        <w:t>Changes in Form of Purchase Warrant</w:t>
      </w:r>
      <w:r>
        <w:rPr>
          <w:rFonts w:ascii="Arial" w:cs="Arial" w:eastAsia="Arial" w:hAnsi="Arial"/>
          <w:sz w:val="16"/>
          <w:szCs w:val="16"/>
          <w:color w:val="auto"/>
        </w:rPr>
        <w:t>. This form of Purchase Warrant need not be changed because of any change pursuant to this Section 6.1, and Purchase Warrants issued after such change may state the same Exercise Price and the same number of Shares as are stated in the Purchase Warrants initially issued pursuant to this Agreement. The acceptance by any Holder of the issuance of new Purchase Warrants reflecting a required or permissive change shall not be deemed to waive any rights to an adjustment occurring after the Commencement Date or the computation thereof.</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Substitute Purchase Warrant</w:t>
      </w:r>
      <w:r>
        <w:rPr>
          <w:rFonts w:ascii="Arial" w:cs="Arial" w:eastAsia="Arial" w:hAnsi="Arial"/>
          <w:sz w:val="18"/>
          <w:szCs w:val="18"/>
          <w:color w:val="auto"/>
        </w:rPr>
        <w:t>. In case of any merger or consolidation of the Company with or into another corporation (other than a merger or consolidation which does not result in any reclassification or change of the outstanding Shares), the corporation formed by such merger or consolidation shall execute and deliver to the Holder a supplemental Purchase Warrant providing that the holder of each Purchase Warrant then outstanding or to be outstanding shall have the right thereafter (until the stated expiration of such Purchase Warrant) to receive, upon exercise of such Purchase Warrant, the kind and amount of shares of stock and other securities and property receivable upon such merger or consolidation, by a holder of the number of Shares for which such Purchase Warrant might have been exercised immediately prior to such merger or consolidation, sale or transfer. Such supplemental Purchase Warrant shall provide for adjustments which shall be identical to the adjustments provided for in this Section 6. The above provision of this Section shall similarly apply to successive mergers or consolidations.</w:t>
      </w:r>
    </w:p>
    <w:p>
      <w:pPr>
        <w:spacing w:after="0" w:line="19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Calculations</w:t>
      </w:r>
      <w:r>
        <w:rPr>
          <w:rFonts w:ascii="Arial" w:cs="Arial" w:eastAsia="Arial" w:hAnsi="Arial"/>
          <w:sz w:val="16"/>
          <w:szCs w:val="16"/>
          <w:color w:val="auto"/>
        </w:rPr>
        <w:t>. The Company shall make all calculations under this Section 6 to the nearest cent or the nearest 1/100th of a share, as the case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be.</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 Fractional Shares or Scrip</w:t>
      </w:r>
      <w:r>
        <w:rPr>
          <w:rFonts w:ascii="Arial" w:cs="Arial" w:eastAsia="Arial" w:hAnsi="Arial"/>
          <w:sz w:val="18"/>
          <w:szCs w:val="18"/>
          <w:color w:val="auto"/>
        </w:rPr>
        <w:t>. No fractional shares or scrip representing fractional Shares shall be issued upon the exercise of this Purchase Warrant. As to any fraction of a Share which the Holder would otherwise be entitled to purchase upon such exercise, the Company shall, at its election, either pay a cash adjustment in respect of such final fraction in an amount equal to such fraction multiplied by the VWAP as of the date of exercise pursuant to Section 2.1 or 2.2, as applicable, or round up to the next whole Share.</w:t>
      </w:r>
    </w:p>
    <w:p>
      <w:pPr>
        <w:spacing w:after="0" w:line="187" w:lineRule="exact"/>
        <w:rPr>
          <w:sz w:val="20"/>
          <w:szCs w:val="20"/>
          <w:color w:val="auto"/>
        </w:rPr>
      </w:pPr>
    </w:p>
    <w:p>
      <w:pPr>
        <w:ind w:firstLine="8"/>
        <w:spacing w:after="0" w:line="342" w:lineRule="auto"/>
        <w:tabs>
          <w:tab w:leader="none" w:pos="589"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Reservation and Listing</w:t>
      </w:r>
      <w:r>
        <w:rPr>
          <w:rFonts w:ascii="Arial" w:cs="Arial" w:eastAsia="Arial" w:hAnsi="Arial"/>
          <w:sz w:val="16"/>
          <w:szCs w:val="16"/>
          <w:color w:val="auto"/>
        </w:rPr>
        <w:t>. The Company shall at all times reserve and keep available out of its authorized Shares, solely for the purpose of issuance upon exercise of the Purchase Warrants, such number of Shares or other securities, properties or rights as shall be issuable upon the exercise thereof.</w:t>
      </w:r>
    </w:p>
    <w:p>
      <w:pPr>
        <w:spacing w:after="0" w:line="1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9" w:name="page250"/>
    <w:bookmarkEnd w:id="249"/>
    <w:p>
      <w:pPr>
        <w:jc w:val="both"/>
        <w:spacing w:after="0" w:line="297" w:lineRule="auto"/>
        <w:rPr>
          <w:sz w:val="20"/>
          <w:szCs w:val="20"/>
          <w:color w:val="auto"/>
        </w:rPr>
      </w:pPr>
      <w:r>
        <w:rPr>
          <w:rFonts w:ascii="Arial" w:cs="Arial" w:eastAsia="Arial" w:hAnsi="Arial"/>
          <w:sz w:val="16"/>
          <w:szCs w:val="16"/>
          <w:color w:val="auto"/>
        </w:rPr>
        <w:t>The Company covenants and agrees that, upon exercise of the Purchase Warrants and payment of the Exercise Price therefor, in accordance with the terms hereby, all Shares and other securities issuable upon such exercise shall be duly and validly issued, fully paid and non-assessable and not subject to preemptive rights of any shareholder. As long as the Purchase Warrants shall be outstanding, the Company shall use its commercially reasonable efforts to cause all Shares issuable upon exercise of the Purchase Warrants to be listed (subject to official notice of issuance) on all national securities exchanges (or, if applicable, on the OTC Markets or any successor trading market) on which the Shares issued to the public in the Offering may then be listed and/or quoted.</w:t>
      </w:r>
    </w:p>
    <w:p>
      <w:pPr>
        <w:spacing w:after="0" w:line="158" w:lineRule="exact"/>
        <w:rPr>
          <w:sz w:val="20"/>
          <w:szCs w:val="20"/>
          <w:color w:val="auto"/>
        </w:rPr>
      </w:pPr>
    </w:p>
    <w:p>
      <w:pPr>
        <w:ind w:left="460" w:hanging="452"/>
        <w:spacing w:after="0"/>
        <w:tabs>
          <w:tab w:leader="none" w:pos="46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Certain Notice Requirements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Holder’s Right to Receive Notice</w:t>
      </w:r>
      <w:r>
        <w:rPr>
          <w:rFonts w:ascii="Arial" w:cs="Arial" w:eastAsia="Arial" w:hAnsi="Arial"/>
          <w:sz w:val="17"/>
          <w:szCs w:val="17"/>
          <w:color w:val="auto"/>
        </w:rPr>
        <w:t>. Nothing herein shall be construed as conferring upon the Holders the right to vote or consent or to receive notice as a shareholder for the election of directors or any other matter, or as having any rights whatsoever as a shareholder of the Company. If, however, at any time prior to the expiration of the Purchase Warrants and their exercise, any of the events described in Section 8.2 shall occur, then, in one or more of said events, the Company shall give written notice of such event at least fifteen days prior to the date fixed as a record date or the date of closing the transfer books for the determination of the shareholders entitled to such dividend, distribution, conversion or exchange of securities or subscription rights, or entitled to vote on such proposed dissolution, liquidation, winding up or sale. Such notice shall specify such record date or the date of the closing of the transfer books, as the case may be. Notwithstanding the foregoing, the Company shall deliver to each Holder a copy of each notice given to the shareholders of the Company at the same time and in the same manner that such notice is given to the shareholders.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Events Requiring Notice</w:t>
      </w:r>
      <w:r>
        <w:rPr>
          <w:rFonts w:ascii="Arial" w:cs="Arial" w:eastAsia="Arial" w:hAnsi="Arial"/>
          <w:sz w:val="16"/>
          <w:szCs w:val="16"/>
          <w:color w:val="auto"/>
        </w:rPr>
        <w:t>. The Company shall be required to give the notice described in this Section 8 upon one or more of the following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events: (i) if the Company shall take a record of the holders of its Ordinary Shares for the purpose of entitling them to receive a dividend or distribution payable otherwise than in cash, or a cash dividend or distribution payable otherwise than out of retained earnings, as indicated by the accounting treatment of such dividend or distribution on the books of the Company, (ii) the Company shall offer to all the holders of its Ordinary Shares any additional shares of capital stock of the Company or securities convertible into or exchangeable for shares of capital stock of the Company, or any option, right or warrant to subscribe therefor, or (iii) a dissolution, liquidation or winding up of the Company (other than in connection with a consolidation or share reconstruction or amalgamation) or a sale of all or substantially all of its property, assets and business shall be proposed. Failure to give such notice shall not invalidate any such action.</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Notice of Change in Exercise Price</w:t>
      </w:r>
      <w:r>
        <w:rPr>
          <w:rFonts w:ascii="Arial" w:cs="Arial" w:eastAsia="Arial" w:hAnsi="Arial"/>
          <w:sz w:val="16"/>
          <w:szCs w:val="16"/>
          <w:color w:val="auto"/>
        </w:rPr>
        <w:t>. The Company shall, promptly after an event requiring a change in the Exercise Price pursuant to Section 6 hereof, send notice to the Holders of such event and change (“</w:t>
      </w:r>
      <w:r>
        <w:rPr>
          <w:rFonts w:ascii="Arial" w:cs="Arial" w:eastAsia="Arial" w:hAnsi="Arial"/>
          <w:sz w:val="16"/>
          <w:szCs w:val="16"/>
          <w:b w:val="1"/>
          <w:bCs w:val="1"/>
          <w:color w:val="auto"/>
        </w:rPr>
        <w:t>Price Notice</w:t>
      </w:r>
      <w:r>
        <w:rPr>
          <w:rFonts w:ascii="Arial" w:cs="Arial" w:eastAsia="Arial" w:hAnsi="Arial"/>
          <w:sz w:val="16"/>
          <w:szCs w:val="16"/>
          <w:color w:val="auto"/>
        </w:rPr>
        <w:t>”). The Price Notice shall describe the event causing the change and the method of calculating same and shall be certified as being true and accurate by the Company’s Chief Executive Officer or Chief Financial Officer.</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Transmittal of Notices</w:t>
      </w:r>
      <w:r>
        <w:rPr>
          <w:rFonts w:ascii="Arial" w:cs="Arial" w:eastAsia="Arial" w:hAnsi="Arial"/>
          <w:sz w:val="18"/>
          <w:szCs w:val="18"/>
          <w:color w:val="auto"/>
        </w:rPr>
        <w:t>. All notices, requests, consents and other communications under this Purchase Warrant shall be in writing and shall be deemed to have been duly made when hand delivered, or mailed by express mail or private courier service: (i) if to the registered Holder of the Purchase Warrant, to the address of such Holder as shown on the books of the Company, or (ii) if to the Company, to following address or to such other address as the Company may designate by notice to the Holders: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0" w:name="page251"/>
    <w:bookmarkEnd w:id="250"/>
    <w:p>
      <w:pPr>
        <w:ind w:left="660"/>
        <w:spacing w:after="0"/>
        <w:rPr>
          <w:sz w:val="20"/>
          <w:szCs w:val="20"/>
          <w:color w:val="auto"/>
        </w:rPr>
      </w:pPr>
      <w:r>
        <w:rPr>
          <w:rFonts w:ascii="Arial" w:cs="Arial" w:eastAsia="Arial" w:hAnsi="Arial"/>
          <w:sz w:val="18"/>
          <w:szCs w:val="18"/>
          <w:color w:val="auto"/>
        </w:rPr>
        <w:t>If to the Holder:</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Maxim Group LLC</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405 Lexington Avenue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NY 10174</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Attn: Jim Alfaro</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Fax No.: (212) 895-3783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to its agent for service:</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Cogency Global Inc.</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10 E 40th Street, 40th Floor</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New York 10016</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Reference: Entera Bio Ltd.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copy to:</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Email: Notice@enterabio.com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with copy (for informational purposes only) to:</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Michael P. Kaplan, Esq.</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Sophia Hudson, Esq.</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Davis Polk &amp; Wardwell LLP</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1580" w:hanging="438"/>
        <w:spacing w:after="0"/>
        <w:tabs>
          <w:tab w:leader="none" w:pos="15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450-4000</w:t>
      </w:r>
    </w:p>
    <w:p>
      <w:pPr>
        <w:spacing w:after="0" w:line="210"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and</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Yair Geva, Adv.</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Ron Ben Menachem, Adv.</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Tomer Farkash, Adv.</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Herzog Fox &amp; Neeman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4 Weizmann Street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Tel Aviv 6423904, Israel</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+972 (3) 692-2020</w:t>
      </w:r>
    </w:p>
    <w:p>
      <w:pPr>
        <w:spacing w:after="0" w:line="211" w:lineRule="exact"/>
        <w:rPr>
          <w:sz w:val="20"/>
          <w:szCs w:val="20"/>
          <w:color w:val="auto"/>
        </w:rPr>
      </w:pPr>
    </w:p>
    <w:p>
      <w:pPr>
        <w:ind w:left="460" w:hanging="452"/>
        <w:spacing w:after="0"/>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Amendments</w:t>
      </w:r>
      <w:r>
        <w:rPr>
          <w:rFonts w:ascii="Arial" w:cs="Arial" w:eastAsia="Arial" w:hAnsi="Arial"/>
          <w:sz w:val="17"/>
          <w:szCs w:val="17"/>
          <w:color w:val="auto"/>
        </w:rPr>
        <w:t>. The Company and Maxim may from time to time supplement or amend this Purchase Warrant without the approval of any of the Holders in order to cure any ambiguity, to correct or supplement any provision contained herein that may be defective or inconsistent with any other provisions herein, or to make any other provisions in regard to matters or questions arising hereunder that the Company and Maxim may deem necessary or desirable and that the Company and Maxim deem shall not adversely affect the interest of the Holders. All other modifications or amendments shall require the written consent of and be signed by the party against whom enforcement of the modification or amendment is sought.</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the sole purpose of convenience of reference, and shall not in any way limit or affect the meaning or interpretation of any of the terms or provisions of this Purchase Warrant.</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1" w:name="page252"/>
    <w:bookmarkEnd w:id="251"/>
    <w:p>
      <w:pPr>
        <w:jc w:val="both"/>
        <w:ind w:firstLine="648"/>
        <w:spacing w:after="0" w:line="264"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Purchase Warrant (together with the other agreements and documents being delivered pursuant to or in connection with this Purchase Warrant) constitutes the entire agreement of the parties hereto with respect to the subject matter hereof, and supersedes all prior agreements and understandings of the parties, oral and written, with respect to the subject matter hereof.</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Purchase Warrant shall inure solely to the benefit of, and shall be binding upon, the Holder and the Company and their respective successors, permitted assigns and legal representatives, and no other person shall have or be construed to have any legal or equitable right, remedy or claim under or in respect of or by virtue of this Purchase Warrant or any provisions herein contained.</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Governing Law; Submission to Jurisdiction; Trial by Jury</w:t>
      </w:r>
      <w:r>
        <w:rPr>
          <w:rFonts w:ascii="Arial" w:cs="Arial" w:eastAsia="Arial" w:hAnsi="Arial"/>
          <w:sz w:val="18"/>
          <w:szCs w:val="18"/>
          <w:color w:val="auto"/>
        </w:rPr>
        <w:t>. This Purchase Warrant shall be governed by and construed and enforced in accordance with the laws of the State of New York, without giving effect to conflict of laws principles thereof. The Company hereby agrees that any action, proceeding or claim against it arising out of, or relating in any way to this Purchase Warrant shall be brought and enforced in the New York Supreme Court, County of New York, or in the United States District Court for the Southern District of New York, and irrevocably submits to such jurisdiction, which jurisdiction shall be exclusive. The Company hereby waives any objection to such exclusive jurisdiction and that such courts represent an inconvenient forum. The Company and the Holder agree that the prevailing party(ies) in any such action shall be entitled to recover from the other party(ies) all of its reasonable attorneys’ fees and expenses relating to such action or proceeding and/or incurred in connection with the preparation therefor. The Company (on its behalf and, to the extent permitted by applicable law, on behalf of its stockholders and affiliates) and the Holder hereby irrevocably waive, to the fullest extent permitted by applicable law, any and all right to trial by jury in any legal proceeding arising out of or relating to this Agreement or the transactions contemplated hereby.</w:t>
      </w:r>
    </w:p>
    <w:p>
      <w:pPr>
        <w:spacing w:after="0" w:line="19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Waiver, etc</w:t>
      </w:r>
      <w:r>
        <w:rPr>
          <w:rFonts w:ascii="Arial" w:cs="Arial" w:eastAsia="Arial" w:hAnsi="Arial"/>
          <w:sz w:val="17"/>
          <w:szCs w:val="17"/>
          <w:color w:val="auto"/>
        </w:rPr>
        <w:t>. The failure of the Company or the Holder to at any time enforce any of the provisions of this Purchase Warrant shall not be deemed or construed to be a waiver of any such provision, nor to in any way affect the validity of this Purchase Warrant or any provision hereof or the right of the Company or any Holder to thereafter enforce each and every provision of this Purchase Warrant. No waiver of any breach, non-compliance or non-fulfillment of any of the provisions of this Purchase Warrant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Execution in Counterparts</w:t>
      </w:r>
      <w:r>
        <w:rPr>
          <w:rFonts w:ascii="Arial" w:cs="Arial" w:eastAsia="Arial" w:hAnsi="Arial"/>
          <w:sz w:val="17"/>
          <w:szCs w:val="17"/>
          <w:color w:val="auto"/>
        </w:rPr>
        <w:t>. This Purchase Warrant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Such counterparts may be delivered by facsimile transmission or other electronic transmission (i.e. “PDF” or “TIF”, submitted by e-mail).</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Exchange Agreement</w:t>
      </w:r>
      <w:r>
        <w:rPr>
          <w:rFonts w:ascii="Arial" w:cs="Arial" w:eastAsia="Arial" w:hAnsi="Arial"/>
          <w:sz w:val="18"/>
          <w:szCs w:val="18"/>
          <w:color w:val="auto"/>
        </w:rPr>
        <w:t>. As a condition of the Holder’s receipt and acceptance of this Purchase Warrant, Holder agrees that, at any time prior to the complete exercise of this Purchase Warrant by Holder, if the Company and Maxim enter into an agreement (“</w:t>
      </w:r>
      <w:r>
        <w:rPr>
          <w:rFonts w:ascii="Arial" w:cs="Arial" w:eastAsia="Arial" w:hAnsi="Arial"/>
          <w:sz w:val="18"/>
          <w:szCs w:val="18"/>
          <w:b w:val="1"/>
          <w:bCs w:val="1"/>
          <w:color w:val="auto"/>
        </w:rPr>
        <w:t>Exchange Agreement</w:t>
      </w:r>
      <w:r>
        <w:rPr>
          <w:rFonts w:ascii="Arial" w:cs="Arial" w:eastAsia="Arial" w:hAnsi="Arial"/>
          <w:sz w:val="18"/>
          <w:szCs w:val="18"/>
          <w:color w:val="auto"/>
        </w:rPr>
        <w:t>”) pursuant to which they agree that all outstanding Purchase Warrants will be exchanged for securities or cash or a combination of both, then Holder shall agree to such exchange and become a party to the Exchange Agreement.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2" w:name="page253"/>
    <w:bookmarkEnd w:id="252"/>
    <w:p>
      <w:pPr>
        <w:jc w:val="cente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Signature Page Follows</w:t>
      </w:r>
      <w:r>
        <w:rPr>
          <w:rFonts w:ascii="Arial" w:cs="Arial" w:eastAsia="Arial" w:hAnsi="Arial"/>
          <w:sz w:val="15"/>
          <w:szCs w:val="15"/>
          <w:b w:val="1"/>
          <w:bCs w:val="1"/>
          <w:color w:val="auto"/>
        </w:rPr>
        <w:t>]</w:t>
      </w:r>
    </w:p>
    <w:p>
      <w:pPr>
        <w:sectPr>
          <w:pgSz w:w="11900" w:h="16838" w:orient="portrait"/>
          <w:cols w:equalWidth="0" w:num="1">
            <w:col w:w="9019"/>
          </w:cols>
          <w:pgMar w:left="1440" w:top="9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type w:val="continuous"/>
        </w:sectPr>
      </w:pPr>
    </w:p>
    <w:bookmarkStart w:id="253" w:name="page254"/>
    <w:bookmarkEnd w:id="253"/>
    <w:p>
      <w:pPr>
        <w:ind w:left="660"/>
        <w:spacing w:after="0"/>
        <w:rPr>
          <w:sz w:val="20"/>
          <w:szCs w:val="20"/>
          <w:color w:val="auto"/>
        </w:rPr>
      </w:pPr>
      <w:r>
        <w:rPr>
          <w:rFonts w:ascii="Arial" w:cs="Arial" w:eastAsia="Arial" w:hAnsi="Arial"/>
          <w:sz w:val="16"/>
          <w:szCs w:val="16"/>
          <w:color w:val="auto"/>
        </w:rPr>
        <w:t>IN WITNESS WHEREOF, the Company has caused this Purchase Warrant to be signed by its duly authorized officer as of the ____ day of _______,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0" w:lineRule="exact"/>
        <w:rPr>
          <w:sz w:val="20"/>
          <w:szCs w:val="20"/>
          <w:color w:val="auto"/>
        </w:rPr>
      </w:pPr>
    </w:p>
    <w:p>
      <w:pPr>
        <w:spacing w:after="0" w:line="2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ENTERA BIO LTD.</w:t>
      </w:r>
    </w:p>
    <w:p>
      <w:pPr>
        <w:spacing w:after="0" w:line="200" w:lineRule="exact"/>
        <w:rPr>
          <w:sz w:val="20"/>
          <w:szCs w:val="20"/>
          <w:color w:val="auto"/>
        </w:rPr>
      </w:pPr>
    </w:p>
    <w:p>
      <w:pPr>
        <w:spacing w:after="0" w:line="24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-130810</wp:posOffset>
            </wp:positionV>
            <wp:extent cx="23837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3">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254" w:name="page255"/>
    <w:bookmarkEnd w:id="254"/>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Form to be used to exercise Purchase Warrant</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__________, 20___</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undersigned hereby elects irrevocably to exercise the Purchase Warrant for ______ Ordinary Shares (the “</w:t>
      </w:r>
      <w:r>
        <w:rPr>
          <w:rFonts w:ascii="Arial" w:cs="Arial" w:eastAsia="Arial" w:hAnsi="Arial"/>
          <w:sz w:val="16"/>
          <w:szCs w:val="16"/>
          <w:b w:val="1"/>
          <w:bCs w:val="1"/>
          <w:color w:val="auto"/>
        </w:rPr>
        <w:t>Shares</w:t>
      </w:r>
      <w:r>
        <w:rPr>
          <w:rFonts w:ascii="Arial" w:cs="Arial" w:eastAsia="Arial" w:hAnsi="Arial"/>
          <w:sz w:val="16"/>
          <w:szCs w:val="16"/>
          <w:color w:val="auto"/>
        </w:rPr>
        <w:t>”) of Entera Bio Ltd.,</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 Israeli company (the “</w:t>
      </w:r>
      <w:r>
        <w:rPr>
          <w:rFonts w:ascii="Arial" w:cs="Arial" w:eastAsia="Arial" w:hAnsi="Arial"/>
          <w:sz w:val="17"/>
          <w:szCs w:val="17"/>
          <w:b w:val="1"/>
          <w:bCs w:val="1"/>
          <w:color w:val="auto"/>
        </w:rPr>
        <w:t>Company</w:t>
      </w:r>
      <w:r>
        <w:rPr>
          <w:rFonts w:ascii="Arial" w:cs="Arial" w:eastAsia="Arial" w:hAnsi="Arial"/>
          <w:sz w:val="17"/>
          <w:szCs w:val="17"/>
          <w:color w:val="auto"/>
        </w:rPr>
        <w:t>”), and hereby makes payment of $____ (at the rate of $____ per Share) in payment of the Exercise Price</w:t>
      </w:r>
    </w:p>
    <w:p>
      <w:pPr>
        <w:spacing w:after="0" w:line="21" w:lineRule="exact"/>
        <w:rPr>
          <w:sz w:val="20"/>
          <w:szCs w:val="20"/>
          <w:color w:val="auto"/>
        </w:rPr>
      </w:pPr>
    </w:p>
    <w:p>
      <w:pPr>
        <w:ind w:left="660"/>
        <w:spacing w:after="0" w:line="290" w:lineRule="auto"/>
        <w:rPr>
          <w:sz w:val="20"/>
          <w:szCs w:val="20"/>
          <w:color w:val="auto"/>
        </w:rPr>
      </w:pPr>
      <w:r>
        <w:rPr>
          <w:rFonts w:ascii="Arial" w:cs="Arial" w:eastAsia="Arial" w:hAnsi="Arial"/>
          <w:sz w:val="17"/>
          <w:szCs w:val="17"/>
          <w:color w:val="auto"/>
        </w:rPr>
        <w:t>pursuant thereto. Please issue the Shares as to which this Purchase Warrant is exercised in accordance with the instructions given below and, if applicable, a new Purchase Warrant representing the number of Shares for which this Purchase Warrant has not been exercised.</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undersigned hereby elects irrevocably to exercise the Purchase Warrant in respect of an aggregate of _______ Shares for receipt of a</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to be determined in accordance with the cashless exercise formula set forth in Section 2.2 of the Purchase Warrant.</w:t>
      </w:r>
    </w:p>
    <w:p>
      <w:pPr>
        <w:spacing w:after="0" w:line="211" w:lineRule="exact"/>
        <w:rPr>
          <w:sz w:val="20"/>
          <w:szCs w:val="20"/>
          <w:color w:val="auto"/>
        </w:rPr>
      </w:pPr>
    </w:p>
    <w:p>
      <w:pPr>
        <w:ind w:left="660" w:firstLine="648"/>
        <w:spacing w:after="0" w:line="308" w:lineRule="auto"/>
        <w:rPr>
          <w:sz w:val="20"/>
          <w:szCs w:val="20"/>
          <w:color w:val="auto"/>
        </w:rPr>
      </w:pPr>
      <w:r>
        <w:rPr>
          <w:rFonts w:ascii="Arial" w:cs="Arial" w:eastAsia="Arial" w:hAnsi="Arial"/>
          <w:sz w:val="17"/>
          <w:szCs w:val="17"/>
          <w:color w:val="auto"/>
        </w:rPr>
        <w:t>Please issue the Shares deliverable upon the exercise of this Purchase Warrant in accordance with the instructions given below and, if applicable, a new Purchase Warrant representing the number of Shares for which this Purchase Warrant has not been exercised.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Signature </w:t>
      </w:r>
      <w:r>
        <w:rPr>
          <w:rFonts w:ascii="Arial" w:cs="Arial" w:eastAsia="Arial" w:hAnsi="Arial"/>
          <w:sz w:val="18"/>
          <w:szCs w:val="18"/>
          <w:u w:val="single" w:color="auto"/>
          <w:color w:val="auto"/>
        </w:rPr>
        <w:t>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INSTRUCTIONS FOR REGISTRATION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___________________________________________________</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(Print in Block Letters)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546735</wp:posOffset>
            </wp:positionV>
            <wp:extent cx="23926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5">
                      <a:extLst>
                        <a:ext uri="{28A0092B-C50C-407E-A947-70E740481C1C}"/>
                      </a:extLst>
                    </a:blip>
                    <a:srcRect/>
                    <a:stretch>
                      <a:fillRect/>
                    </a:stretch>
                  </pic:blipFill>
                  <pic:spPr bwMode="auto">
                    <a:xfrm>
                      <a:off x="0" y="0"/>
                      <a:ext cx="239268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23926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6">
                      <a:extLst>
                        <a:ext uri="{28A0092B-C50C-407E-A947-70E740481C1C}"/>
                      </a:extLst>
                    </a:blip>
                    <a:srcRect/>
                    <a:stretch>
                      <a:fillRect/>
                    </a:stretch>
                  </pic:blipFill>
                  <pic:spPr bwMode="auto">
                    <a:xfrm>
                      <a:off x="0" y="0"/>
                      <a:ext cx="239268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66040</wp:posOffset>
            </wp:positionV>
            <wp:extent cx="23926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NOTICE: The signature to this form must correspond with the name as written upon the face of the Purchase Warrant without alteration or enlargement or any change whatsoever, and must be guaranteed by a bank, other than a savings bank, or by a trust company or by a firm having membership on a registered national securities exchange.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255" w:name="page256"/>
    <w:bookmarkEnd w:id="255"/>
    <w:p>
      <w:pPr>
        <w:jc w:val="right"/>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165735</wp:posOffset>
            </wp:positionV>
            <wp:extent cx="1191895" cy="10121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9">
                      <a:extLst>
                        <a:ext uri="{28A0092B-C50C-407E-A947-70E740481C1C}"/>
                      </a:extLst>
                    </a:blip>
                    <a:srcRect/>
                    <a:stretch>
                      <a:fillRect/>
                    </a:stretch>
                  </pic:blipFill>
                  <pic:spPr bwMode="auto">
                    <a:xfrm>
                      <a:off x="0" y="0"/>
                      <a:ext cx="1191895" cy="1012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hereby consent to the use in this Amendment No. 4 to the Registration Statement on Form F-1 of Entera Bio Ltd. of our report dated March 30, 2018 relating to the financial statements, which appears in such Registration Statement. We also consent to the reference to us under the heading “Experts" in such Registration Statement.</w:t>
      </w:r>
    </w:p>
    <w:p>
      <w:pPr>
        <w:sectPr>
          <w:pgSz w:w="11900" w:h="16838" w:orient="portrait"/>
          <w:cols w:equalWidth="0" w:num="1">
            <w:col w:w="11420"/>
          </w:cols>
          <w:pgMar w:left="240" w:top="112"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Tel-Aviv, Israel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17, 2018</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Kesselman &amp; Kesselman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(lsr.)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 member firm of PricewaterhouseCoopers International Limited</w:t>
      </w:r>
    </w:p>
    <w:p>
      <w:pPr>
        <w:spacing w:after="0" w:line="200" w:lineRule="exact"/>
        <w:rPr>
          <w:sz w:val="20"/>
          <w:szCs w:val="20"/>
          <w:color w:val="auto"/>
        </w:rPr>
      </w:pPr>
    </w:p>
    <w:p>
      <w:pPr>
        <w:sectPr>
          <w:pgSz w:w="11900" w:h="16838" w:orient="portrait"/>
          <w:cols w:equalWidth="0" w:num="2">
            <w:col w:w="3180" w:space="720"/>
            <w:col w:w="7520"/>
          </w:cols>
          <w:pgMar w:left="240" w:top="11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720"/>
        <w:spacing w:after="0"/>
        <w:rPr>
          <w:sz w:val="20"/>
          <w:szCs w:val="20"/>
          <w:color w:val="auto"/>
        </w:rPr>
      </w:pPr>
      <w:r>
        <w:rPr>
          <w:rFonts w:ascii="Arial" w:cs="Arial" w:eastAsia="Arial" w:hAnsi="Arial"/>
          <w:sz w:val="18"/>
          <w:szCs w:val="18"/>
          <w:i w:val="1"/>
          <w:iCs w:val="1"/>
          <w:color w:val="auto"/>
        </w:rPr>
        <w:t>Kesselman &amp; Kesselman, Trade Tower, 25 Hamered Street, Tel-Aviv 6812508, Israel,</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6"/>
          <w:szCs w:val="16"/>
          <w:i w:val="1"/>
          <w:iCs w:val="1"/>
          <w:color w:val="auto"/>
        </w:rPr>
        <w:t>P.O Box 50005 Tel-Aviv 6150001 Telephone: +972 -3- 7954555, Fax:+972 -3- 7954556, www.pwc.com/il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466090</wp:posOffset>
            </wp:positionV>
            <wp:extent cx="72466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C1016F"/>
    <w:multiLevelType w:val="hybridMultilevel"/>
    <w:lvl w:ilvl="0">
      <w:lvlJc w:val="left"/>
      <w:lvlText w:val="†"/>
      <w:numFmt w:val="bullet"/>
      <w:start w:val="1"/>
    </w:lvl>
  </w:abstractNum>
  <w:abstractNum w:abstractNumId="1">
    <w:nsid w:val="43F18422"/>
    <w:multiLevelType w:val="hybridMultilevel"/>
    <w:lvl w:ilvl="0">
      <w:lvlJc w:val="left"/>
      <w:lvlText w:val="(%1)"/>
      <w:numFmt w:val="decimal"/>
      <w:start w:val="1"/>
    </w:lvl>
  </w:abstractNum>
  <w:abstractNum w:abstractNumId="2">
    <w:nsid w:val="60EF0119"/>
    <w:multiLevelType w:val="hybridMultilevel"/>
    <w:lvl w:ilvl="0">
      <w:lvlJc w:val="left"/>
      <w:lvlText w:val="(%1)"/>
      <w:numFmt w:val="decimal"/>
      <w:start w:val="1"/>
    </w:lvl>
  </w:abstractNum>
  <w:abstractNum w:abstractNumId="3">
    <w:nsid w:val="26F324BA"/>
    <w:multiLevelType w:val="hybridMultilevel"/>
    <w:lvl w:ilvl="0">
      <w:lvlJc w:val="left"/>
      <w:lvlText w:val="•"/>
      <w:numFmt w:val="bullet"/>
      <w:start w:val="1"/>
    </w:lvl>
  </w:abstractNum>
  <w:abstractNum w:abstractNumId="4">
    <w:nsid w:val="7F01579B"/>
    <w:multiLevelType w:val="hybridMultilevel"/>
    <w:lvl w:ilvl="0">
      <w:lvlJc w:val="left"/>
      <w:lvlText w:val="•"/>
      <w:numFmt w:val="bullet"/>
      <w:start w:val="1"/>
    </w:lvl>
  </w:abstractNum>
  <w:abstractNum w:abstractNumId="5">
    <w:nsid w:val="49DA307D"/>
    <w:multiLevelType w:val="hybridMultilevel"/>
    <w:lvl w:ilvl="0">
      <w:lvlJc w:val="left"/>
      <w:lvlText w:val="•"/>
      <w:numFmt w:val="bullet"/>
      <w:start w:val="1"/>
    </w:lvl>
  </w:abstractNum>
  <w:abstractNum w:abstractNumId="6">
    <w:nsid w:val="7055A5F5"/>
    <w:multiLevelType w:val="hybridMultilevel"/>
    <w:lvl w:ilvl="0">
      <w:lvlJc w:val="left"/>
      <w:lvlText w:val="•"/>
      <w:numFmt w:val="bullet"/>
      <w:start w:val="1"/>
    </w:lvl>
  </w:abstractNum>
  <w:abstractNum w:abstractNumId="7">
    <w:nsid w:val="5FB8370B"/>
    <w:multiLevelType w:val="hybridMultilevel"/>
    <w:lvl w:ilvl="0">
      <w:lvlJc w:val="left"/>
      <w:lvlText w:val="•"/>
      <w:numFmt w:val="bullet"/>
      <w:start w:val="1"/>
    </w:lvl>
  </w:abstractNum>
  <w:abstractNum w:abstractNumId="8">
    <w:nsid w:val="50801EE1"/>
    <w:multiLevelType w:val="hybridMultilevel"/>
    <w:lvl w:ilvl="0">
      <w:lvlJc w:val="left"/>
      <w:lvlText w:val="•"/>
      <w:numFmt w:val="bullet"/>
      <w:start w:val="1"/>
    </w:lvl>
  </w:abstractNum>
  <w:abstractNum w:abstractNumId="9">
    <w:nsid w:val="488AC1A"/>
    <w:multiLevelType w:val="hybridMultilevel"/>
    <w:lvl w:ilvl="0">
      <w:lvlJc w:val="left"/>
      <w:lvlText w:val="•"/>
      <w:numFmt w:val="bullet"/>
      <w:start w:val="1"/>
    </w:lvl>
  </w:abstractNum>
  <w:abstractNum w:abstractNumId="10">
    <w:nsid w:val="5FB8011C"/>
    <w:multiLevelType w:val="hybridMultilevel"/>
    <w:lvl w:ilvl="0">
      <w:lvlJc w:val="left"/>
      <w:lvlText w:val="•"/>
      <w:numFmt w:val="bullet"/>
      <w:start w:val="1"/>
    </w:lvl>
  </w:abstractNum>
  <w:abstractNum w:abstractNumId="11">
    <w:nsid w:val="6AA78F7F"/>
    <w:multiLevelType w:val="hybridMultilevel"/>
    <w:lvl w:ilvl="0">
      <w:lvlJc w:val="left"/>
      <w:lvlText w:val="•"/>
      <w:numFmt w:val="bullet"/>
      <w:start w:val="1"/>
    </w:lvl>
  </w:abstractNum>
  <w:abstractNum w:abstractNumId="12">
    <w:nsid w:val="7672BD23"/>
    <w:multiLevelType w:val="hybridMultilevel"/>
    <w:lvl w:ilvl="0">
      <w:lvlJc w:val="left"/>
      <w:lvlText w:val="•"/>
      <w:numFmt w:val="bullet"/>
      <w:start w:val="1"/>
    </w:lvl>
  </w:abstractNum>
  <w:abstractNum w:abstractNumId="13">
    <w:nsid w:val="6FC75AF8"/>
    <w:multiLevelType w:val="hybridMultilevel"/>
    <w:lvl w:ilvl="0">
      <w:lvlJc w:val="left"/>
      <w:lvlText w:val="$"/>
      <w:numFmt w:val="bullet"/>
      <w:start w:val="1"/>
    </w:lvl>
  </w:abstractNum>
  <w:abstractNum w:abstractNumId="14">
    <w:nsid w:val="6A5F7029"/>
    <w:multiLevelType w:val="hybridMultilevel"/>
    <w:lvl w:ilvl="0">
      <w:lvlJc w:val="left"/>
      <w:lvlText w:val="(%1)"/>
      <w:numFmt w:val="decimal"/>
      <w:start w:val="1"/>
    </w:lvl>
  </w:abstractNum>
  <w:abstractNum w:abstractNumId="15">
    <w:nsid w:val="7D5E18F8"/>
    <w:multiLevelType w:val="hybridMultilevel"/>
    <w:lvl w:ilvl="0">
      <w:lvlJc w:val="left"/>
      <w:lvlText w:val="(%1)"/>
      <w:numFmt w:val="decimal"/>
      <w:start w:val="2"/>
    </w:lvl>
  </w:abstractNum>
  <w:abstractNum w:abstractNumId="16">
    <w:nsid w:val="5F3534A4"/>
    <w:multiLevelType w:val="hybridMultilevel"/>
    <w:lvl w:ilvl="0">
      <w:lvlJc w:val="left"/>
      <w:lvlText w:val="•"/>
      <w:numFmt w:val="bullet"/>
      <w:start w:val="1"/>
    </w:lvl>
  </w:abstractNum>
  <w:abstractNum w:abstractNumId="17">
    <w:nsid w:val="73A1821B"/>
    <w:multiLevelType w:val="hybridMultilevel"/>
    <w:lvl w:ilvl="0">
      <w:lvlJc w:val="left"/>
      <w:lvlText w:val="•"/>
      <w:numFmt w:val="bullet"/>
      <w:start w:val="1"/>
    </w:lvl>
  </w:abstractNum>
  <w:abstractNum w:abstractNumId="18">
    <w:nsid w:val="7DE67713"/>
    <w:multiLevelType w:val="hybridMultilevel"/>
    <w:lvl w:ilvl="0">
      <w:lvlJc w:val="left"/>
      <w:lvlText w:val="•"/>
      <w:numFmt w:val="bullet"/>
      <w:start w:val="1"/>
    </w:lvl>
  </w:abstractNum>
  <w:abstractNum w:abstractNumId="19">
    <w:nsid w:val="555C55B5"/>
    <w:multiLevelType w:val="hybridMultilevel"/>
    <w:lvl w:ilvl="0">
      <w:lvlJc w:val="left"/>
      <w:lvlText w:val="•"/>
      <w:numFmt w:val="bullet"/>
      <w:start w:val="1"/>
    </w:lvl>
  </w:abstractNum>
  <w:abstractNum w:abstractNumId="20">
    <w:nsid w:val="3FA62ACA"/>
    <w:multiLevelType w:val="hybridMultilevel"/>
    <w:lvl w:ilvl="0">
      <w:lvlJc w:val="left"/>
      <w:lvlText w:val="•"/>
      <w:numFmt w:val="bullet"/>
      <w:start w:val="1"/>
    </w:lvl>
  </w:abstractNum>
  <w:abstractNum w:abstractNumId="21">
    <w:nsid w:val="14FCE74E"/>
    <w:multiLevelType w:val="hybridMultilevel"/>
    <w:lvl w:ilvl="0">
      <w:lvlJc w:val="left"/>
      <w:lvlText w:val="•"/>
      <w:numFmt w:val="bullet"/>
      <w:start w:val="1"/>
    </w:lvl>
  </w:abstractNum>
  <w:abstractNum w:abstractNumId="22">
    <w:nsid w:val="6A3DD3E8"/>
    <w:multiLevelType w:val="hybridMultilevel"/>
    <w:lvl w:ilvl="0">
      <w:lvlJc w:val="left"/>
      <w:lvlText w:val="•"/>
      <w:numFmt w:val="bullet"/>
      <w:start w:val="1"/>
    </w:lvl>
  </w:abstractNum>
  <w:abstractNum w:abstractNumId="23">
    <w:nsid w:val="71C91298"/>
    <w:multiLevelType w:val="hybridMultilevel"/>
    <w:lvl w:ilvl="0">
      <w:lvlJc w:val="left"/>
      <w:lvlText w:val="•"/>
      <w:numFmt w:val="bullet"/>
      <w:start w:val="1"/>
    </w:lvl>
  </w:abstractNum>
  <w:abstractNum w:abstractNumId="24">
    <w:nsid w:val="9DAF632"/>
    <w:multiLevelType w:val="hybridMultilevel"/>
    <w:lvl w:ilvl="0">
      <w:lvlJc w:val="left"/>
      <w:lvlText w:val="•"/>
      <w:numFmt w:val="bullet"/>
      <w:start w:val="1"/>
    </w:lvl>
  </w:abstractNum>
  <w:abstractNum w:abstractNumId="25">
    <w:nsid w:val="53299938"/>
    <w:multiLevelType w:val="hybridMultilevel"/>
    <w:lvl w:ilvl="0">
      <w:lvlJc w:val="left"/>
      <w:lvlText w:val="•"/>
      <w:numFmt w:val="bullet"/>
      <w:start w:val="1"/>
    </w:lvl>
  </w:abstractNum>
  <w:abstractNum w:abstractNumId="26">
    <w:nsid w:val="1FBFE8E0"/>
    <w:multiLevelType w:val="hybridMultilevel"/>
    <w:lvl w:ilvl="0">
      <w:lvlJc w:val="left"/>
      <w:lvlText w:val="•"/>
      <w:numFmt w:val="bullet"/>
      <w:start w:val="1"/>
    </w:lvl>
  </w:abstractNum>
  <w:abstractNum w:abstractNumId="27">
    <w:nsid w:val="5092CA79"/>
    <w:multiLevelType w:val="hybridMultilevel"/>
    <w:lvl w:ilvl="0">
      <w:lvlJc w:val="left"/>
      <w:lvlText w:val="•"/>
      <w:numFmt w:val="bullet"/>
      <w:start w:val="1"/>
    </w:lvl>
  </w:abstractNum>
  <w:abstractNum w:abstractNumId="28">
    <w:nsid w:val="1D545C4D"/>
    <w:multiLevelType w:val="hybridMultilevel"/>
    <w:lvl w:ilvl="0">
      <w:lvlJc w:val="left"/>
      <w:lvlText w:val="•"/>
      <w:numFmt w:val="bullet"/>
      <w:start w:val="1"/>
    </w:lvl>
  </w:abstractNum>
  <w:abstractNum w:abstractNumId="29">
    <w:nsid w:val="59ADEA3D"/>
    <w:multiLevelType w:val="hybridMultilevel"/>
    <w:lvl w:ilvl="0">
      <w:lvlJc w:val="left"/>
      <w:lvlText w:val="•"/>
      <w:numFmt w:val="bullet"/>
      <w:start w:val="1"/>
    </w:lvl>
  </w:abstractNum>
  <w:abstractNum w:abstractNumId="30">
    <w:nsid w:val="288F1A34"/>
    <w:multiLevelType w:val="hybridMultilevel"/>
    <w:lvl w:ilvl="0">
      <w:lvlJc w:val="left"/>
      <w:lvlText w:val="•"/>
      <w:numFmt w:val="bullet"/>
      <w:start w:val="1"/>
    </w:lvl>
  </w:abstractNum>
  <w:abstractNum w:abstractNumId="31">
    <w:nsid w:val="2A155DBC"/>
    <w:multiLevelType w:val="hybridMultilevel"/>
    <w:lvl w:ilvl="0">
      <w:lvlJc w:val="left"/>
      <w:lvlText w:val="•"/>
      <w:numFmt w:val="bullet"/>
      <w:start w:val="1"/>
    </w:lvl>
  </w:abstractNum>
  <w:abstractNum w:abstractNumId="32">
    <w:nsid w:val="1D9F6E5F"/>
    <w:multiLevelType w:val="hybridMultilevel"/>
    <w:lvl w:ilvl="0">
      <w:lvlJc w:val="left"/>
      <w:lvlText w:val="•"/>
      <w:numFmt w:val="bullet"/>
      <w:start w:val="1"/>
    </w:lvl>
  </w:abstractNum>
  <w:abstractNum w:abstractNumId="33">
    <w:nsid w:val="97E1B4E"/>
    <w:multiLevelType w:val="hybridMultilevel"/>
    <w:lvl w:ilvl="0">
      <w:lvlJc w:val="left"/>
      <w:lvlText w:val="•"/>
      <w:numFmt w:val="bullet"/>
      <w:start w:val="1"/>
    </w:lvl>
  </w:abstractNum>
  <w:abstractNum w:abstractNumId="34">
    <w:nsid w:val="51088277"/>
    <w:multiLevelType w:val="hybridMultilevel"/>
    <w:lvl w:ilvl="0">
      <w:lvlJc w:val="left"/>
      <w:lvlText w:val="•"/>
      <w:numFmt w:val="bullet"/>
      <w:start w:val="1"/>
    </w:lvl>
  </w:abstractNum>
  <w:abstractNum w:abstractNumId="35">
    <w:nsid w:val="1CA0C5FA"/>
    <w:multiLevelType w:val="hybridMultilevel"/>
    <w:lvl w:ilvl="0">
      <w:lvlJc w:val="left"/>
      <w:lvlText w:val="•"/>
      <w:numFmt w:val="bullet"/>
      <w:start w:val="1"/>
    </w:lvl>
  </w:abstractNum>
  <w:abstractNum w:abstractNumId="36">
    <w:nsid w:val="53584BCB"/>
    <w:multiLevelType w:val="hybridMultilevel"/>
    <w:lvl w:ilvl="0">
      <w:lvlJc w:val="left"/>
      <w:lvlText w:val="•"/>
      <w:numFmt w:val="bullet"/>
      <w:start w:val="1"/>
    </w:lvl>
  </w:abstractNum>
  <w:abstractNum w:abstractNumId="37">
    <w:nsid w:val="415E286C"/>
    <w:multiLevelType w:val="hybridMultilevel"/>
    <w:lvl w:ilvl="0">
      <w:lvlJc w:val="left"/>
      <w:lvlText w:val="*"/>
      <w:numFmt w:val="bullet"/>
      <w:start w:val="1"/>
    </w:lvl>
  </w:abstractNum>
  <w:abstractNum w:abstractNumId="38">
    <w:nsid w:val="7C58FD05"/>
    <w:multiLevelType w:val="hybridMultilevel"/>
    <w:lvl w:ilvl="0">
      <w:lvlJc w:val="left"/>
      <w:lvlText w:val="•"/>
      <w:numFmt w:val="bullet"/>
      <w:start w:val="1"/>
    </w:lvl>
  </w:abstractNum>
  <w:abstractNum w:abstractNumId="39">
    <w:nsid w:val="23D86AAC"/>
    <w:multiLevelType w:val="hybridMultilevel"/>
    <w:lvl w:ilvl="0">
      <w:lvlJc w:val="left"/>
      <w:lvlText w:val="(%1)"/>
      <w:numFmt w:val="decimal"/>
      <w:start w:val="1"/>
    </w:lvl>
  </w:abstractNum>
  <w:abstractNum w:abstractNumId="40">
    <w:nsid w:val="45E6D486"/>
    <w:multiLevelType w:val="hybridMultilevel"/>
    <w:lvl w:ilvl="0">
      <w:lvlJc w:val="left"/>
      <w:lvlText w:val="(%1)"/>
      <w:numFmt w:val="decimal"/>
      <w:start w:val="1"/>
    </w:lvl>
  </w:abstractNum>
  <w:abstractNum w:abstractNumId="41">
    <w:nsid w:val="5C10FE21"/>
    <w:multiLevelType w:val="hybridMultilevel"/>
    <w:lvl w:ilvl="0">
      <w:lvlJc w:val="left"/>
      <w:lvlText w:val="•"/>
      <w:numFmt w:val="bullet"/>
      <w:start w:val="1"/>
    </w:lvl>
  </w:abstractNum>
  <w:abstractNum w:abstractNumId="42">
    <w:nsid w:val="E7FFA2B"/>
    <w:multiLevelType w:val="hybridMultilevel"/>
    <w:lvl w:ilvl="0">
      <w:lvlJc w:val="left"/>
      <w:lvlText w:val="•"/>
      <w:numFmt w:val="bullet"/>
      <w:start w:val="1"/>
    </w:lvl>
  </w:abstractNum>
  <w:abstractNum w:abstractNumId="43">
    <w:nsid w:val="3C5991AA"/>
    <w:multiLevelType w:val="hybridMultilevel"/>
    <w:lvl w:ilvl="0">
      <w:lvlJc w:val="left"/>
      <w:lvlText w:val="*"/>
      <w:numFmt w:val="bullet"/>
      <w:start w:val="1"/>
    </w:lvl>
  </w:abstractNum>
  <w:abstractNum w:abstractNumId="44">
    <w:nsid w:val="4BD8591A"/>
    <w:multiLevelType w:val="hybridMultilevel"/>
    <w:lvl w:ilvl="0">
      <w:lvlJc w:val="left"/>
      <w:lvlText w:val="(%1)"/>
      <w:numFmt w:val="decimal"/>
      <w:start w:val="1"/>
    </w:lvl>
  </w:abstractNum>
  <w:abstractNum w:abstractNumId="45">
    <w:nsid w:val="78DF6A55"/>
    <w:multiLevelType w:val="hybridMultilevel"/>
    <w:lvl w:ilvl="0">
      <w:lvlJc w:val="left"/>
      <w:lvlText w:val="•"/>
      <w:numFmt w:val="bullet"/>
      <w:start w:val="1"/>
    </w:lvl>
  </w:abstractNum>
  <w:abstractNum w:abstractNumId="46">
    <w:nsid w:val="39B7AAA2"/>
    <w:multiLevelType w:val="hybridMultilevel"/>
    <w:lvl w:ilvl="0">
      <w:lvlJc w:val="left"/>
      <w:lvlText w:val="•"/>
      <w:numFmt w:val="bullet"/>
      <w:start w:val="1"/>
    </w:lvl>
  </w:abstractNum>
  <w:abstractNum w:abstractNumId="47">
    <w:nsid w:val="2B0D8DBE"/>
    <w:multiLevelType w:val="hybridMultilevel"/>
    <w:lvl w:ilvl="0">
      <w:lvlJc w:val="left"/>
      <w:lvlText w:val="•"/>
      <w:numFmt w:val="bullet"/>
      <w:start w:val="1"/>
    </w:lvl>
  </w:abstractNum>
  <w:abstractNum w:abstractNumId="48">
    <w:nsid w:val="6C80EC70"/>
    <w:multiLevelType w:val="hybridMultilevel"/>
    <w:lvl w:ilvl="0">
      <w:lvlJc w:val="left"/>
      <w:lvlText w:val="•"/>
      <w:numFmt w:val="bullet"/>
      <w:start w:val="1"/>
    </w:lvl>
  </w:abstractNum>
  <w:abstractNum w:abstractNumId="49">
    <w:nsid w:val="379E21B5"/>
    <w:multiLevelType w:val="hybridMultilevel"/>
    <w:lvl w:ilvl="0">
      <w:lvlJc w:val="left"/>
      <w:lvlText w:val="•"/>
      <w:numFmt w:val="bullet"/>
      <w:start w:val="1"/>
    </w:lvl>
  </w:abstractNum>
  <w:abstractNum w:abstractNumId="50">
    <w:nsid w:val="69E373"/>
    <w:multiLevelType w:val="hybridMultilevel"/>
    <w:lvl w:ilvl="0">
      <w:lvlJc w:val="left"/>
      <w:lvlText w:val="•"/>
      <w:numFmt w:val="bullet"/>
      <w:start w:val="1"/>
    </w:lvl>
  </w:abstractNum>
  <w:abstractNum w:abstractNumId="51">
    <w:nsid w:val="2C27173B"/>
    <w:multiLevelType w:val="hybridMultilevel"/>
    <w:lvl w:ilvl="0">
      <w:lvlJc w:val="left"/>
      <w:lvlText w:val="(%1)"/>
      <w:numFmt w:val="decimal"/>
      <w:start w:val="1"/>
    </w:lvl>
  </w:abstractNum>
  <w:abstractNum w:abstractNumId="52">
    <w:nsid w:val="4C9B0904"/>
    <w:multiLevelType w:val="hybridMultilevel"/>
    <w:lvl w:ilvl="0">
      <w:lvlJc w:val="left"/>
      <w:lvlText w:val="•"/>
      <w:numFmt w:val="bullet"/>
      <w:start w:val="1"/>
    </w:lvl>
  </w:abstractNum>
  <w:abstractNum w:abstractNumId="53">
    <w:nsid w:val="6AA7B75C"/>
    <w:multiLevelType w:val="hybridMultilevel"/>
    <w:lvl w:ilvl="0">
      <w:lvlJc w:val="left"/>
      <w:lvlText w:val="•"/>
      <w:numFmt w:val="bullet"/>
      <w:start w:val="1"/>
    </w:lvl>
  </w:abstractNum>
  <w:abstractNum w:abstractNumId="54">
    <w:nsid w:val="1DF029D3"/>
    <w:multiLevelType w:val="hybridMultilevel"/>
    <w:lvl w:ilvl="0">
      <w:lvlJc w:val="left"/>
      <w:lvlText w:val="•"/>
      <w:numFmt w:val="bullet"/>
      <w:start w:val="1"/>
    </w:lvl>
  </w:abstractNum>
  <w:abstractNum w:abstractNumId="55">
    <w:nsid w:val="5675FF36"/>
    <w:multiLevelType w:val="hybridMultilevel"/>
    <w:lvl w:ilvl="0">
      <w:lvlJc w:val="left"/>
      <w:lvlText w:val="•"/>
      <w:numFmt w:val="bullet"/>
      <w:start w:val="1"/>
    </w:lvl>
  </w:abstractNum>
  <w:abstractNum w:abstractNumId="56">
    <w:nsid w:val="3DD15094"/>
    <w:multiLevelType w:val="hybridMultilevel"/>
    <w:lvl w:ilvl="0">
      <w:lvlJc w:val="left"/>
      <w:lvlText w:val="•"/>
      <w:numFmt w:val="bullet"/>
      <w:start w:val="1"/>
    </w:lvl>
  </w:abstractNum>
  <w:abstractNum w:abstractNumId="57">
    <w:nsid w:val="3DB012B3"/>
    <w:multiLevelType w:val="hybridMultilevel"/>
    <w:lvl w:ilvl="0">
      <w:lvlJc w:val="left"/>
      <w:lvlText w:val="•"/>
      <w:numFmt w:val="bullet"/>
      <w:start w:val="1"/>
    </w:lvl>
  </w:abstractNum>
  <w:abstractNum w:abstractNumId="58">
    <w:nsid w:val="2708C9AF"/>
    <w:multiLevelType w:val="hybridMultilevel"/>
    <w:lvl w:ilvl="0">
      <w:lvlJc w:val="left"/>
      <w:lvlText w:val="•"/>
      <w:numFmt w:val="bullet"/>
      <w:start w:val="1"/>
    </w:lvl>
  </w:abstractNum>
  <w:abstractNum w:abstractNumId="59">
    <w:nsid w:val="5B25ACE2"/>
    <w:multiLevelType w:val="hybridMultilevel"/>
    <w:lvl w:ilvl="0">
      <w:lvlJc w:val="left"/>
      <w:lvlText w:val="•"/>
      <w:numFmt w:val="bullet"/>
      <w:start w:val="1"/>
    </w:lvl>
    <w:lvl w:ilvl="1">
      <w:lvlJc w:val="left"/>
      <w:lvlText w:val="•"/>
      <w:numFmt w:val="bullet"/>
      <w:start w:val="1"/>
    </w:lvl>
  </w:abstractNum>
  <w:abstractNum w:abstractNumId="60">
    <w:nsid w:val="175DFCF0"/>
    <w:multiLevelType w:val="hybridMultilevel"/>
    <w:lvl w:ilvl="0">
      <w:lvlJc w:val="left"/>
      <w:lvlText w:val="•"/>
      <w:numFmt w:val="bullet"/>
      <w:start w:val="1"/>
    </w:lvl>
  </w:abstractNum>
  <w:abstractNum w:abstractNumId="61">
    <w:nsid w:val="4F97E3E4"/>
    <w:multiLevelType w:val="hybridMultilevel"/>
    <w:lvl w:ilvl="0">
      <w:lvlJc w:val="left"/>
      <w:lvlText w:val="(%1)"/>
      <w:numFmt w:val="decimal"/>
      <w:start w:val="2"/>
    </w:lvl>
  </w:abstractNum>
  <w:abstractNum w:abstractNumId="62">
    <w:nsid w:val="53B0A9E"/>
    <w:multiLevelType w:val="hybridMultilevel"/>
    <w:lvl w:ilvl="0">
      <w:lvlJc w:val="left"/>
      <w:lvlText w:val="•"/>
      <w:numFmt w:val="bullet"/>
      <w:start w:val="1"/>
    </w:lvl>
  </w:abstractNum>
  <w:abstractNum w:abstractNumId="63">
    <w:nsid w:val="34FD6B4F"/>
    <w:multiLevelType w:val="hybridMultilevel"/>
    <w:lvl w:ilvl="0">
      <w:lvlJc w:val="left"/>
      <w:lvlText w:val="(%1)"/>
      <w:numFmt w:val="decimal"/>
      <w:start w:val="1"/>
    </w:lvl>
  </w:abstractNum>
  <w:abstractNum w:abstractNumId="64">
    <w:nsid w:val="5915FF32"/>
    <w:multiLevelType w:val="hybridMultilevel"/>
    <w:lvl w:ilvl="0">
      <w:lvlJc w:val="left"/>
      <w:lvlText w:val="•"/>
      <w:numFmt w:val="bullet"/>
      <w:start w:val="1"/>
    </w:lvl>
  </w:abstractNum>
  <w:abstractNum w:abstractNumId="65">
    <w:nsid w:val="56438D15"/>
    <w:multiLevelType w:val="hybridMultilevel"/>
    <w:lvl w:ilvl="0">
      <w:lvlJc w:val="left"/>
      <w:lvlText w:val="•"/>
      <w:numFmt w:val="bullet"/>
      <w:start w:val="1"/>
    </w:lvl>
  </w:abstractNum>
  <w:abstractNum w:abstractNumId="66">
    <w:nsid w:val="519E3149"/>
    <w:multiLevelType w:val="hybridMultilevel"/>
    <w:lvl w:ilvl="0">
      <w:lvlJc w:val="left"/>
      <w:lvlText w:val="•"/>
      <w:numFmt w:val="bullet"/>
      <w:start w:val="1"/>
    </w:lvl>
  </w:abstractNum>
  <w:abstractNum w:abstractNumId="67">
    <w:nsid w:val="2C6E4AFD"/>
    <w:multiLevelType w:val="hybridMultilevel"/>
    <w:lvl w:ilvl="0">
      <w:lvlJc w:val="left"/>
      <w:lvlText w:val="•"/>
      <w:numFmt w:val="bullet"/>
      <w:start w:val="1"/>
    </w:lvl>
  </w:abstractNum>
  <w:abstractNum w:abstractNumId="68">
    <w:nsid w:val="17A1B582"/>
    <w:multiLevelType w:val="hybridMultilevel"/>
    <w:lvl w:ilvl="0">
      <w:lvlJc w:val="left"/>
      <w:lvlText w:val="•"/>
      <w:numFmt w:val="bullet"/>
      <w:start w:val="1"/>
    </w:lvl>
  </w:abstractNum>
  <w:abstractNum w:abstractNumId="69">
    <w:nsid w:val="4DF72E4E"/>
    <w:multiLevelType w:val="hybridMultilevel"/>
    <w:lvl w:ilvl="0">
      <w:lvlJc w:val="left"/>
      <w:lvlText w:val="(%1)"/>
      <w:numFmt w:val="decimal"/>
      <w:start w:val="1"/>
    </w:lvl>
  </w:abstractNum>
  <w:abstractNum w:abstractNumId="70">
    <w:nsid w:val="5046B5A9"/>
    <w:multiLevelType w:val="hybridMultilevel"/>
    <w:lvl w:ilvl="0">
      <w:lvlJc w:val="left"/>
      <w:lvlText w:val="(%1)"/>
      <w:numFmt w:val="decimal"/>
      <w:start w:val="2"/>
    </w:lvl>
  </w:abstractNum>
  <w:abstractNum w:abstractNumId="71">
    <w:nsid w:val="5D888A08"/>
    <w:multiLevelType w:val="hybridMultilevel"/>
    <w:lvl w:ilvl="0">
      <w:lvlJc w:val="left"/>
      <w:lvlText w:val="(%1)"/>
      <w:numFmt w:val="lowerRoman"/>
      <w:start w:val="5"/>
    </w:lvl>
  </w:abstractNum>
  <w:abstractNum w:abstractNumId="72">
    <w:nsid w:val="2A082C70"/>
    <w:multiLevelType w:val="hybridMultilevel"/>
    <w:lvl w:ilvl="0">
      <w:lvlJc w:val="left"/>
      <w:lvlText w:val="\emdash "/>
      <w:numFmt w:val="bullet"/>
      <w:start w:val="1"/>
    </w:lvl>
  </w:abstractNum>
  <w:abstractNum w:abstractNumId="73">
    <w:nsid w:val="5EC6AFD4"/>
    <w:multiLevelType w:val="hybridMultilevel"/>
    <w:lvl w:ilvl="0">
      <w:lvlJc w:val="left"/>
      <w:lvlText w:val="•"/>
      <w:numFmt w:val="bullet"/>
      <w:start w:val="1"/>
    </w:lvl>
  </w:abstractNum>
  <w:abstractNum w:abstractNumId="74">
    <w:nsid w:val="19E21BB2"/>
    <w:multiLevelType w:val="hybridMultilevel"/>
    <w:lvl w:ilvl="0">
      <w:lvlJc w:val="left"/>
      <w:lvlText w:val="•"/>
      <w:numFmt w:val="bullet"/>
      <w:start w:val="1"/>
    </w:lvl>
  </w:abstractNum>
  <w:abstractNum w:abstractNumId="75">
    <w:nsid w:val="75E0858A"/>
    <w:multiLevelType w:val="hybridMultilevel"/>
    <w:lvl w:ilvl="0">
      <w:lvlJc w:val="left"/>
      <w:lvlText w:val="*"/>
      <w:numFmt w:val="bullet"/>
      <w:start w:val="1"/>
    </w:lvl>
  </w:abstractNum>
  <w:abstractNum w:abstractNumId="76">
    <w:nsid w:val="57A61A29"/>
    <w:multiLevelType w:val="hybridMultilevel"/>
    <w:lvl w:ilvl="0">
      <w:lvlJc w:val="left"/>
      <w:lvlText w:val="(%1)"/>
      <w:numFmt w:val="decimal"/>
      <w:start w:val="1"/>
    </w:lvl>
  </w:abstractNum>
  <w:abstractNum w:abstractNumId="77">
    <w:nsid w:val="5399C654"/>
    <w:multiLevelType w:val="hybridMultilevel"/>
    <w:lvl w:ilvl="0">
      <w:lvlJc w:val="left"/>
      <w:lvlText w:val="(%1)"/>
      <w:numFmt w:val="decimal"/>
      <w:start w:val="7"/>
    </w:lvl>
  </w:abstractNum>
  <w:abstractNum w:abstractNumId="78">
    <w:nsid w:val="20EE1348"/>
    <w:multiLevelType w:val="hybridMultilevel"/>
    <w:lvl w:ilvl="0">
      <w:lvlJc w:val="left"/>
      <w:lvlText w:val="(%1)"/>
      <w:numFmt w:val="decimal"/>
      <w:start w:val="10"/>
    </w:lvl>
  </w:abstractNum>
  <w:abstractNum w:abstractNumId="79">
    <w:nsid w:val="4427069A"/>
    <w:multiLevelType w:val="hybridMultilevel"/>
    <w:lvl w:ilvl="0">
      <w:lvlJc w:val="left"/>
      <w:lvlText w:val="(%1)"/>
      <w:numFmt w:val="decimal"/>
      <w:start w:val="13"/>
    </w:lvl>
  </w:abstractNum>
  <w:abstractNum w:abstractNumId="80">
    <w:nsid w:val="B37E80A"/>
    <w:multiLevelType w:val="hybridMultilevel"/>
    <w:lvl w:ilvl="0">
      <w:lvlJc w:val="left"/>
      <w:lvlText w:val="(%1)"/>
      <w:numFmt w:val="decimal"/>
      <w:start w:val="16"/>
    </w:lvl>
  </w:abstractNum>
  <w:abstractNum w:abstractNumId="81">
    <w:nsid w:val="2157F6BC"/>
    <w:multiLevelType w:val="hybridMultilevel"/>
    <w:lvl w:ilvl="0">
      <w:lvlJc w:val="left"/>
      <w:lvlText w:val="•"/>
      <w:numFmt w:val="bullet"/>
      <w:start w:val="1"/>
    </w:lvl>
  </w:abstractNum>
  <w:abstractNum w:abstractNumId="82">
    <w:nsid w:val="704E1DD5"/>
    <w:multiLevelType w:val="hybridMultilevel"/>
    <w:lvl w:ilvl="0">
      <w:lvlJc w:val="left"/>
      <w:lvlText w:val="(%1)"/>
      <w:numFmt w:val="lowerRoman"/>
      <w:start w:val="1"/>
    </w:lvl>
  </w:abstractNum>
  <w:abstractNum w:abstractNumId="83">
    <w:nsid w:val="57D2F10E"/>
    <w:multiLevelType w:val="hybridMultilevel"/>
    <w:lvl w:ilvl="0">
      <w:lvlJc w:val="left"/>
      <w:lvlText w:val="•"/>
      <w:numFmt w:val="bullet"/>
      <w:start w:val="1"/>
    </w:lvl>
  </w:abstractNum>
  <w:abstractNum w:abstractNumId="84">
    <w:nsid w:val="BFFAE18"/>
    <w:multiLevelType w:val="hybridMultilevel"/>
    <w:lvl w:ilvl="0">
      <w:lvlJc w:val="left"/>
      <w:lvlText w:val="•"/>
      <w:numFmt w:val="bullet"/>
      <w:start w:val="1"/>
    </w:lvl>
  </w:abstractNum>
  <w:abstractNum w:abstractNumId="85">
    <w:nsid w:val="E3E47A8"/>
    <w:multiLevelType w:val="hybridMultilevel"/>
    <w:lvl w:ilvl="0">
      <w:lvlJc w:val="left"/>
      <w:lvlText w:val="•"/>
      <w:numFmt w:val="bullet"/>
      <w:start w:val="1"/>
    </w:lvl>
  </w:abstractNum>
  <w:abstractNum w:abstractNumId="86">
    <w:nsid w:val="2E48F044"/>
    <w:multiLevelType w:val="hybridMultilevel"/>
    <w:lvl w:ilvl="0">
      <w:lvlJc w:val="left"/>
      <w:lvlText w:val="•"/>
      <w:numFmt w:val="bullet"/>
      <w:start w:val="1"/>
    </w:lvl>
  </w:abstractNum>
  <w:abstractNum w:abstractNumId="87">
    <w:nsid w:val="49D0FEAC"/>
    <w:multiLevelType w:val="hybridMultilevel"/>
    <w:lvl w:ilvl="0">
      <w:lvlJc w:val="left"/>
      <w:lvlText w:val="•"/>
      <w:numFmt w:val="bullet"/>
      <w:start w:val="1"/>
    </w:lvl>
  </w:abstractNum>
  <w:abstractNum w:abstractNumId="88">
    <w:nsid w:val="4BEE5A5B"/>
    <w:multiLevelType w:val="hybridMultilevel"/>
    <w:lvl w:ilvl="0">
      <w:lvlJc w:val="left"/>
      <w:lvlText w:val="•"/>
      <w:numFmt w:val="bullet"/>
      <w:start w:val="1"/>
    </w:lvl>
  </w:abstractNum>
  <w:abstractNum w:abstractNumId="89">
    <w:nsid w:val="5551B9F3"/>
    <w:multiLevelType w:val="hybridMultilevel"/>
    <w:lvl w:ilvl="0">
      <w:lvlJc w:val="left"/>
      <w:lvlText w:val="(%1)"/>
      <w:numFmt w:val="lowerLetter"/>
      <w:start w:val="1"/>
    </w:lvl>
  </w:abstractNum>
  <w:abstractNum w:abstractNumId="90">
    <w:nsid w:val="24F6AB8E"/>
    <w:multiLevelType w:val="hybridMultilevel"/>
    <w:lvl w:ilvl="0">
      <w:lvlJc w:val="left"/>
      <w:lvlText w:val="(%1)"/>
      <w:numFmt w:val="lowerLetter"/>
      <w:start w:val="1"/>
    </w:lvl>
  </w:abstractNum>
  <w:abstractNum w:abstractNumId="91">
    <w:nsid w:val="634C574C"/>
    <w:multiLevelType w:val="hybridMultilevel"/>
    <w:lvl w:ilvl="0">
      <w:lvlJc w:val="left"/>
      <w:lvlText w:val="(%1)"/>
      <w:numFmt w:val="lowerLetter"/>
      <w:start w:val="1"/>
    </w:lvl>
  </w:abstractNum>
  <w:abstractNum w:abstractNumId="92">
    <w:nsid w:val="24E99DD7"/>
    <w:multiLevelType w:val="hybridMultilevel"/>
    <w:lvl w:ilvl="0">
      <w:lvlJc w:val="left"/>
      <w:lvlText w:val="•"/>
      <w:numFmt w:val="bullet"/>
      <w:start w:val="1"/>
    </w:lvl>
  </w:abstractNum>
  <w:abstractNum w:abstractNumId="93">
    <w:nsid w:val="2A31B62D"/>
    <w:multiLevelType w:val="hybridMultilevel"/>
    <w:lvl w:ilvl="0">
      <w:lvlJc w:val="left"/>
      <w:lvlText w:val="-"/>
      <w:numFmt w:val="bullet"/>
      <w:start w:val="1"/>
    </w:lvl>
  </w:abstractNum>
  <w:abstractNum w:abstractNumId="94">
    <w:nsid w:val="1849C29B"/>
    <w:multiLevelType w:val="hybridMultilevel"/>
    <w:lvl w:ilvl="0">
      <w:lvlJc w:val="left"/>
      <w:lvlText w:val="%1."/>
      <w:numFmt w:val="lowerLetter"/>
      <w:start w:val="1"/>
    </w:lvl>
    <w:lvl w:ilvl="1">
      <w:lvlJc w:val="left"/>
      <w:lvlText w:val="%2)"/>
      <w:numFmt w:val="decimal"/>
      <w:start w:val="1"/>
    </w:lvl>
  </w:abstractNum>
  <w:abstractNum w:abstractNumId="95">
    <w:nsid w:val="7DFF9D09"/>
    <w:multiLevelType w:val="hybridMultilevel"/>
    <w:lvl w:ilvl="0">
      <w:lvlJc w:val="left"/>
      <w:lvlText w:val="%1."/>
      <w:numFmt w:val="lowerLetter"/>
      <w:start w:val="1"/>
    </w:lvl>
  </w:abstractNum>
  <w:abstractNum w:abstractNumId="96">
    <w:nsid w:val="754342"/>
    <w:multiLevelType w:val="hybridMultilevel"/>
    <w:lvl w:ilvl="0">
      <w:lvlJc w:val="left"/>
      <w:lvlText w:val="%1."/>
      <w:numFmt w:val="lowerLetter"/>
      <w:start w:val="2"/>
    </w:lvl>
    <w:lvl w:ilvl="1">
      <w:lvlJc w:val="left"/>
      <w:lvlText w:val="%2)"/>
      <w:numFmt w:val="decimal"/>
      <w:start w:val="1"/>
    </w:lvl>
  </w:abstractNum>
  <w:abstractNum w:abstractNumId="97">
    <w:nsid w:val="69E7F3E5"/>
    <w:multiLevelType w:val="hybridMultilevel"/>
    <w:lvl w:ilvl="0">
      <w:lvlJc w:val="left"/>
      <w:lvlText w:val="%1."/>
      <w:numFmt w:val="lowerLetter"/>
      <w:start w:val="6"/>
    </w:lvl>
    <w:lvl w:ilvl="1">
      <w:lvlJc w:val="left"/>
      <w:lvlText w:val="%2)"/>
      <w:numFmt w:val="decimal"/>
      <w:start w:val="1"/>
    </w:lvl>
    <w:lvl w:ilvl="2">
      <w:lvlJc w:val="left"/>
      <w:lvlText w:val="·"/>
      <w:numFmt w:val="bullet"/>
      <w:start w:val="1"/>
    </w:lvl>
  </w:abstractNum>
  <w:abstractNum w:abstractNumId="98">
    <w:nsid w:val="2A6DE806"/>
    <w:multiLevelType w:val="hybridMultilevel"/>
    <w:lvl w:ilvl="0">
      <w:lvlJc w:val="left"/>
      <w:lvlText w:val="%1"/>
      <w:numFmt w:val="lowerLetter"/>
      <w:start w:val="1"/>
    </w:lvl>
    <w:lvl w:ilvl="1">
      <w:lvlJc w:val="left"/>
      <w:lvlText w:val="%2)"/>
      <w:numFmt w:val="decimal"/>
      <w:start w:val="2"/>
    </w:lvl>
  </w:abstractNum>
  <w:abstractNum w:abstractNumId="99">
    <w:nsid w:val="1816F8C4"/>
    <w:multiLevelType w:val="hybridMultilevel"/>
    <w:lvl w:ilvl="0">
      <w:lvlJc w:val="left"/>
      <w:lvlText w:val="%1."/>
      <w:numFmt w:val="lowerLetter"/>
      <w:start w:val="7"/>
    </w:lvl>
    <w:lvl w:ilvl="1">
      <w:lvlJc w:val="left"/>
      <w:lvlText w:val="%2"/>
      <w:numFmt w:val="decimal"/>
      <w:start w:val="1"/>
    </w:lvl>
  </w:abstractNum>
  <w:abstractNum w:abstractNumId="100">
    <w:nsid w:val="37DF2233"/>
    <w:multiLevelType w:val="hybridMultilevel"/>
    <w:lvl w:ilvl="0">
      <w:lvlJc w:val="left"/>
      <w:lvlText w:val="%1."/>
      <w:numFmt w:val="lowerRoman"/>
      <w:start w:val="1"/>
    </w:lvl>
  </w:abstractNum>
  <w:abstractNum w:abstractNumId="101">
    <w:nsid w:val="7AB49DAF"/>
    <w:multiLevelType w:val="hybridMultilevel"/>
    <w:lvl w:ilvl="0">
      <w:lvlJc w:val="left"/>
      <w:lvlText w:val="%1"/>
      <w:numFmt w:val="lowerLetter"/>
      <w:start w:val="1"/>
    </w:lvl>
    <w:lvl w:ilvl="1">
      <w:lvlJc w:val="left"/>
      <w:lvlText w:val="%2)"/>
      <w:numFmt w:val="decimal"/>
      <w:start w:val="2"/>
    </w:lvl>
  </w:abstractNum>
  <w:abstractNum w:abstractNumId="102">
    <w:nsid w:val="759F82CD"/>
    <w:multiLevelType w:val="hybridMultilevel"/>
    <w:lvl w:ilvl="0">
      <w:lvlJc w:val="left"/>
      <w:lvlText w:val="%1."/>
      <w:numFmt w:val="lowerLetter"/>
      <w:start w:val="10"/>
    </w:lvl>
    <w:lvl w:ilvl="1">
      <w:lvlJc w:val="left"/>
      <w:lvlText w:val="%2"/>
      <w:numFmt w:val="decimal"/>
      <w:start w:val="1"/>
    </w:lvl>
  </w:abstractNum>
  <w:abstractNum w:abstractNumId="103">
    <w:nsid w:val="61E74EA3"/>
    <w:multiLevelType w:val="hybridMultilevel"/>
    <w:lvl w:ilvl="0">
      <w:lvlJc w:val="left"/>
      <w:lvlText w:val="%1."/>
      <w:numFmt w:val="lowerLetter"/>
      <w:start w:val="12"/>
    </w:lvl>
  </w:abstractNum>
  <w:abstractNum w:abstractNumId="104">
    <w:nsid w:val="597B4D84"/>
    <w:multiLevelType w:val="hybridMultilevel"/>
    <w:lvl w:ilvl="0">
      <w:lvlJc w:val="left"/>
      <w:lvlText w:val="%1."/>
      <w:numFmt w:val="lowerLetter"/>
      <w:start w:val="14"/>
    </w:lvl>
  </w:abstractNum>
  <w:abstractNum w:abstractNumId="105">
    <w:nsid w:val="F819E7F"/>
    <w:multiLevelType w:val="hybridMultilevel"/>
    <w:lvl w:ilvl="0">
      <w:lvlJc w:val="left"/>
      <w:lvlText w:val="%1."/>
      <w:numFmt w:val="decimal"/>
      <w:start w:val="1"/>
    </w:lvl>
  </w:abstractNum>
  <w:abstractNum w:abstractNumId="106">
    <w:nsid w:val="57C7D42D"/>
    <w:multiLevelType w:val="hybridMultilevel"/>
    <w:lvl w:ilvl="0">
      <w:lvlJc w:val="left"/>
      <w:lvlText w:val="%1."/>
      <w:numFmt w:val="lowerLetter"/>
      <w:start w:val="1"/>
    </w:lvl>
    <w:lvl w:ilvl="1">
      <w:lvlJc w:val="left"/>
      <w:lvlText w:val="%2)"/>
      <w:numFmt w:val="decimal"/>
      <w:start w:val="1"/>
    </w:lvl>
  </w:abstractNum>
  <w:abstractNum w:abstractNumId="107">
    <w:nsid w:val="312167AD"/>
    <w:multiLevelType w:val="hybridMultilevel"/>
    <w:lvl w:ilvl="0">
      <w:lvlJc w:val="left"/>
      <w:lvlText w:val="%1."/>
      <w:numFmt w:val="lowerLetter"/>
      <w:start w:val="3"/>
    </w:lvl>
  </w:abstractNum>
  <w:abstractNum w:abstractNumId="108">
    <w:nsid w:val="631B64D4"/>
    <w:multiLevelType w:val="hybridMultilevel"/>
    <w:lvl w:ilvl="0">
      <w:lvlJc w:val="left"/>
      <w:lvlText w:val="%1."/>
      <w:numFmt w:val="lowerLetter"/>
      <w:start w:val="4"/>
    </w:lvl>
  </w:abstractNum>
  <w:abstractNum w:abstractNumId="109">
    <w:nsid w:val="78B5E776"/>
    <w:multiLevelType w:val="hybridMultilevel"/>
    <w:lvl w:ilvl="0">
      <w:lvlJc w:val="left"/>
      <w:lvlText w:val="%1."/>
      <w:numFmt w:val="lowerLetter"/>
      <w:start w:val="1"/>
    </w:lvl>
  </w:abstractNum>
  <w:abstractNum w:abstractNumId="110">
    <w:nsid w:val="75486E47"/>
    <w:multiLevelType w:val="hybridMultilevel"/>
    <w:lvl w:ilvl="0">
      <w:lvlJc w:val="left"/>
      <w:lvlText w:val="%1."/>
      <w:numFmt w:val="decimal"/>
      <w:start w:val="1"/>
    </w:lvl>
  </w:abstractNum>
  <w:abstractNum w:abstractNumId="111">
    <w:nsid w:val="6E534CDE"/>
    <w:multiLevelType w:val="hybridMultilevel"/>
    <w:lvl w:ilvl="0">
      <w:lvlJc w:val="left"/>
      <w:lvlText w:val="%1."/>
      <w:numFmt w:val="decimal"/>
      <w:start w:val="3"/>
    </w:lvl>
  </w:abstractNum>
  <w:abstractNum w:abstractNumId="112">
    <w:nsid w:val="1A0DDE32"/>
    <w:multiLevelType w:val="hybridMultilevel"/>
    <w:lvl w:ilvl="0">
      <w:lvlJc w:val="left"/>
      <w:lvlText w:val="%1)"/>
      <w:numFmt w:val="lowerLetter"/>
      <w:start w:val="2"/>
    </w:lvl>
  </w:abstractNum>
  <w:abstractNum w:abstractNumId="113">
    <w:nsid w:val="65968C1C"/>
    <w:multiLevelType w:val="hybridMultilevel"/>
    <w:lvl w:ilvl="0">
      <w:lvlJc w:val="left"/>
      <w:lvlText w:val="%1."/>
      <w:numFmt w:val="lowerLetter"/>
      <w:start w:val="2"/>
    </w:lvl>
  </w:abstractNum>
  <w:abstractNum w:abstractNumId="114">
    <w:nsid w:val="46263DEC"/>
    <w:multiLevelType w:val="hybridMultilevel"/>
    <w:lvl w:ilvl="0">
      <w:lvlJc w:val="left"/>
      <w:lvlText w:val="**"/>
      <w:numFmt w:val="bullet"/>
      <w:start w:val="1"/>
    </w:lvl>
  </w:abstractNum>
  <w:abstractNum w:abstractNumId="115">
    <w:nsid w:val="260D8C4A"/>
    <w:multiLevelType w:val="hybridMultilevel"/>
    <w:lvl w:ilvl="0">
      <w:lvlJc w:val="left"/>
      <w:lvlText w:val="%1."/>
      <w:numFmt w:val="lowerLetter"/>
      <w:start w:val="1"/>
    </w:lvl>
  </w:abstractNum>
  <w:abstractNum w:abstractNumId="116">
    <w:nsid w:val="73D4D3C4"/>
    <w:multiLevelType w:val="hybridMultilevel"/>
    <w:lvl w:ilvl="0">
      <w:lvlJc w:val="left"/>
      <w:lvlText w:val="%1."/>
      <w:numFmt w:val="lowerLetter"/>
      <w:start w:val="2"/>
    </w:lvl>
  </w:abstractNum>
  <w:abstractNum w:abstractNumId="117">
    <w:nsid w:val="746F2E30"/>
    <w:multiLevelType w:val="hybridMultilevel"/>
    <w:lvl w:ilvl="0">
      <w:lvlJc w:val="left"/>
      <w:lvlText w:val="%1."/>
      <w:numFmt w:val="lowerLetter"/>
      <w:start w:val="3"/>
    </w:lvl>
    <w:lvl w:ilvl="1">
      <w:lvlJc w:val="left"/>
      <w:lvlText w:val="%2."/>
      <w:numFmt w:val="lowerRoman"/>
      <w:start w:val="1"/>
    </w:lvl>
  </w:abstractNum>
  <w:abstractNum w:abstractNumId="118">
    <w:nsid w:val="6FDE8AF6"/>
    <w:multiLevelType w:val="hybridMultilevel"/>
    <w:lvl w:ilvl="0">
      <w:lvlJc w:val="left"/>
      <w:lvlText w:val="%1."/>
      <w:numFmt w:val="lowerLetter"/>
      <w:start w:val="4"/>
    </w:lvl>
  </w:abstractNum>
  <w:abstractNum w:abstractNumId="119">
    <w:nsid w:val="3FC32E20"/>
    <w:multiLevelType w:val="hybridMultilevel"/>
    <w:lvl w:ilvl="0">
      <w:lvlJc w:val="left"/>
      <w:lvlText w:val="%1."/>
      <w:numFmt w:val="lowerLetter"/>
      <w:start w:val="6"/>
    </w:lvl>
  </w:abstractNum>
  <w:abstractNum w:abstractNumId="120">
    <w:nsid w:val="49C0E823"/>
    <w:multiLevelType w:val="hybridMultilevel"/>
    <w:lvl w:ilvl="0">
      <w:lvlJc w:val="left"/>
      <w:lvlText w:val="**"/>
      <w:numFmt w:val="bullet"/>
      <w:start w:val="1"/>
    </w:lvl>
  </w:abstractNum>
  <w:abstractNum w:abstractNumId="121">
    <w:nsid w:val="14D53685"/>
    <w:multiLevelType w:val="hybridMultilevel"/>
    <w:lvl w:ilvl="0">
      <w:lvlJc w:val="left"/>
      <w:lvlText w:val="%1."/>
      <w:numFmt w:val="lowerLetter"/>
      <w:start w:val="1"/>
    </w:lvl>
  </w:abstractNum>
  <w:abstractNum w:abstractNumId="122">
    <w:nsid w:val="230F856C"/>
    <w:multiLevelType w:val="hybridMultilevel"/>
    <w:lvl w:ilvl="0">
      <w:lvlJc w:val="left"/>
      <w:lvlText w:val="%1."/>
      <w:numFmt w:val="lowerLetter"/>
      <w:start w:val="1"/>
    </w:lvl>
  </w:abstractNum>
  <w:abstractNum w:abstractNumId="123">
    <w:nsid w:val="6EAA85FB"/>
    <w:multiLevelType w:val="hybridMultilevel"/>
    <w:lvl w:ilvl="0">
      <w:lvlJc w:val="left"/>
      <w:lvlText w:val="%1."/>
      <w:numFmt w:val="lowerLetter"/>
      <w:start w:val="2"/>
    </w:lvl>
    <w:lvl w:ilvl="1">
      <w:lvlJc w:val="left"/>
      <w:lvlText w:val="%2)"/>
      <w:numFmt w:val="decimal"/>
      <w:start w:val="1"/>
    </w:lvl>
  </w:abstractNum>
  <w:abstractNum w:abstractNumId="124">
    <w:nsid w:val="3F06ECB2"/>
    <w:multiLevelType w:val="hybridMultilevel"/>
    <w:lvl w:ilvl="0">
      <w:lvlJc w:val="left"/>
      <w:lvlText w:val="%1)"/>
      <w:numFmt w:val="decimal"/>
      <w:start w:val="2"/>
    </w:lvl>
    <w:lvl w:ilvl="1">
      <w:lvlJc w:val="left"/>
      <w:lvlText w:val="%2)"/>
      <w:numFmt w:val="lowerLetter"/>
      <w:start w:val="1"/>
    </w:lvl>
  </w:abstractNum>
  <w:abstractNum w:abstractNumId="125">
    <w:nsid w:val="3B594807"/>
    <w:multiLevelType w:val="hybridMultilevel"/>
    <w:lvl w:ilvl="0">
      <w:lvlJc w:val="left"/>
      <w:lvlText w:val="%1"/>
      <w:numFmt w:val="decimal"/>
      <w:start w:val="1"/>
    </w:lvl>
    <w:lvl w:ilvl="1">
      <w:lvlJc w:val="left"/>
      <w:lvlText w:val="%2)"/>
      <w:numFmt w:val="lowerLetter"/>
      <w:start w:val="6"/>
    </w:lvl>
  </w:abstractNum>
  <w:abstractNum w:abstractNumId="126">
    <w:nsid w:val="6CAA2304"/>
    <w:multiLevelType w:val="hybridMultilevel"/>
    <w:lvl w:ilvl="0">
      <w:lvlJc w:val="left"/>
      <w:lvlText w:val="%1)"/>
      <w:numFmt w:val="decimal"/>
      <w:start w:val="3"/>
    </w:lvl>
    <w:lvl w:ilvl="1">
      <w:lvlJc w:val="left"/>
      <w:lvlText w:val="%2"/>
      <w:numFmt w:val="lowerLetter"/>
      <w:start w:val="1"/>
    </w:lvl>
  </w:abstractNum>
  <w:abstractNum w:abstractNumId="127">
    <w:nsid w:val="3F7C2FF4"/>
    <w:multiLevelType w:val="hybridMultilevel"/>
    <w:lvl w:ilvl="0">
      <w:lvlJc w:val="left"/>
      <w:lvlText w:val="%1)"/>
      <w:numFmt w:val="decimal"/>
      <w:start w:val="6"/>
    </w:lvl>
  </w:abstractNum>
  <w:abstractNum w:abstractNumId="128">
    <w:nsid w:val="25413BEC"/>
    <w:multiLevelType w:val="hybridMultilevel"/>
    <w:lvl w:ilvl="0">
      <w:lvlJc w:val="left"/>
      <w:lvlText w:val="%1."/>
      <w:numFmt w:val="lowerLetter"/>
      <w:start w:val="1"/>
    </w:lvl>
  </w:abstractNum>
  <w:abstractNum w:abstractNumId="129">
    <w:nsid w:val="17180B0B"/>
    <w:multiLevelType w:val="hybridMultilevel"/>
    <w:lvl w:ilvl="0">
      <w:lvlJc w:val="left"/>
      <w:lvlText w:val="-"/>
      <w:numFmt w:val="bullet"/>
      <w:start w:val="1"/>
    </w:lvl>
  </w:abstractNum>
  <w:abstractNum w:abstractNumId="130">
    <w:nsid w:val="579328B9"/>
    <w:multiLevelType w:val="hybridMultilevel"/>
    <w:lvl w:ilvl="0">
      <w:lvlJc w:val="left"/>
      <w:lvlText w:val="-"/>
      <w:numFmt w:val="bullet"/>
      <w:start w:val="1"/>
    </w:lvl>
  </w:abstractNum>
  <w:abstractNum w:abstractNumId="131">
    <w:nsid w:val="5D205E20"/>
    <w:multiLevelType w:val="hybridMultilevel"/>
    <w:lvl w:ilvl="0">
      <w:lvlJc w:val="left"/>
      <w:lvlText w:val="%1."/>
      <w:numFmt w:val="lowerLetter"/>
      <w:start w:val="1"/>
    </w:lvl>
    <w:lvl w:ilvl="1">
      <w:lvlJc w:val="left"/>
      <w:lvlText w:val="%2)"/>
      <w:numFmt w:val="decimal"/>
      <w:start w:val="1"/>
    </w:lvl>
  </w:abstractNum>
  <w:abstractNum w:abstractNumId="132">
    <w:nsid w:val="11CCA8BA"/>
    <w:multiLevelType w:val="hybridMultilevel"/>
    <w:lvl w:ilvl="0">
      <w:lvlJc w:val="left"/>
      <w:lvlText w:val="%1."/>
      <w:numFmt w:val="lowerLetter"/>
      <w:start w:val="2"/>
    </w:lvl>
  </w:abstractNum>
  <w:abstractNum w:abstractNumId="133">
    <w:nsid w:val="4D32AB86"/>
    <w:multiLevelType w:val="hybridMultilevel"/>
    <w:lvl w:ilvl="0">
      <w:lvlJc w:val="left"/>
      <w:lvlText w:val="•"/>
      <w:numFmt w:val="bullet"/>
      <w:start w:val="1"/>
    </w:lvl>
  </w:abstractNum>
  <w:abstractNum w:abstractNumId="134">
    <w:nsid w:val="3F07ACC3"/>
    <w:multiLevelType w:val="hybridMultilevel"/>
    <w:lvl w:ilvl="0">
      <w:lvlJc w:val="left"/>
      <w:lvlText w:val="•"/>
      <w:numFmt w:val="bullet"/>
      <w:start w:val="1"/>
    </w:lvl>
  </w:abstractNum>
  <w:abstractNum w:abstractNumId="135">
    <w:nsid w:val="6B47F63E"/>
    <w:multiLevelType w:val="hybridMultilevel"/>
    <w:lvl w:ilvl="0">
      <w:lvlJc w:val="left"/>
      <w:lvlText w:val="•"/>
      <w:numFmt w:val="bullet"/>
      <w:start w:val="1"/>
    </w:lvl>
  </w:abstractNum>
  <w:abstractNum w:abstractNumId="136">
    <w:nsid w:val="5CB44A05"/>
    <w:multiLevelType w:val="hybridMultilevel"/>
    <w:lvl w:ilvl="0">
      <w:lvlJc w:val="left"/>
      <w:lvlText w:val="•"/>
      <w:numFmt w:val="bullet"/>
      <w:start w:val="1"/>
    </w:lvl>
  </w:abstractNum>
  <w:abstractNum w:abstractNumId="137">
    <w:nsid w:val="16CF80F1"/>
    <w:multiLevelType w:val="hybridMultilevel"/>
    <w:lvl w:ilvl="0">
      <w:lvlJc w:val="left"/>
      <w:lvlText w:val="•"/>
      <w:numFmt w:val="bullet"/>
      <w:start w:val="1"/>
    </w:lvl>
  </w:abstractNum>
  <w:abstractNum w:abstractNumId="138">
    <w:nsid w:val="1C695DEC"/>
    <w:multiLevelType w:val="hybridMultilevel"/>
    <w:lvl w:ilvl="0">
      <w:lvlJc w:val="left"/>
      <w:lvlText w:val="•"/>
      <w:numFmt w:val="bullet"/>
      <w:start w:val="1"/>
    </w:lvl>
  </w:abstractNum>
  <w:abstractNum w:abstractNumId="139">
    <w:nsid w:val="3FCFAED9"/>
    <w:multiLevelType w:val="hybridMultilevel"/>
    <w:lvl w:ilvl="0">
      <w:lvlJc w:val="left"/>
      <w:lvlText w:val="•"/>
      <w:numFmt w:val="bullet"/>
      <w:start w:val="1"/>
    </w:lvl>
  </w:abstractNum>
  <w:abstractNum w:abstractNumId="140">
    <w:nsid w:val="F856867"/>
    <w:multiLevelType w:val="hybridMultilevel"/>
    <w:lvl w:ilvl="0">
      <w:lvlJc w:val="left"/>
      <w:lvlText w:val="*"/>
      <w:numFmt w:val="bullet"/>
      <w:start w:val="1"/>
    </w:lvl>
  </w:abstractNum>
  <w:abstractNum w:abstractNumId="141">
    <w:nsid w:val="11B1CC33"/>
    <w:multiLevelType w:val="hybridMultilevel"/>
    <w:lvl w:ilvl="0">
      <w:lvlJc w:val="left"/>
      <w:lvlText w:val="(%1)"/>
      <w:numFmt w:val="decimal"/>
      <w:start w:val="1"/>
    </w:lvl>
    <w:lvl w:ilvl="1">
      <w:lvlJc w:val="left"/>
      <w:lvlText w:val="(%2)"/>
      <w:numFmt w:val="lowerRoman"/>
      <w:start w:val="1"/>
    </w:lvl>
  </w:abstractNum>
  <w:abstractNum w:abstractNumId="142">
    <w:nsid w:val="2E22FBB7"/>
    <w:multiLevelType w:val="hybridMultilevel"/>
    <w:lvl w:ilvl="0">
      <w:lvlJc w:val="left"/>
      <w:lvlText w:val="(%1)"/>
      <w:numFmt w:val="decimal"/>
      <w:start w:val="2"/>
    </w:lvl>
  </w:abstractNum>
  <w:abstractNum w:abstractNumId="143">
    <w:nsid w:val="29934699"/>
    <w:multiLevelType w:val="hybridMultilevel"/>
    <w:lvl w:ilvl="0">
      <w:lvlJc w:val="left"/>
      <w:lvlText w:val="*"/>
      <w:numFmt w:val="bullet"/>
      <w:start w:val="1"/>
    </w:lvl>
  </w:abstractNum>
  <w:abstractNum w:abstractNumId="144">
    <w:nsid w:val="77485850"/>
    <w:multiLevelType w:val="hybridMultilevel"/>
    <w:lvl w:ilvl="0">
      <w:lvlJc w:val="left"/>
      <w:lvlText w:val="%1)"/>
      <w:numFmt w:val="lowerLetter"/>
      <w:start w:val="1"/>
    </w:lvl>
  </w:abstractNum>
  <w:abstractNum w:abstractNumId="145">
    <w:nsid w:val="744939A3"/>
    <w:multiLevelType w:val="hybridMultilevel"/>
    <w:lvl w:ilvl="0">
      <w:lvlJc w:val="left"/>
      <w:lvlText w:val="%1)"/>
      <w:numFmt w:val="lowerLetter"/>
      <w:start w:val="2"/>
    </w:lvl>
  </w:abstractNum>
  <w:abstractNum w:abstractNumId="146">
    <w:nsid w:val="4FA0D2E3"/>
    <w:multiLevelType w:val="hybridMultilevel"/>
    <w:lvl w:ilvl="0">
      <w:lvlJc w:val="left"/>
      <w:lvlText w:val="(%1)"/>
      <w:numFmt w:val="upperLetter"/>
      <w:start w:val="1"/>
    </w:lvl>
  </w:abstractNum>
  <w:abstractNum w:abstractNumId="147">
    <w:nsid w:val="6B1D2C14"/>
    <w:multiLevelType w:val="hybridMultilevel"/>
    <w:lvl w:ilvl="0">
      <w:lvlJc w:val="left"/>
      <w:lvlText w:val="(%1)"/>
      <w:numFmt w:val="upperLetter"/>
      <w:start w:val="24"/>
    </w:lvl>
  </w:abstractNum>
  <w:abstractNum w:abstractNumId="148">
    <w:nsid w:val="68B867D3"/>
    <w:multiLevelType w:val="hybridMultilevel"/>
    <w:lvl w:ilvl="0">
      <w:lvlJc w:val="left"/>
      <w:lvlText w:val="%1)"/>
      <w:numFmt w:val="lowerLetter"/>
      <w:start w:val="4"/>
    </w:lvl>
    <w:lvl w:ilvl="1">
      <w:lvlJc w:val="left"/>
      <w:lvlText w:val="%2."/>
      <w:numFmt w:val="lowerRoman"/>
      <w:start w:val="1"/>
    </w:lvl>
  </w:abstractNum>
  <w:abstractNum w:abstractNumId="149">
    <w:nsid w:val="3F7F5DD9"/>
    <w:multiLevelType w:val="hybridMultilevel"/>
    <w:lvl w:ilvl="0">
      <w:lvlJc w:val="left"/>
      <w:lvlText w:val="%1."/>
      <w:numFmt w:val="lowerRoman"/>
      <w:start w:val="2"/>
    </w:lvl>
  </w:abstractNum>
  <w:abstractNum w:abstractNumId="150">
    <w:nsid w:val="2AE05A34"/>
    <w:multiLevelType w:val="hybridMultilevel"/>
    <w:lvl w:ilvl="0">
      <w:lvlJc w:val="left"/>
      <w:lvlText w:val="%1"/>
      <w:numFmt w:val="lowerLetter"/>
      <w:start w:val="1"/>
    </w:lvl>
    <w:lvl w:ilvl="1">
      <w:lvlJc w:val="left"/>
      <w:lvlText w:val="%2."/>
      <w:numFmt w:val="lowerRoman"/>
      <w:start w:val="5"/>
    </w:lvl>
  </w:abstractNum>
  <w:abstractNum w:abstractNumId="151">
    <w:nsid w:val="32794FF7"/>
    <w:multiLevelType w:val="hybridMultilevel"/>
    <w:lvl w:ilvl="0">
      <w:lvlJc w:val="left"/>
      <w:lvlText w:val="%1)"/>
      <w:numFmt w:val="lowerLetter"/>
      <w:start w:val="5"/>
    </w:lvl>
    <w:lvl w:ilvl="1">
      <w:lvlJc w:val="left"/>
      <w:lvlText w:val="%2"/>
      <w:numFmt w:val="lowerRoman"/>
      <w:start w:val="1"/>
    </w:lvl>
  </w:abstractNum>
  <w:abstractNum w:abstractNumId="152">
    <w:nsid w:val="5454945E"/>
    <w:multiLevelType w:val="hybridMultilevel"/>
    <w:lvl w:ilvl="0">
      <w:lvlJc w:val="left"/>
      <w:lvlText w:val="%1)"/>
      <w:numFmt w:val="lowerLetter"/>
      <w:start w:val="1"/>
    </w:lvl>
  </w:abstractNum>
  <w:abstractNum w:abstractNumId="153">
    <w:nsid w:val="4DEFDFA0"/>
    <w:multiLevelType w:val="hybridMultilevel"/>
    <w:lvl w:ilvl="0">
      <w:lvlJc w:val="left"/>
      <w:lvlText w:val="%1)"/>
      <w:numFmt w:val="lowerLetter"/>
      <w:start w:val="2"/>
    </w:lvl>
  </w:abstractNum>
  <w:abstractNum w:abstractNumId="154">
    <w:nsid w:val="2123D5F2"/>
    <w:multiLevelType w:val="hybridMultilevel"/>
    <w:lvl w:ilvl="0">
      <w:lvlJc w:val="left"/>
      <w:lvlText w:val="(%1)"/>
      <w:numFmt w:val="upperLetter"/>
      <w:start w:val="1"/>
    </w:lvl>
  </w:abstractNum>
  <w:abstractNum w:abstractNumId="155">
    <w:nsid w:val="135B8110"/>
    <w:multiLevelType w:val="hybridMultilevel"/>
    <w:lvl w:ilvl="0">
      <w:lvlJc w:val="left"/>
      <w:lvlText w:val="(%1)"/>
      <w:numFmt w:val="upperLetter"/>
      <w:start w:val="24"/>
    </w:lvl>
  </w:abstractNum>
  <w:abstractNum w:abstractNumId="156">
    <w:nsid w:val="94927A8"/>
    <w:multiLevelType w:val="hybridMultilevel"/>
    <w:lvl w:ilvl="0">
      <w:lvlJc w:val="left"/>
      <w:lvlText w:val="%1."/>
      <w:numFmt w:val="lowerRoman"/>
      <w:start w:val="2"/>
    </w:lvl>
  </w:abstractNum>
  <w:abstractNum w:abstractNumId="157">
    <w:nsid w:val="DCDF8F6"/>
    <w:multiLevelType w:val="hybridMultilevel"/>
    <w:lvl w:ilvl="0">
      <w:lvlJc w:val="left"/>
      <w:lvlText w:val="%1"/>
      <w:numFmt w:val="lowerLetter"/>
      <w:start w:val="1"/>
    </w:lvl>
    <w:lvl w:ilvl="1">
      <w:lvlJc w:val="left"/>
      <w:lvlText w:val="%2."/>
      <w:numFmt w:val="lowerRoman"/>
      <w:start w:val="4"/>
    </w:lvl>
  </w:abstractNum>
  <w:abstractNum w:abstractNumId="158">
    <w:nsid w:val="52D7B105"/>
    <w:multiLevelType w:val="hybridMultilevel"/>
    <w:lvl w:ilvl="0">
      <w:lvlJc w:val="left"/>
      <w:lvlText w:val="%1)"/>
      <w:numFmt w:val="lowerLetter"/>
      <w:start w:val="3"/>
    </w:lvl>
    <w:lvl w:ilvl="1">
      <w:lvlJc w:val="left"/>
      <w:lvlText w:val="%2"/>
      <w:numFmt w:val="lowerRoman"/>
      <w:start w:val="1"/>
    </w:lvl>
  </w:abstractNum>
  <w:abstractNum w:abstractNumId="159">
    <w:nsid w:val="2E8A6394"/>
    <w:multiLevelType w:val="hybridMultilevel"/>
    <w:lvl w:ilvl="0">
      <w:lvlJc w:val="left"/>
      <w:lvlText w:val="%1)"/>
      <w:numFmt w:val="lowerLetter"/>
      <w:start w:val="4"/>
    </w:lvl>
  </w:abstractNum>
  <w:abstractNum w:abstractNumId="160">
    <w:nsid w:val="24E60401"/>
    <w:multiLevelType w:val="hybridMultilevel"/>
    <w:lvl w:ilvl="0">
      <w:lvlJc w:val="left"/>
      <w:lvlText w:val="%1)"/>
      <w:numFmt w:val="lowerLetter"/>
      <w:start w:val="6"/>
    </w:lvl>
    <w:lvl w:ilvl="1">
      <w:lvlJc w:val="left"/>
      <w:lvlText w:val="%2."/>
      <w:numFmt w:val="lowerRoman"/>
      <w:start w:val="1"/>
    </w:lvl>
  </w:abstractNum>
  <w:abstractNum w:abstractNumId="161">
    <w:nsid w:val="2A6AD9BE"/>
    <w:multiLevelType w:val="hybridMultilevel"/>
    <w:lvl w:ilvl="0">
      <w:lvlJc w:val="left"/>
      <w:lvlText w:val="2"/>
      <w:numFmt w:val="bullet"/>
      <w:start w:val="1"/>
    </w:lvl>
  </w:abstractNum>
  <w:abstractNum w:abstractNumId="162">
    <w:nsid w:val="BAAC1B4"/>
    <w:multiLevelType w:val="hybridMultilevel"/>
    <w:lvl w:ilvl="0">
      <w:lvlJc w:val="left"/>
      <w:lvlText w:val="%1)"/>
      <w:numFmt w:val="lowerLetter"/>
      <w:start w:val="1"/>
    </w:lvl>
  </w:abstractNum>
  <w:abstractNum w:abstractNumId="163">
    <w:nsid w:val="36B2ACBC"/>
    <w:multiLevelType w:val="hybridMultilevel"/>
    <w:lvl w:ilvl="0">
      <w:lvlJc w:val="left"/>
      <w:lvlText w:val="%1)"/>
      <w:numFmt w:val="lowerLetter"/>
      <w:start w:val="1"/>
    </w:lvl>
  </w:abstractNum>
  <w:abstractNum w:abstractNumId="164">
    <w:nsid w:val="779D8544"/>
    <w:multiLevelType w:val="hybridMultilevel"/>
    <w:lvl w:ilvl="0">
      <w:lvlJc w:val="left"/>
      <w:lvlText w:val="%1)"/>
      <w:numFmt w:val="lowerLetter"/>
      <w:start w:val="4"/>
    </w:lvl>
  </w:abstractNum>
  <w:abstractNum w:abstractNumId="165">
    <w:nsid w:val="4AB26E78"/>
    <w:multiLevelType w:val="hybridMultilevel"/>
    <w:lvl w:ilvl="0">
      <w:lvlJc w:val="left"/>
      <w:lvlText w:val="%1)"/>
      <w:numFmt w:val="lowerLetter"/>
      <w:start w:val="5"/>
    </w:lvl>
  </w:abstractNum>
  <w:abstractNum w:abstractNumId="166">
    <w:nsid w:val="21FAA2FA"/>
    <w:multiLevelType w:val="hybridMultilevel"/>
    <w:lvl w:ilvl="0">
      <w:lvlJc w:val="left"/>
      <w:lvlText w:val="%1)"/>
      <w:numFmt w:val="lowerLetter"/>
      <w:start w:val="6"/>
    </w:lvl>
  </w:abstractNum>
  <w:abstractNum w:abstractNumId="167">
    <w:nsid w:val="5451CF49"/>
    <w:multiLevelType w:val="hybridMultilevel"/>
    <w:lvl w:ilvl="0">
      <w:lvlJc w:val="left"/>
      <w:lvlText w:val="(%1)"/>
      <w:numFmt w:val="lowerRoman"/>
      <w:start w:val="4"/>
    </w:lvl>
    <w:lvl w:ilvl="1">
      <w:lvlJc w:val="left"/>
      <w:lvlText w:val="%2)"/>
      <w:numFmt w:val="lowerLetter"/>
      <w:start w:val="9"/>
    </w:lvl>
  </w:abstractNum>
  <w:abstractNum w:abstractNumId="168">
    <w:nsid w:val="6181EF69"/>
    <w:multiLevelType w:val="hybridMultilevel"/>
    <w:lvl w:ilvl="0">
      <w:lvlJc w:val="left"/>
      <w:lvlText w:val="%1)"/>
      <w:numFmt w:val="lowerLetter"/>
      <w:start w:val="14"/>
    </w:lvl>
  </w:abstractNum>
  <w:abstractNum w:abstractNumId="169">
    <w:nsid w:val="3E6400E6"/>
    <w:multiLevelType w:val="hybridMultilevel"/>
    <w:lvl w:ilvl="0">
      <w:lvlJc w:val="left"/>
      <w:lvlText w:val="(%1)"/>
      <w:numFmt w:val="decimal"/>
      <w:start w:val="1"/>
    </w:lvl>
  </w:abstractNum>
  <w:abstractNum w:abstractNumId="170">
    <w:nsid w:val="14217E23"/>
    <w:multiLevelType w:val="hybridMultilevel"/>
    <w:lvl w:ilvl="0">
      <w:lvlJc w:val="left"/>
      <w:lvlText w:val="(%1)"/>
      <w:numFmt w:val="decimal"/>
      <w:start w:val="3"/>
    </w:lvl>
  </w:abstractNum>
  <w:abstractNum w:abstractNumId="171">
    <w:nsid w:val="710757D0"/>
    <w:multiLevelType w:val="hybridMultilevel"/>
    <w:lvl w:ilvl="0">
      <w:lvlJc w:val="left"/>
      <w:lvlText w:val="3"/>
      <w:numFmt w:val="bullet"/>
      <w:start w:val="1"/>
    </w:lvl>
  </w:abstractNum>
  <w:abstractNum w:abstractNumId="172">
    <w:nsid w:val="5015CD1A"/>
    <w:multiLevelType w:val="hybridMultilevel"/>
    <w:lvl w:ilvl="0">
      <w:lvlJc w:val="left"/>
      <w:lvlText w:val="%1."/>
      <w:numFmt w:val="decimal"/>
      <w:start w:val="1"/>
    </w:lvl>
  </w:abstractNum>
  <w:abstractNum w:abstractNumId="173">
    <w:nsid w:val="424479DA"/>
    <w:multiLevelType w:val="hybridMultilevel"/>
    <w:lvl w:ilvl="0">
      <w:lvlJc w:val="left"/>
      <w:lvlText w:val="1"/>
      <w:numFmt w:val="bullet"/>
      <w:start w:val="1"/>
    </w:lvl>
  </w:abstractNum>
  <w:abstractNum w:abstractNumId="174">
    <w:nsid w:val="1A9A9E69"/>
    <w:multiLevelType w:val="hybridMultilevel"/>
    <w:lvl w:ilvl="0">
      <w:lvlJc w:val="left"/>
      <w:lvlText w:val="%1."/>
      <w:numFmt w:val="decimal"/>
      <w:start w:val="2"/>
    </w:lvl>
  </w:abstractNum>
  <w:abstractNum w:abstractNumId="175">
    <w:nsid w:val="475E256A"/>
    <w:multiLevelType w:val="hybridMultilevel"/>
    <w:lvl w:ilvl="0">
      <w:lvlJc w:val="left"/>
      <w:lvlText w:val="A"/>
      <w:numFmt w:val="bullet"/>
      <w:start w:val="1"/>
    </w:lvl>
  </w:abstractNum>
  <w:abstractNum w:abstractNumId="176">
    <w:nsid w:val="368DB37E"/>
    <w:multiLevelType w:val="hybridMultilevel"/>
    <w:lvl w:ilvl="0">
      <w:lvlJc w:val="left"/>
      <w:lvlText w:val="B"/>
      <w:numFmt w:val="bullet"/>
      <w:start w:val="1"/>
    </w:lvl>
  </w:abstractNum>
  <w:abstractNum w:abstractNumId="177">
    <w:nsid w:val="6A3B714C"/>
    <w:multiLevelType w:val="hybridMultilevel"/>
    <w:lvl w:ilvl="0">
      <w:lvlJc w:val="left"/>
      <w:lvlText w:val="%1."/>
      <w:numFmt w:val="decimal"/>
      <w:start w:val="3"/>
    </w:lvl>
  </w:abstractNum>
  <w:abstractNum w:abstractNumId="178">
    <w:nsid w:val="327B517E"/>
    <w:multiLevelType w:val="hybridMultilevel"/>
    <w:lvl w:ilvl="0">
      <w:lvlJc w:val="left"/>
      <w:lvlText w:val="%1."/>
      <w:numFmt w:val="decimal"/>
      <w:start w:val="4"/>
    </w:lvl>
  </w:abstractNum>
  <w:abstractNum w:abstractNumId="179">
    <w:nsid w:val="1F461B51"/>
    <w:multiLevelType w:val="hybridMultilevel"/>
    <w:lvl w:ilvl="0">
      <w:lvlJc w:val="left"/>
      <w:lvlText w:val="%1."/>
      <w:numFmt w:val="decimal"/>
      <w:start w:val="5"/>
    </w:lvl>
  </w:abstractNum>
  <w:abstractNum w:abstractNumId="180">
    <w:nsid w:val="29BACF25"/>
    <w:multiLevelType w:val="hybridMultilevel"/>
    <w:lvl w:ilvl="0">
      <w:lvlJc w:val="left"/>
      <w:lvlText w:val="%1."/>
      <w:numFmt w:val="decimal"/>
      <w:start w:val="6"/>
    </w:lvl>
  </w:abstractNum>
  <w:abstractNum w:abstractNumId="181">
    <w:nsid w:val="5D5BABB3"/>
    <w:multiLevelType w:val="hybridMultilevel"/>
    <w:lvl w:ilvl="0">
      <w:lvlJc w:val="left"/>
      <w:lvlText w:val="%1."/>
      <w:numFmt w:val="decimal"/>
      <w:start w:val="7"/>
    </w:lvl>
  </w:abstractNum>
  <w:abstractNum w:abstractNumId="182">
    <w:nsid w:val="51BF6B48"/>
    <w:multiLevelType w:val="hybridMultilevel"/>
    <w:lvl w:ilvl="0">
      <w:lvlJc w:val="left"/>
      <w:lvlText w:val="%1."/>
      <w:numFmt w:val="decimal"/>
      <w:start w:val="8"/>
    </w:lvl>
  </w:abstractNum>
  <w:abstractNum w:abstractNumId="183">
    <w:nsid w:val="7E0F6384"/>
    <w:multiLevelType w:val="hybridMultilevel"/>
    <w:lvl w:ilvl="0">
      <w:lvlJc w:val="left"/>
      <w:lvlText w:val="(%1)"/>
      <w:numFmt w:val="decimal"/>
      <w:start w:val="212"/>
    </w:lvl>
  </w:abstractNum>
  <w:abstractNum w:abstractNumId="184">
    <w:nsid w:val="2B4B8B53"/>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53" Type="http://schemas.openxmlformats.org/officeDocument/2006/relationships/image" Target="media/image322.png"/><Relationship Id="rId354" Type="http://schemas.openxmlformats.org/officeDocument/2006/relationships/image" Target="media/image323.png"/><Relationship Id="rId355" Type="http://schemas.openxmlformats.org/officeDocument/2006/relationships/image" Target="media/image324.png"/><Relationship Id="rId356" Type="http://schemas.openxmlformats.org/officeDocument/2006/relationships/image" Target="media/image325.png"/><Relationship Id="rId357" Type="http://schemas.openxmlformats.org/officeDocument/2006/relationships/image" Target="media/image326.png"/><Relationship Id="rId358" Type="http://schemas.openxmlformats.org/officeDocument/2006/relationships/image" Target="media/image327.png"/><Relationship Id="rId359" Type="http://schemas.openxmlformats.org/officeDocument/2006/relationships/image" Target="media/image328.png"/><Relationship Id="rId360" Type="http://schemas.openxmlformats.org/officeDocument/2006/relationships/image" Target="media/image329.png"/><Relationship Id="rId361" Type="http://schemas.openxmlformats.org/officeDocument/2006/relationships/image" Target="media/image330.png"/><Relationship Id="rId362" Type="http://schemas.openxmlformats.org/officeDocument/2006/relationships/image" Target="media/image331.png"/><Relationship Id="rId363" Type="http://schemas.openxmlformats.org/officeDocument/2006/relationships/image" Target="media/image332.png"/><Relationship Id="rId364" Type="http://schemas.openxmlformats.org/officeDocument/2006/relationships/image" Target="media/image333.png"/><Relationship Id="rId365" Type="http://schemas.openxmlformats.org/officeDocument/2006/relationships/image" Target="media/image334.png"/><Relationship Id="rId366" Type="http://schemas.openxmlformats.org/officeDocument/2006/relationships/image" Target="media/image335.png"/><Relationship Id="rId367" Type="http://schemas.openxmlformats.org/officeDocument/2006/relationships/image" Target="media/image336.png"/><Relationship Id="rId368" Type="http://schemas.openxmlformats.org/officeDocument/2006/relationships/image" Target="media/image337.png"/><Relationship Id="rId369" Type="http://schemas.openxmlformats.org/officeDocument/2006/relationships/image" Target="media/image338.png"/><Relationship Id="rId370" Type="http://schemas.openxmlformats.org/officeDocument/2006/relationships/image" Target="media/image339.png"/><Relationship Id="rId371" Type="http://schemas.openxmlformats.org/officeDocument/2006/relationships/image" Target="media/image340.png"/><Relationship Id="rId372" Type="http://schemas.openxmlformats.org/officeDocument/2006/relationships/image" Target="media/image341.png"/><Relationship Id="rId373" Type="http://schemas.openxmlformats.org/officeDocument/2006/relationships/image" Target="media/image342.png"/><Relationship Id="rId374" Type="http://schemas.openxmlformats.org/officeDocument/2006/relationships/image" Target="media/image343.png"/><Relationship Id="rId375" Type="http://schemas.openxmlformats.org/officeDocument/2006/relationships/image" Target="media/image344.png"/><Relationship Id="rId376" Type="http://schemas.openxmlformats.org/officeDocument/2006/relationships/image" Target="media/image345.png"/><Relationship Id="rId377" Type="http://schemas.openxmlformats.org/officeDocument/2006/relationships/image" Target="media/image346.png"/><Relationship Id="rId378" Type="http://schemas.openxmlformats.org/officeDocument/2006/relationships/image" Target="media/image347.png"/><Relationship Id="rId379" Type="http://schemas.openxmlformats.org/officeDocument/2006/relationships/image" Target="media/image348.png"/><Relationship Id="rId380" Type="http://schemas.openxmlformats.org/officeDocument/2006/relationships/image" Target="media/image349.png"/><Relationship Id="rId381" Type="http://schemas.openxmlformats.org/officeDocument/2006/relationships/image" Target="media/image350.png"/><Relationship Id="rId382" Type="http://schemas.openxmlformats.org/officeDocument/2006/relationships/image" Target="media/image351.png"/><Relationship Id="rId383" Type="http://schemas.openxmlformats.org/officeDocument/2006/relationships/image" Target="media/image352.png"/><Relationship Id="rId384" Type="http://schemas.openxmlformats.org/officeDocument/2006/relationships/image" Target="media/image353.png"/><Relationship Id="rId385" Type="http://schemas.openxmlformats.org/officeDocument/2006/relationships/image" Target="media/image354.png"/><Relationship Id="rId386" Type="http://schemas.openxmlformats.org/officeDocument/2006/relationships/image" Target="media/image355.png"/><Relationship Id="rId387" Type="http://schemas.openxmlformats.org/officeDocument/2006/relationships/image" Target="media/image356.png"/><Relationship Id="rId388" Type="http://schemas.openxmlformats.org/officeDocument/2006/relationships/image" Target="media/image357.png"/><Relationship Id="rId389" Type="http://schemas.openxmlformats.org/officeDocument/2006/relationships/image" Target="media/image358.png"/><Relationship Id="rId390" Type="http://schemas.openxmlformats.org/officeDocument/2006/relationships/image" Target="media/image359.png"/><Relationship Id="rId391" Type="http://schemas.openxmlformats.org/officeDocument/2006/relationships/image" Target="media/image360.png"/><Relationship Id="rId392" Type="http://schemas.openxmlformats.org/officeDocument/2006/relationships/image" Target="media/image361.png"/><Relationship Id="rId393" Type="http://schemas.openxmlformats.org/officeDocument/2006/relationships/image" Target="media/image362.png"/><Relationship Id="rId394" Type="http://schemas.openxmlformats.org/officeDocument/2006/relationships/image" Target="media/image363.png"/><Relationship Id="rId395" Type="http://schemas.openxmlformats.org/officeDocument/2006/relationships/image" Target="media/image364.png"/><Relationship Id="rId396" Type="http://schemas.openxmlformats.org/officeDocument/2006/relationships/image" Target="media/image365.png"/><Relationship Id="rId397" Type="http://schemas.openxmlformats.org/officeDocument/2006/relationships/image" Target="media/image366.png"/><Relationship Id="rId398" Type="http://schemas.openxmlformats.org/officeDocument/2006/relationships/image" Target="media/image367.png"/><Relationship Id="rId399" Type="http://schemas.openxmlformats.org/officeDocument/2006/relationships/image" Target="media/image368.png"/><Relationship Id="rId400" Type="http://schemas.openxmlformats.org/officeDocument/2006/relationships/image" Target="media/image369.png"/><Relationship Id="rId401" Type="http://schemas.openxmlformats.org/officeDocument/2006/relationships/image" Target="media/image370.png"/><Relationship Id="rId402" Type="http://schemas.openxmlformats.org/officeDocument/2006/relationships/image" Target="media/image371.png"/><Relationship Id="rId403" Type="http://schemas.openxmlformats.org/officeDocument/2006/relationships/image" Target="media/image372.png"/><Relationship Id="rId404" Type="http://schemas.openxmlformats.org/officeDocument/2006/relationships/image" Target="media/image373.png"/><Relationship Id="rId405" Type="http://schemas.openxmlformats.org/officeDocument/2006/relationships/image" Target="media/image374.png"/><Relationship Id="rId406" Type="http://schemas.openxmlformats.org/officeDocument/2006/relationships/image" Target="media/image375.png"/><Relationship Id="rId407" Type="http://schemas.openxmlformats.org/officeDocument/2006/relationships/image" Target="media/image376.png"/><Relationship Id="rId408" Type="http://schemas.openxmlformats.org/officeDocument/2006/relationships/image" Target="media/image377.png"/><Relationship Id="rId409" Type="http://schemas.openxmlformats.org/officeDocument/2006/relationships/image" Target="media/image378.jpeg"/><Relationship Id="rId410" Type="http://schemas.openxmlformats.org/officeDocument/2006/relationships/image" Target="media/image379.png"/><Relationship Id="rId329" Type="http://schemas.openxmlformats.org/officeDocument/2006/relationships/hyperlink" Target="http://www.sec.gov/Archives/edgar/data/1638097/000095010317011026/dp82654_ex0301.htm" TargetMode="External"/><Relationship Id="rId330" Type="http://schemas.openxmlformats.org/officeDocument/2006/relationships/hyperlink" Target="http://www.sec.gov/Archives/edgar/data/1638097/000095010317011366/dp82999_ex0302.htm" TargetMode="External"/><Relationship Id="rId331" Type="http://schemas.openxmlformats.org/officeDocument/2006/relationships/hyperlink" Target="http://www.sec.gov/Archives/edgar/data/1638097/000095010317011026/dp82654_ex0401.htm" TargetMode="External"/><Relationship Id="rId332" Type="http://schemas.openxmlformats.org/officeDocument/2006/relationships/hyperlink" Target="http://www.sec.gov/Archives/edgar/data/1638097/000095010317011026/dp82654_ex0402.htm" TargetMode="External"/><Relationship Id="rId333" Type="http://schemas.openxmlformats.org/officeDocument/2006/relationships/hyperlink" Target="http://www.sec.gov/Archives/edgar/data/1638097/000095010317011026/dp82654_ex0403.htm" TargetMode="External"/><Relationship Id="rId334" Type="http://schemas.openxmlformats.org/officeDocument/2006/relationships/hyperlink" Target="http://www.sec.gov/Archives/edgar/data/1638097/000095010317011026/dp82654_ex0404.htm" TargetMode="External"/><Relationship Id="rId335" Type="http://schemas.openxmlformats.org/officeDocument/2006/relationships/hyperlink" Target="http://www.sec.gov/Archives/edgar/data/1638097/000095010317011026/dp82654_ex0405.htm" TargetMode="External"/><Relationship Id="rId336" Type="http://schemas.openxmlformats.org/officeDocument/2006/relationships/hyperlink" Target="http://www.sec.gov/Archives/edgar/data/1638097/000095010317011366/dp82999_ex1001.htm" TargetMode="External"/><Relationship Id="rId337" Type="http://schemas.openxmlformats.org/officeDocument/2006/relationships/hyperlink" Target="http://www.sec.gov/Archives/edgar/data/1638097/000095010317011026/dp82654_ex1002.htm" TargetMode="External"/><Relationship Id="rId338" Type="http://schemas.openxmlformats.org/officeDocument/2006/relationships/hyperlink" Target="http://www.sec.gov/Archives/edgar/data/1638097/000095010317011026/dp82654_ex1003.htm" TargetMode="External"/><Relationship Id="rId339" Type="http://schemas.openxmlformats.org/officeDocument/2006/relationships/hyperlink" Target="http://www.sec.gov/Archives/edgar/data/1638097/000095010317011026/dp82654_ex1004.htm" TargetMode="External"/><Relationship Id="rId340" Type="http://schemas.openxmlformats.org/officeDocument/2006/relationships/hyperlink" Target="http://www.sec.gov/Archives/edgar/data/1638097/000095010317011026/dp82654_ex1005.htm" TargetMode="External"/><Relationship Id="rId341" Type="http://schemas.openxmlformats.org/officeDocument/2006/relationships/hyperlink" Target="http://www.sec.gov/Archives/edgar/data/1638097/000095010317011026/dp82654_ex1006.htm" TargetMode="External"/><Relationship Id="rId342" Type="http://schemas.openxmlformats.org/officeDocument/2006/relationships/hyperlink" Target="http://www.sec.gov/Archives/edgar/data/1638097/000095010317011026/dp82654_ex1007.htm" TargetMode="External"/><Relationship Id="rId343" Type="http://schemas.openxmlformats.org/officeDocument/2006/relationships/hyperlink" Target="http://www.sec.gov/Archives/edgar/data/1638097/000095010317011366/dp82999_ex1008.htm" TargetMode="External"/><Relationship Id="rId344" Type="http://schemas.openxmlformats.org/officeDocument/2006/relationships/hyperlink" Target="http://www.sec.gov/Archives/edgar/data/1638097/000095010317011026/dp82654_ex1008.htm" TargetMode="External"/><Relationship Id="rId345" Type="http://schemas.openxmlformats.org/officeDocument/2006/relationships/hyperlink" Target="http://www.sec.gov/Archives/edgar/data/1638097/000114420418000927/tv482133_ex10-10.htm" TargetMode="External"/><Relationship Id="rId346" Type="http://schemas.openxmlformats.org/officeDocument/2006/relationships/hyperlink" Target="http://www.sec.gov/Archives/edgar/data/1638097/000095010317011026/dp82654_ex1010.htm" TargetMode="External"/><Relationship Id="rId347" Type="http://schemas.openxmlformats.org/officeDocument/2006/relationships/hyperlink" Target="http://www.sec.gov/Archives/edgar/data/1638097/000095010317011366/dp82999_ex1012.htm" TargetMode="External"/><Relationship Id="rId348" Type="http://schemas.openxmlformats.org/officeDocument/2006/relationships/hyperlink" Target="http://www.sec.gov/Archives/edgar/data/1638097/000095010317011366/dp82999_ex1013.htm" TargetMode="External"/><Relationship Id="rId349" Type="http://schemas.openxmlformats.org/officeDocument/2006/relationships/hyperlink" Target="http://www.sec.gov/Archives/edgar/data/1638097/000095010317011026/dp82654_ex1013.htm" TargetMode="External"/><Relationship Id="rId350" Type="http://schemas.openxmlformats.org/officeDocument/2006/relationships/hyperlink" Target="http://www.sec.gov/Archives/edgar/data/1638097/000095010317011026/dp82654_ex1014.htm" TargetMode="External"/><Relationship Id="rId351" Type="http://schemas.openxmlformats.org/officeDocument/2006/relationships/hyperlink" Target="http://www.sec.gov/Archives/edgar/data/1638097/000114420418000927/tv482133_ex10-17.htm" TargetMode="External"/><Relationship Id="rId352" Type="http://schemas.openxmlformats.org/officeDocument/2006/relationships/hyperlink" Target="http://www.sec.gov/Archives/edgar/data/1638097/000157104918000023/tv482779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2019-12-08T13:31:43Z</dcterms:created>
  <dcterms:modified xsi:type="dcterms:W3CDTF">2019-12-08T13:31:43Z</dcterms:modified>
</cp:coreProperties>
</file>