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24" w:space="1" w:color="000000"/>
        </w:rPr>
      </w:pPr>
      <w:bookmarkStart w:id="0" w:name="zk2636291.htm"/>
      <w:bookmarkStart w:id="1" w:name="kszk2636291"/>
      <w:bookmarkEnd w:id="0"/>
      <w:bookmarkEnd w:id="1"/>
      <w:r>
        <w:rPr>
          <w:bdr w:val="single" w:sz="24" w:space="1" w:color="000000"/>
        </w:rPr>
        <w:t> </w:t>
      </w:r>
    </w:p>
    <w:p>
      <w:pPr>
        <w:pStyle w:val="TextBody"/>
        <w:bidi w:val="0"/>
        <w:spacing w:before="220" w:after="0"/>
        <w:ind w:left="0" w:right="0" w:hanging="0"/>
        <w:jc w:val="center"/>
      </w:pPr>
      <w:r>
        <w:rPr>
          <w:rStyle w:val="StrongEmphasis"/>
          <w:rFonts w:ascii="Times New Roman;Times;serif" w:hAnsi="Times New Roman;Times;serif"/>
          <w:b w:val="false"/>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8"/>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caps w:val="false"/>
          <w:smallCaps w:val="false"/>
        </w:rPr>
        <w:t xml:space="preserve">☒ </w:t>
      </w:r>
      <w:r>
        <w:rPr>
          <w:rStyle w:val="StrongEmphasis"/>
          <w:rFonts w:ascii="Times New Roman;Times;Serif" w:hAnsi="Times New Roman;Times;Serif"/>
          <w:b w:val="false"/>
          <w:i w:val="false"/>
          <w:caps w:val="false"/>
          <w:smallCaps w:val="false"/>
          <w:sz w:val="20"/>
        </w:rPr>
        <w:t>QUARTERLY REPORT PURSUANT TO SECTION 13 OR 15(d) OF THE SECURITIES EXCHANGE</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For the quarterly period ended 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caps w:val="false"/>
          <w:smallCaps w:val="false"/>
        </w:rPr>
        <w:t xml:space="preserve">☐ </w:t>
      </w:r>
      <w:r>
        <w:rPr>
          <w:rStyle w:val="StrongEmphasis"/>
          <w:rFonts w:ascii="Times New Roman;Times;Serif" w:hAnsi="Times New Roman;Times;Serif"/>
          <w:b w:val="false"/>
          <w:i w:val="false"/>
          <w:caps w:val="false"/>
          <w:smallCaps w:val="false"/>
          <w:sz w:val="20"/>
        </w:rPr>
        <w:t>TRANSITION REPORT PURSUANT TO SECTION 13 OR 15(d) OF THE SECURITIES EXCHANGE</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For the transition period from ____________ to 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Commission File Number: 001-38556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125"/>
        <w:gridCol w:w="60"/>
        <w:gridCol w:w="1880"/>
      </w:tblGrid>
      <w:tr>
        <w:tc>
          <w:tcPr>
            <w:tcW w:w="3125" w:type="dxa"/>
            <w:tcBorders>
              <w:bottom w:val="single" w:sz="12" w:space="0" w:color="000000"/>
            </w:tcBorders>
            <w:vAlign w:val="center"/>
          </w:tcPr>
          <w:p>
            <w:pPr>
              <w:pStyle w:val="TableContents"/>
              <w:bidi w:val="0"/>
              <w:spacing w:before="0" w:after="283"/>
              <w:jc w:val="center"/>
            </w:pPr>
            <w:r>
              <w:rPr>
                <w:rStyle w:val="StrongEmphasis"/>
              </w:rPr>
              <w:t>Israel</w:t>
            </w:r>
          </w:p>
        </w:tc>
        <w:tc>
          <w:tcPr>
            <w:tcW w:w="60" w:type="dxa"/>
            <w:tcBorders/>
            <w:tcMar>
              <w:bottom w:w="0" w:type="dxa"/>
            </w:tcMar>
            <w:vAlign w:val="center"/>
          </w:tcPr>
          <w:p>
            <w:pPr>
              <w:pStyle w:val="TableContents"/>
              <w:bidi w:val="0"/>
              <w:spacing w:before="0" w:after="283"/>
              <w:jc w:val="left"/>
            </w:pPr>
            <w:r>
              <w:t> </w:t>
            </w:r>
          </w:p>
        </w:tc>
        <w:tc>
          <w:tcPr>
            <w:tcW w:w="1880" w:type="dxa"/>
            <w:tcBorders>
              <w:bottom w:val="single" w:sz="12" w:space="0" w:color="000000"/>
            </w:tcBorders>
            <w:vAlign w:val="center"/>
          </w:tcPr>
          <w:p>
            <w:pPr>
              <w:pStyle w:val="TableContents"/>
              <w:bidi w:val="0"/>
              <w:spacing w:before="0" w:after="283"/>
              <w:jc w:val="center"/>
            </w:pPr>
            <w:r>
              <w:rPr>
                <w:rStyle w:val="StrongEmphasis"/>
              </w:rPr>
              <w:t>Not applicable</w:t>
            </w:r>
          </w:p>
        </w:tc>
      </w:tr>
      <w:tr>
        <w:tc>
          <w:tcPr>
            <w:tcW w:w="3125" w:type="dxa"/>
            <w:tcBorders/>
            <w:tcMar>
              <w:bottom w:w="0" w:type="dxa"/>
            </w:tcMar>
            <w:vAlign w:val="center"/>
          </w:tcPr>
          <w:p>
            <w:pPr>
              <w:pStyle w:val="TableContents"/>
              <w:bidi w:val="0"/>
              <w:spacing w:before="0" w:after="283"/>
              <w:jc w:val="center"/>
            </w:pPr>
            <w:r>
              <w:rPr>
                <w:rStyle w:val="StrongEmphasis"/>
              </w:rPr>
              <w:t>(State or other jurisdiction of</w:t>
            </w:r>
          </w:p>
        </w:tc>
        <w:tc>
          <w:tcPr>
            <w:tcW w:w="60" w:type="dxa"/>
            <w:tcBorders/>
            <w:tcMar>
              <w:bottom w:w="0" w:type="dxa"/>
            </w:tcMar>
            <w:vAlign w:val="center"/>
          </w:tcPr>
          <w:p>
            <w:pPr>
              <w:pStyle w:val="TableContents"/>
              <w:bidi w:val="0"/>
              <w:spacing w:before="0" w:after="283"/>
              <w:jc w:val="left"/>
            </w:pPr>
            <w:r>
              <w:t> </w:t>
            </w:r>
          </w:p>
        </w:tc>
        <w:tc>
          <w:tcPr>
            <w:tcW w:w="1880" w:type="dxa"/>
            <w:tcBorders/>
            <w:tcMar>
              <w:bottom w:w="0" w:type="dxa"/>
            </w:tcMar>
            <w:vAlign w:val="center"/>
          </w:tcPr>
          <w:p>
            <w:pPr>
              <w:pStyle w:val="TableContents"/>
              <w:bidi w:val="0"/>
              <w:spacing w:before="0" w:after="283"/>
              <w:jc w:val="center"/>
            </w:pPr>
            <w:r>
              <w:rPr>
                <w:rStyle w:val="StrongEmphasis"/>
              </w:rPr>
              <w:t>(I.R.S. Employer</w:t>
            </w:r>
          </w:p>
        </w:tc>
      </w:tr>
      <w:tr>
        <w:tc>
          <w:tcPr>
            <w:tcW w:w="3125" w:type="dxa"/>
            <w:tcBorders/>
            <w:tcMar>
              <w:bottom w:w="0" w:type="dxa"/>
            </w:tcMar>
            <w:vAlign w:val="center"/>
          </w:tcPr>
          <w:p>
            <w:pPr>
              <w:pStyle w:val="TableContents"/>
              <w:bidi w:val="0"/>
              <w:spacing w:before="0" w:after="283"/>
              <w:jc w:val="center"/>
            </w:pPr>
            <w:r>
              <w:rPr>
                <w:rStyle w:val="StrongEmphasis"/>
              </w:rPr>
              <w:t>incorporation or organization)</w:t>
            </w:r>
          </w:p>
        </w:tc>
        <w:tc>
          <w:tcPr>
            <w:tcW w:w="60" w:type="dxa"/>
            <w:tcBorders/>
            <w:tcMar>
              <w:bottom w:w="0" w:type="dxa"/>
            </w:tcMar>
            <w:vAlign w:val="center"/>
          </w:tcPr>
          <w:p>
            <w:pPr>
              <w:pStyle w:val="TableContents"/>
              <w:bidi w:val="0"/>
              <w:spacing w:before="0" w:after="283"/>
              <w:jc w:val="left"/>
            </w:pPr>
            <w:r>
              <w:t> </w:t>
            </w:r>
          </w:p>
        </w:tc>
        <w:tc>
          <w:tcPr>
            <w:tcW w:w="1880" w:type="dxa"/>
            <w:tcBorders/>
            <w:tcMar>
              <w:bottom w:w="0" w:type="dxa"/>
            </w:tcMar>
            <w:vAlign w:val="center"/>
          </w:tcPr>
          <w:p>
            <w:pPr>
              <w:pStyle w:val="TableContents"/>
              <w:bidi w:val="0"/>
              <w:spacing w:before="0" w:after="283"/>
              <w:jc w:val="center"/>
            </w:pPr>
            <w:r>
              <w:rPr>
                <w:rStyle w:val="StrongEmphasis"/>
              </w:rPr>
              <w:t>Identification No.)</w:t>
            </w:r>
          </w:p>
        </w:tc>
      </w:tr>
    </w:tbl>
    <w:tbl>
      <w:tblPr>
        <w:tblW w:w="5140" w:type="dxa"/>
        <w:jc w:val="left"/>
        <w:tblInd w:w="0" w:type="dxa"/>
        <w:tblLayout w:type="fixed"/>
        <w:tblCellMar>
          <w:top w:w="0" w:type="dxa"/>
          <w:left w:w="0" w:type="dxa"/>
          <w:bottom w:w="0" w:type="dxa"/>
          <w:right w:w="0" w:type="dxa"/>
        </w:tblCellMar>
      </w:tblPr>
      <w:tblGrid>
        <w:gridCol w:w="3935"/>
        <w:gridCol w:w="60"/>
        <w:gridCol w:w="1145"/>
      </w:tblGrid>
      <w:tr>
        <w:tc>
          <w:tcPr>
            <w:tcW w:w="39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45" w:type="dxa"/>
            <w:tcBorders/>
            <w:vAlign w:val="center"/>
          </w:tcPr>
          <w:p>
            <w:pPr>
              <w:pStyle w:val="TableContents"/>
              <w:bidi w:val="0"/>
              <w:spacing w:before="0" w:after="283"/>
              <w:jc w:val="center"/>
            </w:pPr>
            <w:r>
              <w:t> </w:t>
            </w:r>
          </w:p>
        </w:tc>
      </w:tr>
      <w:tr>
        <w:tc>
          <w:tcPr>
            <w:tcW w:w="3935" w:type="dxa"/>
            <w:tcBorders/>
            <w:vAlign w:val="center"/>
          </w:tcPr>
          <w:p>
            <w:pPr>
              <w:pStyle w:val="TableContents"/>
              <w:bidi w:val="0"/>
              <w:spacing w:lineRule="auto" w:line="228" w:before="0" w:after="0"/>
              <w:ind w:left="0" w:right="0" w:hanging="0"/>
              <w:jc w:val="center"/>
            </w:pPr>
            <w:r>
              <w:rPr>
                <w:rStyle w:val="StrongEmphasis"/>
                <w:rFonts w:ascii="Times New Roman;Times;Serif" w:hAnsi="Times New Roman;Times;Serif"/>
                <w:b w:val="false"/>
                <w:i w:val="false"/>
                <w:caps w:val="false"/>
                <w:smallCaps w:val="false"/>
                <w:sz w:val="20"/>
              </w:rPr>
              <w:t>Kiryat Hadassah</w:t>
            </w:r>
            <w:r>
              <w:rPr>
                <w:rFonts w:ascii="Times New Roman;Times;Serif" w:hAnsi="Times New Roman;Times;Serif"/>
                <w:b w:val="false"/>
                <w:i w:val="false"/>
                <w:caps w:val="false"/>
                <w:smallCaps w:val="false"/>
                <w:sz w:val="20"/>
              </w:rPr>
              <w:t> </w:t>
            </w:r>
          </w:p>
          <w:p>
            <w:pPr>
              <w:pStyle w:val="TableContents"/>
              <w:bidi w:val="0"/>
              <w:spacing w:lineRule="auto" w:line="228" w:before="0" w:after="0"/>
              <w:ind w:left="0" w:right="0" w:hanging="0"/>
              <w:jc w:val="center"/>
            </w:pPr>
            <w:r>
              <w:rPr>
                <w:rStyle w:val="StrongEmphasis"/>
                <w:rFonts w:ascii="Times New Roman;Times;Serif" w:hAnsi="Times New Roman;Times;Serif"/>
                <w:b w:val="false"/>
                <w:i w:val="false"/>
                <w:caps w:val="false"/>
                <w:smallCaps w:val="false"/>
                <w:sz w:val="20"/>
              </w:rPr>
              <w:t>Minrav Building – Fifth Floor</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pPr>
            <w:r>
              <w:t> </w:t>
            </w:r>
          </w:p>
        </w:tc>
        <w:tc>
          <w:tcPr>
            <w:tcW w:w="1145" w:type="dxa"/>
            <w:tcBorders/>
            <w:vAlign w:val="center"/>
          </w:tcPr>
          <w:p>
            <w:pPr>
              <w:pStyle w:val="TableContents"/>
              <w:bidi w:val="0"/>
              <w:spacing w:before="0" w:after="283"/>
              <w:jc w:val="center"/>
            </w:pPr>
            <w:r>
              <w:t> </w:t>
            </w:r>
          </w:p>
        </w:tc>
      </w:tr>
      <w:tr>
        <w:tc>
          <w:tcPr>
            <w:tcW w:w="3935" w:type="dxa"/>
            <w:tcBorders>
              <w:bottom w:val="single" w:sz="12" w:space="0" w:color="000000"/>
            </w:tcBorders>
            <w:tcMar>
              <w:bottom w:w="28" w:type="dxa"/>
            </w:tcMar>
            <w:vAlign w:val="center"/>
          </w:tcPr>
          <w:p>
            <w:pPr>
              <w:pStyle w:val="TableContents"/>
              <w:bidi w:val="0"/>
              <w:spacing w:before="0" w:after="283"/>
              <w:jc w:val="center"/>
            </w:pPr>
            <w:r>
              <w:rPr>
                <w:rStyle w:val="StrongEmphasis"/>
              </w:rPr>
              <w:t>Jerusalem, Israel</w:t>
            </w:r>
          </w:p>
        </w:tc>
        <w:tc>
          <w:tcPr>
            <w:tcW w:w="60" w:type="dxa"/>
            <w:tcBorders/>
            <w:vAlign w:val="center"/>
          </w:tcPr>
          <w:p>
            <w:pPr>
              <w:pStyle w:val="TableContents"/>
              <w:bidi w:val="0"/>
              <w:spacing w:before="0" w:after="283"/>
              <w:jc w:val="left"/>
            </w:pPr>
            <w:r>
              <w:t> </w:t>
            </w:r>
          </w:p>
        </w:tc>
        <w:tc>
          <w:tcPr>
            <w:tcW w:w="1145" w:type="dxa"/>
            <w:tcBorders>
              <w:bottom w:val="single" w:sz="12" w:space="0" w:color="000000"/>
            </w:tcBorders>
            <w:tcMar>
              <w:bottom w:w="28" w:type="dxa"/>
            </w:tcMar>
            <w:vAlign w:val="center"/>
          </w:tcPr>
          <w:p>
            <w:pPr>
              <w:pStyle w:val="TableContents"/>
              <w:bidi w:val="0"/>
              <w:spacing w:before="0" w:after="283"/>
              <w:jc w:val="center"/>
            </w:pPr>
            <w:r>
              <w:rPr>
                <w:rStyle w:val="StrongEmphasis"/>
              </w:rPr>
              <w:t>9112002</w:t>
            </w:r>
          </w:p>
        </w:tc>
      </w:tr>
      <w:tr>
        <w:tc>
          <w:tcPr>
            <w:tcW w:w="3935" w:type="dxa"/>
            <w:tcBorders/>
            <w:vAlign w:val="center"/>
          </w:tcPr>
          <w:p>
            <w:pPr>
              <w:pStyle w:val="TableContents"/>
              <w:bidi w:val="0"/>
              <w:spacing w:before="0" w:after="283"/>
              <w:jc w:val="center"/>
            </w:pPr>
            <w:r>
              <w:rPr>
                <w:rStyle w:val="StrongEmphasis"/>
              </w:rPr>
              <w:t>(Address of principal executive offices)</w:t>
            </w:r>
          </w:p>
        </w:tc>
        <w:tc>
          <w:tcPr>
            <w:tcW w:w="60" w:type="dxa"/>
            <w:tcBorders/>
            <w:vAlign w:val="center"/>
          </w:tcPr>
          <w:p>
            <w:pPr>
              <w:pStyle w:val="TableContents"/>
              <w:bidi w:val="0"/>
              <w:spacing w:before="0" w:after="283"/>
              <w:jc w:val="left"/>
            </w:pPr>
            <w:r>
              <w:t> </w:t>
            </w:r>
          </w:p>
        </w:tc>
        <w:tc>
          <w:tcPr>
            <w:tcW w:w="1145" w:type="dxa"/>
            <w:tcBorders/>
            <w:vAlign w:val="center"/>
          </w:tcPr>
          <w:p>
            <w:pPr>
              <w:pStyle w:val="TableContents"/>
              <w:bidi w:val="0"/>
              <w:spacing w:before="0" w:after="283"/>
              <w:jc w:val="center"/>
            </w:pPr>
            <w:r>
              <w:rPr>
                <w:rStyle w:val="StrongEmphasis"/>
              </w:rPr>
              <w:t>(Zip Code)</w:t>
            </w:r>
          </w:p>
        </w:tc>
      </w:tr>
    </w:tbl>
    <w:p>
      <w:pPr>
        <w:pStyle w:val="TextBody"/>
        <w:bidi w:val="0"/>
        <w:spacing w:before="0" w:after="0"/>
        <w:ind w:left="0" w:right="0" w:hanging="0"/>
        <w:jc w:val="center"/>
      </w:pPr>
      <w:r>
        <w:rPr>
          <w:rStyle w:val="StrongEmphasis"/>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u w:val="single"/>
        </w:rPr>
        <w:t>972-2-532-7151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2255"/>
        <w:gridCol w:w="60"/>
        <w:gridCol w:w="1685"/>
        <w:gridCol w:w="60"/>
        <w:gridCol w:w="4730"/>
      </w:tblGrid>
      <w:tr>
        <w:tc>
          <w:tcPr>
            <w:tcW w:w="2255" w:type="dxa"/>
            <w:tcBorders>
              <w:bottom w:val="single" w:sz="12" w:space="0" w:color="000000"/>
            </w:tcBorders>
            <w:vAlign w:val="center"/>
          </w:tcPr>
          <w:p>
            <w:pPr>
              <w:pStyle w:val="TableContents"/>
              <w:bidi w:val="0"/>
              <w:spacing w:before="0" w:after="283"/>
              <w:jc w:val="center"/>
            </w:pPr>
            <w:r>
              <w:rPr>
                <w:rStyle w:val="StrongEmphasis"/>
              </w:rPr>
              <w:t>Title of Each Class</w:t>
            </w:r>
          </w:p>
        </w:tc>
        <w:tc>
          <w:tcPr>
            <w:tcW w:w="60" w:type="dxa"/>
            <w:tcBorders/>
            <w:tcMar>
              <w:bottom w:w="0" w:type="dxa"/>
            </w:tcMar>
            <w:vAlign w:val="center"/>
          </w:tcPr>
          <w:p>
            <w:pPr>
              <w:pStyle w:val="TableContents"/>
              <w:bidi w:val="0"/>
              <w:spacing w:before="0" w:after="283"/>
              <w:jc w:val="left"/>
            </w:pPr>
            <w:r>
              <w:t> </w:t>
            </w:r>
          </w:p>
        </w:tc>
        <w:tc>
          <w:tcPr>
            <w:tcW w:w="1685" w:type="dxa"/>
            <w:tcBorders>
              <w:bottom w:val="single" w:sz="12" w:space="0" w:color="000000"/>
            </w:tcBorders>
            <w:vAlign w:val="center"/>
          </w:tcPr>
          <w:p>
            <w:pPr>
              <w:pStyle w:val="TableContents"/>
              <w:bidi w:val="0"/>
              <w:spacing w:before="0" w:after="283"/>
              <w:jc w:val="center"/>
            </w:pPr>
            <w:r>
              <w:rPr>
                <w:rStyle w:val="StrongEmphasis"/>
              </w:rPr>
              <w:t>Trading Symbol</w:t>
            </w:r>
          </w:p>
        </w:tc>
        <w:tc>
          <w:tcPr>
            <w:tcW w:w="60" w:type="dxa"/>
            <w:tcBorders/>
            <w:tcMar>
              <w:bottom w:w="0" w:type="dxa"/>
            </w:tcMar>
            <w:vAlign w:val="center"/>
          </w:tcPr>
          <w:p>
            <w:pPr>
              <w:pStyle w:val="TableContents"/>
              <w:bidi w:val="0"/>
              <w:spacing w:before="0" w:after="283"/>
              <w:jc w:val="left"/>
            </w:pPr>
            <w:r>
              <w:t> </w:t>
            </w:r>
          </w:p>
        </w:tc>
        <w:tc>
          <w:tcPr>
            <w:tcW w:w="4730" w:type="dxa"/>
            <w:tcBorders>
              <w:bottom w:val="single" w:sz="12" w:space="0" w:color="000000"/>
            </w:tcBorders>
            <w:vAlign w:val="center"/>
          </w:tcPr>
          <w:p>
            <w:pPr>
              <w:pStyle w:val="TableContents"/>
              <w:bidi w:val="0"/>
              <w:spacing w:before="0" w:after="283"/>
              <w:jc w:val="center"/>
            </w:pPr>
            <w:r>
              <w:rPr>
                <w:rStyle w:val="StrongEmphasis"/>
              </w:rPr>
              <w:t>Name of Each Exchange on Which Registered</w:t>
            </w:r>
          </w:p>
        </w:tc>
      </w:tr>
      <w:tr>
        <w:tc>
          <w:tcPr>
            <w:tcW w:w="2255" w:type="dxa"/>
            <w:tcBorders/>
            <w:shd w:fill="CCEEFF" w:val="clear"/>
            <w:tcMar>
              <w:bottom w:w="0" w:type="dxa"/>
            </w:tcMar>
            <w:vAlign w:val="center"/>
          </w:tcPr>
          <w:p>
            <w:pPr>
              <w:pStyle w:val="TableContents"/>
              <w:bidi w:val="0"/>
              <w:spacing w:before="0" w:after="0"/>
              <w:ind w:left="0" w:right="0" w:hanging="0"/>
              <w:jc w:val="center"/>
            </w:pPr>
            <w:r>
              <w:rPr>
                <w:rStyle w:val="StrongEmphasis"/>
                <w:rFonts w:ascii="Times New Roman;Times;Serif" w:hAnsi="Times New Roman;Times;Serif"/>
                <w:b w:val="false"/>
                <w:i w:val="false"/>
                <w:caps w:val="false"/>
                <w:smallCaps w:val="false"/>
                <w:sz w:val="20"/>
              </w:rPr>
              <w:t xml:space="preserve">Ordinary Shares, par value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pPr>
            <w:r>
              <w:rPr>
                <w:rStyle w:val="StrongEmphasis"/>
                <w:rFonts w:ascii="Times New Roman;Times;Serif" w:hAnsi="Times New Roman;Times;Serif"/>
                <w:b w:val="false"/>
                <w:i w:val="false"/>
                <w:caps w:val="false"/>
                <w:smallCaps w:val="false"/>
                <w:sz w:val="20"/>
              </w:rPr>
              <w:t>NIS 0.0000769 per share</w:t>
            </w: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pPr>
            <w:r>
              <w:t> </w:t>
            </w:r>
          </w:p>
        </w:tc>
        <w:tc>
          <w:tcPr>
            <w:tcW w:w="1685" w:type="dxa"/>
            <w:tcBorders/>
            <w:shd w:fill="CCEEFF" w:val="clear"/>
            <w:tcMar>
              <w:bottom w:w="0" w:type="dxa"/>
            </w:tcMar>
            <w:vAlign w:val="center"/>
          </w:tcPr>
          <w:p>
            <w:pPr>
              <w:pStyle w:val="TableContents"/>
              <w:bidi w:val="0"/>
              <w:spacing w:before="0" w:after="283"/>
              <w:jc w:val="center"/>
            </w:pPr>
            <w:r>
              <w:rPr>
                <w:rStyle w:val="StrongEmphasis"/>
              </w:rPr>
              <w:t>ENTX</w:t>
            </w:r>
          </w:p>
        </w:tc>
        <w:tc>
          <w:tcPr>
            <w:tcW w:w="60" w:type="dxa"/>
            <w:tcBorders/>
            <w:shd w:fill="CCEEFF" w:val="clear"/>
            <w:tcMar>
              <w:bottom w:w="0" w:type="dxa"/>
            </w:tcMar>
            <w:vAlign w:val="center"/>
          </w:tcPr>
          <w:p>
            <w:pPr>
              <w:pStyle w:val="TableContents"/>
              <w:bidi w:val="0"/>
              <w:spacing w:before="0" w:after="283"/>
              <w:jc w:val="left"/>
            </w:pPr>
            <w:r>
              <w:t> </w:t>
            </w:r>
          </w:p>
        </w:tc>
        <w:tc>
          <w:tcPr>
            <w:tcW w:w="4730" w:type="dxa"/>
            <w:tcBorders/>
            <w:shd w:fill="CCEEFF" w:val="clear"/>
            <w:tcMar>
              <w:bottom w:w="0" w:type="dxa"/>
            </w:tcMar>
            <w:vAlign w:val="center"/>
          </w:tcPr>
          <w:p>
            <w:pPr>
              <w:pStyle w:val="TableContents"/>
              <w:bidi w:val="0"/>
              <w:spacing w:before="0" w:after="283"/>
              <w:jc w:val="center"/>
            </w:pPr>
            <w:r>
              <w:rPr>
                <w:rStyle w:val="StrongEmphasis"/>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c>
          <w:tcPr>
            <w:tcW w:w="2135" w:type="dxa"/>
            <w:tcBorders/>
            <w:vAlign w:val="center"/>
          </w:tcPr>
          <w:p>
            <w:pPr>
              <w:pStyle w:val="TableContents"/>
              <w:bidi w:val="0"/>
              <w:spacing w:before="0" w:after="283"/>
              <w:jc w:val="left"/>
            </w:pPr>
            <w:r>
              <w:t>Large accelerated filer</w:t>
            </w:r>
          </w:p>
        </w:tc>
        <w:tc>
          <w:tcPr>
            <w:tcW w:w="230" w:type="dxa"/>
            <w:tcBorders/>
            <w:vAlign w:val="center"/>
          </w:tcPr>
          <w:p>
            <w:pPr>
              <w:pStyle w:val="TableContents"/>
              <w:bidi w:val="0"/>
              <w:spacing w:before="0" w:after="283"/>
              <w:jc w:val="left"/>
            </w:pPr>
            <w:r>
              <w:t>☐</w:t>
            </w:r>
          </w:p>
        </w:tc>
        <w:tc>
          <w:tcPr>
            <w:tcW w:w="2615" w:type="dxa"/>
            <w:tcBorders/>
            <w:vAlign w:val="center"/>
          </w:tcPr>
          <w:p>
            <w:pPr>
              <w:pStyle w:val="TableContents"/>
              <w:bidi w:val="0"/>
              <w:spacing w:before="0" w:after="283"/>
              <w:jc w:val="left"/>
            </w:pPr>
            <w:r>
              <w:t>Accelerated filer</w:t>
            </w:r>
          </w:p>
        </w:tc>
        <w:tc>
          <w:tcPr>
            <w:tcW w:w="245" w:type="dxa"/>
            <w:tcBorders/>
            <w:vAlign w:val="center"/>
          </w:tcPr>
          <w:p>
            <w:pPr>
              <w:pStyle w:val="TableContents"/>
              <w:bidi w:val="0"/>
              <w:spacing w:before="0" w:after="283"/>
              <w:jc w:val="left"/>
            </w:pPr>
            <w:r>
              <w:t>☐</w:t>
            </w:r>
          </w:p>
        </w:tc>
      </w:tr>
      <w:tr>
        <w:tc>
          <w:tcPr>
            <w:tcW w:w="2135" w:type="dxa"/>
            <w:tcBorders/>
            <w:vAlign w:val="center"/>
          </w:tcPr>
          <w:p>
            <w:pPr>
              <w:pStyle w:val="TableContents"/>
              <w:bidi w:val="0"/>
              <w:spacing w:before="0" w:after="283"/>
              <w:jc w:val="left"/>
            </w:pPr>
            <w:r>
              <w:t>Non-Accelerated filer</w:t>
            </w:r>
          </w:p>
        </w:tc>
        <w:tc>
          <w:tcPr>
            <w:tcW w:w="230" w:type="dxa"/>
            <w:tcBorders/>
            <w:vAlign w:val="center"/>
          </w:tcPr>
          <w:p>
            <w:pPr>
              <w:pStyle w:val="TableContents"/>
              <w:bidi w:val="0"/>
              <w:spacing w:before="0" w:after="283"/>
              <w:jc w:val="left"/>
            </w:pPr>
            <w:r>
              <w:t>☒</w:t>
            </w:r>
          </w:p>
        </w:tc>
        <w:tc>
          <w:tcPr>
            <w:tcW w:w="2615" w:type="dxa"/>
            <w:tcBorders/>
            <w:vAlign w:val="center"/>
          </w:tcPr>
          <w:p>
            <w:pPr>
              <w:pStyle w:val="TableContents"/>
              <w:bidi w:val="0"/>
              <w:spacing w:before="0" w:after="283"/>
              <w:jc w:val="left"/>
            </w:pPr>
            <w:r>
              <w:t>Smaller reporting company</w:t>
            </w:r>
          </w:p>
        </w:tc>
        <w:tc>
          <w:tcPr>
            <w:tcW w:w="245" w:type="dxa"/>
            <w:tcBorders/>
            <w:vAlign w:val="center"/>
          </w:tcPr>
          <w:p>
            <w:pPr>
              <w:pStyle w:val="TableContents"/>
              <w:bidi w:val="0"/>
              <w:spacing w:before="0" w:after="283"/>
              <w:jc w:val="left"/>
            </w:pPr>
            <w:r>
              <w:t>☒</w:t>
            </w:r>
          </w:p>
        </w:tc>
      </w:tr>
      <w:tr>
        <w:tc>
          <w:tcPr>
            <w:tcW w:w="213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c>
          <w:tcPr>
            <w:tcW w:w="2615" w:type="dxa"/>
            <w:tcBorders/>
            <w:vAlign w:val="center"/>
          </w:tcPr>
          <w:p>
            <w:pPr>
              <w:pStyle w:val="TableContents"/>
              <w:bidi w:val="0"/>
              <w:spacing w:before="0" w:after="283"/>
              <w:jc w:val="left"/>
            </w:pPr>
            <w:r>
              <w:t>Emerging growth company</w:t>
            </w:r>
          </w:p>
        </w:tc>
        <w:tc>
          <w:tcPr>
            <w:tcW w:w="245" w:type="dxa"/>
            <w:tcBorders/>
            <w:vAlign w:val="center"/>
          </w:tcPr>
          <w:p>
            <w:pPr>
              <w:pStyle w:val="TableContents"/>
              <w:bidi w:val="0"/>
              <w:spacing w:before="0" w:after="283"/>
              <w:jc w:val="left"/>
            </w:pPr>
            <w: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 2026, the registrant had 174,137,771 ordinary shares, par value NIS 0.0000769 per share (“Ordinary Shares”) outstanding.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025"/>
        <w:gridCol w:w="455"/>
      </w:tblGrid>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r>
              <w:t> </w:t>
            </w:r>
          </w:p>
        </w:tc>
        <w:tc>
          <w:tcPr>
            <w:tcW w:w="455" w:type="dxa"/>
            <w:tcBorders>
              <w:bottom w:val="single" w:sz="12" w:space="0" w:color="000000"/>
            </w:tcBorders>
            <w:tcMar>
              <w:bottom w:w="28" w:type="dxa"/>
            </w:tcMar>
            <w:vAlign w:val="center"/>
          </w:tcPr>
          <w:p>
            <w:pPr>
              <w:pStyle w:val="TableContents"/>
              <w:bidi w:val="0"/>
              <w:spacing w:before="0" w:after="283"/>
              <w:jc w:val="center"/>
            </w:pPr>
            <w:r>
              <w:rPr>
                <w:rStyle w:val="StrongEmphasis"/>
                <w:rFonts w:ascii="Times New Roman;Times;serif" w:hAnsi="Times New Roman;Times;serif"/>
                <w:sz w:val="20"/>
              </w:rPr>
              <w:t>Page</w:t>
            </w:r>
          </w:p>
        </w:tc>
      </w:tr>
      <w:tr>
        <w:tc>
          <w:tcPr>
            <w:tcW w:w="9750" w:type="dxa"/>
            <w:gridSpan w:val="2"/>
            <w:tcBorders/>
            <w:vAlign w:val="center"/>
          </w:tcPr>
          <w:p>
            <w:pPr>
              <w:pStyle w:val="TableContents"/>
              <w:bidi w:val="0"/>
              <w:spacing w:before="0" w:after="283"/>
              <w:jc w:val="left"/>
            </w:pPr>
            <w:hyperlink w:anchor="CAUTIONARY">
              <w:r>
                <w:rPr>
                  <w:rStyle w:val="InternetLink"/>
                  <w:rFonts w:ascii="Times New Roman;Times;serif" w:hAnsi="Times New Roman;Times;serif"/>
                  <w:b/>
                  <w:b/>
                  <w:bCs/>
                  <w:sz w:val="20"/>
                </w:rPr>
                <w:t>CAUTIONARY STATEMENT REGARDING FORWARD-LOOKING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c>
          <w:tcPr>
            <w:tcW w:w="9750" w:type="dxa"/>
            <w:gridSpan w:val="2"/>
            <w:tcBorders/>
            <w:vAlign w:val="center"/>
          </w:tcPr>
          <w:p>
            <w:pPr>
              <w:pStyle w:val="TableContents"/>
              <w:bidi w:val="0"/>
              <w:spacing w:before="0" w:after="283"/>
              <w:jc w:val="left"/>
            </w:pPr>
            <w:hyperlink w:anchor="part1">
              <w:r>
                <w:rPr>
                  <w:rStyle w:val="InternetLink"/>
                  <w:rFonts w:ascii="Times New Roman;Times;serif" w:hAnsi="Times New Roman;Times;serif"/>
                  <w:b/>
                  <w:b/>
                  <w:bCs/>
                  <w:sz w:val="20"/>
                </w:rPr>
                <w:t>PART I – FINANCIAL INFORMATION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r>
              <w:t> </w:t>
            </w:r>
          </w:p>
        </w:tc>
        <w:tc>
          <w:tcPr>
            <w:tcW w:w="455" w:type="dxa"/>
            <w:tcBorders/>
            <w:vAlign w:val="center"/>
          </w:tcPr>
          <w:p>
            <w:pPr>
              <w:pStyle w:val="TableContents"/>
              <w:bidi w:val="0"/>
              <w:spacing w:before="0" w:after="283"/>
              <w:jc w:val="left"/>
            </w:pPr>
            <w:r>
              <w:t> </w:t>
            </w:r>
          </w:p>
        </w:tc>
      </w:tr>
      <w:tr>
        <w:tc>
          <w:tcPr>
            <w:tcW w:w="725" w:type="dxa"/>
            <w:tcBorders/>
            <w:vAlign w:val="center"/>
          </w:tcPr>
          <w:p>
            <w:pPr>
              <w:pStyle w:val="TableContents"/>
              <w:bidi w:val="0"/>
              <w:spacing w:before="0" w:after="283"/>
              <w:jc w:val="left"/>
            </w:pPr>
            <w:hyperlink w:anchor="item1">
              <w:r>
                <w:rPr>
                  <w:rStyle w:val="InternetLink"/>
                  <w:rFonts w:ascii="Times New Roman;Times;serif" w:hAnsi="Times New Roman;Times;serif"/>
                  <w:sz w:val="20"/>
                </w:rPr>
                <w:t>Item 1.</w:t>
              </w:r>
            </w:hyperlink>
          </w:p>
        </w:tc>
        <w:tc>
          <w:tcPr>
            <w:tcW w:w="9025" w:type="dxa"/>
            <w:tcBorders/>
            <w:vAlign w:val="center"/>
          </w:tcPr>
          <w:p>
            <w:pPr>
              <w:pStyle w:val="TableContents"/>
              <w:bidi w:val="0"/>
              <w:spacing w:before="0" w:after="283"/>
              <w:jc w:val="both"/>
            </w:pPr>
            <w:hyperlink w:anchor="item1">
              <w:r>
                <w:rPr>
                  <w:rStyle w:val="InternetLink"/>
                  <w:rFonts w:ascii="Times New Roman;Times;serif" w:hAnsi="Times New Roman;Times;serif"/>
                  <w:sz w:val="20"/>
                </w:rPr>
                <w:t>Financial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hyperlink w:anchor="a_BALANCESHEETS">
              <w:r>
                <w:rPr>
                  <w:rStyle w:val="InternetLink"/>
                  <w:rFonts w:ascii="Times New Roman;Times;serif" w:hAnsi="Times New Roman;Times;serif"/>
                  <w:sz w:val="20"/>
                </w:rPr>
                <w:t>Condensed Consolidated Balance Sheets as of September 30, 2026 and December 31,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hyperlink w:anchor="a_STATEMENTSOFOPERATIONS">
              <w:r>
                <w:rPr>
                  <w:rStyle w:val="InternetLink"/>
                  <w:rFonts w:ascii="Times New Roman;Times;serif" w:hAnsi="Times New Roman;Times;serif"/>
                  <w:sz w:val="20"/>
                </w:rPr>
                <w:t>Condensed Consolidated Statements of Operations for the three and nine months ended September 30, 2026 and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hyperlink w:anchor="a_SHAREHOLDERSEQUITY">
              <w:r>
                <w:rPr>
                  <w:rStyle w:val="InternetLink"/>
                  <w:rFonts w:ascii="Times New Roman;Times;serif" w:hAnsi="Times New Roman;Times;serif"/>
                  <w:sz w:val="20"/>
                </w:rPr>
                <w:t>Condensed Consolidated Statement of Changes in Shareholders’ Equity for the three and nine months ended September 30, 2026 and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hyperlink w:anchor="a_CASHFLOWS">
              <w:r>
                <w:rPr>
                  <w:rStyle w:val="InternetLink"/>
                  <w:rFonts w:ascii="Times New Roman;Times;serif" w:hAnsi="Times New Roman;Times;serif"/>
                  <w:sz w:val="20"/>
                </w:rPr>
                <w:t>Condensed Consolidated Statements of Cash Flows for the nine months ended September 30, 2026 and 2025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hyperlink w:anchor="a_FINANCIALSTATEMENTS">
              <w:r>
                <w:rPr>
                  <w:rStyle w:val="InternetLink"/>
                  <w:rFonts w:ascii="Times New Roman;Times;serif" w:hAnsi="Times New Roman;Times;serif"/>
                  <w:sz w:val="20"/>
                </w:rPr>
                <w:t>Notes to Condensed Consolidated Financial Statements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c>
          <w:tcPr>
            <w:tcW w:w="725" w:type="dxa"/>
            <w:tcBorders/>
            <w:vAlign w:val="center"/>
          </w:tcPr>
          <w:p>
            <w:pPr>
              <w:pStyle w:val="TableContents"/>
              <w:bidi w:val="0"/>
              <w:spacing w:before="0" w:after="283"/>
              <w:jc w:val="left"/>
            </w:pPr>
            <w:hyperlink w:anchor="item2">
              <w:r>
                <w:rPr>
                  <w:rStyle w:val="InternetLink"/>
                  <w:rFonts w:ascii="Times New Roman;Times;serif" w:hAnsi="Times New Roman;Times;serif"/>
                  <w:sz w:val="20"/>
                </w:rPr>
                <w:t>Item 2.</w:t>
              </w:r>
            </w:hyperlink>
          </w:p>
        </w:tc>
        <w:tc>
          <w:tcPr>
            <w:tcW w:w="9025" w:type="dxa"/>
            <w:tcBorders/>
            <w:vAlign w:val="center"/>
          </w:tcPr>
          <w:p>
            <w:pPr>
              <w:pStyle w:val="TableContents"/>
              <w:bidi w:val="0"/>
              <w:spacing w:before="0" w:after="283"/>
              <w:jc w:val="both"/>
            </w:pPr>
            <w:hyperlink w:anchor="item2">
              <w:r>
                <w:rPr>
                  <w:rStyle w:val="InternetLink"/>
                  <w:rFonts w:ascii="Times New Roman;Times;serif" w:hAnsi="Times New Roman;Times;serif"/>
                  <w:sz w:val="20"/>
                </w:rPr>
                <w:t>Management's Discussion and Analysis of Financial Condition and Results of Operations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c>
          <w:tcPr>
            <w:tcW w:w="725" w:type="dxa"/>
            <w:tcBorders/>
            <w:vAlign w:val="center"/>
          </w:tcPr>
          <w:p>
            <w:pPr>
              <w:pStyle w:val="TableContents"/>
              <w:bidi w:val="0"/>
              <w:spacing w:before="0" w:after="283"/>
              <w:jc w:val="left"/>
            </w:pPr>
            <w:hyperlink w:anchor="item3">
              <w:r>
                <w:rPr>
                  <w:rStyle w:val="InternetLink"/>
                  <w:rFonts w:ascii="Times New Roman;Times;serif" w:hAnsi="Times New Roman;Times;serif"/>
                  <w:sz w:val="20"/>
                </w:rPr>
                <w:t>Item 3.</w:t>
              </w:r>
            </w:hyperlink>
          </w:p>
        </w:tc>
        <w:tc>
          <w:tcPr>
            <w:tcW w:w="9025" w:type="dxa"/>
            <w:tcBorders/>
            <w:vAlign w:val="center"/>
          </w:tcPr>
          <w:p>
            <w:pPr>
              <w:pStyle w:val="TableContents"/>
              <w:bidi w:val="0"/>
              <w:spacing w:before="0" w:after="283"/>
              <w:jc w:val="both"/>
            </w:pPr>
            <w:hyperlink w:anchor="item3">
              <w:r>
                <w:rPr>
                  <w:rStyle w:val="InternetLink"/>
                  <w:rFonts w:ascii="Times New Roman;Times;serif" w:hAnsi="Times New Roman;Times;serif"/>
                  <w:sz w:val="20"/>
                </w:rPr>
                <w:t>Quantitative and Qualitative Disclosures About Market Risk</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c>
          <w:tcPr>
            <w:tcW w:w="725" w:type="dxa"/>
            <w:tcBorders/>
            <w:vAlign w:val="center"/>
          </w:tcPr>
          <w:p>
            <w:pPr>
              <w:pStyle w:val="TableContents"/>
              <w:bidi w:val="0"/>
              <w:spacing w:before="0" w:after="283"/>
              <w:jc w:val="left"/>
            </w:pPr>
            <w:hyperlink w:anchor="item4">
              <w:r>
                <w:rPr>
                  <w:rStyle w:val="InternetLink"/>
                  <w:rFonts w:ascii="Times New Roman;Times;serif" w:hAnsi="Times New Roman;Times;serif"/>
                  <w:sz w:val="20"/>
                </w:rPr>
                <w:t>Item 4.</w:t>
              </w:r>
            </w:hyperlink>
          </w:p>
        </w:tc>
        <w:tc>
          <w:tcPr>
            <w:tcW w:w="9025" w:type="dxa"/>
            <w:tcBorders/>
            <w:vAlign w:val="center"/>
          </w:tcPr>
          <w:p>
            <w:pPr>
              <w:pStyle w:val="TableContents"/>
              <w:bidi w:val="0"/>
              <w:spacing w:before="0" w:after="283"/>
              <w:jc w:val="both"/>
            </w:pPr>
            <w:hyperlink w:anchor="item4">
              <w:r>
                <w:rPr>
                  <w:rStyle w:val="InternetLink"/>
                  <w:rFonts w:ascii="Times New Roman;Times;serif" w:hAnsi="Times New Roman;Times;serif"/>
                  <w:sz w:val="20"/>
                </w:rPr>
                <w:t>Controls and Procedures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c>
          <w:tcPr>
            <w:tcW w:w="725" w:type="dxa"/>
            <w:tcBorders/>
            <w:vAlign w:val="center"/>
          </w:tcPr>
          <w:p>
            <w:pPr>
              <w:pStyle w:val="TableContents"/>
              <w:bidi w:val="0"/>
              <w:spacing w:before="0" w:after="283"/>
              <w:jc w:val="left"/>
            </w:pPr>
            <w:r>
              <w:t> </w:t>
            </w:r>
          </w:p>
        </w:tc>
        <w:tc>
          <w:tcPr>
            <w:tcW w:w="9025" w:type="dxa"/>
            <w:tcBorders/>
            <w:vAlign w:val="center"/>
          </w:tcPr>
          <w:p>
            <w:pPr>
              <w:pStyle w:val="TableContents"/>
              <w:bidi w:val="0"/>
              <w:spacing w:before="0" w:after="283"/>
              <w:jc w:val="both"/>
            </w:pPr>
            <w:r>
              <w:t> </w:t>
            </w:r>
          </w:p>
        </w:tc>
        <w:tc>
          <w:tcPr>
            <w:tcW w:w="455" w:type="dxa"/>
            <w:tcBorders/>
            <w:vAlign w:val="center"/>
          </w:tcPr>
          <w:p>
            <w:pPr>
              <w:pStyle w:val="TableContents"/>
              <w:bidi w:val="0"/>
              <w:spacing w:before="0" w:after="283"/>
              <w:jc w:val="center"/>
            </w:pPr>
            <w:r>
              <w:t> </w:t>
            </w:r>
          </w:p>
        </w:tc>
      </w:tr>
      <w:tr>
        <w:tc>
          <w:tcPr>
            <w:tcW w:w="9750" w:type="dxa"/>
            <w:gridSpan w:val="2"/>
            <w:tcBorders/>
            <w:vAlign w:val="center"/>
          </w:tcPr>
          <w:p>
            <w:pPr>
              <w:pStyle w:val="TableContents"/>
              <w:bidi w:val="0"/>
              <w:spacing w:before="0" w:after="283"/>
              <w:jc w:val="left"/>
            </w:pPr>
            <w:hyperlink w:anchor="part2">
              <w:r>
                <w:rPr>
                  <w:rStyle w:val="InternetLink"/>
                  <w:rFonts w:ascii="Times New Roman;Times;serif" w:hAnsi="Times New Roman;Times;serif"/>
                  <w:b/>
                  <w:b/>
                  <w:bCs/>
                  <w:sz w:val="20"/>
                </w:rPr>
                <w:t>PART II – OTHER INFORMATION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c>
          <w:tcPr>
            <w:tcW w:w="10205" w:type="dxa"/>
            <w:gridSpan w:val="3"/>
            <w:tcBorders/>
            <w:vAlign w:val="center"/>
          </w:tcPr>
          <w:p>
            <w:pPr>
              <w:pStyle w:val="TableContents"/>
              <w:bidi w:val="0"/>
              <w:spacing w:before="0" w:after="283"/>
              <w:jc w:val="center"/>
            </w:pPr>
            <w:r>
              <w:t> </w:t>
            </w:r>
          </w:p>
        </w:tc>
      </w:tr>
      <w:tr>
        <w:tc>
          <w:tcPr>
            <w:tcW w:w="10205" w:type="dxa"/>
            <w:gridSpan w:val="3"/>
            <w:tcBorders/>
            <w:vAlign w:val="center"/>
          </w:tcPr>
          <w:p>
            <w:pPr>
              <w:pStyle w:val="TableContents"/>
              <w:bidi w:val="0"/>
              <w:spacing w:before="0" w:after="283"/>
              <w:jc w:val="left"/>
            </w:pPr>
            <w:r>
              <w:t> </w:t>
            </w:r>
          </w:p>
        </w:tc>
      </w:tr>
      <w:tr>
        <w:tc>
          <w:tcPr>
            <w:tcW w:w="725" w:type="dxa"/>
            <w:tcBorders/>
            <w:vAlign w:val="center"/>
          </w:tcPr>
          <w:p>
            <w:pPr>
              <w:pStyle w:val="TableContents"/>
              <w:bidi w:val="0"/>
              <w:spacing w:before="0" w:after="283"/>
              <w:jc w:val="left"/>
            </w:pPr>
            <w:hyperlink w:anchor="item1a">
              <w:r>
                <w:rPr>
                  <w:rStyle w:val="InternetLink"/>
                  <w:rFonts w:ascii="Times New Roman;Times;serif" w:hAnsi="Times New Roman;Times;serif"/>
                  <w:sz w:val="20"/>
                </w:rPr>
                <w:t>Item 1.</w:t>
              </w:r>
            </w:hyperlink>
          </w:p>
        </w:tc>
        <w:tc>
          <w:tcPr>
            <w:tcW w:w="9025" w:type="dxa"/>
            <w:tcBorders/>
            <w:vAlign w:val="center"/>
          </w:tcPr>
          <w:p>
            <w:pPr>
              <w:pStyle w:val="TableContents"/>
              <w:bidi w:val="0"/>
              <w:spacing w:before="0" w:after="283"/>
              <w:jc w:val="left"/>
            </w:pPr>
            <w:hyperlink w:anchor="item1a">
              <w:r>
                <w:rPr>
                  <w:rStyle w:val="InternetLink"/>
                  <w:rFonts w:ascii="Times New Roman;Times;serif" w:hAnsi="Times New Roman;Times;serif"/>
                  <w:sz w:val="20"/>
                </w:rPr>
                <w:t>Legal Proceedings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c>
          <w:tcPr>
            <w:tcW w:w="725" w:type="dxa"/>
            <w:tcBorders/>
            <w:vAlign w:val="center"/>
          </w:tcPr>
          <w:p>
            <w:pPr>
              <w:pStyle w:val="TableContents"/>
              <w:bidi w:val="0"/>
              <w:spacing w:before="0" w:after="283"/>
              <w:jc w:val="left"/>
            </w:pPr>
            <w:hyperlink w:anchor="item1a1">
              <w:r>
                <w:rPr>
                  <w:rStyle w:val="InternetLink"/>
                  <w:rFonts w:ascii="Times New Roman;Times;serif" w:hAnsi="Times New Roman;Times;serif"/>
                  <w:sz w:val="20"/>
                </w:rPr>
                <w:t>Item 1A.</w:t>
              </w:r>
            </w:hyperlink>
          </w:p>
        </w:tc>
        <w:tc>
          <w:tcPr>
            <w:tcW w:w="9025" w:type="dxa"/>
            <w:tcBorders/>
            <w:vAlign w:val="center"/>
          </w:tcPr>
          <w:p>
            <w:pPr>
              <w:pStyle w:val="TableContents"/>
              <w:bidi w:val="0"/>
              <w:spacing w:before="0" w:after="283"/>
              <w:jc w:val="left"/>
            </w:pPr>
            <w:hyperlink w:anchor="item1a1">
              <w:r>
                <w:rPr>
                  <w:rStyle w:val="InternetLink"/>
                  <w:rFonts w:ascii="Times New Roman;Times;serif" w:hAnsi="Times New Roman;Times;serif"/>
                  <w:sz w:val="20"/>
                </w:rPr>
                <w:t>Risk Factors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c>
          <w:tcPr>
            <w:tcW w:w="725" w:type="dxa"/>
            <w:tcBorders/>
            <w:vAlign w:val="center"/>
          </w:tcPr>
          <w:p>
            <w:pPr>
              <w:pStyle w:val="TableContents"/>
              <w:bidi w:val="0"/>
              <w:spacing w:before="0" w:after="283"/>
              <w:jc w:val="left"/>
            </w:pPr>
            <w:hyperlink w:anchor="item2a">
              <w:r>
                <w:rPr>
                  <w:rStyle w:val="InternetLink"/>
                  <w:rFonts w:ascii="Times New Roman;Times;serif" w:hAnsi="Times New Roman;Times;serif"/>
                  <w:sz w:val="20"/>
                </w:rPr>
                <w:t>Item 2.</w:t>
              </w:r>
            </w:hyperlink>
          </w:p>
        </w:tc>
        <w:tc>
          <w:tcPr>
            <w:tcW w:w="9025" w:type="dxa"/>
            <w:tcBorders/>
            <w:vAlign w:val="center"/>
          </w:tcPr>
          <w:p>
            <w:pPr>
              <w:pStyle w:val="TableContents"/>
              <w:bidi w:val="0"/>
              <w:spacing w:before="0" w:after="283"/>
              <w:jc w:val="left"/>
            </w:pPr>
            <w:hyperlink w:anchor="item2a">
              <w:r>
                <w:rPr>
                  <w:rStyle w:val="InternetLink"/>
                  <w:rFonts w:ascii="Times New Roman;Times;serif" w:hAnsi="Times New Roman;Times;serif"/>
                  <w:sz w:val="20"/>
                </w:rPr>
                <w:t>Unregistered Sales of Equity Securities and Use of Proceeds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c>
          <w:tcPr>
            <w:tcW w:w="725" w:type="dxa"/>
            <w:tcBorders/>
            <w:vAlign w:val="center"/>
          </w:tcPr>
          <w:p>
            <w:pPr>
              <w:pStyle w:val="TableContents"/>
              <w:bidi w:val="0"/>
              <w:spacing w:before="0" w:after="283"/>
              <w:jc w:val="left"/>
            </w:pPr>
            <w:hyperlink w:anchor="item3a">
              <w:r>
                <w:rPr>
                  <w:rStyle w:val="InternetLink"/>
                  <w:rFonts w:ascii="Times New Roman;Times;serif" w:hAnsi="Times New Roman;Times;serif"/>
                  <w:sz w:val="20"/>
                </w:rPr>
                <w:t>Item 3.</w:t>
              </w:r>
            </w:hyperlink>
          </w:p>
        </w:tc>
        <w:tc>
          <w:tcPr>
            <w:tcW w:w="9025" w:type="dxa"/>
            <w:tcBorders/>
            <w:vAlign w:val="center"/>
          </w:tcPr>
          <w:p>
            <w:pPr>
              <w:pStyle w:val="TableContents"/>
              <w:bidi w:val="0"/>
              <w:spacing w:before="0" w:after="283"/>
              <w:jc w:val="left"/>
            </w:pPr>
            <w:hyperlink w:anchor="item3">
              <w:r>
                <w:rPr>
                  <w:rStyle w:val="InternetLink"/>
                  <w:rFonts w:ascii="Times New Roman;Times;serif" w:hAnsi="Times New Roman;Times;serif"/>
                  <w:sz w:val="20"/>
                </w:rPr>
                <w:t>Defaults Upon Senior Securities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c>
          <w:tcPr>
            <w:tcW w:w="725" w:type="dxa"/>
            <w:tcBorders/>
            <w:vAlign w:val="center"/>
          </w:tcPr>
          <w:p>
            <w:pPr>
              <w:pStyle w:val="TableContents"/>
              <w:bidi w:val="0"/>
              <w:spacing w:before="0" w:after="283"/>
              <w:jc w:val="left"/>
            </w:pPr>
            <w:hyperlink w:anchor="item4a">
              <w:r>
                <w:rPr>
                  <w:rStyle w:val="InternetLink"/>
                  <w:rFonts w:ascii="Times New Roman;Times;serif" w:hAnsi="Times New Roman;Times;serif"/>
                  <w:sz w:val="20"/>
                </w:rPr>
                <w:t>Item 4.</w:t>
              </w:r>
            </w:hyperlink>
          </w:p>
        </w:tc>
        <w:tc>
          <w:tcPr>
            <w:tcW w:w="9025" w:type="dxa"/>
            <w:tcBorders/>
            <w:vAlign w:val="center"/>
          </w:tcPr>
          <w:p>
            <w:pPr>
              <w:pStyle w:val="TableContents"/>
              <w:bidi w:val="0"/>
              <w:spacing w:before="0" w:after="283"/>
              <w:jc w:val="left"/>
            </w:pPr>
            <w:hyperlink w:anchor="item4a">
              <w:r>
                <w:rPr>
                  <w:rStyle w:val="InternetLink"/>
                  <w:rFonts w:ascii="Times New Roman;Times;serif" w:hAnsi="Times New Roman;Times;serif"/>
                  <w:sz w:val="20"/>
                </w:rPr>
                <w:t>Mine Safety Disclosures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c>
          <w:tcPr>
            <w:tcW w:w="725" w:type="dxa"/>
            <w:tcBorders/>
            <w:vAlign w:val="center"/>
          </w:tcPr>
          <w:p>
            <w:pPr>
              <w:pStyle w:val="TableContents"/>
              <w:bidi w:val="0"/>
              <w:spacing w:before="0" w:after="283"/>
              <w:jc w:val="left"/>
            </w:pPr>
            <w:hyperlink w:anchor="item5a">
              <w:r>
                <w:rPr>
                  <w:rStyle w:val="InternetLink"/>
                  <w:rFonts w:ascii="Times New Roman;Times;serif" w:hAnsi="Times New Roman;Times;serif"/>
                  <w:sz w:val="20"/>
                </w:rPr>
                <w:t>Item 5.</w:t>
              </w:r>
            </w:hyperlink>
          </w:p>
        </w:tc>
        <w:tc>
          <w:tcPr>
            <w:tcW w:w="9025" w:type="dxa"/>
            <w:tcBorders/>
            <w:vAlign w:val="center"/>
          </w:tcPr>
          <w:p>
            <w:pPr>
              <w:pStyle w:val="TableContents"/>
              <w:bidi w:val="0"/>
              <w:spacing w:before="0" w:after="283"/>
              <w:jc w:val="left"/>
            </w:pPr>
            <w:hyperlink w:anchor="item5a">
              <w:r>
                <w:rPr>
                  <w:rStyle w:val="InternetLink"/>
                  <w:rFonts w:ascii="Times New Roman;Times;serif" w:hAnsi="Times New Roman;Times;serif"/>
                  <w:sz w:val="20"/>
                </w:rPr>
                <w:t>Other Information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c>
          <w:tcPr>
            <w:tcW w:w="725" w:type="dxa"/>
            <w:tcBorders/>
            <w:vAlign w:val="center"/>
          </w:tcPr>
          <w:p>
            <w:pPr>
              <w:pStyle w:val="TableContents"/>
              <w:bidi w:val="0"/>
              <w:spacing w:before="0" w:after="283"/>
              <w:jc w:val="left"/>
            </w:pPr>
            <w:hyperlink w:anchor="item6a">
              <w:r>
                <w:rPr>
                  <w:rStyle w:val="InternetLink"/>
                  <w:rFonts w:ascii="Times New Roman;Times;serif" w:hAnsi="Times New Roman;Times;serif"/>
                  <w:sz w:val="20"/>
                </w:rPr>
                <w:t>Item 6.</w:t>
              </w:r>
            </w:hyperlink>
          </w:p>
        </w:tc>
        <w:tc>
          <w:tcPr>
            <w:tcW w:w="9025" w:type="dxa"/>
            <w:tcBorders/>
            <w:vAlign w:val="center"/>
          </w:tcPr>
          <w:p>
            <w:pPr>
              <w:pStyle w:val="TableContents"/>
              <w:bidi w:val="0"/>
              <w:spacing w:before="0" w:after="283"/>
              <w:jc w:val="both"/>
            </w:pPr>
            <w:hyperlink w:anchor="item6a">
              <w:r>
                <w:rPr>
                  <w:rStyle w:val="InternetLink"/>
                  <w:rFonts w:ascii="Times New Roman;Times;serif" w:hAnsi="Times New Roman;Times;serif"/>
                  <w:sz w:val="20"/>
                </w:rPr>
                <w:t>Exhibits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c>
          <w:tcPr>
            <w:tcW w:w="10205" w:type="dxa"/>
            <w:gridSpan w:val="3"/>
            <w:tcBorders/>
            <w:vAlign w:val="center"/>
          </w:tcPr>
          <w:p>
            <w:pPr>
              <w:pStyle w:val="TableContents"/>
              <w:bidi w:val="0"/>
              <w:spacing w:before="0" w:after="283"/>
              <w:jc w:val="center"/>
            </w:pPr>
            <w:r>
              <w:t> </w:t>
            </w:r>
          </w:p>
        </w:tc>
      </w:tr>
      <w:tr>
        <w:tc>
          <w:tcPr>
            <w:tcW w:w="9750" w:type="dxa"/>
            <w:gridSpan w:val="2"/>
            <w:tcBorders/>
            <w:vAlign w:val="center"/>
          </w:tcPr>
          <w:p>
            <w:pPr>
              <w:pStyle w:val="TableContents"/>
              <w:bidi w:val="0"/>
              <w:spacing w:before="0" w:after="283"/>
              <w:jc w:val="left"/>
            </w:pPr>
            <w:hyperlink w:anchor="signatures">
              <w:r>
                <w:rPr>
                  <w:rStyle w:val="InternetLink"/>
                  <w:rFonts w:ascii="Times New Roman;Times;serif" w:hAnsi="Times New Roman;Times;serif"/>
                  <w:b/>
                  <w:b/>
                  <w:bCs/>
                  <w:sz w:val="20"/>
                </w:rPr>
                <w:t>SIGNATURES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center"/>
      </w:pPr>
      <w:bookmarkStart w:id="2" w:name="CAUTIONARY"/>
      <w:bookmarkEnd w:id="2"/>
      <w:r>
        <w:rPr>
          <w:rStyle w:val="StrongEmphasis"/>
          <w:rFonts w:ascii="Times New Roman;Times;serif" w:hAnsi="Times New Roman;Times;serif"/>
          <w:b w:val="false"/>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“Quarterly Report”) contains “forward-looking statements,” as that term is defined under the Private Securities Litigation Reform Act of 1995 (“PSLRA”), Section 27A of the Securities Act of 1933, as amended (the “Securities Act”), and Section 21E of the Securities Exchange Act of 1934, as amended (the “Exchange Act”). Various statements in this Quarterly Report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Quarterly Report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Quarterly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including,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“Part II, Item 1A-Risk Factors” of this Quarterly Report and in “Part I, Item 1A-Risk Factors” in our Annual Report on Form 10-K for the year ended December 31, 2025 (the “2025 Annual Report”). Meaningful factors that could cause actual results to differ from those expressed in forward-looking statements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approval processes of the U.S. Food and Drug Administration (“FDA”) and comparable foreign authorities are lengthy, time-consuming and inherently unpredictable, and if we are ultimately unable to obtain regulatory approval for our product candidates, our business will be materially harmed;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depend on enrollment of patients in our clinical trials for our product candidates. If we are unable to enroll an adequate number of volunteers or patients in our clinical trials, our research and development efforts could be materially adversely affected;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9"/>
        <w:gridCol w:w="10019"/>
      </w:tblGrid>
      <w:t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rely on third-party contract manufacturers for clinical trial supplies of our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accuracy of our estimates regarding expenses, capital requirements, the sufficiency of our cash resources and the need for additional financing;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current or future product candidate receives marketing approval, it may fail to achieve the degree of market acceptance by physicians, patients, third-party payors and others in the medical community necessary for commercial success;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successful commercialization of our product candidates, if approved, will depend in part on the extent to which governmental authorities and third-party payors establish adequate coverage and reimbursement levels and pricing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pPr>
      <w: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or maintain coverage and adequate reimbursement for our product candidates, if approved, could limit our ability to market those products and decrease our ability to generate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do not anticipate paying any cash dividends on our capital stock in the foreseeable future, capital appreciation, if any, will be your sole source of gain;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parties to conduct our clinical trials and on third-party suppliers to supply or produce our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5"/>
        <w:gridCol w:w="10050"/>
      </w:tblGrid>
      <w:tr>
        <w:tc>
          <w:tcPr>
            <w:tcW w:w="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interpretation of FDA feedback and guidance and how such guidance may impact our clinical development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9"/>
        <w:gridCol w:w="9992"/>
      </w:tblGrid>
      <w:tr>
        <w:tc>
          <w:tcPr>
            <w:tcW w:w="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use and expand our N-Tab® platform to additional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 as a development stage company with limited operating history and a history of operating losses and our ability to fund our operations going forward;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 with respect to other products on the market or in development for the treatment of osteoporosis, hypoparathyroidism, short bowel syndrome and other rare gastrointestinal disorders, obesity, metabolic and inflammatory conditions and other disease categories we pursue;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0"/>
        <w:gridCol w:w="10003"/>
      </w:tblGrid>
      <w:tr>
        <w:tc>
          <w:tcPr>
            <w:tcW w:w="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and maintain development and commercialization collaborations;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manufacture and supply enough material to support our clinical trials and any potential future commercial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2"/>
        <w:gridCol w:w="10055"/>
      </w:tblGrid>
      <w:t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any market we may target and the adoption of our product candidates, if approved, by physicians and patients;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maintain and protect our intellectual property and operate our business without infringing, misappropriating, or otherwise violating any intellectual property rights of others;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74"/>
        <w:gridCol w:w="9972"/>
      </w:tblGrid>
      <w:tr>
        <w:tc>
          <w:tcPr>
            <w:tcW w:w="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 and recruit additional qualified personnel;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8"/>
        <w:gridCol w:w="10034"/>
      </w:tblGrid>
      <w:tr>
        <w:tc>
          <w:tcPr>
            <w:tcW w:w="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comply with laws and regulations that currently apply or become applicable to our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377"/>
        <w:gridCol w:w="9698"/>
      </w:tblGrid>
      <w:tr>
        <w:tc>
          <w:tcPr>
            <w:tcW w:w="1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contained in this Quarterly Report are expressly qualified in their entirety by the cautionary statements contained or referred to in this section. We caution investors not to rely heavily on the forward-looking statements we make. Except as required by applicable law, we are under no duty, and expressly disclaim any obligation, to update or revise publicly any forward-looking statements, whether as a result of new information, future events or otherwise. You are advised, however, to consult all further disclosures we make in each annual, quarterly or current report that we file with the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read Part II, Item 1A of this Quarterly Report and Part I, Item 1A of our 2025 Annual Report, each entitled “Risk Factors,” and Part I, Item 2 “Management’s Discussion and Analysis of Financial Condition and Results of Operations—Liquidity, Capital Resources and Cash Requirements” of this Quarterly Report for additional discussion of the risks and uncertainties associated with our business.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pPr>
      <w:r>
        <w:t> </w:t>
      </w:r>
    </w:p>
    <w:p>
      <w:pPr>
        <w:pStyle w:val="TextBody"/>
        <w:bidi w:val="0"/>
        <w:spacing w:before="0" w:after="0"/>
        <w:ind w:left="0" w:right="0" w:hanging="0"/>
        <w:jc w:val="center"/>
      </w:pPr>
      <w:bookmarkStart w:id="3" w:name="part1"/>
      <w:bookmarkEnd w:id="3"/>
      <w:r>
        <w:rPr>
          <w:rStyle w:val="StrongEmphasis"/>
          <w:rFonts w:ascii="Times New Roman;Times;Serif" w:hAnsi="Times New Roman;Times;Serif"/>
          <w:b w:val="false"/>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pPr>
      <w:bookmarkStart w:id="4" w:name="item1"/>
      <w:bookmarkEnd w:id="4"/>
      <w:r>
        <w:rPr>
          <w:rStyle w:val="StrongEmphasis"/>
          <w:rFonts w:ascii="Times New Roman;Times;Serif" w:hAnsi="Times New Roman;Times;Serif"/>
          <w:b w:val="false"/>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w:t>
      </w:r>
    </w:p>
    <w:p>
      <w:pPr>
        <w:pStyle w:val="TextBody"/>
        <w:bidi w:val="0"/>
        <w:spacing w:before="0" w:after="0"/>
        <w:ind w:left="0" w:right="0" w:hanging="0"/>
        <w:jc w:val="center"/>
      </w:pPr>
      <w:r>
        <w:rPr>
          <w:caps w:val="false"/>
          <w:smallCaps w:val="false"/>
        </w:rPr>
        <w:t>  </w:t>
      </w:r>
      <w:r>
        <w:rPr>
          <w:rStyle w:val="StrongEmphasis"/>
          <w:caps w:val="false"/>
          <w:smallCaps w:val="false"/>
        </w:rPr>
        <w:t>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pPr>
      <w:r>
        <w:t> </w:t>
      </w:r>
    </w:p>
    <w:p>
      <w:pPr>
        <w:pStyle w:val="TextBody"/>
        <w:bidi w:val="0"/>
        <w:spacing w:before="0" w:after="0"/>
        <w:ind w:left="0" w:right="0" w:hanging="0"/>
        <w:jc w:val="center"/>
      </w:pPr>
      <w:r>
        <w:rPr>
          <w:rStyle w:val="StrongEmphasis"/>
          <w:caps w:val="false"/>
          <w:smallCaps w:val="false"/>
        </w:rPr>
        <w:t> </w:t>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45" w:type="dxa"/>
          <w:left w:w="45" w:type="dxa"/>
          <w:bottom w:w="45" w:type="dxa"/>
          <w:right w:w="45" w:type="dxa"/>
        </w:tblCellMar>
      </w:tblPr>
      <w:tblGrid>
        <w:gridCol w:w="6995"/>
        <w:gridCol w:w="545"/>
      </w:tblGrid>
      <w:tr>
        <w:tc>
          <w:tcPr>
            <w:tcW w:w="6995" w:type="dxa"/>
            <w:tcBorders/>
            <w:vAlign w:val="center"/>
          </w:tcPr>
          <w:p>
            <w:pPr>
              <w:pStyle w:val="TableContents"/>
              <w:bidi w:val="0"/>
              <w:spacing w:before="0" w:after="283"/>
              <w:jc w:val="left"/>
            </w:pPr>
            <w:r>
              <w:t> </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pPr>
            <w:r>
              <w:rPr>
                <w:rStyle w:val="StrongEmphasis"/>
                <w:rFonts w:ascii="Times New Roman;Times;Serif" w:hAnsi="Times New Roman;Times;Serif"/>
                <w:sz w:val="20"/>
              </w:rPr>
              <w:t>Page</w:t>
            </w:r>
          </w:p>
        </w:tc>
      </w:tr>
      <w:tr>
        <w:tc>
          <w:tcPr>
            <w:tcW w:w="6995" w:type="dxa"/>
            <w:tcBorders/>
            <w:vAlign w:val="center"/>
          </w:tcPr>
          <w:p>
            <w:pPr>
              <w:pStyle w:val="TableContents"/>
              <w:bidi w:val="0"/>
              <w:spacing w:before="0" w:after="283"/>
              <w:jc w:val="left"/>
            </w:pPr>
            <w:r>
              <w:rPr>
                <w:rStyle w:val="StrongEmphasis"/>
                <w:rFonts w:ascii="Times New Roman;Times;Serif" w:hAnsi="Times New Roman;Times;Serif"/>
              </w:rPr>
              <w:t>CONDENSED CONSOLIDATED FINANCIAL STATEMENTS:</w:t>
            </w:r>
          </w:p>
        </w:tc>
        <w:tc>
          <w:tcPr>
            <w:tcW w:w="545" w:type="dxa"/>
            <w:tcBorders/>
            <w:vAlign w:val="center"/>
          </w:tcPr>
          <w:p>
            <w:pPr>
              <w:pStyle w:val="TableContents"/>
              <w:bidi w:val="0"/>
              <w:spacing w:before="0" w:after="283"/>
              <w:jc w:val="center"/>
            </w:pPr>
            <w:r>
              <w:t> </w:t>
            </w:r>
          </w:p>
        </w:tc>
      </w:tr>
      <w:tr>
        <w:tc>
          <w:tcPr>
            <w:tcW w:w="6995" w:type="dxa"/>
            <w:tcBorders/>
            <w:tcMar>
              <w:top w:w="0" w:type="dxa"/>
              <w:left w:w="0" w:type="dxa"/>
              <w:bottom w:w="0" w:type="dxa"/>
              <w:right w:w="0" w:type="dxa"/>
            </w:tcMar>
            <w:vAlign w:val="center"/>
          </w:tcPr>
          <w:p>
            <w:pPr>
              <w:pStyle w:val="TableContents"/>
              <w:bidi w:val="0"/>
              <w:spacing w:before="0" w:after="283"/>
              <w:jc w:val="left"/>
            </w:pPr>
            <w:hyperlink w:anchor="a_BALANCESHEETS">
              <w:r>
                <w:rPr>
                  <w:rStyle w:val="InternetLink"/>
                  <w:rFonts w:ascii="Times New Roman;Times;Serif" w:hAnsi="Times New Roman;Times;Serif"/>
                  <w:sz w:val="20"/>
                </w:rPr>
                <w:t>Condensed Consolidated Balance Sheets (unaudited)</w:t>
              </w:r>
            </w:hyperlink>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c>
          <w:tcPr>
            <w:tcW w:w="6995" w:type="dxa"/>
            <w:tcBorders/>
            <w:tcMar>
              <w:top w:w="0" w:type="dxa"/>
              <w:left w:w="0" w:type="dxa"/>
              <w:bottom w:w="0" w:type="dxa"/>
              <w:right w:w="0" w:type="dxa"/>
            </w:tcMar>
            <w:vAlign w:val="center"/>
          </w:tcPr>
          <w:p>
            <w:pPr>
              <w:pStyle w:val="TableContents"/>
              <w:bidi w:val="0"/>
              <w:spacing w:before="0" w:after="283"/>
              <w:jc w:val="left"/>
            </w:pPr>
            <w:hyperlink w:anchor="a_STATEMENTSOFOPERATIONS">
              <w:r>
                <w:rPr>
                  <w:rStyle w:val="InternetLink"/>
                  <w:rFonts w:ascii="Times New Roman;Times;Serif" w:hAnsi="Times New Roman;Times;Serif"/>
                  <w:sz w:val="20"/>
                </w:rPr>
                <w:t>Condensed Consolidated Statements of Operations (unaudited)</w:t>
              </w:r>
            </w:hyperlink>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c>
          <w:tcPr>
            <w:tcW w:w="6995" w:type="dxa"/>
            <w:tcBorders/>
            <w:tcMar>
              <w:top w:w="0" w:type="dxa"/>
              <w:left w:w="0" w:type="dxa"/>
              <w:bottom w:w="0" w:type="dxa"/>
              <w:right w:w="0" w:type="dxa"/>
            </w:tcMar>
            <w:vAlign w:val="center"/>
          </w:tcPr>
          <w:p>
            <w:pPr>
              <w:pStyle w:val="TableContents"/>
              <w:bidi w:val="0"/>
              <w:spacing w:before="0" w:after="283"/>
              <w:jc w:val="left"/>
            </w:pPr>
            <w:hyperlink w:anchor="a_SHAREHOLDERSEQUITY">
              <w:r>
                <w:rPr>
                  <w:rStyle w:val="InternetLink"/>
                  <w:rFonts w:ascii="Times New Roman;Times;Serif" w:hAnsi="Times New Roman;Times;Serif"/>
                  <w:sz w:val="20"/>
                </w:rPr>
                <w:t>Condensed Consolidated Statements of Changes in Shareholders' Equity (unaudited)</w:t>
              </w:r>
            </w:hyperlink>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c>
          <w:tcPr>
            <w:tcW w:w="6995" w:type="dxa"/>
            <w:tcBorders/>
            <w:tcMar>
              <w:top w:w="0" w:type="dxa"/>
              <w:left w:w="0" w:type="dxa"/>
              <w:bottom w:w="0" w:type="dxa"/>
              <w:right w:w="0" w:type="dxa"/>
            </w:tcMar>
            <w:vAlign w:val="center"/>
          </w:tcPr>
          <w:p>
            <w:pPr>
              <w:pStyle w:val="TableContents"/>
              <w:bidi w:val="0"/>
              <w:spacing w:before="0" w:after="283"/>
              <w:jc w:val="left"/>
            </w:pPr>
            <w:hyperlink w:anchor="a_CASHFLOWS">
              <w:r>
                <w:rPr>
                  <w:rStyle w:val="InternetLink"/>
                  <w:rFonts w:ascii="Times New Roman;Times;Serif" w:hAnsi="Times New Roman;Times;Serif"/>
                  <w:sz w:val="20"/>
                </w:rPr>
                <w:t>Condensed Consolidated Statements of Cash Flows (unaudited)</w:t>
              </w:r>
            </w:hyperlink>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c>
          <w:tcPr>
            <w:tcW w:w="6995" w:type="dxa"/>
            <w:tcBorders/>
            <w:tcMar>
              <w:top w:w="0" w:type="dxa"/>
              <w:left w:w="0" w:type="dxa"/>
              <w:bottom w:w="0" w:type="dxa"/>
              <w:right w:w="0" w:type="dxa"/>
            </w:tcMar>
            <w:vAlign w:val="center"/>
          </w:tcPr>
          <w:p>
            <w:pPr>
              <w:pStyle w:val="TableContents"/>
              <w:bidi w:val="0"/>
              <w:spacing w:before="0" w:after="283"/>
              <w:jc w:val="left"/>
            </w:pPr>
            <w:hyperlink w:anchor="a_FINANCIALSTATEMENTS">
              <w:r>
                <w:rPr>
                  <w:rStyle w:val="InternetLink"/>
                  <w:rFonts w:ascii="Times New Roman;Times;Serif" w:hAnsi="Times New Roman;Times;Serif"/>
                  <w:sz w:val="20"/>
                </w:rPr>
                <w:t>Notes to the Condensed Consolidated Financial Statements (unaudited)</w:t>
              </w:r>
            </w:hyperlink>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283"/>
        <w:jc w:val="left"/>
      </w:pPr>
      <w:r>
        <w:t> </w:t>
      </w:r>
    </w:p>
    <w:p>
      <w:pPr>
        <w:pStyle w:val="TextBody"/>
        <w:bidi w:val="0"/>
        <w:spacing w:before="0" w:after="0"/>
        <w:ind w:left="0" w:right="0" w:hanging="0"/>
        <w:jc w:val="center"/>
      </w:pPr>
      <w:bookmarkStart w:id="5" w:name="a_BALANCESHEETS"/>
      <w:bookmarkEnd w:id="5"/>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0"/>
        <w:gridCol w:w="60"/>
        <w:gridCol w:w="75"/>
        <w:gridCol w:w="1114"/>
        <w:gridCol w:w="95"/>
        <w:gridCol w:w="60"/>
        <w:gridCol w:w="71"/>
        <w:gridCol w:w="1058"/>
        <w:gridCol w:w="362"/>
      </w:tblGrid>
      <w:tr>
        <w:tc>
          <w:tcPr>
            <w:tcW w:w="7310"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pPr>
            <w: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362" w:type="dxa"/>
            <w:tcBorders/>
            <w:vAlign w:val="center"/>
          </w:tcPr>
          <w:p>
            <w:pPr>
              <w:pStyle w:val="TableContents"/>
              <w:bidi w:val="0"/>
              <w:spacing w:before="0" w:after="283"/>
              <w:jc w:val="left"/>
            </w:pPr>
            <w:r>
              <w:t> </w:t>
            </w:r>
          </w:p>
        </w:tc>
      </w:tr>
      <w:tr>
        <w:tc>
          <w:tcPr>
            <w:tcW w:w="731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center"/>
            </w:pPr>
            <w: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62" w:type="dxa"/>
            <w:tcBorders/>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 </w:t>
            </w:r>
          </w:p>
        </w:tc>
        <w:tc>
          <w:tcPr>
            <w:tcW w:w="362" w:type="dxa"/>
            <w:tcBorders/>
            <w:shd w:fill="CCEEFF" w:val="clear"/>
            <w:vAlign w:val="center"/>
          </w:tcPr>
          <w:p>
            <w:pPr>
              <w:pStyle w:val="TableContents"/>
              <w:bidi w:val="0"/>
              <w:spacing w:before="0" w:after="283"/>
              <w:ind w:left="0" w:right="0" w:firstLine="284"/>
              <w:jc w:val="left"/>
            </w:pPr>
            <w:r>
              <w:t> </w:t>
            </w:r>
          </w:p>
        </w:tc>
      </w:tr>
      <w:tr>
        <w:tc>
          <w:tcPr>
            <w:tcW w:w="7310" w:type="dxa"/>
            <w:tcBorders/>
            <w:shd w:fill="FFFFFF" w:val="clear"/>
            <w:vAlign w:val="center"/>
          </w:tcPr>
          <w:p>
            <w:pPr>
              <w:pStyle w:val="TableContents"/>
              <w:bidi w:val="0"/>
              <w:spacing w:before="0" w:after="283"/>
              <w:jc w:val="both"/>
            </w:pPr>
            <w:r>
              <w:t>Cash and cash equivalents</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265,883</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7,108</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pPr>
            <w:r>
              <w:t>      </w:t>
            </w:r>
            <w:r>
              <w:t>Restricted cash</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6,536</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7,775</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      </w:t>
            </w:r>
            <w:r>
              <w:t>Other current assets</w:t>
            </w:r>
          </w:p>
        </w:tc>
        <w:tc>
          <w:tcPr>
            <w:tcW w:w="60" w:type="dxa"/>
            <w:tcBorders/>
            <w:shd w:fill="FFFFFF" w:val="clear"/>
            <w:vAlign w:val="center"/>
          </w:tcPr>
          <w:p>
            <w:pPr>
              <w:pStyle w:val="TableContents"/>
              <w:bidi w:val="0"/>
              <w:spacing w:before="0" w:after="283"/>
              <w:jc w:val="left"/>
            </w:pPr>
            <w: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pPr>
            <w:r>
              <w:t>4,046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pPr>
            <w:r>
              <w:t>415</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pPr>
            <w: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pPr>
            <w:r>
              <w:t>276,465</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pPr>
            <w:r>
              <w:t>15,298</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 </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 </w:t>
            </w:r>
          </w:p>
        </w:tc>
        <w:tc>
          <w:tcPr>
            <w:tcW w:w="362" w:type="dxa"/>
            <w:tcBorders/>
            <w:shd w:fill="CCEEFF" w:val="clear"/>
            <w:vAlign w:val="center"/>
          </w:tcPr>
          <w:p>
            <w:pPr>
              <w:pStyle w:val="TableContents"/>
              <w:bidi w:val="0"/>
              <w:spacing w:before="0" w:after="283"/>
              <w:ind w:left="0" w:right="0" w:firstLine="284"/>
              <w:jc w:val="left"/>
            </w:pPr>
            <w:r>
              <w:t> </w:t>
            </w:r>
          </w:p>
        </w:tc>
      </w:tr>
      <w:tr>
        <w:tc>
          <w:tcPr>
            <w:tcW w:w="7310" w:type="dxa"/>
            <w:tcBorders/>
            <w:shd w:fill="FFFFFF" w:val="clear"/>
            <w:vAlign w:val="center"/>
          </w:tcPr>
          <w:p>
            <w:pPr>
              <w:pStyle w:val="TableContents"/>
              <w:bidi w:val="0"/>
              <w:spacing w:before="0" w:after="283"/>
              <w:jc w:val="both"/>
            </w:pPr>
            <w:r>
              <w:t>Property and equipment, net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133</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134</w:t>
            </w:r>
          </w:p>
        </w:tc>
        <w:tc>
          <w:tcPr>
            <w:tcW w:w="362" w:type="dxa"/>
            <w:tcBorders/>
            <w:shd w:fill="FFFFFF" w:val="clear"/>
            <w:vAlign w:val="center"/>
          </w:tcPr>
          <w:p>
            <w:pPr>
              <w:pStyle w:val="TableContents"/>
              <w:bidi w:val="0"/>
              <w:spacing w:before="0" w:after="283"/>
              <w:ind w:left="0" w:right="0" w:firstLine="284"/>
              <w:jc w:val="left"/>
            </w:pPr>
            <w:r>
              <w:t> </w:t>
            </w:r>
          </w:p>
        </w:tc>
      </w:tr>
      <w:tr>
        <w:tc>
          <w:tcPr>
            <w:tcW w:w="7310" w:type="dxa"/>
            <w:tcBorders/>
            <w:shd w:fill="CCEEFF" w:val="clear"/>
            <w:vAlign w:val="center"/>
          </w:tcPr>
          <w:p>
            <w:pPr>
              <w:pStyle w:val="TableContents"/>
              <w:bidi w:val="0"/>
              <w:spacing w:before="0" w:after="283"/>
              <w:jc w:val="both"/>
            </w:pPr>
            <w:r>
              <w:t>Operating lease right-of-use assets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343</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465</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left"/>
            </w:pPr>
            <w:r>
              <w:t>      </w:t>
            </w:r>
            <w:r>
              <w:t>Restricted deposit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93</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90</w:t>
            </w:r>
          </w:p>
        </w:tc>
        <w:tc>
          <w:tcPr>
            <w:tcW w:w="362" w:type="dxa"/>
            <w:tcBorders/>
            <w:shd w:fill="FFFFFF" w:val="clear"/>
            <w:vAlign w:val="center"/>
          </w:tcPr>
          <w:p>
            <w:pPr>
              <w:pStyle w:val="TableContents"/>
              <w:bidi w:val="0"/>
              <w:spacing w:before="0" w:after="283"/>
              <w:ind w:left="0" w:right="0" w:firstLine="284"/>
              <w:jc w:val="left"/>
            </w:pPr>
            <w:r>
              <w:t> </w:t>
            </w:r>
          </w:p>
        </w:tc>
      </w:tr>
      <w:tr>
        <w:tc>
          <w:tcPr>
            <w:tcW w:w="7310" w:type="dxa"/>
            <w:tcBorders/>
            <w:shd w:fill="CCEEFF" w:val="clear"/>
            <w:vAlign w:val="center"/>
          </w:tcPr>
          <w:p>
            <w:pPr>
              <w:pStyle w:val="TableContents"/>
              <w:bidi w:val="0"/>
              <w:spacing w:before="0" w:after="283"/>
              <w:jc w:val="both"/>
            </w:pPr>
            <w:r>
              <w:t>Funds in respect of employee rights upon retirement</w:t>
            </w:r>
          </w:p>
        </w:tc>
        <w:tc>
          <w:tcPr>
            <w:tcW w:w="60" w:type="dxa"/>
            <w:tcBorders/>
            <w:shd w:fill="CCEEFF" w:val="clear"/>
            <w:vAlign w:val="center"/>
          </w:tcPr>
          <w:p>
            <w:pPr>
              <w:pStyle w:val="TableContents"/>
              <w:bidi w:val="0"/>
              <w:spacing w:before="0" w:after="283"/>
              <w:jc w:val="left"/>
            </w:pPr>
            <w: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pPr>
            <w:r>
              <w:t>6</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pPr>
            <w:r>
              <w:t>6</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pPr>
            <w: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pPr>
            <w:r>
              <w:t>575</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pPr>
            <w:r>
              <w:t>695</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pPr>
            <w: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pPr>
            <w:r>
              <w:t>277,040</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pPr>
            <w:r>
              <w:t>15,993</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center"/>
              <w:rPr>
                <w:b/>
              </w:rPr>
            </w:pPr>
            <w:r>
              <w:rPr>
                <w:b/>
              </w:rPr>
              <w:t>Liabilities and shareholders' equity</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 </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 </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Accounts payable</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406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448</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pPr>
            <w:r>
              <w:t>Accrued expenses and other payables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1,540</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1,525</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Current maturities of operating lease liabilities</w:t>
            </w:r>
          </w:p>
        </w:tc>
        <w:tc>
          <w:tcPr>
            <w:tcW w:w="60" w:type="dxa"/>
            <w:tcBorders/>
            <w:shd w:fill="FFFFFF" w:val="clear"/>
            <w:vAlign w:val="center"/>
          </w:tcPr>
          <w:p>
            <w:pPr>
              <w:pStyle w:val="TableContents"/>
              <w:bidi w:val="0"/>
              <w:spacing w:before="0" w:after="283"/>
              <w:jc w:val="left"/>
            </w:pPr>
            <w: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pPr>
            <w:r>
              <w:t>207</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pPr>
            <w:r>
              <w:t>230</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pPr>
            <w: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pPr>
            <w:r>
              <w:t>2,153</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pPr>
            <w:r>
              <w:t>2,203</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rPr>
                <w:b/>
              </w:rPr>
            </w:pPr>
            <w:r>
              <w:rPr>
                <w:b/>
              </w:rPr>
              <w:t>NON-CURRENT LIABILITIES:</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 </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pPr>
            <w:r>
              <w:t>Operating lease liabilities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190</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260</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Other long-term liabilities</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378</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393</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pPr>
            <w:r>
              <w:t>Liability for employee rights upon retirement</w:t>
            </w:r>
          </w:p>
        </w:tc>
        <w:tc>
          <w:tcPr>
            <w:tcW w:w="60" w:type="dxa"/>
            <w:tcBorders/>
            <w:shd w:fill="CCEEFF" w:val="clear"/>
            <w:vAlign w:val="center"/>
          </w:tcPr>
          <w:p>
            <w:pPr>
              <w:pStyle w:val="TableContents"/>
              <w:bidi w:val="0"/>
              <w:spacing w:before="0" w:after="283"/>
              <w:jc w:val="left"/>
            </w:pPr>
            <w: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pPr>
            <w:r>
              <w:t>37</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pPr>
            <w:r>
              <w:t>36</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pPr>
            <w: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pPr>
            <w:r>
              <w:t>605</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pPr>
            <w:r>
              <w:t>689</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pPr>
            <w: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pPr>
            <w:r>
              <w:t>2,758</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pPr>
            <w:r>
              <w:t>2,892</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rPr>
                <w:b/>
              </w:rPr>
            </w:pPr>
            <w:r>
              <w:rPr>
                <w:b/>
              </w:rPr>
              <w:t>COMMITMENTS AND CONTINGENCIES</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SHAREHOLDERS' EQUITY:</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 </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Ordinary shares, NIS 0.0000769 par value: Authorized - 350,000,000 and 140,010,000 shares as of September 30, 2026 and December 31, 2025, respectively; issued and outstanding 173,922,428 and 46,178,630 shares, as of September 30, 2026 and December 31, 2025, respectively</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5</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1</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pPr>
            <w:r>
              <w:t>Additional paid-in capital</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pPr>
            <w:r>
              <w:t>426,016</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138,425</w:t>
            </w:r>
          </w:p>
        </w:tc>
        <w:tc>
          <w:tcPr>
            <w:tcW w:w="362" w:type="dxa"/>
            <w:tcBorders/>
            <w:shd w:fill="CCEEFF" w:val="clear"/>
            <w:vAlign w:val="center"/>
          </w:tcPr>
          <w:p>
            <w:pPr>
              <w:pStyle w:val="TableContents"/>
              <w:bidi w:val="0"/>
              <w:spacing w:before="0" w:after="283"/>
              <w:jc w:val="left"/>
            </w:pPr>
            <w:r>
              <w:t> </w:t>
            </w:r>
          </w:p>
        </w:tc>
      </w:tr>
      <w:tr>
        <w:tc>
          <w:tcPr>
            <w:tcW w:w="7310" w:type="dxa"/>
            <w:tcBorders/>
            <w:shd w:fill="FFFFFF" w:val="clear"/>
            <w:vAlign w:val="center"/>
          </w:tcPr>
          <w:p>
            <w:pPr>
              <w:pStyle w:val="TableContents"/>
              <w:bidi w:val="0"/>
              <w:spacing w:before="0" w:after="283"/>
              <w:jc w:val="both"/>
            </w:pPr>
            <w:r>
              <w:t>Accumulated other comprehensive income</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pPr>
            <w:r>
              <w:t>41</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41</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pPr>
            <w:r>
              <w:t>Accumulated deficit</w:t>
            </w:r>
          </w:p>
        </w:tc>
        <w:tc>
          <w:tcPr>
            <w:tcW w:w="60" w:type="dxa"/>
            <w:tcBorders/>
            <w:shd w:fill="CCEEFF" w:val="clear"/>
            <w:vAlign w:val="center"/>
          </w:tcPr>
          <w:p>
            <w:pPr>
              <w:pStyle w:val="TableContents"/>
              <w:bidi w:val="0"/>
              <w:spacing w:before="0" w:after="283"/>
              <w:jc w:val="left"/>
            </w:pPr>
            <w: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pPr>
            <w:r>
              <w:t>(151,780</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pPr>
            <w:r>
              <w:t>(125,366</w:t>
            </w:r>
          </w:p>
        </w:tc>
        <w:tc>
          <w:tcPr>
            <w:tcW w:w="362" w:type="dxa"/>
            <w:tcBorders/>
            <w:shd w:fill="CCEEFF" w:val="clear"/>
            <w:vAlign w:val="center"/>
          </w:tcPr>
          <w:p>
            <w:pPr>
              <w:pStyle w:val="TableContents"/>
              <w:bidi w:val="0"/>
              <w:spacing w:before="0" w:after="283"/>
              <w:jc w:val="left"/>
            </w:pPr>
            <w:r>
              <w:t>)</w:t>
            </w:r>
          </w:p>
        </w:tc>
      </w:tr>
      <w:tr>
        <w:tc>
          <w:tcPr>
            <w:tcW w:w="7310" w:type="dxa"/>
            <w:tcBorders/>
            <w:shd w:fill="FFFFFF" w:val="clear"/>
            <w:vAlign w:val="center"/>
          </w:tcPr>
          <w:p>
            <w:pPr>
              <w:pStyle w:val="TableContents"/>
              <w:bidi w:val="0"/>
              <w:spacing w:before="0" w:after="283"/>
              <w:jc w:val="both"/>
              <w:rPr>
                <w:b/>
              </w:rPr>
            </w:pPr>
            <w:r>
              <w:rPr>
                <w:b/>
              </w:rPr>
              <w:t>TOTAL SHAREHOLDERS' EQUITY</w:t>
            </w:r>
          </w:p>
        </w:tc>
        <w:tc>
          <w:tcPr>
            <w:tcW w:w="60" w:type="dxa"/>
            <w:tcBorders/>
            <w:shd w:fill="FFFFFF" w:val="clear"/>
            <w:vAlign w:val="center"/>
          </w:tcPr>
          <w:p>
            <w:pPr>
              <w:pStyle w:val="TableContents"/>
              <w:bidi w:val="0"/>
              <w:spacing w:before="0" w:after="283"/>
              <w:jc w:val="left"/>
            </w:pPr>
            <w: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pPr>
            <w:r>
              <w:t>274,282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pPr>
            <w:r>
              <w:t>13,101</w:t>
            </w:r>
          </w:p>
        </w:tc>
        <w:tc>
          <w:tcPr>
            <w:tcW w:w="362" w:type="dxa"/>
            <w:tcBorders/>
            <w:shd w:fill="FFFFFF" w:val="clear"/>
            <w:vAlign w:val="center"/>
          </w:tcPr>
          <w:p>
            <w:pPr>
              <w:pStyle w:val="TableContents"/>
              <w:bidi w:val="0"/>
              <w:spacing w:before="0" w:after="283"/>
              <w:jc w:val="left"/>
            </w:pPr>
            <w:r>
              <w:t> </w:t>
            </w:r>
          </w:p>
        </w:tc>
      </w:tr>
      <w:tr>
        <w:tc>
          <w:tcPr>
            <w:tcW w:w="7310" w:type="dxa"/>
            <w:tcBorders/>
            <w:shd w:fill="CCEEFF" w:val="clear"/>
            <w:vAlign w:val="center"/>
          </w:tcPr>
          <w:p>
            <w:pPr>
              <w:pStyle w:val="TableContents"/>
              <w:bidi w:val="0"/>
              <w:spacing w:before="0" w:after="283"/>
              <w:jc w:val="both"/>
              <w:rPr>
                <w:b/>
              </w:rPr>
            </w:pPr>
            <w:r>
              <w:rPr>
                <w:b/>
              </w:rPr>
              <w:t>TOTAL LIABILITIES AND SHAREHOLDERS’ EQUITY</w:t>
            </w:r>
          </w:p>
        </w:tc>
        <w:tc>
          <w:tcPr>
            <w:tcW w:w="60" w:type="dxa"/>
            <w:tcBorders/>
            <w:shd w:fill="CCEEFF" w:val="clear"/>
            <w:vAlign w:val="center"/>
          </w:tcPr>
          <w:p>
            <w:pPr>
              <w:pStyle w:val="TableContents"/>
              <w:bidi w:val="0"/>
              <w:spacing w:before="0" w:after="283"/>
              <w:jc w:val="left"/>
            </w:pPr>
            <w: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pPr>
            <w:r>
              <w:t>277,040</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pPr>
            <w:r>
              <w:t>15,993</w:t>
            </w:r>
          </w:p>
        </w:tc>
        <w:tc>
          <w:tcPr>
            <w:tcW w:w="362"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jc w:val="center"/>
        <w:rPr>
          <w:bdr w:val="single" w:sz="8" w:space="1" w:color="000000"/>
        </w:rPr>
      </w:pPr>
      <w:r>
        <w:rPr>
          <w:bdr w:val="single" w:sz="8" w:space="1" w:color="000000"/>
        </w:rPr>
        <w:t>5</w:t>
      </w:r>
    </w:p>
    <w:p>
      <w:pPr>
        <w:pStyle w:val="TextBody"/>
        <w:bidi w:val="0"/>
        <w:spacing w:before="0" w:after="200"/>
        <w:jc w:val="left"/>
      </w:pPr>
      <w:r>
        <w:t> </w:t>
      </w:r>
    </w:p>
    <w:p>
      <w:pPr>
        <w:pStyle w:val="TextBody"/>
        <w:bidi w:val="0"/>
        <w:spacing w:before="0" w:after="0"/>
        <w:ind w:left="0" w:right="0" w:hanging="0"/>
        <w:jc w:val="center"/>
      </w:pPr>
      <w:bookmarkStart w:id="6" w:name="a_STATEMENTSOFOPERATIONS"/>
      <w:bookmarkEnd w:id="6"/>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7"/>
        <w:gridCol w:w="60"/>
        <w:gridCol w:w="60"/>
        <w:gridCol w:w="1100"/>
        <w:gridCol w:w="60"/>
        <w:gridCol w:w="60"/>
        <w:gridCol w:w="60"/>
        <w:gridCol w:w="1100"/>
        <w:gridCol w:w="95"/>
        <w:gridCol w:w="60"/>
        <w:gridCol w:w="60"/>
        <w:gridCol w:w="1220"/>
        <w:gridCol w:w="60"/>
        <w:gridCol w:w="60"/>
        <w:gridCol w:w="60"/>
        <w:gridCol w:w="1100"/>
        <w:gridCol w:w="83"/>
      </w:tblGrid>
      <w:tr>
        <w:tc>
          <w:tcPr>
            <w:tcW w:w="4907" w:type="dxa"/>
            <w:tcBorders/>
            <w:vAlign w:val="center"/>
          </w:tcPr>
          <w:p>
            <w:pPr>
              <w:pStyle w:val="TableContents"/>
              <w:bidi w:val="0"/>
              <w:spacing w:before="0" w:after="283"/>
              <w:jc w:val="both"/>
            </w:pPr>
            <w:r>
              <w:t> </w:t>
            </w:r>
          </w:p>
        </w:tc>
        <w:tc>
          <w:tcPr>
            <w:tcW w:w="60" w:type="dxa"/>
            <w:tcBorders/>
            <w:vAlign w:val="center"/>
          </w:tcPr>
          <w:p>
            <w:pPr>
              <w:pStyle w:val="TableContents"/>
              <w:bidi w:val="0"/>
              <w:spacing w:before="0" w:after="283"/>
              <w:jc w:val="left"/>
            </w:pPr>
            <w:r>
              <w:t> </w:t>
            </w:r>
          </w:p>
        </w:tc>
        <w:tc>
          <w:tcPr>
            <w:tcW w:w="2440" w:type="dxa"/>
            <w:gridSpan w:val="6"/>
            <w:tcBorders>
              <w:bottom w:val="single" w:sz="8" w:space="0" w:color="000000"/>
            </w:tcBorders>
            <w:tcMar>
              <w:bottom w:w="28" w:type="dxa"/>
            </w:tcMar>
            <w:vAlign w:val="center"/>
          </w:tcPr>
          <w:p>
            <w:pPr>
              <w:pStyle w:val="TableContents"/>
              <w:bidi w:val="0"/>
              <w:jc w:val="center"/>
              <w:rPr>
                <w:b/>
              </w:rPr>
            </w:pPr>
            <w:r>
              <w:rPr>
                <w:b/>
              </w:rPr>
              <w:t>Nine Months Ended</w:t>
            </w:r>
          </w:p>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560" w:type="dxa"/>
            <w:gridSpan w:val="6"/>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September 30,</w:t>
            </w:r>
          </w:p>
        </w:tc>
        <w:tc>
          <w:tcPr>
            <w:tcW w:w="83" w:type="dxa"/>
            <w:tcBorders/>
            <w:vAlign w:val="center"/>
          </w:tcPr>
          <w:p>
            <w:pPr>
              <w:pStyle w:val="TableContents"/>
              <w:bidi w:val="0"/>
              <w:spacing w:before="0" w:after="283"/>
              <w:jc w:val="left"/>
            </w:pPr>
            <w:r>
              <w:t> </w:t>
            </w:r>
          </w:p>
        </w:tc>
      </w:tr>
      <w:tr>
        <w:tc>
          <w:tcPr>
            <w:tcW w:w="4907" w:type="dxa"/>
            <w:tcBorders/>
            <w:vAlign w:val="center"/>
          </w:tcPr>
          <w:p>
            <w:pPr>
              <w:pStyle w:val="TableContents"/>
              <w:bidi w:val="0"/>
              <w:spacing w:before="0" w:after="283"/>
              <w:jc w:val="both"/>
            </w:pPr>
            <w:r>
              <w:t> </w:t>
            </w:r>
          </w:p>
        </w:tc>
        <w:tc>
          <w:tcPr>
            <w:tcW w:w="60" w:type="dxa"/>
            <w:tcBorders/>
            <w:vAlign w:val="center"/>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jc w:val="left"/>
            </w:pPr>
            <w:r>
              <w:t> </w:t>
            </w:r>
          </w:p>
        </w:tc>
      </w:tr>
      <w:tr>
        <w:tc>
          <w:tcPr>
            <w:tcW w:w="4907" w:type="dxa"/>
            <w:tcBorders/>
            <w:shd w:fill="CCEEFF" w:val="clear"/>
            <w:vAlign w:val="center"/>
          </w:tcPr>
          <w:p>
            <w:pPr>
              <w:pStyle w:val="TableContents"/>
              <w:bidi w:val="0"/>
              <w:spacing w:before="0" w:after="283"/>
              <w:jc w:val="both"/>
              <w:rPr>
                <w:b/>
              </w:rPr>
            </w:pPr>
            <w:r>
              <w:rPr>
                <w:b/>
              </w:rPr>
              <w:t>REVENUES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42</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2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ind w:left="0" w:right="0" w:hanging="284"/>
              <w:jc w:val="left"/>
            </w:pPr>
            <w:r>
              <w:t> </w:t>
            </w:r>
          </w:p>
        </w:tc>
      </w:tr>
      <w:tr>
        <w:tc>
          <w:tcPr>
            <w:tcW w:w="4907" w:type="dxa"/>
            <w:tcBorders/>
            <w:shd w:fill="FFFFFF" w:val="clear"/>
            <w:vAlign w:val="center"/>
          </w:tcPr>
          <w:p>
            <w:pPr>
              <w:pStyle w:val="TableContents"/>
              <w:bidi w:val="0"/>
              <w:spacing w:before="0" w:after="283"/>
              <w:jc w:val="both"/>
              <w:rPr>
                <w:b/>
              </w:rPr>
            </w:pPr>
            <w:r>
              <w:rPr>
                <w:b/>
              </w:rPr>
              <w:t>COST OF REVENUES</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42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83" w:type="dxa"/>
            <w:tcBorders/>
            <w:shd w:fill="FFFFFF" w:val="clear"/>
            <w:vAlign w:val="center"/>
          </w:tcPr>
          <w:p>
            <w:pPr>
              <w:pStyle w:val="TableContents"/>
              <w:bidi w:val="0"/>
              <w:spacing w:before="0" w:after="283"/>
              <w:ind w:left="0" w:right="0" w:hanging="284"/>
              <w:jc w:val="left"/>
            </w:pPr>
            <w:r>
              <w:t> </w:t>
            </w:r>
          </w:p>
        </w:tc>
      </w:tr>
      <w:tr>
        <w:tc>
          <w:tcPr>
            <w:tcW w:w="4907"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ind w:left="0" w:right="0" w:hanging="284"/>
              <w:jc w:val="left"/>
            </w:pPr>
            <w:r>
              <w:t> </w:t>
            </w:r>
          </w:p>
        </w:tc>
      </w:tr>
      <w:tr>
        <w:tc>
          <w:tcPr>
            <w:tcW w:w="4907" w:type="dxa"/>
            <w:tcBorders/>
            <w:shd w:fill="FFFFFF" w:val="clear"/>
            <w:vAlign w:val="center"/>
          </w:tcPr>
          <w:p>
            <w:pPr>
              <w:pStyle w:val="TableContents"/>
              <w:bidi w:val="0"/>
              <w:spacing w:before="0" w:after="283"/>
              <w:jc w:val="both"/>
              <w:rPr>
                <w:b/>
              </w:rPr>
            </w:pPr>
            <w:r>
              <w:rPr>
                <w:b/>
              </w:rPr>
              <w:t>OPERATING EXPENSES: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0"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2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0" w:type="dxa"/>
            <w:tcBorders/>
            <w:shd w:fill="FFFFFF" w:val="clear"/>
            <w:vAlign w:val="center"/>
          </w:tcPr>
          <w:p>
            <w:pPr>
              <w:pStyle w:val="TableContents"/>
              <w:bidi w:val="0"/>
              <w:spacing w:before="0" w:after="283"/>
              <w:jc w:val="right"/>
            </w:pPr>
            <w:r>
              <w:t> </w:t>
            </w:r>
          </w:p>
        </w:tc>
        <w:tc>
          <w:tcPr>
            <w:tcW w:w="83" w:type="dxa"/>
            <w:tcBorders/>
            <w:shd w:fill="FFFFFF" w:val="clear"/>
            <w:vAlign w:val="center"/>
          </w:tcPr>
          <w:p>
            <w:pPr>
              <w:pStyle w:val="TableContents"/>
              <w:bidi w:val="0"/>
              <w:spacing w:before="0" w:after="283"/>
              <w:jc w:val="left"/>
            </w:pPr>
            <w:r>
              <w:t> </w:t>
            </w:r>
          </w:p>
        </w:tc>
      </w:tr>
      <w:tr>
        <w:tc>
          <w:tcPr>
            <w:tcW w:w="4907" w:type="dxa"/>
            <w:tcBorders/>
            <w:shd w:fill="CCEEFF" w:val="clear"/>
            <w:vAlign w:val="center"/>
          </w:tcPr>
          <w:p>
            <w:pPr>
              <w:pStyle w:val="TableContents"/>
              <w:bidi w:val="0"/>
              <w:spacing w:before="0" w:after="283"/>
              <w:jc w:val="both"/>
            </w:pPr>
            <w:r>
              <w:t>Research and development, net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10,377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4,286</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20" w:type="dxa"/>
            <w:tcBorders/>
            <w:shd w:fill="CCEEFF" w:val="clear"/>
            <w:vAlign w:val="center"/>
          </w:tcPr>
          <w:p>
            <w:pPr>
              <w:pStyle w:val="TableContents"/>
              <w:bidi w:val="0"/>
              <w:spacing w:before="0" w:after="283"/>
              <w:jc w:val="right"/>
            </w:pPr>
            <w:r>
              <w:t>4,925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1,643</w:t>
            </w:r>
          </w:p>
        </w:tc>
        <w:tc>
          <w:tcPr>
            <w:tcW w:w="83" w:type="dxa"/>
            <w:tcBorders/>
            <w:shd w:fill="CCEEFF" w:val="clear"/>
            <w:vAlign w:val="center"/>
          </w:tcPr>
          <w:p>
            <w:pPr>
              <w:pStyle w:val="TableContents"/>
              <w:bidi w:val="0"/>
              <w:spacing w:before="0" w:after="283"/>
              <w:jc w:val="left"/>
            </w:pPr>
            <w:r>
              <w:t> </w:t>
            </w:r>
          </w:p>
        </w:tc>
      </w:tr>
      <w:tr>
        <w:tc>
          <w:tcPr>
            <w:tcW w:w="4907" w:type="dxa"/>
            <w:tcBorders/>
            <w:shd w:fill="FFFFFF" w:val="clear"/>
            <w:vAlign w:val="center"/>
          </w:tcPr>
          <w:p>
            <w:pPr>
              <w:pStyle w:val="TableContents"/>
              <w:bidi w:val="0"/>
              <w:spacing w:before="0" w:after="283"/>
              <w:jc w:val="both"/>
            </w:pPr>
            <w:r>
              <w:t>General and administrative</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4,990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4,201</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pPr>
            <w:r>
              <w:t>2,340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1,613</w:t>
            </w:r>
          </w:p>
        </w:tc>
        <w:tc>
          <w:tcPr>
            <w:tcW w:w="83" w:type="dxa"/>
            <w:tcBorders/>
            <w:shd w:fill="FFFFFF" w:val="clear"/>
            <w:vAlign w:val="center"/>
          </w:tcPr>
          <w:p>
            <w:pPr>
              <w:pStyle w:val="TableContents"/>
              <w:bidi w:val="0"/>
              <w:spacing w:before="0" w:after="283"/>
              <w:ind w:left="0" w:right="0" w:hanging="284"/>
              <w:jc w:val="left"/>
            </w:pPr>
            <w:r>
              <w:t> </w:t>
            </w:r>
          </w:p>
        </w:tc>
      </w:tr>
      <w:tr>
        <w:tc>
          <w:tcPr>
            <w:tcW w:w="4907" w:type="dxa"/>
            <w:tcBorders/>
            <w:shd w:fill="CCEEFF" w:val="clear"/>
            <w:vAlign w:val="center"/>
          </w:tcPr>
          <w:p>
            <w:pPr>
              <w:pStyle w:val="TableContents"/>
              <w:bidi w:val="0"/>
              <w:spacing w:before="0" w:after="283"/>
              <w:jc w:val="both"/>
              <w:rPr>
                <w:b/>
              </w:rPr>
            </w:pPr>
            <w:r>
              <w:rPr>
                <w:b/>
              </w:rPr>
              <w:t>TOTAL OPERATING EXPENSES</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15,367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8,487</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pPr>
            <w:r>
              <w:t>7,265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3,256</w:t>
            </w:r>
          </w:p>
        </w:tc>
        <w:tc>
          <w:tcPr>
            <w:tcW w:w="83" w:type="dxa"/>
            <w:tcBorders/>
            <w:shd w:fill="CCEEFF" w:val="clear"/>
            <w:vAlign w:val="center"/>
          </w:tcPr>
          <w:p>
            <w:pPr>
              <w:pStyle w:val="TableContents"/>
              <w:bidi w:val="0"/>
              <w:spacing w:before="0" w:after="283"/>
              <w:ind w:left="0" w:right="0" w:hanging="284"/>
              <w:jc w:val="left"/>
            </w:pPr>
            <w:r>
              <w:t> </w:t>
            </w:r>
          </w:p>
        </w:tc>
      </w:tr>
      <w:tr>
        <w:tc>
          <w:tcPr>
            <w:tcW w:w="4907" w:type="dxa"/>
            <w:tcBorders/>
            <w:shd w:fill="FFFFFF" w:val="clear"/>
            <w:vAlign w:val="center"/>
          </w:tcPr>
          <w:p>
            <w:pPr>
              <w:pStyle w:val="TableContents"/>
              <w:bidi w:val="0"/>
              <w:spacing w:before="0" w:after="283"/>
              <w:jc w:val="both"/>
              <w:rPr>
                <w:b/>
              </w:rPr>
            </w:pPr>
            <w:r>
              <w:rPr>
                <w:b/>
              </w:rPr>
              <w:t>OPERATING LOSS</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15,367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8,487</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pPr>
            <w:r>
              <w:t>7,265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pPr>
            <w:r>
              <w:t>3,256</w:t>
            </w:r>
          </w:p>
        </w:tc>
        <w:tc>
          <w:tcPr>
            <w:tcW w:w="83" w:type="dxa"/>
            <w:tcBorders/>
            <w:shd w:fill="FFFFFF" w:val="clear"/>
            <w:vAlign w:val="center"/>
          </w:tcPr>
          <w:p>
            <w:pPr>
              <w:pStyle w:val="TableContents"/>
              <w:bidi w:val="0"/>
              <w:spacing w:before="0" w:after="283"/>
              <w:ind w:left="0" w:right="0" w:hanging="284"/>
              <w:jc w:val="left"/>
            </w:pPr>
            <w:r>
              <w:t> </w:t>
            </w:r>
          </w:p>
        </w:tc>
      </w:tr>
      <w:tr>
        <w:tc>
          <w:tcPr>
            <w:tcW w:w="4907" w:type="dxa"/>
            <w:tcBorders/>
            <w:shd w:fill="CCEEFF" w:val="clear"/>
            <w:vAlign w:val="center"/>
          </w:tcPr>
          <w:p>
            <w:pPr>
              <w:pStyle w:val="TableContents"/>
              <w:bidi w:val="0"/>
              <w:spacing w:before="0" w:after="283"/>
              <w:jc w:val="both"/>
              <w:rPr>
                <w:b/>
              </w:rPr>
            </w:pPr>
            <w:r>
              <w:rPr>
                <w:b/>
              </w:rPr>
              <w:t>FINANCIAL EXPENSES (INCOME), NET</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11,047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(64</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pPr>
            <w:r>
              <w:t>8,332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pPr>
            <w:r>
              <w:t>(56</w:t>
            </w:r>
          </w:p>
        </w:tc>
        <w:tc>
          <w:tcPr>
            <w:tcW w:w="83" w:type="dxa"/>
            <w:tcBorders/>
            <w:shd w:fill="CCEEFF" w:val="clear"/>
            <w:vAlign w:val="center"/>
          </w:tcPr>
          <w:p>
            <w:pPr>
              <w:pStyle w:val="TableContents"/>
              <w:bidi w:val="0"/>
              <w:spacing w:before="0" w:after="283"/>
              <w:ind w:left="0" w:right="0" w:hanging="284"/>
              <w:jc w:val="left"/>
            </w:pPr>
            <w:r>
              <w:t>)</w:t>
            </w:r>
          </w:p>
        </w:tc>
      </w:tr>
      <w:tr>
        <w:tc>
          <w:tcPr>
            <w:tcW w:w="4907"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26,414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8,423</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pPr>
            <w:r>
              <w:t>15,597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3,200</w:t>
            </w:r>
          </w:p>
        </w:tc>
        <w:tc>
          <w:tcPr>
            <w:tcW w:w="83" w:type="dxa"/>
            <w:tcBorders/>
            <w:shd w:fill="FFFFFF" w:val="clear"/>
            <w:vAlign w:val="center"/>
          </w:tcPr>
          <w:p>
            <w:pPr>
              <w:pStyle w:val="TableContents"/>
              <w:bidi w:val="0"/>
              <w:spacing w:before="0" w:after="283"/>
              <w:ind w:left="0" w:right="0" w:hanging="284"/>
              <w:jc w:val="left"/>
            </w:pPr>
            <w:r>
              <w:t> </w:t>
            </w:r>
          </w:p>
        </w:tc>
      </w:tr>
      <w:tr>
        <w:tc>
          <w:tcPr>
            <w:tcW w:w="4907" w:type="dxa"/>
            <w:tcBorders/>
            <w:shd w:fill="CCEEFF" w:val="clear"/>
            <w:vAlign w:val="center"/>
          </w:tcPr>
          <w:p>
            <w:pPr>
              <w:pStyle w:val="TableContents"/>
              <w:bidi w:val="0"/>
              <w:spacing w:before="0" w:after="283"/>
              <w:jc w:val="both"/>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2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 </w:t>
            </w:r>
          </w:p>
        </w:tc>
        <w:tc>
          <w:tcPr>
            <w:tcW w:w="83" w:type="dxa"/>
            <w:tcBorders/>
            <w:shd w:fill="CCEEFF" w:val="clear"/>
            <w:vAlign w:val="center"/>
          </w:tcPr>
          <w:p>
            <w:pPr>
              <w:pStyle w:val="TableContents"/>
              <w:bidi w:val="0"/>
              <w:spacing w:before="0" w:after="283"/>
              <w:ind w:left="0" w:right="0" w:hanging="284"/>
              <w:jc w:val="left"/>
            </w:pPr>
            <w:r>
              <w:t> </w:t>
            </w:r>
          </w:p>
        </w:tc>
      </w:tr>
      <w:tr>
        <w:tc>
          <w:tcPr>
            <w:tcW w:w="4907" w:type="dxa"/>
            <w:tcBorders/>
            <w:shd w:fill="FFFFFF" w:val="clear"/>
            <w:vAlign w:val="center"/>
          </w:tcPr>
          <w:p>
            <w:pPr>
              <w:pStyle w:val="TableContents"/>
              <w:bidi w:val="0"/>
              <w:spacing w:before="0" w:after="283"/>
              <w:jc w:val="both"/>
              <w:rPr>
                <w:b/>
              </w:rPr>
            </w:pPr>
            <w:r>
              <w:rPr>
                <w:b/>
              </w:rPr>
              <w:t>LOSS PER SHARE BASIC AND DILUTED</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0.33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0.18</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pPr>
            <w:r>
              <w:t>0.11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0.07</w:t>
            </w:r>
          </w:p>
        </w:tc>
        <w:tc>
          <w:tcPr>
            <w:tcW w:w="83" w:type="dxa"/>
            <w:tcBorders/>
            <w:shd w:fill="FFFFFF" w:val="clear"/>
            <w:vAlign w:val="center"/>
          </w:tcPr>
          <w:p>
            <w:pPr>
              <w:pStyle w:val="TableContents"/>
              <w:bidi w:val="0"/>
              <w:spacing w:before="0" w:after="283"/>
              <w:ind w:left="0" w:right="0" w:hanging="284"/>
              <w:jc w:val="left"/>
            </w:pPr>
            <w:r>
              <w:t> </w:t>
            </w:r>
          </w:p>
        </w:tc>
      </w:tr>
      <w:tr>
        <w:tc>
          <w:tcPr>
            <w:tcW w:w="4907" w:type="dxa"/>
            <w:tcBorders/>
            <w:shd w:fill="CCEEFF" w:val="clear"/>
            <w:vAlign w:val="center"/>
          </w:tcPr>
          <w:p>
            <w:pPr>
              <w:pStyle w:val="TableContents"/>
              <w:bidi w:val="0"/>
              <w:spacing w:before="0" w:after="283"/>
              <w:jc w:val="both"/>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2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0" w:type="dxa"/>
            <w:tcBorders/>
            <w:shd w:fill="CCEEFF" w:val="clear"/>
            <w:vAlign w:val="center"/>
          </w:tcPr>
          <w:p>
            <w:pPr>
              <w:pStyle w:val="TableContents"/>
              <w:bidi w:val="0"/>
              <w:spacing w:before="0" w:after="283"/>
              <w:jc w:val="right"/>
            </w:pPr>
            <w:r>
              <w:t> </w:t>
            </w:r>
          </w:p>
        </w:tc>
        <w:tc>
          <w:tcPr>
            <w:tcW w:w="83" w:type="dxa"/>
            <w:tcBorders/>
            <w:shd w:fill="CCEEFF" w:val="clear"/>
            <w:vAlign w:val="center"/>
          </w:tcPr>
          <w:p>
            <w:pPr>
              <w:pStyle w:val="TableContents"/>
              <w:bidi w:val="0"/>
              <w:spacing w:before="0" w:after="283"/>
              <w:ind w:left="0" w:right="0" w:hanging="284"/>
              <w:jc w:val="left"/>
            </w:pPr>
            <w:r>
              <w:t> </w:t>
            </w:r>
          </w:p>
        </w:tc>
      </w:tr>
      <w:tr>
        <w:tc>
          <w:tcPr>
            <w:tcW w:w="4907" w:type="dxa"/>
            <w:tcBorders/>
            <w:shd w:fill="FFFFFF" w:val="clear"/>
            <w:vAlign w:val="center"/>
          </w:tcPr>
          <w:p>
            <w:pPr>
              <w:pStyle w:val="TableContents"/>
              <w:bidi w:val="0"/>
              <w:spacing w:before="0" w:after="283"/>
              <w:jc w:val="both"/>
              <w:rPr>
                <w:b/>
              </w:rPr>
            </w:pPr>
            <w:r>
              <w:rPr>
                <w:b/>
              </w:rPr>
              <w:t>WEIGHTED AVERAGE NUMBER OF SHARES OUTSTANDING USED IN COMPUTATION OF BASIC AND DILUTED LOSS PER SHARE</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81,207,725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45,829,501</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pPr>
            <w:r>
              <w:t>145,075,070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pPr>
            <w:r>
              <w:t>47,089,814</w:t>
            </w:r>
          </w:p>
        </w:tc>
        <w:tc>
          <w:tcPr>
            <w:tcW w:w="83"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jc w:val="center"/>
        <w:rPr>
          <w:bdr w:val="single" w:sz="8" w:space="1" w:color="000000"/>
        </w:rPr>
      </w:pPr>
      <w:r>
        <w:rPr>
          <w:bdr w:val="single" w:sz="8" w:space="1" w:color="000000"/>
        </w:rPr>
        <w:t>6</w:t>
      </w:r>
    </w:p>
    <w:p>
      <w:pPr>
        <w:pStyle w:val="TextBody"/>
        <w:bidi w:val="0"/>
        <w:spacing w:before="0" w:after="200"/>
        <w:jc w:val="left"/>
      </w:pPr>
      <w:r>
        <w:t> </w:t>
      </w:r>
    </w:p>
    <w:p>
      <w:pPr>
        <w:pStyle w:val="TextBody"/>
        <w:bidi w:val="0"/>
        <w:spacing w:before="0" w:after="0"/>
        <w:ind w:left="0" w:right="0" w:hanging="0"/>
        <w:jc w:val="center"/>
      </w:pPr>
      <w:bookmarkStart w:id="7" w:name="a_SHAREHOLDERSEQUITY"/>
      <w:bookmarkEnd w:id="7"/>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CONDENSED CONSOLIDATED STATEMENTS OF CHANGES IN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6"/>
        <w:gridCol w:w="60"/>
        <w:gridCol w:w="63"/>
        <w:gridCol w:w="1292"/>
        <w:gridCol w:w="60"/>
        <w:gridCol w:w="60"/>
        <w:gridCol w:w="285"/>
        <w:gridCol w:w="665"/>
        <w:gridCol w:w="60"/>
        <w:gridCol w:w="60"/>
        <w:gridCol w:w="82"/>
        <w:gridCol w:w="1111"/>
        <w:gridCol w:w="60"/>
        <w:gridCol w:w="60"/>
        <w:gridCol w:w="333"/>
        <w:gridCol w:w="1450"/>
        <w:gridCol w:w="60"/>
        <w:gridCol w:w="60"/>
        <w:gridCol w:w="89"/>
        <w:gridCol w:w="1322"/>
        <w:gridCol w:w="95"/>
        <w:gridCol w:w="60"/>
        <w:gridCol w:w="60"/>
        <w:gridCol w:w="800"/>
        <w:gridCol w:w="82"/>
      </w:tblGrid>
      <w:tr>
        <w:tc>
          <w:tcPr>
            <w:tcW w:w="187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4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642" w:type="dxa"/>
            <w:gridSpan w:val="14"/>
            <w:tcBorders/>
            <w:vAlign w:val="center"/>
          </w:tcPr>
          <w:p>
            <w:pPr>
              <w:pStyle w:val="TableContents"/>
              <w:bidi w:val="0"/>
              <w:spacing w:before="0" w:after="283"/>
              <w:jc w:val="left"/>
            </w:pPr>
            <w:r>
              <w:t> </w:t>
            </w:r>
          </w:p>
        </w:tc>
        <w:tc>
          <w:tcPr>
            <w:tcW w:w="82" w:type="dxa"/>
            <w:tcBorders/>
            <w:vAlign w:val="center"/>
          </w:tcPr>
          <w:p>
            <w:pPr>
              <w:pStyle w:val="TableContents"/>
              <w:bidi w:val="0"/>
              <w:spacing w:before="0" w:after="283"/>
              <w:jc w:val="left"/>
            </w:pPr>
            <w:r>
              <w:t> </w:t>
            </w:r>
          </w:p>
        </w:tc>
      </w:tr>
      <w:tr>
        <w:tc>
          <w:tcPr>
            <w:tcW w:w="187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issued</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other Comprehensive income</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82" w:type="dxa"/>
            <w:tcBorders/>
            <w:vAlign w:val="center"/>
          </w:tcPr>
          <w:p>
            <w:pPr>
              <w:pStyle w:val="TableContents"/>
              <w:bidi w:val="0"/>
              <w:spacing w:before="0" w:after="283"/>
              <w:ind w:left="0" w:right="0" w:hanging="318"/>
              <w:jc w:val="left"/>
            </w:pPr>
            <w:r>
              <w:t> </w:t>
            </w:r>
          </w:p>
        </w:tc>
      </w:tr>
      <w:tr>
        <w:tc>
          <w:tcPr>
            <w:tcW w:w="1876"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46,178,630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138,425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(125,366</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13,101</w:t>
            </w:r>
          </w:p>
        </w:tc>
        <w:tc>
          <w:tcPr>
            <w:tcW w:w="82" w:type="dxa"/>
            <w:tcBorders/>
            <w:shd w:fill="CCEEFF" w:val="clear"/>
            <w:vAlign w:val="center"/>
          </w:tcPr>
          <w:p>
            <w:pPr>
              <w:pStyle w:val="TableContents"/>
              <w:bidi w:val="0"/>
              <w:spacing w:before="0" w:after="283"/>
              <w:ind w:left="0" w:right="0" w:hanging="5"/>
              <w:jc w:val="left"/>
            </w:pPr>
            <w:r>
              <w:t> </w:t>
            </w:r>
          </w:p>
        </w:tc>
      </w:tr>
      <w:tr>
        <w:tc>
          <w:tcPr>
            <w:tcW w:w="1876" w:type="dxa"/>
            <w:tcBorders/>
            <w:shd w:fill="FFFFFF" w:val="clear"/>
            <w:vAlign w:val="center"/>
          </w:tcPr>
          <w:p>
            <w:pPr>
              <w:pStyle w:val="TableContents"/>
              <w:bidi w:val="0"/>
              <w:spacing w:before="0" w:after="283"/>
              <w:jc w:val="left"/>
            </w:pPr>
            <w:r>
              <w:t>Net loss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(26,414</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(26,414</w:t>
            </w:r>
          </w:p>
        </w:tc>
        <w:tc>
          <w:tcPr>
            <w:tcW w:w="82" w:type="dxa"/>
            <w:tcBorders/>
            <w:shd w:fill="FFFFFF" w:val="clear"/>
            <w:vAlign w:val="center"/>
          </w:tcPr>
          <w:p>
            <w:pPr>
              <w:pStyle w:val="TableContents"/>
              <w:bidi w:val="0"/>
              <w:spacing w:before="0" w:after="283"/>
              <w:ind w:left="0" w:right="0" w:hanging="142"/>
              <w:jc w:val="left"/>
            </w:pPr>
            <w:r>
              <w:t>)</w:t>
            </w:r>
          </w:p>
        </w:tc>
      </w:tr>
      <w:tr>
        <w:tc>
          <w:tcPr>
            <w:tcW w:w="1876" w:type="dxa"/>
            <w:tcBorders/>
            <w:shd w:fill="CCEEFF" w:val="clear"/>
            <w:vAlign w:val="center"/>
          </w:tcPr>
          <w:p>
            <w:pPr>
              <w:pStyle w:val="TableContents"/>
              <w:bidi w:val="0"/>
              <w:spacing w:before="0" w:after="283"/>
              <w:jc w:val="left"/>
            </w:pPr>
            <w:r>
              <w:t>Exercise of options to Ordinary Shares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410,308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288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288</w:t>
            </w:r>
          </w:p>
        </w:tc>
        <w:tc>
          <w:tcPr>
            <w:tcW w:w="82" w:type="dxa"/>
            <w:tcBorders/>
            <w:shd w:fill="CCEEFF" w:val="clear"/>
            <w:vAlign w:val="center"/>
          </w:tcPr>
          <w:p>
            <w:pPr>
              <w:pStyle w:val="TableContents"/>
              <w:bidi w:val="0"/>
              <w:spacing w:before="0" w:after="283"/>
              <w:ind w:left="0" w:right="0" w:hanging="142"/>
              <w:jc w:val="left"/>
            </w:pPr>
            <w:r>
              <w:t> </w:t>
            </w:r>
          </w:p>
        </w:tc>
      </w:tr>
      <w:tr>
        <w:tc>
          <w:tcPr>
            <w:tcW w:w="1876" w:type="dxa"/>
            <w:tcBorders/>
            <w:shd w:fill="FFFFFF" w:val="clear"/>
            <w:vAlign w:val="center"/>
          </w:tcPr>
          <w:p>
            <w:pPr>
              <w:pStyle w:val="TableContents"/>
              <w:bidi w:val="0"/>
              <w:spacing w:before="0" w:after="283"/>
              <w:jc w:val="left"/>
            </w:pPr>
            <w:r>
              <w:t>Exercise of 2023 warrants and pre-funded warrants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1,387,765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474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474</w:t>
            </w:r>
          </w:p>
        </w:tc>
        <w:tc>
          <w:tcPr>
            <w:tcW w:w="82" w:type="dxa"/>
            <w:tcBorders/>
            <w:shd w:fill="FFFFFF" w:val="clear"/>
            <w:vAlign w:val="center"/>
          </w:tcPr>
          <w:p>
            <w:pPr>
              <w:pStyle w:val="TableContents"/>
              <w:bidi w:val="0"/>
              <w:spacing w:before="0" w:after="283"/>
              <w:ind w:left="0" w:right="0" w:hanging="142"/>
              <w:jc w:val="left"/>
            </w:pPr>
            <w:r>
              <w:t> </w:t>
            </w:r>
          </w:p>
        </w:tc>
      </w:tr>
      <w:tr>
        <w:tc>
          <w:tcPr>
            <w:tcW w:w="1876" w:type="dxa"/>
            <w:tcBorders/>
            <w:shd w:fill="CCEEFF" w:val="clear"/>
            <w:vAlign w:val="center"/>
          </w:tcPr>
          <w:p>
            <w:pPr>
              <w:pStyle w:val="TableContents"/>
              <w:bidi w:val="0"/>
              <w:spacing w:before="0" w:after="283"/>
              <w:jc w:val="left"/>
            </w:pPr>
            <w:r>
              <w:t>Issuance of Ordinary Shares and warrants, net of issuance costs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125,386,215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227,413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227,417</w:t>
            </w:r>
          </w:p>
        </w:tc>
        <w:tc>
          <w:tcPr>
            <w:tcW w:w="82" w:type="dxa"/>
            <w:tcBorders/>
            <w:shd w:fill="CCEEFF" w:val="clear"/>
            <w:vAlign w:val="center"/>
          </w:tcPr>
          <w:p>
            <w:pPr>
              <w:pStyle w:val="TableContents"/>
              <w:bidi w:val="0"/>
              <w:spacing w:before="0" w:after="283"/>
              <w:ind w:left="0" w:right="0" w:hanging="142"/>
              <w:jc w:val="left"/>
            </w:pPr>
            <w:r>
              <w:t> </w:t>
            </w:r>
          </w:p>
        </w:tc>
      </w:tr>
      <w:tr>
        <w:tc>
          <w:tcPr>
            <w:tcW w:w="1876" w:type="dxa"/>
            <w:tcBorders/>
            <w:shd w:fill="FFFFFF" w:val="clear"/>
            <w:vAlign w:val="center"/>
          </w:tcPr>
          <w:p>
            <w:pPr>
              <w:pStyle w:val="TableContents"/>
              <w:bidi w:val="0"/>
              <w:spacing w:before="0" w:after="283"/>
              <w:jc w:val="left"/>
            </w:pPr>
            <w:r>
              <w:t>Reclassification of pre-funded warrants to equity</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55,703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55,703</w:t>
            </w:r>
          </w:p>
        </w:tc>
        <w:tc>
          <w:tcPr>
            <w:tcW w:w="82" w:type="dxa"/>
            <w:tcBorders/>
            <w:shd w:fill="FFFFFF" w:val="clear"/>
            <w:vAlign w:val="center"/>
          </w:tcPr>
          <w:p>
            <w:pPr>
              <w:pStyle w:val="TableContents"/>
              <w:bidi w:val="0"/>
              <w:spacing w:before="0" w:after="283"/>
              <w:ind w:left="0" w:right="0" w:hanging="142"/>
              <w:jc w:val="left"/>
            </w:pPr>
            <w:r>
              <w:t> </w:t>
            </w:r>
          </w:p>
        </w:tc>
      </w:tr>
      <w:tr>
        <w:tc>
          <w:tcPr>
            <w:tcW w:w="1876" w:type="dxa"/>
            <w:tcBorders/>
            <w:shd w:fill="CCEEFF" w:val="clear"/>
            <w:vAlign w:val="center"/>
          </w:tcPr>
          <w:p>
            <w:pPr>
              <w:pStyle w:val="TableContents"/>
              <w:bidi w:val="0"/>
              <w:spacing w:before="0" w:after="283"/>
              <w:jc w:val="left"/>
            </w:pPr>
            <w:r>
              <w:t>Vested restricted share units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302,868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82" w:type="dxa"/>
            <w:tcBorders/>
            <w:shd w:fill="CCEEFF" w:val="clear"/>
            <w:vAlign w:val="center"/>
          </w:tcPr>
          <w:p>
            <w:pPr>
              <w:pStyle w:val="TableContents"/>
              <w:bidi w:val="0"/>
              <w:spacing w:before="0" w:after="283"/>
              <w:ind w:left="0" w:right="0" w:hanging="142"/>
              <w:jc w:val="left"/>
            </w:pPr>
            <w:r>
              <w:t> </w:t>
            </w:r>
          </w:p>
        </w:tc>
      </w:tr>
      <w:tr>
        <w:tc>
          <w:tcPr>
            <w:tcW w:w="1876" w:type="dxa"/>
            <w:tcBorders/>
            <w:shd w:fill="FFFFFF" w:val="clear"/>
            <w:vAlign w:val="center"/>
          </w:tcPr>
          <w:p>
            <w:pPr>
              <w:pStyle w:val="TableContents"/>
              <w:bidi w:val="0"/>
              <w:spacing w:before="0" w:after="283"/>
              <w:jc w:val="left"/>
            </w:pPr>
            <w:r>
              <w:t>Settlement in shares of board members compensation (see note 4)</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256,642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598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598</w:t>
            </w:r>
          </w:p>
        </w:tc>
        <w:tc>
          <w:tcPr>
            <w:tcW w:w="82" w:type="dxa"/>
            <w:tcBorders/>
            <w:shd w:fill="FFFFFF" w:val="clear"/>
            <w:vAlign w:val="center"/>
          </w:tcPr>
          <w:p>
            <w:pPr>
              <w:pStyle w:val="TableContents"/>
              <w:bidi w:val="0"/>
              <w:spacing w:before="0" w:after="283"/>
              <w:ind w:left="0" w:right="0" w:hanging="5"/>
              <w:jc w:val="left"/>
            </w:pPr>
            <w:r>
              <w:t> </w:t>
            </w:r>
          </w:p>
        </w:tc>
      </w:tr>
      <w:tr>
        <w:tc>
          <w:tcPr>
            <w:tcW w:w="1876" w:type="dxa"/>
            <w:tcBorders/>
            <w:shd w:fill="CCEEFF" w:val="clear"/>
            <w:vAlign w:val="center"/>
          </w:tcPr>
          <w:p>
            <w:pPr>
              <w:pStyle w:val="TableContents"/>
              <w:bidi w:val="0"/>
              <w:spacing w:before="0" w:after="283"/>
              <w:jc w:val="left"/>
            </w:pPr>
            <w:r>
              <w:t>Share-based compensation</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92"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pPr>
            <w:r>
              <w:t>3,115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22"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pPr>
            <w:r>
              <w:t>3,115</w:t>
            </w:r>
          </w:p>
        </w:tc>
        <w:tc>
          <w:tcPr>
            <w:tcW w:w="82" w:type="dxa"/>
            <w:tcBorders/>
            <w:shd w:fill="CCEEFF" w:val="clear"/>
            <w:vAlign w:val="center"/>
          </w:tcPr>
          <w:p>
            <w:pPr>
              <w:pStyle w:val="TableContents"/>
              <w:bidi w:val="0"/>
              <w:spacing w:before="0" w:after="283"/>
              <w:jc w:val="left"/>
            </w:pPr>
            <w:r>
              <w:t> </w:t>
            </w:r>
          </w:p>
        </w:tc>
      </w:tr>
      <w:tr>
        <w:tc>
          <w:tcPr>
            <w:tcW w:w="1876" w:type="dxa"/>
            <w:tcBorders/>
            <w:shd w:fill="FFFFFF" w:val="clear"/>
            <w:vAlign w:val="center"/>
          </w:tcPr>
          <w:p>
            <w:pPr>
              <w:pStyle w:val="TableContents"/>
              <w:bidi w:val="0"/>
              <w:spacing w:before="0" w:after="283"/>
              <w:jc w:val="left"/>
              <w:rPr>
                <w:b/>
              </w:rPr>
            </w:pPr>
            <w:r>
              <w:rPr>
                <w:b/>
              </w:rPr>
              <w:t>BALANCE AT SEPTEMBER 30, 2026</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92" w:type="dxa"/>
            <w:tcBorders>
              <w:bottom w:val="double" w:sz="6" w:space="0" w:color="000000"/>
            </w:tcBorders>
            <w:shd w:fill="FFFFFF" w:val="clear"/>
            <w:tcMar>
              <w:bottom w:w="28" w:type="dxa"/>
            </w:tcMar>
            <w:vAlign w:val="center"/>
          </w:tcPr>
          <w:p>
            <w:pPr>
              <w:pStyle w:val="TableContents"/>
              <w:bidi w:val="0"/>
              <w:spacing w:before="0" w:after="283"/>
              <w:jc w:val="right"/>
            </w:pPr>
            <w:r>
              <w:t>173,922,428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pPr>
            <w:r>
              <w:t>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pPr>
            <w:r>
              <w:t>426,016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450" w:type="dxa"/>
            <w:tcBorders>
              <w:bottom w:val="double" w:sz="6" w:space="0" w:color="000000"/>
            </w:tcBorders>
            <w:shd w:fill="FFFFFF" w:val="clear"/>
            <w:tcMar>
              <w:bottom w:w="28" w:type="dxa"/>
            </w:tcMar>
            <w:vAlign w:val="center"/>
          </w:tcPr>
          <w:p>
            <w:pPr>
              <w:pStyle w:val="TableContents"/>
              <w:bidi w:val="0"/>
              <w:spacing w:before="0" w:after="283"/>
              <w:jc w:val="right"/>
            </w:pPr>
            <w:r>
              <w:t>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22" w:type="dxa"/>
            <w:tcBorders>
              <w:bottom w:val="double" w:sz="6" w:space="0" w:color="000000"/>
            </w:tcBorders>
            <w:shd w:fill="FFFFFF" w:val="clear"/>
            <w:tcMar>
              <w:bottom w:w="28" w:type="dxa"/>
            </w:tcMar>
            <w:vAlign w:val="center"/>
          </w:tcPr>
          <w:p>
            <w:pPr>
              <w:pStyle w:val="TableContents"/>
              <w:bidi w:val="0"/>
              <w:spacing w:before="0" w:after="283"/>
              <w:jc w:val="right"/>
            </w:pPr>
            <w:r>
              <w:t>(151,780</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pPr>
            <w:r>
              <w:t>274,282</w:t>
            </w:r>
          </w:p>
        </w:tc>
        <w:tc>
          <w:tcPr>
            <w:tcW w:w="82" w:type="dxa"/>
            <w:tcBorders/>
            <w:shd w:fill="FFFFFF" w:val="clear"/>
            <w:vAlign w:val="center"/>
          </w:tcPr>
          <w:p>
            <w:pPr>
              <w:pStyle w:val="TableContents"/>
              <w:bidi w:val="0"/>
              <w:spacing w:before="0" w:after="283"/>
              <w:jc w:val="left"/>
            </w:pPr>
            <w:r>
              <w:t> </w:t>
            </w:r>
          </w:p>
        </w:tc>
      </w:tr>
      <w:tr>
        <w:tc>
          <w:tcPr>
            <w:tcW w:w="1876" w:type="dxa"/>
            <w:tcBorders/>
            <w:shd w:fill="CCEEFF" w:val="clear"/>
            <w:vAlign w:val="center"/>
          </w:tcPr>
          <w:p>
            <w:pPr>
              <w:pStyle w:val="TableContents"/>
              <w:bidi w:val="0"/>
              <w:spacing w:before="0" w:after="283"/>
              <w:jc w:val="left"/>
              <w:rPr>
                <w:b/>
              </w:rPr>
            </w:pPr>
            <w:r>
              <w:rPr>
                <w:b/>
              </w:rPr>
              <w:t>BALANCE AT JULY 1, 2026</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49,290,233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143,407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(136,183</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7,266</w:t>
            </w:r>
          </w:p>
        </w:tc>
        <w:tc>
          <w:tcPr>
            <w:tcW w:w="82" w:type="dxa"/>
            <w:tcBorders/>
            <w:shd w:fill="CCEEFF" w:val="clear"/>
            <w:vAlign w:val="center"/>
          </w:tcPr>
          <w:p>
            <w:pPr>
              <w:pStyle w:val="TableContents"/>
              <w:bidi w:val="0"/>
              <w:spacing w:before="0" w:after="283"/>
              <w:jc w:val="left"/>
            </w:pPr>
            <w:r>
              <w:t> </w:t>
            </w:r>
          </w:p>
        </w:tc>
      </w:tr>
      <w:tr>
        <w:tc>
          <w:tcPr>
            <w:tcW w:w="1876" w:type="dxa"/>
            <w:tcBorders/>
            <w:shd w:fill="FFFFFF" w:val="clear"/>
            <w:vAlign w:val="center"/>
          </w:tcPr>
          <w:p>
            <w:pPr>
              <w:pStyle w:val="TableContents"/>
              <w:bidi w:val="0"/>
              <w:spacing w:before="0" w:after="283"/>
              <w:jc w:val="left"/>
            </w:pPr>
            <w:r>
              <w:t>Net loss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(15,597</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(15,597</w:t>
            </w:r>
          </w:p>
        </w:tc>
        <w:tc>
          <w:tcPr>
            <w:tcW w:w="82" w:type="dxa"/>
            <w:tcBorders/>
            <w:shd w:fill="FFFFFF" w:val="clear"/>
            <w:vAlign w:val="center"/>
          </w:tcPr>
          <w:p>
            <w:pPr>
              <w:pStyle w:val="TableContents"/>
              <w:bidi w:val="0"/>
              <w:spacing w:before="0" w:after="283"/>
              <w:ind w:left="0" w:right="0" w:hanging="136"/>
              <w:jc w:val="left"/>
            </w:pPr>
            <w:r>
              <w:t>)</w:t>
            </w:r>
          </w:p>
        </w:tc>
      </w:tr>
      <w:tr>
        <w:tc>
          <w:tcPr>
            <w:tcW w:w="1876" w:type="dxa"/>
            <w:tcBorders/>
            <w:shd w:fill="CCEEFF" w:val="clear"/>
            <w:vAlign w:val="center"/>
          </w:tcPr>
          <w:p>
            <w:pPr>
              <w:pStyle w:val="TableContents"/>
              <w:bidi w:val="0"/>
              <w:spacing w:before="0" w:after="283"/>
              <w:jc w:val="left"/>
            </w:pPr>
            <w:r>
              <w:t>Exercise of options to Ordinary Shares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15,560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28</w:t>
            </w:r>
          </w:p>
        </w:tc>
        <w:tc>
          <w:tcPr>
            <w:tcW w:w="82" w:type="dxa"/>
            <w:tcBorders/>
            <w:shd w:fill="CCEEFF" w:val="clear"/>
            <w:vAlign w:val="center"/>
          </w:tcPr>
          <w:p>
            <w:pPr>
              <w:pStyle w:val="TableContents"/>
              <w:bidi w:val="0"/>
              <w:spacing w:before="0" w:after="283"/>
              <w:ind w:left="0" w:right="0" w:hanging="136"/>
              <w:jc w:val="left"/>
            </w:pPr>
            <w:r>
              <w:t> </w:t>
            </w:r>
          </w:p>
        </w:tc>
      </w:tr>
      <w:tr>
        <w:tc>
          <w:tcPr>
            <w:tcW w:w="1876" w:type="dxa"/>
            <w:tcBorders/>
            <w:shd w:fill="FFFFFF" w:val="clear"/>
            <w:vAlign w:val="center"/>
          </w:tcPr>
          <w:p>
            <w:pPr>
              <w:pStyle w:val="TableContents"/>
              <w:bidi w:val="0"/>
              <w:spacing w:before="0" w:after="283"/>
              <w:jc w:val="left"/>
            </w:pPr>
            <w:r>
              <w:t>Exercise of 2023 warrants and pre-funded warrants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1,387,765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474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474</w:t>
            </w:r>
          </w:p>
        </w:tc>
        <w:tc>
          <w:tcPr>
            <w:tcW w:w="82" w:type="dxa"/>
            <w:tcBorders/>
            <w:shd w:fill="FFFFFF" w:val="clear"/>
            <w:vAlign w:val="center"/>
          </w:tcPr>
          <w:p>
            <w:pPr>
              <w:pStyle w:val="TableContents"/>
              <w:bidi w:val="0"/>
              <w:spacing w:before="0" w:after="283"/>
              <w:ind w:left="0" w:right="0" w:hanging="136"/>
              <w:jc w:val="left"/>
            </w:pPr>
            <w:r>
              <w:t> </w:t>
            </w:r>
          </w:p>
        </w:tc>
      </w:tr>
      <w:tr>
        <w:tc>
          <w:tcPr>
            <w:tcW w:w="1876" w:type="dxa"/>
            <w:tcBorders/>
            <w:shd w:fill="CCEEFF" w:val="clear"/>
            <w:vAlign w:val="center"/>
          </w:tcPr>
          <w:p>
            <w:pPr>
              <w:pStyle w:val="TableContents"/>
              <w:bidi w:val="0"/>
              <w:spacing w:before="0" w:after="283"/>
              <w:jc w:val="left"/>
            </w:pPr>
            <w:r>
              <w:t>Issuance of Ordinary Shares, net of issuance costs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122,961,215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224,276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224,280</w:t>
            </w:r>
          </w:p>
        </w:tc>
        <w:tc>
          <w:tcPr>
            <w:tcW w:w="82" w:type="dxa"/>
            <w:tcBorders/>
            <w:shd w:fill="CCEEFF" w:val="clear"/>
            <w:vAlign w:val="center"/>
          </w:tcPr>
          <w:p>
            <w:pPr>
              <w:pStyle w:val="TableContents"/>
              <w:bidi w:val="0"/>
              <w:spacing w:before="0" w:after="283"/>
              <w:ind w:left="0" w:right="0" w:hanging="136"/>
              <w:jc w:val="left"/>
            </w:pPr>
            <w:r>
              <w:t> </w:t>
            </w:r>
          </w:p>
        </w:tc>
      </w:tr>
      <w:tr>
        <w:tc>
          <w:tcPr>
            <w:tcW w:w="1876" w:type="dxa"/>
            <w:tcBorders/>
            <w:shd w:fill="FFFFFF" w:val="clear"/>
            <w:vAlign w:val="center"/>
          </w:tcPr>
          <w:p>
            <w:pPr>
              <w:pStyle w:val="TableContents"/>
              <w:bidi w:val="0"/>
              <w:spacing w:before="0" w:after="283"/>
              <w:jc w:val="left"/>
            </w:pPr>
            <w:r>
              <w:t>Reclassification of pre-funded warrants to equity</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55,703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55,703</w:t>
            </w:r>
          </w:p>
        </w:tc>
        <w:tc>
          <w:tcPr>
            <w:tcW w:w="82" w:type="dxa"/>
            <w:tcBorders/>
            <w:shd w:fill="FFFFFF" w:val="clear"/>
            <w:vAlign w:val="center"/>
          </w:tcPr>
          <w:p>
            <w:pPr>
              <w:pStyle w:val="TableContents"/>
              <w:bidi w:val="0"/>
              <w:spacing w:before="0" w:after="283"/>
              <w:ind w:left="0" w:right="0" w:hanging="136"/>
              <w:jc w:val="left"/>
            </w:pPr>
            <w:r>
              <w:t> </w:t>
            </w:r>
          </w:p>
        </w:tc>
      </w:tr>
      <w:tr>
        <w:tc>
          <w:tcPr>
            <w:tcW w:w="1876" w:type="dxa"/>
            <w:tcBorders/>
            <w:shd w:fill="CCEEFF" w:val="clear"/>
            <w:vAlign w:val="center"/>
          </w:tcPr>
          <w:p>
            <w:pPr>
              <w:pStyle w:val="TableContents"/>
              <w:bidi w:val="0"/>
              <w:spacing w:before="0" w:after="283"/>
              <w:jc w:val="left"/>
            </w:pPr>
            <w:r>
              <w:t>Vested restricted share units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159,885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82" w:type="dxa"/>
            <w:tcBorders/>
            <w:shd w:fill="CCEEFF" w:val="clear"/>
            <w:vAlign w:val="center"/>
          </w:tcPr>
          <w:p>
            <w:pPr>
              <w:pStyle w:val="TableContents"/>
              <w:bidi w:val="0"/>
              <w:spacing w:before="0" w:after="283"/>
              <w:ind w:left="0" w:right="0" w:hanging="136"/>
              <w:jc w:val="left"/>
            </w:pPr>
            <w:r>
              <w:t> </w:t>
            </w:r>
          </w:p>
        </w:tc>
      </w:tr>
      <w:tr>
        <w:tc>
          <w:tcPr>
            <w:tcW w:w="1876" w:type="dxa"/>
            <w:tcBorders/>
            <w:shd w:fill="FFFFFF" w:val="clear"/>
            <w:vAlign w:val="center"/>
          </w:tcPr>
          <w:p>
            <w:pPr>
              <w:pStyle w:val="TableContents"/>
              <w:bidi w:val="0"/>
              <w:spacing w:before="0" w:after="283"/>
              <w:jc w:val="left"/>
            </w:pPr>
            <w:r>
              <w:t>Settlement in shares of board members compensation (see note 4)</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107,770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309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309</w:t>
            </w:r>
          </w:p>
        </w:tc>
        <w:tc>
          <w:tcPr>
            <w:tcW w:w="82" w:type="dxa"/>
            <w:tcBorders/>
            <w:shd w:fill="FFFFFF" w:val="clear"/>
            <w:vAlign w:val="center"/>
          </w:tcPr>
          <w:p>
            <w:pPr>
              <w:pStyle w:val="TableContents"/>
              <w:bidi w:val="0"/>
              <w:spacing w:before="0" w:after="283"/>
              <w:jc w:val="left"/>
            </w:pPr>
            <w:r>
              <w:t> </w:t>
            </w:r>
          </w:p>
        </w:tc>
      </w:tr>
      <w:tr>
        <w:tc>
          <w:tcPr>
            <w:tcW w:w="1876" w:type="dxa"/>
            <w:tcBorders/>
            <w:shd w:fill="CCEEFF" w:val="clear"/>
            <w:vAlign w:val="center"/>
          </w:tcPr>
          <w:p>
            <w:pPr>
              <w:pStyle w:val="TableContents"/>
              <w:bidi w:val="0"/>
              <w:spacing w:before="0" w:after="283"/>
              <w:jc w:val="left"/>
            </w:pPr>
            <w:r>
              <w:t>Share-based compensation</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92"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pPr>
            <w:r>
              <w:t>1,819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22" w:type="dxa"/>
            <w:tcBorders>
              <w:bottom w:val="single" w:sz="8" w:space="0" w:color="000000"/>
            </w:tcBorders>
            <w:shd w:fill="CCEEFF" w:val="clear"/>
            <w:tcMar>
              <w:bottom w:w="28" w:type="dxa"/>
            </w:tcMar>
            <w:vAlign w:val="center"/>
          </w:tcPr>
          <w:p>
            <w:pPr>
              <w:pStyle w:val="TableContents"/>
              <w:bidi w:val="0"/>
              <w:spacing w:before="0" w:after="283"/>
              <w:jc w:val="right"/>
            </w:pPr>
            <w:r>
              <w:t> </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pPr>
            <w:r>
              <w:t>1,819</w:t>
            </w:r>
          </w:p>
        </w:tc>
        <w:tc>
          <w:tcPr>
            <w:tcW w:w="82" w:type="dxa"/>
            <w:tcBorders/>
            <w:shd w:fill="CCEEFF" w:val="clear"/>
            <w:vAlign w:val="center"/>
          </w:tcPr>
          <w:p>
            <w:pPr>
              <w:pStyle w:val="TableContents"/>
              <w:bidi w:val="0"/>
              <w:spacing w:before="0" w:after="283"/>
              <w:jc w:val="left"/>
            </w:pPr>
            <w:r>
              <w:t> </w:t>
            </w:r>
          </w:p>
        </w:tc>
      </w:tr>
      <w:tr>
        <w:tc>
          <w:tcPr>
            <w:tcW w:w="1876" w:type="dxa"/>
            <w:tcBorders/>
            <w:shd w:fill="FFFFFF" w:val="clear"/>
            <w:vAlign w:val="center"/>
          </w:tcPr>
          <w:p>
            <w:pPr>
              <w:pStyle w:val="TableContents"/>
              <w:bidi w:val="0"/>
              <w:spacing w:before="0" w:after="283"/>
              <w:jc w:val="left"/>
              <w:rPr>
                <w:b/>
              </w:rPr>
            </w:pPr>
            <w:r>
              <w:rPr>
                <w:b/>
              </w:rPr>
              <w:t>BALANCE AT SEPTEMBER 30, 2026</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92" w:type="dxa"/>
            <w:tcBorders>
              <w:bottom w:val="double" w:sz="6" w:space="0" w:color="000000"/>
            </w:tcBorders>
            <w:shd w:fill="FFFFFF" w:val="clear"/>
            <w:tcMar>
              <w:bottom w:w="28" w:type="dxa"/>
            </w:tcMar>
            <w:vAlign w:val="center"/>
          </w:tcPr>
          <w:p>
            <w:pPr>
              <w:pStyle w:val="TableContents"/>
              <w:bidi w:val="0"/>
              <w:spacing w:before="0" w:after="283"/>
              <w:jc w:val="right"/>
            </w:pPr>
            <w:r>
              <w:t>173,922,428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pPr>
            <w:r>
              <w:t>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pPr>
            <w:r>
              <w:t>426,016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450" w:type="dxa"/>
            <w:tcBorders>
              <w:bottom w:val="double" w:sz="6" w:space="0" w:color="000000"/>
            </w:tcBorders>
            <w:shd w:fill="FFFFFF" w:val="clear"/>
            <w:tcMar>
              <w:bottom w:w="28" w:type="dxa"/>
            </w:tcMar>
            <w:vAlign w:val="center"/>
          </w:tcPr>
          <w:p>
            <w:pPr>
              <w:pStyle w:val="TableContents"/>
              <w:bidi w:val="0"/>
              <w:spacing w:before="0" w:after="283"/>
              <w:jc w:val="right"/>
            </w:pPr>
            <w:r>
              <w:t>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22" w:type="dxa"/>
            <w:tcBorders>
              <w:bottom w:val="double" w:sz="6" w:space="0" w:color="000000"/>
            </w:tcBorders>
            <w:shd w:fill="FFFFFF" w:val="clear"/>
            <w:tcMar>
              <w:bottom w:w="28" w:type="dxa"/>
            </w:tcMar>
            <w:vAlign w:val="center"/>
          </w:tcPr>
          <w:p>
            <w:pPr>
              <w:pStyle w:val="TableContents"/>
              <w:bidi w:val="0"/>
              <w:spacing w:before="0" w:after="283"/>
              <w:jc w:val="right"/>
            </w:pPr>
            <w:r>
              <w:t>(151,780</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pPr>
            <w:r>
              <w:t>274,282</w:t>
            </w:r>
          </w:p>
        </w:tc>
        <w:tc>
          <w:tcPr>
            <w:tcW w:w="82" w:type="dxa"/>
            <w:tcBorders/>
            <w:shd w:fill="FFFFFF" w:val="clear"/>
            <w:vAlign w:val="center"/>
          </w:tcPr>
          <w:p>
            <w:pPr>
              <w:pStyle w:val="TableContents"/>
              <w:bidi w:val="0"/>
              <w:spacing w:before="0" w:after="283"/>
              <w:jc w:val="left"/>
            </w:pPr>
            <w:r>
              <w:t> </w:t>
            </w:r>
          </w:p>
        </w:tc>
      </w:tr>
      <w:tr>
        <w:tc>
          <w:tcPr>
            <w:tcW w:w="1876"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38,837,220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121,965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(113,927</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8,080</w:t>
            </w:r>
          </w:p>
        </w:tc>
        <w:tc>
          <w:tcPr>
            <w:tcW w:w="82" w:type="dxa"/>
            <w:tcBorders/>
            <w:shd w:fill="CCEEFF" w:val="clear"/>
            <w:vAlign w:val="center"/>
          </w:tcPr>
          <w:p>
            <w:pPr>
              <w:pStyle w:val="TableContents"/>
              <w:bidi w:val="0"/>
              <w:spacing w:before="0" w:after="283"/>
              <w:ind w:left="0" w:right="0" w:hanging="5"/>
              <w:jc w:val="left"/>
            </w:pPr>
            <w:r>
              <w:t> </w:t>
            </w:r>
          </w:p>
        </w:tc>
      </w:tr>
      <w:tr>
        <w:tc>
          <w:tcPr>
            <w:tcW w:w="1876" w:type="dxa"/>
            <w:tcBorders/>
            <w:shd w:fill="FFFFFF" w:val="clear"/>
            <w:vAlign w:val="center"/>
          </w:tcPr>
          <w:p>
            <w:pPr>
              <w:pStyle w:val="TableContents"/>
              <w:bidi w:val="0"/>
              <w:spacing w:before="0" w:after="283"/>
              <w:jc w:val="left"/>
            </w:pPr>
            <w:r>
              <w:t>Net loss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(8,423</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(8,423</w:t>
            </w:r>
          </w:p>
        </w:tc>
        <w:tc>
          <w:tcPr>
            <w:tcW w:w="82" w:type="dxa"/>
            <w:tcBorders/>
            <w:shd w:fill="FFFFFF" w:val="clear"/>
            <w:vAlign w:val="center"/>
          </w:tcPr>
          <w:p>
            <w:pPr>
              <w:pStyle w:val="TableContents"/>
              <w:bidi w:val="0"/>
              <w:spacing w:before="0" w:after="283"/>
              <w:ind w:left="0" w:right="0" w:hanging="142"/>
              <w:jc w:val="left"/>
            </w:pPr>
            <w:r>
              <w:t>)</w:t>
            </w:r>
          </w:p>
        </w:tc>
      </w:tr>
      <w:tr>
        <w:tc>
          <w:tcPr>
            <w:tcW w:w="1876" w:type="dxa"/>
            <w:tcBorders/>
            <w:shd w:fill="CCEEFF" w:val="clear"/>
            <w:vAlign w:val="center"/>
          </w:tcPr>
          <w:p>
            <w:pPr>
              <w:pStyle w:val="TableContents"/>
              <w:bidi w:val="0"/>
              <w:spacing w:before="0" w:after="283"/>
              <w:jc w:val="left"/>
            </w:pPr>
            <w:r>
              <w:t>Exercise of warrants to Ordinary Shares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353,292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354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354</w:t>
            </w:r>
          </w:p>
        </w:tc>
        <w:tc>
          <w:tcPr>
            <w:tcW w:w="82" w:type="dxa"/>
            <w:tcBorders/>
            <w:shd w:fill="CCEEFF" w:val="clear"/>
            <w:vAlign w:val="center"/>
          </w:tcPr>
          <w:p>
            <w:pPr>
              <w:pStyle w:val="TableContents"/>
              <w:bidi w:val="0"/>
              <w:spacing w:before="0" w:after="283"/>
              <w:ind w:left="0" w:right="0" w:hanging="142"/>
              <w:jc w:val="left"/>
            </w:pPr>
            <w:r>
              <w:t> </w:t>
            </w:r>
          </w:p>
        </w:tc>
      </w:tr>
      <w:tr>
        <w:tc>
          <w:tcPr>
            <w:tcW w:w="1876" w:type="dxa"/>
            <w:tcBorders/>
            <w:shd w:fill="FFFFFF" w:val="clear"/>
            <w:vAlign w:val="center"/>
          </w:tcPr>
          <w:p>
            <w:pPr>
              <w:pStyle w:val="TableContents"/>
              <w:bidi w:val="0"/>
              <w:spacing w:before="0" w:after="283"/>
              <w:jc w:val="left"/>
            </w:pPr>
            <w:r>
              <w:t>Exercise of options to Ordinary Shares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1,125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1</w:t>
            </w:r>
          </w:p>
        </w:tc>
        <w:tc>
          <w:tcPr>
            <w:tcW w:w="82" w:type="dxa"/>
            <w:tcBorders/>
            <w:shd w:fill="FFFFFF" w:val="clear"/>
            <w:vAlign w:val="center"/>
          </w:tcPr>
          <w:p>
            <w:pPr>
              <w:pStyle w:val="TableContents"/>
              <w:bidi w:val="0"/>
              <w:spacing w:before="0" w:after="283"/>
              <w:ind w:left="0" w:right="0" w:hanging="142"/>
              <w:jc w:val="left"/>
            </w:pPr>
            <w:r>
              <w:t> </w:t>
            </w:r>
          </w:p>
        </w:tc>
      </w:tr>
      <w:tr>
        <w:tc>
          <w:tcPr>
            <w:tcW w:w="1876" w:type="dxa"/>
            <w:tcBorders/>
            <w:shd w:fill="CCEEFF" w:val="clear"/>
            <w:vAlign w:val="center"/>
          </w:tcPr>
          <w:p>
            <w:pPr>
              <w:pStyle w:val="TableContents"/>
              <w:bidi w:val="0"/>
              <w:spacing w:before="0" w:after="283"/>
              <w:jc w:val="left"/>
            </w:pPr>
            <w:r>
              <w:t>Issuance of Ordinary Shares under collaboration agreement, net</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3,685,226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7,115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7,115</w:t>
            </w:r>
          </w:p>
        </w:tc>
        <w:tc>
          <w:tcPr>
            <w:tcW w:w="82" w:type="dxa"/>
            <w:tcBorders/>
            <w:shd w:fill="CCEEFF" w:val="clear"/>
            <w:vAlign w:val="center"/>
          </w:tcPr>
          <w:p>
            <w:pPr>
              <w:pStyle w:val="TableContents"/>
              <w:bidi w:val="0"/>
              <w:spacing w:before="0" w:after="283"/>
              <w:ind w:left="0" w:right="0" w:hanging="142"/>
              <w:jc w:val="left"/>
            </w:pPr>
            <w:r>
              <w:t> </w:t>
            </w:r>
          </w:p>
        </w:tc>
      </w:tr>
      <w:tr>
        <w:tc>
          <w:tcPr>
            <w:tcW w:w="1876" w:type="dxa"/>
            <w:tcBorders/>
            <w:shd w:fill="FFFFFF" w:val="clear"/>
            <w:vAlign w:val="center"/>
          </w:tcPr>
          <w:p>
            <w:pPr>
              <w:pStyle w:val="TableContents"/>
              <w:bidi w:val="0"/>
              <w:spacing w:before="0" w:after="283"/>
              <w:jc w:val="left"/>
            </w:pPr>
            <w:r>
              <w:t>Issuance of Ordinary Shares under ATM program, net of issuance costs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2,731,574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6,067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6,067</w:t>
            </w:r>
          </w:p>
        </w:tc>
        <w:tc>
          <w:tcPr>
            <w:tcW w:w="82" w:type="dxa"/>
            <w:tcBorders/>
            <w:shd w:fill="FFFFFF" w:val="clear"/>
            <w:vAlign w:val="center"/>
          </w:tcPr>
          <w:p>
            <w:pPr>
              <w:pStyle w:val="TableContents"/>
              <w:bidi w:val="0"/>
              <w:spacing w:before="0" w:after="283"/>
              <w:ind w:left="0" w:right="0" w:hanging="142"/>
              <w:jc w:val="left"/>
            </w:pPr>
            <w:r>
              <w:t> </w:t>
            </w:r>
          </w:p>
        </w:tc>
      </w:tr>
      <w:tr>
        <w:tc>
          <w:tcPr>
            <w:tcW w:w="1876" w:type="dxa"/>
            <w:tcBorders/>
            <w:shd w:fill="CCEEFF" w:val="clear"/>
            <w:vAlign w:val="center"/>
          </w:tcPr>
          <w:p>
            <w:pPr>
              <w:pStyle w:val="TableContents"/>
              <w:bidi w:val="0"/>
              <w:spacing w:before="0" w:after="283"/>
              <w:jc w:val="left"/>
            </w:pPr>
            <w:r>
              <w:t>Vested restricted share units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56,069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82" w:type="dxa"/>
            <w:tcBorders/>
            <w:shd w:fill="CCEEFF" w:val="clear"/>
            <w:vAlign w:val="center"/>
          </w:tcPr>
          <w:p>
            <w:pPr>
              <w:pStyle w:val="TableContents"/>
              <w:bidi w:val="0"/>
              <w:spacing w:before="0" w:after="283"/>
              <w:ind w:left="0" w:right="0" w:hanging="5"/>
              <w:jc w:val="left"/>
            </w:pPr>
            <w:r>
              <w:t> </w:t>
            </w:r>
          </w:p>
        </w:tc>
      </w:tr>
      <w:tr>
        <w:tc>
          <w:tcPr>
            <w:tcW w:w="1876" w:type="dxa"/>
            <w:tcBorders/>
            <w:shd w:fill="FFFFFF" w:val="clear"/>
            <w:vAlign w:val="center"/>
          </w:tcPr>
          <w:p>
            <w:pPr>
              <w:pStyle w:val="TableContents"/>
              <w:bidi w:val="0"/>
              <w:spacing w:before="0" w:after="283"/>
              <w:jc w:val="left"/>
            </w:pPr>
            <w:r>
              <w:t>Share-based compensation</w:t>
            </w:r>
          </w:p>
        </w:tc>
        <w:tc>
          <w:tcPr>
            <w:tcW w:w="60"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pPr>
            <w:r>
              <w:t>2,040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pPr>
            <w:r>
              <w:t>2,040</w:t>
            </w:r>
          </w:p>
        </w:tc>
        <w:tc>
          <w:tcPr>
            <w:tcW w:w="82" w:type="dxa"/>
            <w:tcBorders/>
            <w:shd w:fill="FFFFFF" w:val="clear"/>
            <w:vAlign w:val="center"/>
          </w:tcPr>
          <w:p>
            <w:pPr>
              <w:pStyle w:val="TableContents"/>
              <w:bidi w:val="0"/>
              <w:spacing w:before="0" w:after="283"/>
              <w:jc w:val="left"/>
            </w:pPr>
            <w:r>
              <w:t> </w:t>
            </w:r>
          </w:p>
        </w:tc>
      </w:tr>
      <w:tr>
        <w:tc>
          <w:tcPr>
            <w:tcW w:w="1876"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pPr>
            <w: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92" w:type="dxa"/>
            <w:tcBorders>
              <w:bottom w:val="double" w:sz="6" w:space="0" w:color="000000"/>
            </w:tcBorders>
            <w:shd w:fill="CCEEFF" w:val="clear"/>
            <w:tcMar>
              <w:bottom w:w="28" w:type="dxa"/>
            </w:tcMar>
            <w:vAlign w:val="center"/>
          </w:tcPr>
          <w:p>
            <w:pPr>
              <w:pStyle w:val="TableContents"/>
              <w:bidi w:val="0"/>
              <w:spacing w:before="0" w:after="283"/>
              <w:jc w:val="right"/>
            </w:pPr>
            <w:r>
              <w:t>45,664,506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pPr>
            <w: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pPr>
            <w:r>
              <w:t>137,542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450" w:type="dxa"/>
            <w:tcBorders>
              <w:bottom w:val="double" w:sz="6" w:space="0" w:color="000000"/>
            </w:tcBorders>
            <w:shd w:fill="CCEEFF" w:val="clear"/>
            <w:tcMar>
              <w:bottom w:w="28" w:type="dxa"/>
            </w:tcMar>
            <w:vAlign w:val="center"/>
          </w:tcPr>
          <w:p>
            <w:pPr>
              <w:pStyle w:val="TableContents"/>
              <w:bidi w:val="0"/>
              <w:spacing w:before="0" w:after="283"/>
              <w:jc w:val="right"/>
            </w:pPr>
            <w:r>
              <w:t>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pPr>
            <w:r>
              <w:t>(122,350</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pPr>
            <w:r>
              <w:t>15,234</w:t>
            </w:r>
          </w:p>
        </w:tc>
        <w:tc>
          <w:tcPr>
            <w:tcW w:w="82" w:type="dxa"/>
            <w:tcBorders/>
            <w:shd w:fill="CCEEFF" w:val="clear"/>
            <w:vAlign w:val="center"/>
          </w:tcPr>
          <w:p>
            <w:pPr>
              <w:pStyle w:val="TableContents"/>
              <w:bidi w:val="0"/>
              <w:spacing w:before="0" w:after="283"/>
              <w:jc w:val="left"/>
            </w:pPr>
            <w:r>
              <w:t> </w:t>
            </w:r>
          </w:p>
        </w:tc>
      </w:tr>
      <w:tr>
        <w:tc>
          <w:tcPr>
            <w:tcW w:w="1876" w:type="dxa"/>
            <w:tcBorders/>
            <w:shd w:fill="FFFFFF" w:val="clear"/>
            <w:vAlign w:val="center"/>
          </w:tcPr>
          <w:p>
            <w:pPr>
              <w:pStyle w:val="TableContents"/>
              <w:bidi w:val="0"/>
              <w:spacing w:before="0" w:after="283"/>
              <w:jc w:val="left"/>
              <w:rPr>
                <w:b/>
              </w:rPr>
            </w:pPr>
            <w:r>
              <w:rPr>
                <w:b/>
              </w:rPr>
              <w:t>BALANCE AT JULY 1, 2025</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45,452,167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pPr>
            <w: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136,364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(119,150</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17,256</w:t>
            </w:r>
          </w:p>
        </w:tc>
        <w:tc>
          <w:tcPr>
            <w:tcW w:w="82" w:type="dxa"/>
            <w:tcBorders/>
            <w:shd w:fill="FFFFFF" w:val="clear"/>
            <w:vAlign w:val="center"/>
          </w:tcPr>
          <w:p>
            <w:pPr>
              <w:pStyle w:val="TableContents"/>
              <w:bidi w:val="0"/>
              <w:spacing w:before="0" w:after="283"/>
              <w:jc w:val="left"/>
            </w:pPr>
            <w:r>
              <w:t> </w:t>
            </w:r>
          </w:p>
        </w:tc>
      </w:tr>
      <w:tr>
        <w:tc>
          <w:tcPr>
            <w:tcW w:w="1876" w:type="dxa"/>
            <w:tcBorders/>
            <w:shd w:fill="CCEEFF" w:val="clear"/>
            <w:vAlign w:val="center"/>
          </w:tcPr>
          <w:p>
            <w:pPr>
              <w:pStyle w:val="TableContents"/>
              <w:bidi w:val="0"/>
              <w:spacing w:before="0" w:after="283"/>
              <w:jc w:val="left"/>
            </w:pPr>
            <w:r>
              <w:t>Net loss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(3,200</w:t>
            </w:r>
          </w:p>
        </w:tc>
        <w:tc>
          <w:tcPr>
            <w:tcW w:w="95" w:type="dxa"/>
            <w:tcBorders/>
            <w:shd w:fill="CCEEFF" w:val="clear"/>
            <w:vAlign w:val="center"/>
          </w:tcPr>
          <w:p>
            <w:pPr>
              <w:pStyle w:val="TableContents"/>
              <w:bidi w:val="0"/>
              <w:spacing w:before="0" w:after="283"/>
              <w:jc w:val="lef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(3,200</w:t>
            </w:r>
          </w:p>
        </w:tc>
        <w:tc>
          <w:tcPr>
            <w:tcW w:w="82" w:type="dxa"/>
            <w:tcBorders/>
            <w:shd w:fill="CCEEFF" w:val="clear"/>
            <w:vAlign w:val="center"/>
          </w:tcPr>
          <w:p>
            <w:pPr>
              <w:pStyle w:val="TableContents"/>
              <w:bidi w:val="0"/>
              <w:spacing w:before="0" w:after="283"/>
              <w:ind w:left="0" w:right="0" w:hanging="142"/>
              <w:jc w:val="left"/>
            </w:pPr>
            <w:r>
              <w:t>)</w:t>
            </w:r>
          </w:p>
        </w:tc>
      </w:tr>
      <w:tr>
        <w:tc>
          <w:tcPr>
            <w:tcW w:w="1876" w:type="dxa"/>
            <w:tcBorders/>
            <w:shd w:fill="FFFFFF" w:val="clear"/>
            <w:vAlign w:val="center"/>
          </w:tcPr>
          <w:p>
            <w:pPr>
              <w:pStyle w:val="TableContents"/>
              <w:bidi w:val="0"/>
              <w:spacing w:before="0" w:after="283"/>
              <w:jc w:val="left"/>
            </w:pPr>
            <w:r>
              <w:t>Exercise of warrants to Ordinary Shares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179,640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180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180</w:t>
            </w:r>
          </w:p>
        </w:tc>
        <w:tc>
          <w:tcPr>
            <w:tcW w:w="82" w:type="dxa"/>
            <w:tcBorders/>
            <w:shd w:fill="FFFFFF" w:val="clear"/>
            <w:vAlign w:val="center"/>
          </w:tcPr>
          <w:p>
            <w:pPr>
              <w:pStyle w:val="TableContents"/>
              <w:bidi w:val="0"/>
              <w:spacing w:before="0" w:after="283"/>
              <w:ind w:left="0" w:right="0" w:hanging="136"/>
              <w:jc w:val="left"/>
            </w:pPr>
            <w:r>
              <w:t> </w:t>
            </w:r>
          </w:p>
        </w:tc>
      </w:tr>
      <w:tr>
        <w:tc>
          <w:tcPr>
            <w:tcW w:w="1876" w:type="dxa"/>
            <w:tcBorders/>
            <w:shd w:fill="CCEEFF" w:val="clear"/>
            <w:vAlign w:val="center"/>
          </w:tcPr>
          <w:p>
            <w:pPr>
              <w:pStyle w:val="TableContents"/>
              <w:bidi w:val="0"/>
              <w:spacing w:before="0" w:after="283"/>
              <w:jc w:val="left"/>
            </w:pPr>
            <w:r>
              <w:t>Exercise of options to Ordinary Shares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292" w:type="dxa"/>
            <w:tcBorders/>
            <w:shd w:fill="CCEEFF" w:val="clear"/>
            <w:vAlign w:val="center"/>
          </w:tcPr>
          <w:p>
            <w:pPr>
              <w:pStyle w:val="TableContents"/>
              <w:bidi w:val="0"/>
              <w:spacing w:before="0" w:after="283"/>
              <w:jc w:val="right"/>
            </w:pPr>
            <w:r>
              <w:t>1,125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shd w:fill="CCEEFF" w:val="clear"/>
            <w:vAlign w:val="center"/>
          </w:tcPr>
          <w:p>
            <w:pPr>
              <w:pStyle w:val="TableContents"/>
              <w:bidi w:val="0"/>
              <w:spacing w:before="0" w:after="283"/>
              <w:jc w:val="left"/>
            </w:pPr>
            <w:r>
              <w:t> </w:t>
            </w:r>
          </w:p>
        </w:tc>
        <w:tc>
          <w:tcPr>
            <w:tcW w:w="145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1322" w:type="dxa"/>
            <w:tcBorders/>
            <w:shd w:fill="CCEEFF" w:val="cle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0" w:type="dxa"/>
            <w:tcBorders/>
            <w:shd w:fill="CCEEFF" w:val="clear"/>
            <w:vAlign w:val="center"/>
          </w:tcPr>
          <w:p>
            <w:pPr>
              <w:pStyle w:val="TableContents"/>
              <w:bidi w:val="0"/>
              <w:spacing w:before="0" w:after="283"/>
              <w:jc w:val="right"/>
            </w:pPr>
            <w:r>
              <w:t>1</w:t>
            </w:r>
          </w:p>
        </w:tc>
        <w:tc>
          <w:tcPr>
            <w:tcW w:w="82" w:type="dxa"/>
            <w:tcBorders/>
            <w:shd w:fill="CCEEFF" w:val="clear"/>
            <w:vAlign w:val="center"/>
          </w:tcPr>
          <w:p>
            <w:pPr>
              <w:pStyle w:val="TableContents"/>
              <w:bidi w:val="0"/>
              <w:spacing w:before="0" w:after="283"/>
              <w:ind w:left="0" w:right="0" w:hanging="142"/>
              <w:jc w:val="left"/>
            </w:pPr>
            <w:r>
              <w:t> </w:t>
            </w:r>
          </w:p>
        </w:tc>
      </w:tr>
      <w:tr>
        <w:tc>
          <w:tcPr>
            <w:tcW w:w="1876" w:type="dxa"/>
            <w:tcBorders/>
            <w:shd w:fill="FFFFFF" w:val="clear"/>
            <w:vAlign w:val="center"/>
          </w:tcPr>
          <w:p>
            <w:pPr>
              <w:pStyle w:val="TableContents"/>
              <w:bidi w:val="0"/>
              <w:spacing w:before="0" w:after="283"/>
              <w:jc w:val="left"/>
            </w:pPr>
            <w:r>
              <w:t>Issuance of Ordinary Shares under ATM program, net of issuance costs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292" w:type="dxa"/>
            <w:tcBorders/>
            <w:shd w:fill="FFFFFF" w:val="clear"/>
            <w:vAlign w:val="center"/>
          </w:tcPr>
          <w:p>
            <w:pPr>
              <w:pStyle w:val="TableContents"/>
              <w:bidi w:val="0"/>
              <w:spacing w:before="0" w:after="283"/>
              <w:jc w:val="right"/>
            </w:pPr>
            <w:r>
              <w:t>31,574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111" w:type="dxa"/>
            <w:tcBorders/>
            <w:shd w:fill="FFFFFF" w:val="clear"/>
            <w:vAlign w:val="center"/>
          </w:tcPr>
          <w:p>
            <w:pPr>
              <w:pStyle w:val="TableContents"/>
              <w:bidi w:val="0"/>
              <w:spacing w:before="0" w:after="283"/>
              <w:jc w:val="right"/>
            </w:pPr>
            <w:r>
              <w:t>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shd w:fill="FFFFFF" w:val="clear"/>
            <w:vAlign w:val="center"/>
          </w:tcPr>
          <w:p>
            <w:pPr>
              <w:pStyle w:val="TableContents"/>
              <w:bidi w:val="0"/>
              <w:spacing w:before="0" w:after="283"/>
              <w:jc w:val="left"/>
            </w:pPr>
            <w:r>
              <w:t> </w:t>
            </w:r>
          </w:p>
        </w:tc>
        <w:tc>
          <w:tcPr>
            <w:tcW w:w="145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1322" w:type="dxa"/>
            <w:tcBorders/>
            <w:shd w:fill="FFFFFF" w:val="cle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0" w:type="dxa"/>
            <w:tcBorders/>
            <w:shd w:fill="FFFFFF" w:val="clear"/>
            <w:vAlign w:val="center"/>
          </w:tcPr>
          <w:p>
            <w:pPr>
              <w:pStyle w:val="TableContents"/>
              <w:bidi w:val="0"/>
              <w:spacing w:before="0" w:after="283"/>
              <w:jc w:val="right"/>
            </w:pPr>
            <w:r>
              <w:t>70</w:t>
            </w:r>
          </w:p>
        </w:tc>
        <w:tc>
          <w:tcPr>
            <w:tcW w:w="82" w:type="dxa"/>
            <w:tcBorders/>
            <w:shd w:fill="FFFFFF" w:val="clear"/>
            <w:vAlign w:val="center"/>
          </w:tcPr>
          <w:p>
            <w:pPr>
              <w:pStyle w:val="TableContents"/>
              <w:bidi w:val="0"/>
              <w:spacing w:before="0" w:after="283"/>
              <w:jc w:val="left"/>
            </w:pPr>
            <w:r>
              <w:t> </w:t>
            </w:r>
          </w:p>
        </w:tc>
      </w:tr>
      <w:tr>
        <w:tc>
          <w:tcPr>
            <w:tcW w:w="1876" w:type="dxa"/>
            <w:tcBorders/>
            <w:shd w:fill="CCEEFF" w:val="clear"/>
            <w:vAlign w:val="center"/>
          </w:tcPr>
          <w:p>
            <w:pPr>
              <w:pStyle w:val="TableContents"/>
              <w:bidi w:val="0"/>
              <w:spacing w:before="0" w:after="283"/>
              <w:jc w:val="left"/>
            </w:pPr>
            <w:r>
              <w:t>Share-based compensation</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92"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pPr>
            <w:r>
              <w:t>927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22" w:type="dxa"/>
            <w:tcBorders>
              <w:bottom w:val="single" w:sz="8" w:space="0" w:color="000000"/>
            </w:tcBorders>
            <w:shd w:fill="CCEEFF" w:val="clear"/>
            <w:tcMar>
              <w:bottom w:w="28" w:type="dxa"/>
            </w:tcMar>
            <w:vAlign w:val="center"/>
          </w:tcPr>
          <w:p>
            <w:pPr>
              <w:pStyle w:val="TableContents"/>
              <w:bidi w:val="0"/>
              <w:spacing w:before="0" w:after="283"/>
              <w:jc w:val="right"/>
            </w:pPr>
            <w:r>
              <w:t>-</w:t>
            </w:r>
          </w:p>
        </w:tc>
        <w:tc>
          <w:tcPr>
            <w:tcW w:w="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pPr>
            <w:r>
              <w:t>927</w:t>
            </w:r>
          </w:p>
        </w:tc>
        <w:tc>
          <w:tcPr>
            <w:tcW w:w="82" w:type="dxa"/>
            <w:tcBorders/>
            <w:shd w:fill="CCEEFF" w:val="clear"/>
            <w:vAlign w:val="center"/>
          </w:tcPr>
          <w:p>
            <w:pPr>
              <w:pStyle w:val="TableContents"/>
              <w:bidi w:val="0"/>
              <w:spacing w:before="0" w:after="283"/>
              <w:jc w:val="left"/>
            </w:pPr>
            <w:r>
              <w:t> </w:t>
            </w:r>
          </w:p>
        </w:tc>
      </w:tr>
      <w:tr>
        <w:tc>
          <w:tcPr>
            <w:tcW w:w="1876" w:type="dxa"/>
            <w:tcBorders/>
            <w:shd w:fill="FFFFFF" w:val="clear"/>
            <w:vAlign w:val="center"/>
          </w:tcPr>
          <w:p>
            <w:pPr>
              <w:pStyle w:val="TableContents"/>
              <w:bidi w:val="0"/>
              <w:spacing w:before="0" w:after="283"/>
              <w:jc w:val="left"/>
              <w:rPr>
                <w:b/>
              </w:rPr>
            </w:pPr>
            <w:r>
              <w:rPr>
                <w:b/>
              </w:rPr>
              <w:t>BALANCE AT SEPTEMBER 30, 2025</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92" w:type="dxa"/>
            <w:tcBorders>
              <w:bottom w:val="double" w:sz="6" w:space="0" w:color="000000"/>
            </w:tcBorders>
            <w:shd w:fill="FFFFFF" w:val="clear"/>
            <w:tcMar>
              <w:bottom w:w="28" w:type="dxa"/>
            </w:tcMar>
            <w:vAlign w:val="center"/>
          </w:tcPr>
          <w:p>
            <w:pPr>
              <w:pStyle w:val="TableContents"/>
              <w:bidi w:val="0"/>
              <w:spacing w:before="0" w:after="283"/>
              <w:jc w:val="right"/>
            </w:pPr>
            <w:r>
              <w:t>45,664,506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pPr>
            <w: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pPr>
            <w:r>
              <w:t>137,542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450" w:type="dxa"/>
            <w:tcBorders>
              <w:bottom w:val="double" w:sz="6" w:space="0" w:color="000000"/>
            </w:tcBorders>
            <w:shd w:fill="FFFFFF" w:val="clear"/>
            <w:tcMar>
              <w:bottom w:w="28" w:type="dxa"/>
            </w:tcMar>
            <w:vAlign w:val="center"/>
          </w:tcPr>
          <w:p>
            <w:pPr>
              <w:pStyle w:val="TableContents"/>
              <w:bidi w:val="0"/>
              <w:spacing w:before="0" w:after="283"/>
              <w:jc w:val="right"/>
            </w:pPr>
            <w:r>
              <w:t>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22" w:type="dxa"/>
            <w:tcBorders>
              <w:bottom w:val="double" w:sz="6" w:space="0" w:color="000000"/>
            </w:tcBorders>
            <w:shd w:fill="FFFFFF" w:val="clear"/>
            <w:tcMar>
              <w:bottom w:w="28" w:type="dxa"/>
            </w:tcMar>
            <w:vAlign w:val="center"/>
          </w:tcPr>
          <w:p>
            <w:pPr>
              <w:pStyle w:val="TableContents"/>
              <w:bidi w:val="0"/>
              <w:spacing w:before="0" w:after="283"/>
              <w:jc w:val="right"/>
            </w:pPr>
            <w:r>
              <w:t>(122,350</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pPr>
            <w:r>
              <w:t>15,234</w:t>
            </w:r>
          </w:p>
        </w:tc>
        <w:tc>
          <w:tcPr>
            <w:tcW w:w="82"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an amount less than one thousand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jc w:val="center"/>
        <w:rPr>
          <w:bdr w:val="single" w:sz="8" w:space="1" w:color="000000"/>
        </w:rPr>
      </w:pPr>
      <w:r>
        <w:rPr>
          <w:bdr w:val="single" w:sz="8" w:space="1" w:color="000000"/>
        </w:rPr>
        <w:t>7</w:t>
      </w:r>
    </w:p>
    <w:p>
      <w:pPr>
        <w:pStyle w:val="TextBody"/>
        <w:bidi w:val="0"/>
        <w:spacing w:before="0" w:after="200"/>
        <w:jc w:val="left"/>
      </w:pPr>
      <w:r>
        <w:t> </w:t>
      </w:r>
    </w:p>
    <w:p>
      <w:pPr>
        <w:pStyle w:val="TextBody"/>
        <w:bidi w:val="0"/>
        <w:spacing w:before="0" w:after="0"/>
        <w:ind w:left="0" w:right="0" w:hanging="0"/>
        <w:jc w:val="center"/>
      </w:pPr>
      <w:bookmarkStart w:id="8" w:name="a_CASHFLOWS"/>
      <w:bookmarkEnd w:id="8"/>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1"/>
        <w:gridCol w:w="60"/>
        <w:gridCol w:w="63"/>
        <w:gridCol w:w="855"/>
        <w:gridCol w:w="101"/>
        <w:gridCol w:w="63"/>
        <w:gridCol w:w="63"/>
        <w:gridCol w:w="727"/>
        <w:gridCol w:w="122"/>
      </w:tblGrid>
      <w:tr>
        <w:tc>
          <w:tcPr>
            <w:tcW w:w="8151"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872" w:type="dxa"/>
            <w:gridSpan w:val="6"/>
            <w:tcBorders>
              <w:bottom w:val="single" w:sz="8" w:space="0" w:color="000000"/>
            </w:tcBorders>
            <w:tcMar>
              <w:bottom w:w="28" w:type="dxa"/>
            </w:tcMar>
            <w:vAlign w:val="center"/>
          </w:tcPr>
          <w:p>
            <w:pPr>
              <w:pStyle w:val="TableContents"/>
              <w:bidi w:val="0"/>
              <w:jc w:val="center"/>
              <w:rPr>
                <w:b/>
              </w:rPr>
            </w:pPr>
            <w:r>
              <w:rPr>
                <w:b/>
              </w:rPr>
              <w:t>Nine months ended</w:t>
            </w:r>
          </w:p>
          <w:p>
            <w:pPr>
              <w:pStyle w:val="TableContents"/>
              <w:bidi w:val="0"/>
              <w:spacing w:before="0" w:after="283"/>
              <w:jc w:val="center"/>
              <w:rPr>
                <w:b/>
              </w:rPr>
            </w:pPr>
            <w:r>
              <w:rPr>
                <w:b/>
              </w:rPr>
              <w:t>September 30,</w:t>
            </w:r>
          </w:p>
        </w:tc>
        <w:tc>
          <w:tcPr>
            <w:tcW w:w="122" w:type="dxa"/>
            <w:tcBorders/>
            <w:vAlign w:val="center"/>
          </w:tcPr>
          <w:p>
            <w:pPr>
              <w:pStyle w:val="TableContents"/>
              <w:bidi w:val="0"/>
              <w:spacing w:before="0" w:after="283"/>
              <w:jc w:val="left"/>
            </w:pPr>
            <w:r>
              <w:t> </w:t>
            </w:r>
          </w:p>
        </w:tc>
      </w:tr>
      <w:tr>
        <w:tc>
          <w:tcPr>
            <w:tcW w:w="8151"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pPr>
            <w: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pPr>
            <w:r>
              <w:t> </w:t>
            </w:r>
          </w:p>
        </w:tc>
        <w:tc>
          <w:tcPr>
            <w:tcW w:w="63" w:type="dxa"/>
            <w:tcBorders/>
            <w:vAlign w:val="center"/>
          </w:tcPr>
          <w:p>
            <w:pPr>
              <w:pStyle w:val="TableContents"/>
              <w:bidi w:val="0"/>
              <w:spacing w:before="0" w:after="283"/>
              <w:jc w:val="left"/>
            </w:pPr>
            <w: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2" w:type="dxa"/>
            <w:tcBorders/>
            <w:vAlign w:val="center"/>
          </w:tcPr>
          <w:p>
            <w:pPr>
              <w:pStyle w:val="TableContents"/>
              <w:bidi w:val="0"/>
              <w:spacing w:before="0" w:after="283"/>
              <w:ind w:left="0" w:right="0" w:hanging="284"/>
              <w:jc w:val="left"/>
            </w:pPr>
            <w:r>
              <w:t> </w:t>
            </w:r>
          </w:p>
        </w:tc>
      </w:tr>
      <w:tr>
        <w:tc>
          <w:tcPr>
            <w:tcW w:w="8151" w:type="dxa"/>
            <w:tcBorders/>
            <w:shd w:fill="CCEEFF" w:val="clear"/>
            <w:vAlign w:val="center"/>
          </w:tcPr>
          <w:p>
            <w:pPr>
              <w:pStyle w:val="TableContents"/>
              <w:bidi w:val="0"/>
              <w:spacing w:before="0" w:after="283"/>
              <w:jc w:val="left"/>
            </w:pPr>
            <w:r>
              <w:t>Net loss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(26,414</w:t>
            </w:r>
          </w:p>
        </w:tc>
        <w:tc>
          <w:tcPr>
            <w:tcW w:w="101" w:type="dxa"/>
            <w:tcBorders/>
            <w:shd w:fill="CCEEFF" w:val="clear"/>
            <w:vAlign w:val="center"/>
          </w:tcPr>
          <w:p>
            <w:pPr>
              <w:pStyle w:val="TableContents"/>
              <w:bidi w:val="0"/>
              <w:spacing w:before="0" w:after="283"/>
              <w:jc w:val="left"/>
            </w:pPr>
            <w: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(8,423</w:t>
            </w:r>
          </w:p>
        </w:tc>
        <w:tc>
          <w:tcPr>
            <w:tcW w:w="122" w:type="dxa"/>
            <w:tcBorders/>
            <w:shd w:fill="CCEEFF" w:val="clear"/>
            <w:vAlign w:val="center"/>
          </w:tcPr>
          <w:p>
            <w:pPr>
              <w:pStyle w:val="TableContents"/>
              <w:bidi w:val="0"/>
              <w:spacing w:before="0" w:after="283"/>
              <w:ind w:left="0" w:right="0" w:hanging="284"/>
              <w:jc w:val="left"/>
            </w:pPr>
            <w:r>
              <w:t>)</w:t>
            </w:r>
          </w:p>
        </w:tc>
      </w:tr>
      <w:tr>
        <w:tc>
          <w:tcPr>
            <w:tcW w:w="8151" w:type="dxa"/>
            <w:tcBorders/>
            <w:shd w:fill="FFFFFF" w:val="clear"/>
            <w:vAlign w:val="center"/>
          </w:tcPr>
          <w:p>
            <w:pPr>
              <w:pStyle w:val="TableContents"/>
              <w:bidi w:val="0"/>
              <w:spacing w:before="0" w:after="283"/>
              <w:jc w:val="left"/>
            </w:pPr>
            <w:r>
              <w:t>Adjustments required to reconcile net loss to net cash used in operating activities: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 </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 </w:t>
            </w:r>
          </w:p>
        </w:tc>
        <w:tc>
          <w:tcPr>
            <w:tcW w:w="122" w:type="dxa"/>
            <w:tcBorders/>
            <w:shd w:fill="FFFFFF" w:val="clear"/>
            <w:vAlign w:val="center"/>
          </w:tcPr>
          <w:p>
            <w:pPr>
              <w:pStyle w:val="TableContents"/>
              <w:bidi w:val="0"/>
              <w:spacing w:before="0" w:after="283"/>
              <w:ind w:left="0" w:right="0" w:firstLine="8"/>
              <w:jc w:val="left"/>
            </w:pPr>
            <w:r>
              <w:t> </w:t>
            </w:r>
          </w:p>
        </w:tc>
      </w:tr>
      <w:tr>
        <w:tc>
          <w:tcPr>
            <w:tcW w:w="8151" w:type="dxa"/>
            <w:tcBorders/>
            <w:shd w:fill="CCEEFF" w:val="clear"/>
            <w:vAlign w:val="center"/>
          </w:tcPr>
          <w:p>
            <w:pPr>
              <w:pStyle w:val="TableContents"/>
              <w:bidi w:val="0"/>
              <w:spacing w:before="0" w:after="283"/>
              <w:jc w:val="left"/>
            </w:pPr>
            <w:r>
              <w:t>Depreciation</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25</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23</w:t>
            </w:r>
          </w:p>
        </w:tc>
        <w:tc>
          <w:tcPr>
            <w:tcW w:w="122" w:type="dxa"/>
            <w:tcBorders/>
            <w:shd w:fill="CCEEFF" w:val="clear"/>
            <w:vAlign w:val="center"/>
          </w:tcPr>
          <w:p>
            <w:pPr>
              <w:pStyle w:val="TableContents"/>
              <w:bidi w:val="0"/>
              <w:spacing w:before="0" w:after="283"/>
              <w:ind w:left="0" w:right="0" w:firstLine="8"/>
              <w:jc w:val="left"/>
            </w:pPr>
            <w:r>
              <w:t> </w:t>
            </w:r>
          </w:p>
        </w:tc>
      </w:tr>
      <w:tr>
        <w:tc>
          <w:tcPr>
            <w:tcW w:w="8151" w:type="dxa"/>
            <w:tcBorders/>
            <w:shd w:fill="FFFFFF" w:val="clear"/>
            <w:vAlign w:val="center"/>
          </w:tcPr>
          <w:p>
            <w:pPr>
              <w:pStyle w:val="TableContents"/>
              <w:bidi w:val="0"/>
              <w:spacing w:before="0" w:after="283"/>
              <w:jc w:val="left"/>
            </w:pPr>
            <w:r>
              <w:t>Share-based compensation</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3,115</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2,040</w:t>
            </w:r>
          </w:p>
        </w:tc>
        <w:tc>
          <w:tcPr>
            <w:tcW w:w="122" w:type="dxa"/>
            <w:tcBorders/>
            <w:shd w:fill="FFFFFF" w:val="clear"/>
            <w:vAlign w:val="center"/>
          </w:tcPr>
          <w:p>
            <w:pPr>
              <w:pStyle w:val="TableContents"/>
              <w:bidi w:val="0"/>
              <w:spacing w:before="0" w:after="283"/>
              <w:ind w:left="0" w:right="0" w:firstLine="8"/>
              <w:jc w:val="left"/>
            </w:pPr>
            <w:r>
              <w:t> </w:t>
            </w:r>
          </w:p>
        </w:tc>
      </w:tr>
      <w:tr>
        <w:tc>
          <w:tcPr>
            <w:tcW w:w="8151" w:type="dxa"/>
            <w:tcBorders/>
            <w:shd w:fill="CCEEFF" w:val="clear"/>
            <w:vAlign w:val="center"/>
          </w:tcPr>
          <w:p>
            <w:pPr>
              <w:pStyle w:val="TableContents"/>
              <w:bidi w:val="0"/>
              <w:spacing w:before="0" w:after="283"/>
              <w:jc w:val="left"/>
            </w:pPr>
            <w:r>
              <w:t>Other finance expenses (income), net</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11</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(8</w:t>
            </w:r>
          </w:p>
        </w:tc>
        <w:tc>
          <w:tcPr>
            <w:tcW w:w="122" w:type="dxa"/>
            <w:tcBorders/>
            <w:shd w:fill="CCEEFF" w:val="clear"/>
            <w:vAlign w:val="center"/>
          </w:tcPr>
          <w:p>
            <w:pPr>
              <w:pStyle w:val="TableContents"/>
              <w:bidi w:val="0"/>
              <w:spacing w:before="0" w:after="283"/>
              <w:ind w:left="0" w:right="0" w:firstLine="8"/>
              <w:jc w:val="left"/>
            </w:pPr>
            <w:r>
              <w:t>)</w:t>
            </w:r>
          </w:p>
        </w:tc>
      </w:tr>
      <w:tr>
        <w:tc>
          <w:tcPr>
            <w:tcW w:w="8151" w:type="dxa"/>
            <w:tcBorders/>
            <w:shd w:fill="FFFFFF" w:val="clear"/>
            <w:vAlign w:val="center"/>
          </w:tcPr>
          <w:p>
            <w:pPr>
              <w:pStyle w:val="TableContents"/>
              <w:bidi w:val="0"/>
              <w:spacing w:before="0" w:after="283"/>
              <w:jc w:val="left"/>
            </w:pPr>
            <w:r>
              <w:t>Changes in fair value of pre-funded warrants classified as liability</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10,289</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w:t>
            </w:r>
          </w:p>
        </w:tc>
        <w:tc>
          <w:tcPr>
            <w:tcW w:w="122" w:type="dxa"/>
            <w:tcBorders/>
            <w:shd w:fill="FFFFFF" w:val="clear"/>
            <w:vAlign w:val="center"/>
          </w:tcPr>
          <w:p>
            <w:pPr>
              <w:pStyle w:val="TableContents"/>
              <w:bidi w:val="0"/>
              <w:spacing w:before="0" w:after="283"/>
              <w:ind w:left="0" w:right="0" w:firstLine="8"/>
              <w:jc w:val="left"/>
            </w:pPr>
            <w:r>
              <w:t> </w:t>
            </w:r>
          </w:p>
        </w:tc>
      </w:tr>
      <w:tr>
        <w:tc>
          <w:tcPr>
            <w:tcW w:w="8151" w:type="dxa"/>
            <w:tcBorders/>
            <w:shd w:fill="CCEEFF" w:val="clear"/>
            <w:vAlign w:val="center"/>
          </w:tcPr>
          <w:p>
            <w:pPr>
              <w:pStyle w:val="TableContents"/>
              <w:bidi w:val="0"/>
              <w:spacing w:before="0" w:after="283"/>
              <w:jc w:val="left"/>
            </w:pPr>
            <w:r>
              <w:t>Issuance cost allocated to pre-funded warrants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2,094</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w:t>
            </w:r>
          </w:p>
        </w:tc>
        <w:tc>
          <w:tcPr>
            <w:tcW w:w="122" w:type="dxa"/>
            <w:tcBorders/>
            <w:shd w:fill="CCEEFF" w:val="clear"/>
            <w:vAlign w:val="center"/>
          </w:tcPr>
          <w:p>
            <w:pPr>
              <w:pStyle w:val="TableContents"/>
              <w:bidi w:val="0"/>
              <w:spacing w:before="0" w:after="283"/>
              <w:ind w:left="0" w:right="0" w:hanging="284"/>
              <w:jc w:val="left"/>
            </w:pPr>
            <w:r>
              <w:t> </w:t>
            </w:r>
          </w:p>
        </w:tc>
      </w:tr>
      <w:tr>
        <w:tc>
          <w:tcPr>
            <w:tcW w:w="8151" w:type="dxa"/>
            <w:tcBorders/>
            <w:shd w:fill="FFFFFF" w:val="clear"/>
            <w:vAlign w:val="center"/>
          </w:tcPr>
          <w:p>
            <w:pPr>
              <w:pStyle w:val="TableContents"/>
              <w:bidi w:val="0"/>
              <w:spacing w:before="0" w:after="283"/>
              <w:jc w:val="left"/>
            </w:pPr>
            <w:r>
              <w:t>Changes in operating assets and liabilities: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 </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 </w:t>
            </w:r>
          </w:p>
        </w:tc>
        <w:tc>
          <w:tcPr>
            <w:tcW w:w="122" w:type="dxa"/>
            <w:tcBorders/>
            <w:shd w:fill="FFFFFF" w:val="clear"/>
            <w:vAlign w:val="center"/>
          </w:tcPr>
          <w:p>
            <w:pPr>
              <w:pStyle w:val="TableContents"/>
              <w:bidi w:val="0"/>
              <w:spacing w:before="0" w:after="283"/>
              <w:ind w:left="0" w:right="0" w:firstLine="8"/>
              <w:jc w:val="left"/>
            </w:pPr>
            <w:r>
              <w:t> </w:t>
            </w:r>
          </w:p>
        </w:tc>
      </w:tr>
      <w:tr>
        <w:tc>
          <w:tcPr>
            <w:tcW w:w="8151" w:type="dxa"/>
            <w:tcBorders/>
            <w:shd w:fill="CCEEFF" w:val="clear"/>
            <w:vAlign w:val="center"/>
          </w:tcPr>
          <w:p>
            <w:pPr>
              <w:pStyle w:val="TableContents"/>
              <w:bidi w:val="0"/>
              <w:spacing w:before="0" w:after="283"/>
              <w:jc w:val="left"/>
            </w:pPr>
            <w:r>
              <w:t>Increase in other current assets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(3,631</w:t>
            </w:r>
          </w:p>
        </w:tc>
        <w:tc>
          <w:tcPr>
            <w:tcW w:w="101" w:type="dxa"/>
            <w:tcBorders/>
            <w:shd w:fill="CCEEFF" w:val="clear"/>
            <w:vAlign w:val="center"/>
          </w:tcPr>
          <w:p>
            <w:pPr>
              <w:pStyle w:val="TableContents"/>
              <w:bidi w:val="0"/>
              <w:spacing w:before="0" w:after="283"/>
              <w:jc w:val="left"/>
            </w:pPr>
            <w: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(219</w:t>
            </w:r>
          </w:p>
        </w:tc>
        <w:tc>
          <w:tcPr>
            <w:tcW w:w="122" w:type="dxa"/>
            <w:tcBorders/>
            <w:shd w:fill="CCEEFF" w:val="clear"/>
            <w:vAlign w:val="center"/>
          </w:tcPr>
          <w:p>
            <w:pPr>
              <w:pStyle w:val="TableContents"/>
              <w:bidi w:val="0"/>
              <w:spacing w:before="0" w:after="283"/>
              <w:ind w:left="0" w:right="0" w:firstLine="8"/>
              <w:jc w:val="left"/>
            </w:pPr>
            <w:r>
              <w:t>)</w:t>
            </w:r>
          </w:p>
        </w:tc>
      </w:tr>
      <w:tr>
        <w:tc>
          <w:tcPr>
            <w:tcW w:w="8151" w:type="dxa"/>
            <w:tcBorders/>
            <w:shd w:fill="FFFFFF" w:val="clear"/>
            <w:vAlign w:val="center"/>
          </w:tcPr>
          <w:p>
            <w:pPr>
              <w:pStyle w:val="TableContents"/>
              <w:bidi w:val="0"/>
              <w:spacing w:before="0" w:after="283"/>
              <w:jc w:val="left"/>
            </w:pPr>
            <w:r>
              <w:t>Decrease in accounts receivable</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126</w:t>
            </w:r>
          </w:p>
        </w:tc>
        <w:tc>
          <w:tcPr>
            <w:tcW w:w="122" w:type="dxa"/>
            <w:tcBorders/>
            <w:shd w:fill="FFFFFF" w:val="clear"/>
            <w:vAlign w:val="center"/>
          </w:tcPr>
          <w:p>
            <w:pPr>
              <w:pStyle w:val="TableContents"/>
              <w:bidi w:val="0"/>
              <w:spacing w:before="0" w:after="283"/>
              <w:ind w:left="0" w:right="0" w:firstLine="8"/>
              <w:jc w:val="left"/>
            </w:pPr>
            <w:r>
              <w:t> </w:t>
            </w:r>
          </w:p>
        </w:tc>
      </w:tr>
      <w:tr>
        <w:tc>
          <w:tcPr>
            <w:tcW w:w="8151" w:type="dxa"/>
            <w:tcBorders/>
            <w:shd w:fill="CCEEFF" w:val="clear"/>
            <w:vAlign w:val="center"/>
          </w:tcPr>
          <w:p>
            <w:pPr>
              <w:pStyle w:val="TableContents"/>
              <w:bidi w:val="0"/>
              <w:spacing w:before="0" w:after="283"/>
              <w:jc w:val="left"/>
            </w:pPr>
            <w:r>
              <w:t>Increase (decrease) in accounts payable</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(42</w:t>
            </w:r>
          </w:p>
        </w:tc>
        <w:tc>
          <w:tcPr>
            <w:tcW w:w="101" w:type="dxa"/>
            <w:tcBorders/>
            <w:shd w:fill="CCEEFF" w:val="clear"/>
            <w:vAlign w:val="center"/>
          </w:tcPr>
          <w:p>
            <w:pPr>
              <w:pStyle w:val="TableContents"/>
              <w:bidi w:val="0"/>
              <w:spacing w:before="0" w:after="283"/>
              <w:jc w:val="left"/>
            </w:pPr>
            <w: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84</w:t>
            </w:r>
          </w:p>
        </w:tc>
        <w:tc>
          <w:tcPr>
            <w:tcW w:w="122" w:type="dxa"/>
            <w:tcBorders/>
            <w:shd w:fill="CCEEFF" w:val="clear"/>
            <w:vAlign w:val="center"/>
          </w:tcPr>
          <w:p>
            <w:pPr>
              <w:pStyle w:val="TableContents"/>
              <w:bidi w:val="0"/>
              <w:spacing w:before="0" w:after="283"/>
              <w:ind w:left="0" w:right="0" w:firstLine="8"/>
              <w:jc w:val="left"/>
            </w:pPr>
            <w:r>
              <w:t> </w:t>
            </w:r>
          </w:p>
        </w:tc>
      </w:tr>
      <w:tr>
        <w:tc>
          <w:tcPr>
            <w:tcW w:w="8151" w:type="dxa"/>
            <w:tcBorders/>
            <w:shd w:fill="FFFFFF" w:val="clear"/>
            <w:vAlign w:val="center"/>
          </w:tcPr>
          <w:p>
            <w:pPr>
              <w:pStyle w:val="TableContents"/>
              <w:bidi w:val="0"/>
              <w:spacing w:before="0" w:after="283"/>
              <w:jc w:val="left"/>
            </w:pPr>
            <w:r>
              <w:t>Increase in accrued expenses and other payables and other long-term liabilities</w:t>
            </w:r>
          </w:p>
        </w:tc>
        <w:tc>
          <w:tcPr>
            <w:tcW w:w="60"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pPr>
            <w:r>
              <w:t>600</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pPr>
            <w:r>
              <w:t>840</w:t>
            </w:r>
          </w:p>
        </w:tc>
        <w:tc>
          <w:tcPr>
            <w:tcW w:w="122" w:type="dxa"/>
            <w:tcBorders/>
            <w:shd w:fill="FFFFFF" w:val="clear"/>
            <w:vAlign w:val="center"/>
          </w:tcPr>
          <w:p>
            <w:pPr>
              <w:pStyle w:val="TableContents"/>
              <w:bidi w:val="0"/>
              <w:spacing w:before="0" w:after="283"/>
              <w:ind w:left="0" w:right="0" w:hanging="284"/>
              <w:jc w:val="left"/>
            </w:pPr>
            <w:r>
              <w:t> </w:t>
            </w:r>
          </w:p>
        </w:tc>
      </w:tr>
      <w:tr>
        <w:tc>
          <w:tcPr>
            <w:tcW w:w="8151" w:type="dxa"/>
            <w:tcBorders/>
            <w:shd w:fill="CCEEFF" w:val="clear"/>
            <w:vAlign w:val="center"/>
          </w:tcPr>
          <w:p>
            <w:pPr>
              <w:pStyle w:val="TableContents"/>
              <w:bidi w:val="0"/>
              <w:spacing w:before="0" w:after="283"/>
              <w:jc w:val="left"/>
            </w:pPr>
            <w:r>
              <w:t>Net cash used in operating activities</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pPr>
            <w:r>
              <w:t>(13,953</w:t>
            </w:r>
          </w:p>
        </w:tc>
        <w:tc>
          <w:tcPr>
            <w:tcW w:w="101" w:type="dxa"/>
            <w:tcBorders/>
            <w:shd w:fill="CCEEFF" w:val="clear"/>
            <w:vAlign w:val="center"/>
          </w:tcPr>
          <w:p>
            <w:pPr>
              <w:pStyle w:val="TableContents"/>
              <w:bidi w:val="0"/>
              <w:spacing w:before="0" w:after="283"/>
              <w:jc w:val="left"/>
            </w:pPr>
            <w:r>
              <w:t>)</w:t>
            </w:r>
          </w:p>
        </w:tc>
        <w:tc>
          <w:tcPr>
            <w:tcW w:w="63"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pPr>
            <w:r>
              <w:t>(5,537</w:t>
            </w:r>
          </w:p>
        </w:tc>
        <w:tc>
          <w:tcPr>
            <w:tcW w:w="122" w:type="dxa"/>
            <w:tcBorders/>
            <w:shd w:fill="CCEEFF" w:val="clear"/>
            <w:vAlign w:val="center"/>
          </w:tcPr>
          <w:p>
            <w:pPr>
              <w:pStyle w:val="TableContents"/>
              <w:bidi w:val="0"/>
              <w:spacing w:before="0" w:after="283"/>
              <w:ind w:left="0" w:right="0" w:hanging="319"/>
              <w:jc w:val="left"/>
            </w:pPr>
            <w:r>
              <w:t>)</w:t>
            </w:r>
          </w:p>
        </w:tc>
      </w:tr>
      <w:tr>
        <w:tc>
          <w:tcPr>
            <w:tcW w:w="8151"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 </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 </w:t>
            </w:r>
          </w:p>
        </w:tc>
        <w:tc>
          <w:tcPr>
            <w:tcW w:w="122" w:type="dxa"/>
            <w:tcBorders/>
            <w:shd w:fill="FFFFFF" w:val="clear"/>
            <w:vAlign w:val="center"/>
          </w:tcPr>
          <w:p>
            <w:pPr>
              <w:pStyle w:val="TableContents"/>
              <w:bidi w:val="0"/>
              <w:spacing w:before="0" w:after="283"/>
              <w:ind w:left="0" w:right="0" w:hanging="284"/>
              <w:jc w:val="left"/>
            </w:pPr>
            <w:r>
              <w:t> </w:t>
            </w:r>
          </w:p>
        </w:tc>
      </w:tr>
      <w:tr>
        <w:tc>
          <w:tcPr>
            <w:tcW w:w="8151" w:type="dxa"/>
            <w:tcBorders/>
            <w:shd w:fill="CCEEFF" w:val="clear"/>
            <w:vAlign w:val="center"/>
          </w:tcPr>
          <w:p>
            <w:pPr>
              <w:pStyle w:val="TableContents"/>
              <w:bidi w:val="0"/>
              <w:spacing w:before="0" w:after="283"/>
              <w:jc w:val="left"/>
            </w:pPr>
            <w:r>
              <w:t>Purchase of property and equipment</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pPr>
            <w:r>
              <w:t>(24</w:t>
            </w:r>
          </w:p>
        </w:tc>
        <w:tc>
          <w:tcPr>
            <w:tcW w:w="101" w:type="dxa"/>
            <w:tcBorders/>
            <w:shd w:fill="CCEEFF" w:val="clear"/>
            <w:vAlign w:val="center"/>
          </w:tcPr>
          <w:p>
            <w:pPr>
              <w:pStyle w:val="TableContents"/>
              <w:bidi w:val="0"/>
              <w:spacing w:before="0" w:after="283"/>
              <w:jc w:val="left"/>
            </w:pPr>
            <w:r>
              <w:t>)</w:t>
            </w:r>
          </w:p>
        </w:tc>
        <w:tc>
          <w:tcPr>
            <w:tcW w:w="63"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pPr>
            <w:r>
              <w:t>(80</w:t>
            </w:r>
          </w:p>
        </w:tc>
        <w:tc>
          <w:tcPr>
            <w:tcW w:w="122" w:type="dxa"/>
            <w:tcBorders/>
            <w:shd w:fill="CCEEFF" w:val="clear"/>
            <w:vAlign w:val="center"/>
          </w:tcPr>
          <w:p>
            <w:pPr>
              <w:pStyle w:val="TableContents"/>
              <w:bidi w:val="0"/>
              <w:spacing w:before="0" w:after="283"/>
              <w:ind w:left="0" w:right="0" w:hanging="284"/>
              <w:jc w:val="left"/>
            </w:pPr>
            <w:r>
              <w:t>)</w:t>
            </w:r>
          </w:p>
        </w:tc>
      </w:tr>
      <w:tr>
        <w:tc>
          <w:tcPr>
            <w:tcW w:w="8151" w:type="dxa"/>
            <w:tcBorders/>
            <w:shd w:fill="FFFFFF" w:val="clear"/>
            <w:vAlign w:val="center"/>
          </w:tcPr>
          <w:p>
            <w:pPr>
              <w:pStyle w:val="TableContents"/>
              <w:bidi w:val="0"/>
              <w:spacing w:before="0" w:after="283"/>
              <w:jc w:val="left"/>
            </w:pPr>
            <w:r>
              <w:t>Net cash used in investing activities</w:t>
            </w:r>
          </w:p>
        </w:tc>
        <w:tc>
          <w:tcPr>
            <w:tcW w:w="60"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pPr>
            <w:r>
              <w:t>(24</w:t>
            </w:r>
          </w:p>
        </w:tc>
        <w:tc>
          <w:tcPr>
            <w:tcW w:w="101" w:type="dxa"/>
            <w:tcBorders/>
            <w:shd w:fill="FFFFFF" w:val="clear"/>
            <w:vAlign w:val="center"/>
          </w:tcPr>
          <w:p>
            <w:pPr>
              <w:pStyle w:val="TableContents"/>
              <w:bidi w:val="0"/>
              <w:spacing w:before="0" w:after="283"/>
              <w:jc w:val="left"/>
            </w:pPr>
            <w:r>
              <w:t>)</w:t>
            </w:r>
          </w:p>
        </w:tc>
        <w:tc>
          <w:tcPr>
            <w:tcW w:w="63"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pPr>
            <w:r>
              <w:t>(80</w:t>
            </w:r>
          </w:p>
        </w:tc>
        <w:tc>
          <w:tcPr>
            <w:tcW w:w="122" w:type="dxa"/>
            <w:tcBorders/>
            <w:shd w:fill="FFFFFF" w:val="clear"/>
            <w:vAlign w:val="center"/>
          </w:tcPr>
          <w:p>
            <w:pPr>
              <w:pStyle w:val="TableContents"/>
              <w:bidi w:val="0"/>
              <w:spacing w:before="0" w:after="283"/>
              <w:jc w:val="left"/>
            </w:pPr>
            <w:r>
              <w:t>)</w:t>
            </w:r>
          </w:p>
        </w:tc>
      </w:tr>
      <w:tr>
        <w:tc>
          <w:tcPr>
            <w:tcW w:w="8151"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 </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 </w:t>
            </w:r>
          </w:p>
        </w:tc>
        <w:tc>
          <w:tcPr>
            <w:tcW w:w="122" w:type="dxa"/>
            <w:tcBorders/>
            <w:shd w:fill="CCEEFF" w:val="clear"/>
            <w:vAlign w:val="center"/>
          </w:tcPr>
          <w:p>
            <w:pPr>
              <w:pStyle w:val="TableContents"/>
              <w:bidi w:val="0"/>
              <w:spacing w:before="0" w:after="283"/>
              <w:ind w:left="0" w:right="0" w:hanging="284"/>
              <w:jc w:val="left"/>
            </w:pPr>
            <w:r>
              <w:t> </w:t>
            </w:r>
          </w:p>
        </w:tc>
      </w:tr>
      <w:tr>
        <w:tc>
          <w:tcPr>
            <w:tcW w:w="8151" w:type="dxa"/>
            <w:tcBorders/>
            <w:shd w:fill="FFFFFF" w:val="clear"/>
            <w:vAlign w:val="center"/>
          </w:tcPr>
          <w:p>
            <w:pPr>
              <w:pStyle w:val="TableContents"/>
              <w:bidi w:val="0"/>
              <w:spacing w:before="0" w:after="283"/>
              <w:jc w:val="left"/>
            </w:pPr>
            <w:r>
              <w:t>Proceeds from issuance of Ordinary Shares, warrants and pre-funded warrants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285,000</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w:t>
            </w:r>
          </w:p>
        </w:tc>
        <w:tc>
          <w:tcPr>
            <w:tcW w:w="122" w:type="dxa"/>
            <w:tcBorders/>
            <w:shd w:fill="FFFFFF" w:val="clear"/>
            <w:vAlign w:val="center"/>
          </w:tcPr>
          <w:p>
            <w:pPr>
              <w:pStyle w:val="TableContents"/>
              <w:bidi w:val="0"/>
              <w:spacing w:before="0" w:after="283"/>
              <w:ind w:left="0" w:right="0" w:hanging="284"/>
              <w:jc w:val="left"/>
            </w:pPr>
            <w:r>
              <w:t> </w:t>
            </w:r>
          </w:p>
        </w:tc>
      </w:tr>
      <w:tr>
        <w:tc>
          <w:tcPr>
            <w:tcW w:w="8151" w:type="dxa"/>
            <w:tcBorders/>
            <w:shd w:fill="CCEEFF" w:val="clear"/>
            <w:vAlign w:val="center"/>
          </w:tcPr>
          <w:p>
            <w:pPr>
              <w:pStyle w:val="TableContents"/>
              <w:bidi w:val="0"/>
              <w:spacing w:before="0" w:after="283"/>
              <w:jc w:val="left"/>
            </w:pPr>
            <w:r>
              <w:t>Proceeds from issuance of Ordinary Shares under ATM program</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6,254</w:t>
            </w:r>
          </w:p>
        </w:tc>
        <w:tc>
          <w:tcPr>
            <w:tcW w:w="122" w:type="dxa"/>
            <w:tcBorders/>
            <w:shd w:fill="CCEEFF" w:val="clear"/>
            <w:vAlign w:val="center"/>
          </w:tcPr>
          <w:p>
            <w:pPr>
              <w:pStyle w:val="TableContents"/>
              <w:bidi w:val="0"/>
              <w:spacing w:before="0" w:after="283"/>
              <w:ind w:left="0" w:right="0" w:hanging="284"/>
              <w:jc w:val="left"/>
            </w:pPr>
            <w:r>
              <w:t> </w:t>
            </w:r>
          </w:p>
        </w:tc>
      </w:tr>
      <w:tr>
        <w:tc>
          <w:tcPr>
            <w:tcW w:w="8151" w:type="dxa"/>
            <w:tcBorders/>
            <w:shd w:fill="FFFFFF" w:val="clear"/>
            <w:vAlign w:val="center"/>
          </w:tcPr>
          <w:p>
            <w:pPr>
              <w:pStyle w:val="TableContents"/>
              <w:bidi w:val="0"/>
              <w:spacing w:before="0" w:after="283"/>
              <w:jc w:val="left"/>
            </w:pPr>
            <w:r>
              <w:t>Issuance costs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(14,262</w:t>
            </w:r>
          </w:p>
        </w:tc>
        <w:tc>
          <w:tcPr>
            <w:tcW w:w="101" w:type="dxa"/>
            <w:tcBorders/>
            <w:shd w:fill="FFFFFF" w:val="clear"/>
            <w:vAlign w:val="center"/>
          </w:tcPr>
          <w:p>
            <w:pPr>
              <w:pStyle w:val="TableContents"/>
              <w:bidi w:val="0"/>
              <w:spacing w:before="0" w:after="283"/>
              <w:jc w:val="left"/>
            </w:pPr>
            <w:r>
              <w: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(262</w:t>
            </w:r>
          </w:p>
        </w:tc>
        <w:tc>
          <w:tcPr>
            <w:tcW w:w="122" w:type="dxa"/>
            <w:tcBorders/>
            <w:shd w:fill="FFFFFF" w:val="clear"/>
            <w:vAlign w:val="center"/>
          </w:tcPr>
          <w:p>
            <w:pPr>
              <w:pStyle w:val="TableContents"/>
              <w:bidi w:val="0"/>
              <w:spacing w:before="0" w:after="283"/>
              <w:ind w:left="0" w:right="0" w:hanging="284"/>
              <w:jc w:val="left"/>
            </w:pPr>
            <w:r>
              <w:t>)</w:t>
            </w:r>
          </w:p>
        </w:tc>
      </w:tr>
      <w:tr>
        <w:tc>
          <w:tcPr>
            <w:tcW w:w="8151" w:type="dxa"/>
            <w:tcBorders/>
            <w:shd w:fill="CCEEFF" w:val="clear"/>
            <w:vAlign w:val="center"/>
          </w:tcPr>
          <w:p>
            <w:pPr>
              <w:pStyle w:val="TableContents"/>
              <w:bidi w:val="0"/>
              <w:spacing w:before="0" w:after="283"/>
              <w:jc w:val="left"/>
            </w:pPr>
            <w:r>
              <w:t>Issuance of Ordinary Shares, under collaboration agreement</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7,190</w:t>
            </w:r>
          </w:p>
        </w:tc>
        <w:tc>
          <w:tcPr>
            <w:tcW w:w="122" w:type="dxa"/>
            <w:tcBorders/>
            <w:shd w:fill="CCEEFF" w:val="clear"/>
            <w:vAlign w:val="center"/>
          </w:tcPr>
          <w:p>
            <w:pPr>
              <w:pStyle w:val="TableContents"/>
              <w:bidi w:val="0"/>
              <w:spacing w:before="0" w:after="283"/>
              <w:ind w:left="0" w:right="0" w:hanging="284"/>
              <w:jc w:val="left"/>
            </w:pPr>
            <w:r>
              <w:t> </w:t>
            </w:r>
          </w:p>
        </w:tc>
      </w:tr>
      <w:tr>
        <w:tc>
          <w:tcPr>
            <w:tcW w:w="8151" w:type="dxa"/>
            <w:tcBorders/>
            <w:shd w:fill="FFFFFF" w:val="clear"/>
            <w:vAlign w:val="center"/>
          </w:tcPr>
          <w:p>
            <w:pPr>
              <w:pStyle w:val="TableContents"/>
              <w:bidi w:val="0"/>
              <w:spacing w:before="0" w:after="283"/>
              <w:jc w:val="left"/>
            </w:pPr>
            <w:r>
              <w:t>Exercise of warrants and options to Ordinary Shares</w:t>
            </w:r>
          </w:p>
        </w:tc>
        <w:tc>
          <w:tcPr>
            <w:tcW w:w="60"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pPr>
            <w:r>
              <w:t>762</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pPr>
            <w:r>
              <w:t>354</w:t>
            </w:r>
          </w:p>
        </w:tc>
        <w:tc>
          <w:tcPr>
            <w:tcW w:w="122" w:type="dxa"/>
            <w:tcBorders/>
            <w:shd w:fill="FFFFFF" w:val="clear"/>
            <w:vAlign w:val="center"/>
          </w:tcPr>
          <w:p>
            <w:pPr>
              <w:pStyle w:val="TableContents"/>
              <w:bidi w:val="0"/>
              <w:spacing w:before="0" w:after="283"/>
              <w:ind w:left="0" w:right="0" w:hanging="284"/>
              <w:jc w:val="left"/>
            </w:pPr>
            <w:r>
              <w:t> </w:t>
            </w:r>
          </w:p>
        </w:tc>
      </w:tr>
      <w:tr>
        <w:tc>
          <w:tcPr>
            <w:tcW w:w="8151" w:type="dxa"/>
            <w:tcBorders/>
            <w:shd w:fill="CCEEFF" w:val="clear"/>
            <w:vAlign w:val="center"/>
          </w:tcPr>
          <w:p>
            <w:pPr>
              <w:pStyle w:val="TableContents"/>
              <w:bidi w:val="0"/>
              <w:spacing w:before="0" w:after="283"/>
              <w:jc w:val="left"/>
            </w:pPr>
            <w:r>
              <w:t>Net cash provided by financing activities</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pPr>
            <w:r>
              <w:t>271,500</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pPr>
            <w:r>
              <w:t>13,536</w:t>
            </w:r>
          </w:p>
        </w:tc>
        <w:tc>
          <w:tcPr>
            <w:tcW w:w="122" w:type="dxa"/>
            <w:tcBorders/>
            <w:shd w:fill="CCEEFF" w:val="clear"/>
            <w:vAlign w:val="center"/>
          </w:tcPr>
          <w:p>
            <w:pPr>
              <w:pStyle w:val="TableContents"/>
              <w:bidi w:val="0"/>
              <w:spacing w:before="0" w:after="283"/>
              <w:jc w:val="left"/>
            </w:pPr>
            <w:r>
              <w:t> </w:t>
            </w:r>
          </w:p>
        </w:tc>
      </w:tr>
      <w:tr>
        <w:tc>
          <w:tcPr>
            <w:tcW w:w="815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 </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 </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rPr>
                <w:b/>
              </w:rPr>
            </w:pPr>
            <w:r>
              <w:rPr>
                <w:b/>
              </w:rPr>
              <w:t>INCREASE IN CASH, CASH EQUIVALENTS AND RESTRICTED CASH AND DEPOSITS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257,523</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7,919</w:t>
            </w:r>
          </w:p>
        </w:tc>
        <w:tc>
          <w:tcPr>
            <w:tcW w:w="122" w:type="dxa"/>
            <w:tcBorders/>
            <w:shd w:fill="CCEEFF" w:val="clear"/>
            <w:vAlign w:val="center"/>
          </w:tcPr>
          <w:p>
            <w:pPr>
              <w:pStyle w:val="TableContents"/>
              <w:bidi w:val="0"/>
              <w:spacing w:before="0" w:after="283"/>
              <w:ind w:left="0" w:right="0" w:hanging="319"/>
              <w:jc w:val="left"/>
            </w:pPr>
            <w:r>
              <w:t> </w:t>
            </w:r>
          </w:p>
        </w:tc>
      </w:tr>
      <w:tr>
        <w:tc>
          <w:tcPr>
            <w:tcW w:w="8151" w:type="dxa"/>
            <w:tcBorders/>
            <w:shd w:fill="FFFFFF" w:val="clear"/>
            <w:vAlign w:val="center"/>
          </w:tcPr>
          <w:p>
            <w:pPr>
              <w:pStyle w:val="TableContents"/>
              <w:bidi w:val="0"/>
              <w:spacing w:before="0" w:after="283"/>
              <w:jc w:val="left"/>
              <w:rPr>
                <w:b/>
              </w:rPr>
            </w:pPr>
            <w:r>
              <w:rPr>
                <w:b/>
              </w:rPr>
              <w:t>EFFECT OF EXCHANGE RATE CHANGE ON CASH AND CASH EQUIVALENTS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16</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29</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rPr>
                <w:b/>
              </w:rPr>
            </w:pPr>
            <w:r>
              <w:rPr>
                <w:b/>
              </w:rPr>
              <w:t>CASH, CASH EQUIVALENTS AND RESTRICTED CASH AND DEPOSITS AT BEGINNING OF THE PERIOD</w:t>
            </w:r>
          </w:p>
        </w:tc>
        <w:tc>
          <w:tcPr>
            <w:tcW w:w="60"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pPr>
            <w:r>
              <w:t>14,973</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pPr>
            <w:r>
              <w:t>8,740</w:t>
            </w:r>
          </w:p>
        </w:tc>
        <w:tc>
          <w:tcPr>
            <w:tcW w:w="122" w:type="dxa"/>
            <w:tcBorders/>
            <w:shd w:fill="CCEEFF" w:val="clear"/>
            <w:vAlign w:val="center"/>
          </w:tcPr>
          <w:p>
            <w:pPr>
              <w:pStyle w:val="TableContents"/>
              <w:bidi w:val="0"/>
              <w:spacing w:before="0" w:after="283"/>
              <w:ind w:left="0" w:right="0" w:hanging="319"/>
              <w:jc w:val="left"/>
            </w:pPr>
            <w:r>
              <w:t> </w:t>
            </w:r>
          </w:p>
        </w:tc>
      </w:tr>
      <w:tr>
        <w:tc>
          <w:tcPr>
            <w:tcW w:w="8151" w:type="dxa"/>
            <w:tcBorders/>
            <w:shd w:fill="FFFFFF" w:val="clear"/>
            <w:vAlign w:val="center"/>
          </w:tcPr>
          <w:p>
            <w:pPr>
              <w:pStyle w:val="TableContents"/>
              <w:bidi w:val="0"/>
              <w:spacing w:before="0" w:after="283"/>
              <w:jc w:val="left"/>
              <w:rPr>
                <w:b/>
              </w:rPr>
            </w:pPr>
            <w:r>
              <w:rPr>
                <w:b/>
              </w:rPr>
              <w:t>CASH, CASH EQUIVALENTS AND RESTRICTED CASH AND DEPOSITS AT END OF THE PERIOD</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pPr>
            <w:r>
              <w:t>272,512</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pPr>
            <w:r>
              <w:t>16,688</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rPr>
                <w:b/>
              </w:rPr>
            </w:pPr>
            <w:r>
              <w:rPr>
                <w:b/>
              </w:rPr>
              <w:t>Reconciliation in amounts on consolidated balance sheets: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 </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 </w:t>
            </w:r>
          </w:p>
        </w:tc>
        <w:tc>
          <w:tcPr>
            <w:tcW w:w="122" w:type="dxa"/>
            <w:tcBorders/>
            <w:shd w:fill="CCEEFF" w:val="clear"/>
            <w:vAlign w:val="center"/>
          </w:tcPr>
          <w:p>
            <w:pPr>
              <w:pStyle w:val="TableContents"/>
              <w:bidi w:val="0"/>
              <w:spacing w:before="0" w:after="283"/>
              <w:ind w:left="0" w:right="0" w:hanging="319"/>
              <w:jc w:val="left"/>
            </w:pPr>
            <w:r>
              <w:t> </w:t>
            </w:r>
          </w:p>
        </w:tc>
      </w:tr>
      <w:tr>
        <w:tc>
          <w:tcPr>
            <w:tcW w:w="8151" w:type="dxa"/>
            <w:tcBorders/>
            <w:shd w:fill="FFFFFF" w:val="clear"/>
            <w:vAlign w:val="center"/>
          </w:tcPr>
          <w:p>
            <w:pPr>
              <w:pStyle w:val="TableContents"/>
              <w:bidi w:val="0"/>
              <w:spacing w:before="0" w:after="283"/>
              <w:jc w:val="left"/>
            </w:pPr>
            <w:r>
              <w:t>Cash and cash equivalents</w:t>
            </w:r>
          </w:p>
        </w:tc>
        <w:tc>
          <w:tcPr>
            <w:tcW w:w="60"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855" w:type="dxa"/>
            <w:tcBorders/>
            <w:shd w:fill="FFFFFF" w:val="clear"/>
            <w:vAlign w:val="center"/>
          </w:tcPr>
          <w:p>
            <w:pPr>
              <w:pStyle w:val="TableContents"/>
              <w:bidi w:val="0"/>
              <w:spacing w:before="0" w:after="283"/>
              <w:jc w:val="right"/>
            </w:pPr>
            <w:r>
              <w:t>265,883</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t>8,574</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pPr>
            <w:r>
              <w:t>Restricted cash and deposits</w:t>
            </w:r>
          </w:p>
        </w:tc>
        <w:tc>
          <w:tcPr>
            <w:tcW w:w="60" w:type="dxa"/>
            <w:tcBorders/>
            <w:shd w:fill="CCEEFF" w:val="clear"/>
            <w:vAlign w:val="center"/>
          </w:tcPr>
          <w:p>
            <w:pPr>
              <w:pStyle w:val="TableContents"/>
              <w:bidi w:val="0"/>
              <w:spacing w:before="0" w:after="283"/>
              <w:jc w:val="left"/>
            </w:pPr>
            <w: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pPr>
            <w:r>
              <w:t>6,629</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pPr>
            <w:r>
              <w:t>8,114</w:t>
            </w:r>
          </w:p>
        </w:tc>
        <w:tc>
          <w:tcPr>
            <w:tcW w:w="122" w:type="dxa"/>
            <w:tcBorders/>
            <w:shd w:fill="CCEEFF" w:val="clear"/>
            <w:vAlign w:val="center"/>
          </w:tcPr>
          <w:p>
            <w:pPr>
              <w:pStyle w:val="TableContents"/>
              <w:bidi w:val="0"/>
              <w:spacing w:before="0" w:after="283"/>
              <w:ind w:left="0" w:right="0" w:hanging="319"/>
              <w:jc w:val="left"/>
            </w:pPr>
            <w:r>
              <w:t> </w:t>
            </w:r>
          </w:p>
        </w:tc>
      </w:tr>
      <w:tr>
        <w:tc>
          <w:tcPr>
            <w:tcW w:w="8151" w:type="dxa"/>
            <w:tcBorders/>
            <w:shd w:fill="FFFFFF" w:val="clear"/>
            <w:vAlign w:val="center"/>
          </w:tcPr>
          <w:p>
            <w:pPr>
              <w:pStyle w:val="TableContents"/>
              <w:bidi w:val="0"/>
              <w:spacing w:before="0" w:after="283"/>
              <w:jc w:val="left"/>
            </w:pPr>
            <w:r>
              <w:t>Total cash and cash equivalents and restricted cash and deposit</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pPr>
            <w:r>
              <w:t>272,512</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pPr>
            <w:r>
              <w:t>16,688</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rPr>
                <w:b/>
              </w:rPr>
            </w:pPr>
            <w:r>
              <w:rPr>
                <w:b/>
              </w:rPr>
              <w:t>SUPPLEMENTAL DISCLOSURE OF CASH FLOW TRANSACTIONS: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 </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 </w:t>
            </w:r>
          </w:p>
        </w:tc>
        <w:tc>
          <w:tcPr>
            <w:tcW w:w="122" w:type="dxa"/>
            <w:tcBorders/>
            <w:shd w:fill="CCEEFF" w:val="clear"/>
            <w:vAlign w:val="center"/>
          </w:tcPr>
          <w:p>
            <w:pPr>
              <w:pStyle w:val="TableContents"/>
              <w:bidi w:val="0"/>
              <w:spacing w:before="0" w:after="283"/>
              <w:ind w:left="0" w:right="0" w:hanging="319"/>
              <w:jc w:val="left"/>
            </w:pPr>
            <w:r>
              <w:t> </w:t>
            </w:r>
          </w:p>
        </w:tc>
      </w:tr>
      <w:tr>
        <w:tc>
          <w:tcPr>
            <w:tcW w:w="8151" w:type="dxa"/>
            <w:tcBorders/>
            <w:shd w:fill="FFFFFF" w:val="clear"/>
            <w:vAlign w:val="center"/>
          </w:tcPr>
          <w:p>
            <w:pPr>
              <w:pStyle w:val="TableContents"/>
              <w:bidi w:val="0"/>
              <w:spacing w:before="0" w:after="283"/>
              <w:jc w:val="left"/>
            </w:pPr>
            <w:r>
              <w:t>Interest received</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pPr>
            <w:r>
              <w:t>1,431</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pPr>
            <w:r>
              <w:t>126</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rPr>
                <w:b/>
              </w:rPr>
            </w:pPr>
            <w:r>
              <w:rPr>
                <w:b/>
              </w:rPr>
              <w:t>SUPPLEMENTARY INFORMATION ON INVESTING AND FINANCING ACTIVITIES NOT INVOLVING CASH FLOWS:</w:t>
            </w:r>
          </w:p>
        </w:tc>
        <w:tc>
          <w:tcPr>
            <w:tcW w:w="60"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pPr>
            <w:r>
              <w:t> </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pPr>
            <w:r>
              <w:t> </w:t>
            </w:r>
          </w:p>
        </w:tc>
        <w:tc>
          <w:tcPr>
            <w:tcW w:w="122" w:type="dxa"/>
            <w:tcBorders/>
            <w:shd w:fill="CCEEFF" w:val="clear"/>
            <w:vAlign w:val="center"/>
          </w:tcPr>
          <w:p>
            <w:pPr>
              <w:pStyle w:val="TableContents"/>
              <w:bidi w:val="0"/>
              <w:spacing w:before="0" w:after="283"/>
              <w:ind w:left="0" w:right="0" w:hanging="319"/>
              <w:jc w:val="left"/>
            </w:pPr>
            <w:r>
              <w:t> </w:t>
            </w:r>
          </w:p>
        </w:tc>
      </w:tr>
      <w:tr>
        <w:tc>
          <w:tcPr>
            <w:tcW w:w="8151" w:type="dxa"/>
            <w:tcBorders/>
            <w:shd w:fill="FFFFFF" w:val="clear"/>
            <w:vAlign w:val="center"/>
          </w:tcPr>
          <w:p>
            <w:pPr>
              <w:pStyle w:val="TableContents"/>
              <w:bidi w:val="0"/>
              <w:spacing w:before="0" w:after="283"/>
              <w:jc w:val="left"/>
            </w:pPr>
            <w:r>
              <w:t>Reclassification of pre-funded warrants liability to equity</w:t>
            </w:r>
          </w:p>
        </w:tc>
        <w:tc>
          <w:tcPr>
            <w:tcW w:w="60"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pPr>
            <w:r>
              <w:t>55,703</w:t>
            </w:r>
          </w:p>
        </w:tc>
        <w:tc>
          <w:tcPr>
            <w:tcW w:w="101"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pPr>
            <w:r>
              <w:t>-</w:t>
            </w:r>
          </w:p>
        </w:tc>
        <w:tc>
          <w:tcPr>
            <w:tcW w:w="122" w:type="dxa"/>
            <w:tcBorders/>
            <w:shd w:fill="FFFFFF" w:val="clear"/>
            <w:vAlign w:val="center"/>
          </w:tcPr>
          <w:p>
            <w:pPr>
              <w:pStyle w:val="TableContents"/>
              <w:bidi w:val="0"/>
              <w:spacing w:before="0" w:after="283"/>
              <w:ind w:left="0" w:right="0" w:hanging="319"/>
              <w:jc w:val="left"/>
            </w:pPr>
            <w:r>
              <w:t> </w:t>
            </w:r>
          </w:p>
        </w:tc>
      </w:tr>
      <w:tr>
        <w:tc>
          <w:tcPr>
            <w:tcW w:w="8151" w:type="dxa"/>
            <w:tcBorders/>
            <w:shd w:fill="CCEEFF" w:val="clear"/>
            <w:vAlign w:val="center"/>
          </w:tcPr>
          <w:p>
            <w:pPr>
              <w:pStyle w:val="TableContents"/>
              <w:bidi w:val="0"/>
              <w:spacing w:before="0" w:after="283"/>
              <w:jc w:val="left"/>
            </w:pPr>
            <w:r>
              <w:t>Operating lease right-of-use assets obtained in exchange for new operating lease liabilities</w:t>
            </w:r>
          </w:p>
        </w:tc>
        <w:tc>
          <w:tcPr>
            <w:tcW w:w="60" w:type="dxa"/>
            <w:tcBorders/>
            <w:shd w:fill="CCEEFF" w:val="clear"/>
            <w:vAlign w:val="center"/>
          </w:tcPr>
          <w:p>
            <w:pPr>
              <w:pStyle w:val="TableContents"/>
              <w:bidi w:val="0"/>
              <w:spacing w:before="0" w:after="283"/>
              <w:jc w:val="left"/>
            </w:pPr>
            <w: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pPr>
            <w:r>
              <w:t>38</w:t>
            </w:r>
          </w:p>
        </w:tc>
        <w:tc>
          <w:tcPr>
            <w:tcW w:w="101"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pPr>
            <w:r>
              <w:t>59</w:t>
            </w:r>
          </w:p>
        </w:tc>
        <w:tc>
          <w:tcPr>
            <w:tcW w:w="122"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jc w:val="center"/>
        <w:rPr>
          <w:bdr w:val="single" w:sz="8" w:space="1" w:color="000000"/>
        </w:rPr>
      </w:pPr>
      <w:r>
        <w:rPr>
          <w:bdr w:val="single" w:sz="8" w:space="1" w:color="000000"/>
        </w:rPr>
        <w:t>8</w:t>
      </w:r>
    </w:p>
    <w:p>
      <w:pPr>
        <w:pStyle w:val="TextBody"/>
        <w:bidi w:val="0"/>
        <w:spacing w:before="0" w:after="200"/>
        <w:jc w:val="left"/>
      </w:pPr>
      <w:r>
        <w:t> </w:t>
      </w:r>
    </w:p>
    <w:p>
      <w:pPr>
        <w:pStyle w:val="TextBody"/>
        <w:bidi w:val="0"/>
        <w:spacing w:before="0" w:after="0"/>
        <w:ind w:left="0" w:right="0" w:hanging="0"/>
        <w:jc w:val="center"/>
      </w:pPr>
      <w:bookmarkStart w:id="9" w:name="a_FINANCIALSTATEMENTS"/>
      <w:bookmarkEnd w:id="9"/>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pPr>
      <w:r>
        <w:rPr>
          <w:rStyle w:val="StrongEmphasis"/>
          <w:rFonts w:ascii="Times New Roman;Times;serif" w:hAnsi="Times New Roman;Times;serif"/>
          <w:b w:val="false"/>
          <w:i w:val="false"/>
          <w:caps w:val="false"/>
          <w:smallCaps w:val="false"/>
          <w:sz w:val="20"/>
        </w:rPr>
        <w:t>NOTES TO CONDENSED CONSOLIDATED FINANCIAL STATEMENTS</w:t>
      </w:r>
      <w:r>
        <w:rPr>
          <w:rFonts w:ascii="Times New Roman;Times;serif" w:hAnsi="Times New Roman;Times;serif"/>
          <w:b w:val="false"/>
          <w:i w:val="false"/>
          <w:caps w:val="false"/>
          <w:smallCaps w:val="false"/>
          <w:sz w:val="20"/>
        </w:rPr>
        <w:b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NOTE 1 - DESCRIPTION OF BUSINESS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Entera Bio Ltd. (collectively with its subsidiary, the "Company" or “Entera”) was incorporated on September 30, 2009 and commenced operation on June 1, 2010. On January 8, 2018, the Company incorporated its wholly owned subsidiary, Entera Bio Inc., in Delaware, United States.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focused on developing first-in-class oral peptides. The Company focuses on underserved, chronic medical conditions for which oral administration of a protein therapy has the potential to significantly shift a treatment paradigm.</w:t>
      </w:r>
    </w:p>
    <w:p>
      <w:pPr>
        <w:pStyle w:val="TextBody"/>
        <w:bidi w:val="0"/>
        <w:spacing w:before="0" w:after="0"/>
        <w:ind w:left="850" w:right="0" w:hanging="0"/>
        <w:jc w:val="both"/>
        <w:rPr>
          <w:caps w:val="false"/>
          <w:smallCaps w:val="false"/>
        </w:rPr>
      </w:pPr>
      <w:r>
        <w:rPr>
          <w:caps w:val="false"/>
          <w:smallCaps w:val="false"/>
        </w:rPr>
        <w:t> </w:t>
      </w:r>
    </w:p>
    <w:p>
      <w:pPr>
        <w:pStyle w:val="TextBody"/>
        <w:bidi w:val="0"/>
        <w:spacing w:before="0" w:after="0"/>
        <w:ind w:left="8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most advanced product candidate, EB613, oral PTH(1-34), is being developed as the first oral, osteoanabolic (bone building) tablet treatment for post-menopausal women with osteoporosis. In February 2026, the Company submitted to the U.S. Food and Drug Administration (the “FDA”) a clinical amendment which included the EB613 Phase 3 protocol, statistical analysis plan and open-label extension synopsis. In June 2026, the Company received feedback from the FDA on the submitted Phase 3 registrational plan for EB613.</w:t>
      </w:r>
    </w:p>
    <w:p>
      <w:pPr>
        <w:pStyle w:val="TextBody"/>
        <w:bidi w:val="0"/>
        <w:spacing w:before="0" w:after="0"/>
        <w:ind w:left="85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product candidate, EB612, is being developed as the first oral acylated PTH(1-34) protein replacement tablet for patients with hypoparathyroidism. In February 2026, the Company amended and restated the 2025 Collaboration Agreement (as defined in Note 6) with OPKO Biologics, Inc., a subsidiary of OPKO Health, Inc. (“OPKO”), to advance this program jointly. Currently, the Company is advancing EB612 through IND-enabling studies and plans to initiate a Phase 1 Single Ascending Dose (SAD) study in 2027.</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EB618 is being developed pursuant to the Company’s collaboration with OPKO, pursuant to which the companies are advancing a proprietary novel dual agonist GLP-1/glucagon peptide as a potential once-daily tablet treatment for patients with obesity, metabolic and fibrotic disorders.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internal product development programs, the Company intends to license its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to biopharmaceutical companies for use with their proprietary compounds.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ordinary shares, NIS 0.0000769 par value per share (“ordinary shares”), are listed on the Nasdaq Capital Market under the symbol “ENTX”.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incurred recurring operating losses and negative cash flows from operations since inception and expects to continue to incur operating losses as it advances the development of its product candidates. As of September 30, 2026, the Company has incurred an accumulated deficit in the amount of $151.8 million.</w:t>
            </w:r>
          </w:p>
        </w:tc>
      </w:tr>
    </w:tbl>
    <w:p>
      <w:pPr>
        <w:pStyle w:val="TextBody"/>
        <w:bidi w:val="0"/>
        <w:spacing w:before="0" w:after="0"/>
        <w:ind w:left="850" w:right="0" w:hanging="0"/>
        <w:jc w:val="both"/>
        <w:rPr>
          <w:caps w:val="false"/>
          <w:smallCaps w:val="false"/>
        </w:rPr>
      </w:pPr>
      <w:r>
        <w:rPr>
          <w:caps w:val="false"/>
          <w:smallCaps w:val="false"/>
        </w:rPr>
        <w:t> </w:t>
      </w:r>
    </w:p>
    <w:p>
      <w:pPr>
        <w:pStyle w:val="TextBody"/>
        <w:bidi w:val="0"/>
        <w:spacing w:before="0" w:after="0"/>
        <w:ind w:left="8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3b, on July 28, 2026, the Company completed a private placement financing (the "July 2026 Private Placement") of an aggregate of 134,803,910 ordinary shares and pre-funded warrants to purchase ordinary shares, resulting in net proceeds of approximately $260.9 million, after deducting issuance costs. The Company expects to use the net proceeds primarily to support activities related to the initiation of its Phase 3 registrational study of EB613, as well as for general working capital and corporate purposes.</w:t>
      </w:r>
    </w:p>
    <w:p>
      <w:pPr>
        <w:pStyle w:val="TextBody"/>
        <w:bidi w:val="0"/>
        <w:spacing w:before="0" w:after="283"/>
        <w:jc w:val="left"/>
      </w:pPr>
      <w:r>
        <w:t> </w:t>
      </w:r>
    </w:p>
    <w:p>
      <w:pPr>
        <w:pStyle w:val="TextBody"/>
        <w:bidi w:val="0"/>
        <w:spacing w:lineRule="auto" w:line="300"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lineRule="auto" w:line="300" w:before="0" w:after="0"/>
        <w:jc w:val="left"/>
      </w:pPr>
      <w:r/>
    </w:p>
    <w:p>
      <w:pPr>
        <w:pStyle w:val="TextBody"/>
        <w:bidi w:val="0"/>
        <w:spacing w:lineRule="auto" w:line="300" w:before="0" w:after="200"/>
        <w:jc w:val="left"/>
      </w:pPr>
      <w:r>
        <w:t> </w:t>
      </w:r>
    </w:p>
    <w:p>
      <w:pPr>
        <w:pStyle w:val="TextBody"/>
        <w:bidi w:val="0"/>
        <w:spacing w:lineRule="auto" w:line="300" w:before="0" w:after="0"/>
        <w:jc w:val="center"/>
      </w:pPr>
      <w:r>
        <w:rPr>
          <w:rStyle w:val="StrongEmphasis"/>
          <w:rFonts w:ascii="Times New Roman;Times;serif" w:hAnsi="Times New Roman;Times;serif"/>
          <w:sz w:val="20"/>
        </w:rPr>
        <w:t>ENTERA BIO LTD.</w:t>
      </w:r>
    </w:p>
    <w:p>
      <w:pPr>
        <w:pStyle w:val="TextBody"/>
        <w:bidi w:val="0"/>
        <w:spacing w:lineRule="auto" w:line="300" w:before="0" w:after="0"/>
        <w:jc w:val="center"/>
      </w:pPr>
      <w:r>
        <w:rPr>
          <w:rStyle w:val="StrongEmphasis"/>
          <w:rFonts w:ascii="Times New Roman;Times;serif" w:hAnsi="Times New Roman;Times;serif"/>
          <w:sz w:val="20"/>
        </w:rPr>
        <w:t>NOTES TO CONDENSED 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ind w:left="360" w:right="0" w:hanging="0"/>
        <w:jc w:val="center"/>
      </w:pPr>
      <w: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1 - DESCRIPTION OF BUSINESS (Cont.)</w:t>
      </w:r>
    </w:p>
    <w:p>
      <w:pPr>
        <w:pStyle w:val="TextBody"/>
        <w:bidi w:val="0"/>
        <w:spacing w:lineRule="auto" w:line="300"/>
        <w:jc w:val="left"/>
      </w:pPr>
      <w:r>
        <w:t> </w:t>
      </w:r>
    </w:p>
    <w:p>
      <w:pPr>
        <w:pStyle w:val="TextBody"/>
        <w:bidi w:val="0"/>
        <w:spacing w:before="0" w:after="0"/>
        <w:ind w:left="8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management believes that its existing cash and cash equivalents will be sufficient to fund its planned operations for at least twelve months from the date of issuance of these unaudited condensed consolidated financial statements.</w:t>
      </w:r>
    </w:p>
    <w:p>
      <w:pPr>
        <w:pStyle w:val="TextBody"/>
        <w:bidi w:val="0"/>
        <w:spacing w:before="0" w:after="0"/>
        <w:ind w:left="8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Since October 2023, Israel has been involved in an armed conflict with Hamas, which has expanded to include hostilities involving Hezbollah, Iran and other armed groups in the region. During 2026, military activity escalated, including direct military exchanges involving Israel, Iran and the United States, as well as renewed hostilities along Israel's northern border. A ceasefire between the United States and Iran that was formalized in June 2026 subsequently broke down, and hostilities between the United States and Iran resumed beginning in late June 2026. Although ceasefire arrangements have been announced from time to time, the regional security situation remains uncertain, and there can be no assurance that hostilities will not continue or further escalate.</w:t>
            </w:r>
          </w:p>
        </w:tc>
      </w:tr>
    </w:tbl>
    <w:p>
      <w:pPr>
        <w:pStyle w:val="TextBody"/>
        <w:bidi w:val="0"/>
        <w:spacing w:before="0" w:after="0"/>
        <w:ind w:left="850" w:right="0" w:hanging="0"/>
        <w:jc w:val="both"/>
        <w:rPr>
          <w:caps w:val="false"/>
          <w:smallCaps w:val="false"/>
        </w:rPr>
      </w:pPr>
      <w:r>
        <w:rPr>
          <w:caps w:val="false"/>
          <w:smallCaps w:val="false"/>
        </w:rPr>
        <w:t> </w:t>
      </w:r>
    </w:p>
    <w:p>
      <w:pPr>
        <w:pStyle w:val="TextBody"/>
        <w:bidi w:val="0"/>
        <w:spacing w:before="0" w:after="0"/>
        <w:ind w:left="8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research personnel and certain members of management are located in Israel, while its clinical, regulatory and supply chain activities are primarily conducted outside Israel. As of September 30, 2026, the Company's operations have remained largely unaffected by these events. For the nine months ended September 30, 2026 and 2025, and for the year ended December 31, 2025, the impact of these events on the Company's results of operations and financial condition was not material.</w:t>
      </w:r>
    </w:p>
    <w:p>
      <w:pPr>
        <w:pStyle w:val="TextBody"/>
        <w:bidi w:val="0"/>
        <w:spacing w:before="0" w:after="0"/>
        <w:jc w:val="left"/>
      </w:pPr>
      <w: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NOTE 2 - SIGNIFICANT ACCOUNTING POLICIES</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c>
          <w:tcPr>
            <w:tcW w:w="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rPr>
                <w:rStyle w:val="StrongEmphasis"/>
                <w:rFonts w:ascii="Times New Roman;Times;serif" w:hAnsi="Times New Roman;Times;serif"/>
                <w:sz w:val="20"/>
              </w:rPr>
              <w:t>a.</w:t>
            </w:r>
          </w:p>
        </w:tc>
        <w:tc>
          <w:tcPr>
            <w:tcW w:w="4025" w:type="dxa"/>
            <w:tcBorders/>
            <w:vAlign w:val="center"/>
          </w:tcPr>
          <w:p>
            <w:pPr>
              <w:pStyle w:val="TableContents"/>
              <w:bidi w:val="0"/>
              <w:spacing w:before="0" w:after="283"/>
              <w:jc w:val="both"/>
            </w:pPr>
            <w:r>
              <w:rPr>
                <w:rStyle w:val="StrongEmphasis"/>
                <w:rFonts w:ascii="Times New Roman;Times;serif" w:hAnsi="Times New Roman;Times;serif"/>
                <w:sz w:val="20"/>
              </w:rPr>
              <w:t>Basis of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have been prepared in accordance with generally accepted accounting principles in the United States of America ("U.S. GAAP") for interim financial statements. Accordingly, they do not include all of the information and notes required by U.S. GAAP for annual financial statements. In the opinion of management, these unaudited condensed consolidated financial statements reflect all adjustments, which include normal recurring adjustments, necessary for a fair statement of the Company’s consolidated financial position as of September 30, 2026, the consolidated results of operations and statements of changes in shareholders' equity for the three and nine months ended September 30, 2026 and 2025, and cash flows for the nine months ended September 30, 2026 and 2025.</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results of operations for the three and nine months ended September 30, 2026, are not necessarily indicative of the results to be expected for the year ending December 31, 2026.</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should be read in conjunction with the audited consolidated financial statements of the Company as of and for the year ended December 31, 2025, as filed with the Company’s Annual Report on Form 10-K filed with the U.S. Securities and Exchange Commission on March 27, 2026.</w:t>
      </w:r>
    </w:p>
    <w:p>
      <w:pPr>
        <w:pStyle w:val="TextBody"/>
        <w:bidi w:val="0"/>
        <w:spacing w:before="0" w:after="0"/>
        <w:jc w:val="left"/>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0" w:after="0"/>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before="0" w:after="0"/>
        <w:jc w:val="left"/>
      </w:pPr>
      <w:r>
        <w:rPr>
          <w:rStyle w:val="StrongEmphasis"/>
          <w:rFonts w:ascii="Times New Roman;Times;serif" w:hAnsi="Times New Roman;Times;serif"/>
          <w:sz w:val="20"/>
        </w:rPr>
        <w:t>NOTE 2 - SIGNIFICANT ACCOUNTING POLICIES (Cont.)</w:t>
      </w:r>
    </w:p>
    <w:p>
      <w:pPr>
        <w:pStyle w:val="TextBody"/>
        <w:bidi w:val="0"/>
        <w:spacing w:before="0" w:after="0"/>
        <w:jc w:val="left"/>
      </w:pPr>
      <w: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10" w:type="dxa"/>
            <w:tcBorders/>
            <w:vAlign w:val="center"/>
          </w:tcPr>
          <w:p>
            <w:pPr>
              <w:pStyle w:val="TableContents"/>
              <w:bidi w:val="0"/>
              <w:spacing w:before="0" w:after="283"/>
              <w:jc w:val="left"/>
            </w:pPr>
            <w:r>
              <w:rPr>
                <w:rStyle w:val="StrongEmphasis"/>
                <w:rFonts w:ascii="Times New Roman;Times;serif" w:hAnsi="Times New Roman;Times;serif"/>
                <w:sz w:val="20"/>
              </w:rPr>
              <w:t xml:space="preserve">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on the basis of net loss for the period divided by the weighted average number of outstanding ordinary shares, equity classified pre-funded warrants and vested restricted share units (“RSUs”) during the period. Each outstanding pre-funded warrant has no expiration and is exercisable at an exercise price of $0.000025 per ordinary share.</w:t>
      </w:r>
    </w:p>
    <w:p>
      <w:pPr>
        <w:pStyle w:val="TextBody"/>
        <w:bidi w:val="0"/>
        <w:spacing w:before="0" w:after="0"/>
        <w:ind w:left="1429"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based upon the weighted average number of ordinary shares and ordinary share equivalents outstanding when dilutive. Ordinary share equivalents include outstanding stock options, liability classified pre-funded warrants, warrants and RSUs, which are included under the treasury stock method when dilutive. The calculation of diluted loss per share did not include options, liability classified pre-funded warrants, warrants and RSUs exercisable into 29,411,128 ordinary shares and 17,016,053 ordinary shares for the nine months ended September 30, 2026 and 2025, respectively, and 36,219,126 ordinary shares and 17,806,128 ordinary shares for the three months ended September 30, 2026 and 2025, respectively, because the effect would have been anti-dilutive.</w:t>
      </w:r>
    </w:p>
    <w:p>
      <w:pPr>
        <w:pStyle w:val="TextBody"/>
        <w:bidi w:val="0"/>
        <w:spacing w:before="0" w:after="0"/>
        <w:jc w:val="left"/>
      </w:pPr>
      <w:r>
        <w:t> </w:t>
      </w:r>
    </w:p>
    <w:tbl>
      <w:tblPr>
        <w:tblW w:w="1150" w:type="dxa"/>
        <w:jc w:val="left"/>
        <w:tblInd w:w="0" w:type="dxa"/>
        <w:tblLayout w:type="fixed"/>
        <w:tblCellMar>
          <w:top w:w="0" w:type="dxa"/>
          <w:left w:w="0" w:type="dxa"/>
          <w:bottom w:w="0" w:type="dxa"/>
          <w:right w:w="0" w:type="dxa"/>
        </w:tblCellMar>
      </w:tblPr>
      <w:tblGrid>
        <w:gridCol w:w="75"/>
        <w:gridCol w:w="155"/>
        <w:gridCol w:w="920"/>
      </w:tblGrid>
      <w:tr>
        <w:tc>
          <w:tcPr>
            <w:tcW w:w="75"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pPr>
            <w:r>
              <w:rPr>
                <w:rStyle w:val="StrongEmphasis"/>
                <w:rFonts w:ascii="Times New Roman;Times;serif" w:hAnsi="Times New Roman;Times;serif"/>
                <w:sz w:val="20"/>
              </w:rPr>
              <w:t>c.</w:t>
            </w:r>
          </w:p>
        </w:tc>
        <w:tc>
          <w:tcPr>
            <w:tcW w:w="920" w:type="dxa"/>
            <w:tcBorders/>
            <w:vAlign w:val="center"/>
          </w:tcPr>
          <w:p>
            <w:pPr>
              <w:pStyle w:val="TableContents"/>
              <w:bidi w:val="0"/>
              <w:spacing w:before="0" w:after="283"/>
              <w:jc w:val="left"/>
            </w:pPr>
            <w:r>
              <w:rPr>
                <w:rStyle w:val="StrongEmphasis"/>
                <w:rFonts w:ascii="Times New Roman;Times;serif" w:hAnsi="Times New Roman;Times;serif"/>
                <w:sz w:val="20"/>
              </w:rPr>
              <w:t>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16"/>
        <w:gridCol w:w="9514"/>
      </w:tblGrid>
      <w:tr>
        <w:tc>
          <w:tcPr>
            <w:tcW w:w="75" w:type="dxa"/>
            <w:tcBorders/>
            <w:vAlign w:val="center"/>
          </w:tcPr>
          <w:p>
            <w:pPr>
              <w:pStyle w:val="TableContents"/>
              <w:bidi w:val="0"/>
              <w:spacing w:before="0" w:after="283"/>
              <w:jc w:val="left"/>
            </w:pPr>
            <w:r>
              <w:t> </w:t>
            </w:r>
          </w:p>
        </w:tc>
        <w:tc>
          <w:tcPr>
            <w:tcW w:w="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(unadjusted) in active markets that are accessible at the measurement date for assets or liabilities. The fair value hierarchy gives the highest priority to Level 1 inputs.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30"/>
        <w:gridCol w:w="9500"/>
      </w:tblGrid>
      <w:tr>
        <w:tc>
          <w:tcPr>
            <w:tcW w:w="75" w:type="dxa"/>
            <w:tcBorders/>
            <w:vAlign w:val="center"/>
          </w:tcPr>
          <w:p>
            <w:pPr>
              <w:pStyle w:val="TableContents"/>
              <w:bidi w:val="0"/>
              <w:spacing w:before="0" w:after="283"/>
              <w:jc w:val="left"/>
            </w:pPr>
            <w:r>
              <w:t> </w:t>
            </w:r>
          </w:p>
        </w:tc>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Observable prices that are based on inputs other than quoted prices included within Level 1 that are observable for the asset or liability, either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57"/>
        <w:gridCol w:w="9473"/>
      </w:tblGrid>
      <w:tr>
        <w:tc>
          <w:tcPr>
            <w:tcW w:w="75" w:type="dxa"/>
            <w:tcBorders/>
            <w:vAlign w:val="center"/>
          </w:tcPr>
          <w:p>
            <w:pPr>
              <w:pStyle w:val="TableContents"/>
              <w:bidi w:val="0"/>
              <w:spacing w:before="0" w:after="283"/>
              <w:jc w:val="left"/>
            </w:pPr>
            <w:r>
              <w:t> </w:t>
            </w:r>
          </w:p>
        </w:tc>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4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are used when little or no market data is available. The fair value hierarchy gives the lowest priority to Level 3 inputs.</w:t>
            </w:r>
          </w:p>
        </w:tc>
      </w:tr>
    </w:tbl>
    <w:p>
      <w:pPr>
        <w:pStyle w:val="TextBody"/>
        <w:bidi w:val="0"/>
        <w:spacing w:before="0" w:after="0"/>
        <w:jc w:val="left"/>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0" w:after="0"/>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before="0" w:after="0"/>
        <w:jc w:val="left"/>
      </w:pPr>
      <w:r>
        <w:rPr>
          <w:rStyle w:val="StrongEmphasis"/>
          <w:rFonts w:ascii="Times New Roman;Times;serif" w:hAnsi="Times New Roman;Times;serif"/>
          <w:sz w:val="20"/>
        </w:rPr>
        <w:t>NOTE 2 - SIGNIFICANT ACCOUNTING POLICIES (Cont.)</w:t>
      </w:r>
    </w:p>
    <w:p>
      <w:pPr>
        <w:pStyle w:val="TextBody"/>
        <w:bidi w:val="0"/>
        <w:spacing w:before="0" w:after="0"/>
        <w:jc w:val="left"/>
      </w:pPr>
      <w: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c>
          <w:tcPr>
            <w:tcW w:w="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rPr>
                <w:rStyle w:val="StrongEmphasis"/>
                <w:rFonts w:ascii="Times New Roman;Times;serif" w:hAnsi="Times New Roman;Times;serif"/>
                <w:sz w:val="20"/>
              </w:rPr>
              <w:t>d.</w:t>
            </w:r>
          </w:p>
        </w:tc>
        <w:tc>
          <w:tcPr>
            <w:tcW w:w="5405" w:type="dxa"/>
            <w:tcBorders/>
            <w:vAlign w:val="center"/>
          </w:tcPr>
          <w:p>
            <w:pPr>
              <w:pStyle w:val="TableContents"/>
              <w:bidi w:val="0"/>
              <w:spacing w:before="0" w:after="283"/>
              <w:jc w:val="left"/>
            </w:pPr>
            <w:r>
              <w:rPr>
                <w:rStyle w:val="StrongEmphasis"/>
                <w:rFonts w:ascii="Times New Roman;Times;serif" w:hAnsi="Times New Roman;Times;serif"/>
                <w:sz w:val="20"/>
              </w:rPr>
              <w:t>Newly issued and recently adopted 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pPr>
      <w:r>
        <w:rPr>
          <w:rStyle w:val="StrongEmphasis"/>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pStyle w:val="TextBody"/>
        <w:bidi w:val="0"/>
        <w:spacing w:before="0" w:after="0"/>
        <w:jc w:val="left"/>
      </w:pPr>
      <w: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NOTE 3 - ISSUANCE OF ORDINARY SHARES, PRE-FUNDED WARRANTS AND WARRANTS</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c>
          <w:tcPr>
            <w:tcW w:w="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rPr>
                <w:rStyle w:val="StrongEmphasis"/>
                <w:rFonts w:ascii="Times New Roman;Times;serif" w:hAnsi="Times New Roman;Times;serif"/>
                <w:sz w:val="20"/>
              </w:rPr>
              <w:t>a.</w:t>
            </w:r>
          </w:p>
        </w:tc>
        <w:tc>
          <w:tcPr>
            <w:tcW w:w="2555" w:type="dxa"/>
            <w:tcBorders/>
            <w:vAlign w:val="center"/>
          </w:tcPr>
          <w:p>
            <w:pPr>
              <w:pStyle w:val="TableContents"/>
              <w:bidi w:val="0"/>
              <w:spacing w:before="0" w:after="283"/>
              <w:jc w:val="left"/>
            </w:pPr>
            <w:r>
              <w:rPr>
                <w:rStyle w:val="StrongEmphasis"/>
                <w:rFonts w:ascii="Times New Roman;Times;serif" w:hAnsi="Times New Roman;Times;serif"/>
                <w:sz w:val="20"/>
              </w:rPr>
              <w:t>April 2026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entered into a securities purchase agreement with certain funds affiliated with BVF Partners L.P. (collectively, “BVF”), providing for the private placement to BVF of an aggregate of 7,827,789 units (the “2026 Units”), each 2026 Unit consisting of (i) one ordinary share (or, in lieu thereof, one pre-funded warrant to purchase one ordinary share (the “April 2026 Pre-Funded Warrants”)) and (ii) one warrant to purchase one and one-half ordinary shares (the “2026 Ordinary Share Warrants”), for aggregate proceeds of approximately $10.0 million (or $1.2775 per 2026 Unit). On April 2, 2026, the Company issued 2,425,000 ordinary shares, 5,402,789 April 2026 Pre-Funded Warrants, and 11,741,683 2026 Ordinary Share Warrants in connection with this offering.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2026 Ordinary Share Warrant has an exercise price of $1.24 per share, became exercisable on October 2, 2026, expires five years following the date of issuance, and is subject to customary adjustments. The 2026 Ordinary Share Warrants are exercisable only for cash so long as the Company has an effective registration statement registering the shares issuable upon exercise of the 2026 Ordinary Share Warrants. The 2026 Ordinary Share Warrants were classified as equity upon issuance, as they met the criteria for equity classification under ASC 815-40.</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Pre-Funded Warrants were originally issued with an exercise price of NIS 0.0000769 per share, became exercisable upon issuance and have no expiration date. Prior to their reclassification to equity on August 21, 2026 (see Note 3c below), the April 2026 Pre-Funded Warrants were not considered indexed to the ordinary shares under ASC 815-40-15 and were classified as a financial liability measured at fair value (Level 2, based on the quoted share price), with changes in fair value recognized in financial expenses, net.</w:t>
      </w:r>
    </w:p>
    <w:p>
      <w:pPr>
        <w:pStyle w:val="TextBody"/>
        <w:bidi w:val="0"/>
        <w:spacing w:before="0" w:after="283"/>
        <w:jc w:val="left"/>
      </w:pPr>
      <w:r>
        <w:t> </w:t>
      </w:r>
    </w:p>
    <w:p>
      <w:pPr>
        <w:pStyle w:val="TextBody"/>
        <w:bidi w:val="0"/>
        <w:spacing w:lineRule="auto" w:line="300"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lineRule="auto" w:line="300" w:before="0" w:after="0"/>
        <w:jc w:val="left"/>
      </w:pPr>
      <w:r/>
    </w:p>
    <w:p>
      <w:pPr>
        <w:pStyle w:val="TextBody"/>
        <w:bidi w:val="0"/>
        <w:spacing w:lineRule="auto" w:line="300" w:before="0" w:after="200"/>
        <w:jc w:val="left"/>
      </w:pPr>
      <w:r>
        <w:t> </w:t>
      </w:r>
    </w:p>
    <w:p>
      <w:pPr>
        <w:pStyle w:val="TextBody"/>
        <w:bidi w:val="0"/>
        <w:spacing w:lineRule="auto" w:line="300" w:before="0" w:after="0"/>
        <w:jc w:val="center"/>
      </w:pPr>
      <w:r>
        <w:rPr>
          <w:rStyle w:val="StrongEmphasis"/>
          <w:rFonts w:ascii="Times New Roman;Times;serif" w:hAnsi="Times New Roman;Times;serif"/>
          <w:sz w:val="20"/>
        </w:rPr>
        <w:t>ENTERA BIO LTD.</w:t>
      </w:r>
    </w:p>
    <w:p>
      <w:pPr>
        <w:pStyle w:val="TextBody"/>
        <w:bidi w:val="0"/>
        <w:spacing w:lineRule="auto" w:line="300" w:before="0" w:after="0"/>
        <w:jc w:val="center"/>
      </w:pPr>
      <w:r>
        <w:rPr>
          <w:rStyle w:val="StrongEmphasis"/>
          <w:rFonts w:ascii="Times New Roman;Times;serif" w:hAnsi="Times New Roman;Times;serif"/>
          <w:sz w:val="20"/>
        </w:rPr>
        <w:t>NOTES TO CONDENSED 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ind w:left="360" w:right="0" w:hanging="0"/>
        <w:jc w:val="center"/>
      </w:pPr>
      <w: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3 - ISSUANCE OF ORDINARY SHARES, PRE-FUNDED WARRANTS AND WARRANTS (Cont.)</w:t>
      </w:r>
    </w:p>
    <w:p>
      <w:pPr>
        <w:pStyle w:val="TextBody"/>
        <w:bidi w:val="0"/>
        <w:spacing w:lineRule="auto" w:line="300"/>
        <w:jc w:val="left"/>
      </w:pPr>
      <w: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2026 Private Placement were allocated first to the April 2026 Pre-Funded Warrants based on their fair value as of the closing date of $6.8 million (based on the closing share price of $1.26 on April 2, 2026), and the residual proceeds of $3.2 million were allocated to the ordinary shares.</w:t>
        <w:br/>
        <w:t> </w:t>
        <w:br/>
        <w:t>The Company had issuance costs of approximately $171 thousand, of which $116 thousand allocated to the April 2026 Pre-Funded Warrants was recognized immediately in the statement of operations and the remaining portion allocated to the equity components was deducted from additional paid-in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August 21, 2026, the pre-funded warrants liability was measured at fair value on a recurring basis based on the quoted price of the Company’s ordinary shares (Level 2) based on the Company's share's market price less the nominal exercise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April 2026 Pre-Funded Warrants was $17.5 million as of August 21, 2026. Accordingly, the Company recognized a loss from the change in fair value of $7.9 million and $10.6 million for the three and nine months ended September 30, 2026, respectively. See also Note 3c.</w:t>
      </w:r>
    </w:p>
    <w:p>
      <w:pPr>
        <w:pStyle w:val="TextBody"/>
        <w:bidi w:val="0"/>
        <w:spacing w:before="0" w:after="0"/>
        <w:ind w:left="72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170"/>
        <w:gridCol w:w="2480"/>
      </w:tblGrid>
      <w:tr>
        <w:tc>
          <w:tcPr>
            <w:tcW w:w="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rPr>
                <w:rStyle w:val="StrongEmphasis"/>
                <w:rFonts w:ascii="Times New Roman;Times;serif" w:hAnsi="Times New Roman;Times;serif"/>
                <w:sz w:val="20"/>
              </w:rPr>
              <w:t>b.</w:t>
            </w:r>
          </w:p>
        </w:tc>
        <w:tc>
          <w:tcPr>
            <w:tcW w:w="2480" w:type="dxa"/>
            <w:tcBorders/>
            <w:vAlign w:val="center"/>
          </w:tcPr>
          <w:p>
            <w:pPr>
              <w:pStyle w:val="TableContents"/>
              <w:bidi w:val="0"/>
              <w:spacing w:before="0" w:after="283"/>
              <w:jc w:val="left"/>
            </w:pPr>
            <w:r>
              <w:rPr>
                <w:rStyle w:val="StrongEmphasis"/>
                <w:rFonts w:ascii="Times New Roman;Times;serif" w:hAnsi="Times New Roman;Times;serif"/>
                <w:sz w:val="20"/>
              </w:rPr>
              <w:t>July 2026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in connection with the July 2026 Private Placement, the Company entered into a securities purchase agreement (the “July 2026 Purchase Agreement”) with certain institutional and accredited investors, including BVF, providing for the issuance and sale of an aggregate of 134,803,910 ordinary shares or, in lieu thereof, pre-funded warrants to purchase ordinary shares (the “July 2026 Pre-Funded Warrants”), at a purchase price of $2.04 per ordinary share, for aggregate gross proceeds of approximately $275.0 million. On July 28, 2026, the Company issued 122,961,215 ordinary shares and July 2026 Pre-Funded Warrants to purchase 11,842,695 ordinary shares. The Company incurred issuance costs of approximately $14.1 million, consisting of placement agent fees and legal expenses.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2026 Pre-Funded Warrants were originally issued with an exercise price of NIS 0.0000769 per ordinary share, became exercisable upon issuance, do not expire and are subject to customary beneficial ownership limitations and adjustments. As described in Note 3a above, the July 2026 Pre-Funded Warrants were originally classified as a financial liability measured at fair value, based on the market share price, until their reclassification to equity on August 21, 2026. See Note 3c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July 2026 Private Placement were allocated first to the July 2026 Pre-Funded Warrants based on their fair value as of the closing date of $38.6 million (based on the closing share price of $3.26 on July 28, 2026), and the residual proceeds of $236.4 million were allocated to the ordinary shares. Issuance costs were allocated on the same basis: approximately $2.0 million allocated to the July 2026 Pre-Funded Warrants was recognized immediately in the statement of operations and $12.1 million allocated to the ordinary shares was deducted from additional paid-in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July 2026 Pre-Funded Warrants as of August 21, 2026, was approximately $38.3 million. Accordingly, the Company recognized income from the change in fair value of $355 thousand for the three and nine months ended September 30, 2026. See also Note 3c.</w:t>
      </w:r>
    </w:p>
    <w:p>
      <w:pPr>
        <w:pStyle w:val="TextBody"/>
        <w:bidi w:val="0"/>
        <w:spacing w:before="0" w:after="283"/>
        <w:jc w:val="left"/>
      </w:pPr>
      <w:r>
        <w:t> </w:t>
      </w:r>
    </w:p>
    <w:p>
      <w:pPr>
        <w:pStyle w:val="TextBody"/>
        <w:bidi w:val="0"/>
        <w:spacing w:lineRule="auto" w:line="300"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lineRule="auto" w:line="300" w:before="0" w:after="0"/>
        <w:jc w:val="left"/>
      </w:pPr>
      <w:r/>
    </w:p>
    <w:p>
      <w:pPr>
        <w:pStyle w:val="TextBody"/>
        <w:bidi w:val="0"/>
        <w:spacing w:lineRule="auto" w:line="300" w:before="0" w:after="200"/>
        <w:jc w:val="left"/>
      </w:pPr>
      <w:r>
        <w:t> </w:t>
      </w:r>
    </w:p>
    <w:p>
      <w:pPr>
        <w:pStyle w:val="TextBody"/>
        <w:bidi w:val="0"/>
        <w:spacing w:lineRule="auto" w:line="300" w:before="0" w:after="0"/>
        <w:jc w:val="center"/>
      </w:pPr>
      <w:r>
        <w:rPr>
          <w:rStyle w:val="StrongEmphasis"/>
          <w:rFonts w:ascii="Times New Roman;Times;serif" w:hAnsi="Times New Roman;Times;serif"/>
          <w:sz w:val="20"/>
        </w:rPr>
        <w:t>ENTERA BIO LTD.</w:t>
      </w:r>
    </w:p>
    <w:p>
      <w:pPr>
        <w:pStyle w:val="TextBody"/>
        <w:bidi w:val="0"/>
        <w:spacing w:lineRule="auto" w:line="300" w:before="0" w:after="0"/>
        <w:jc w:val="center"/>
      </w:pPr>
      <w:r>
        <w:rPr>
          <w:rStyle w:val="StrongEmphasis"/>
          <w:rFonts w:ascii="Times New Roman;Times;serif" w:hAnsi="Times New Roman;Times;serif"/>
          <w:sz w:val="20"/>
        </w:rPr>
        <w:t>NOTES TO CONDENSED 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ind w:left="360" w:right="0" w:hanging="0"/>
        <w:jc w:val="center"/>
      </w:pPr>
      <w: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3 - ISSUANCE OF ORDINARY SHARES, PRE-FUNDED WARRANTS AND WARRANTS (Cont.)</w:t>
      </w:r>
    </w:p>
    <w:p>
      <w:pPr>
        <w:pStyle w:val="TextBody"/>
        <w:bidi w:val="0"/>
        <w:spacing w:lineRule="auto" w:line="300"/>
        <w:jc w:val="left"/>
      </w:pPr>
      <w: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of the July 2026 Private Placement, the Company granted BVF certain rights to designate two nominees to the Company’s board of directors, subject to specified ownership thresholds and other conditions. In connection with the July 2026 Private Placement, the Company also agreed to submit to its shareholders an increase in the number of ordinary shares reserved under the 2018 Equity Incentive Plan (the “2018 Plan”) and certain equity awards to executive officers.</w:t>
      </w:r>
    </w:p>
    <w:p>
      <w:pPr>
        <w:pStyle w:val="TextBody"/>
        <w:bidi w:val="0"/>
        <w:spacing w:before="0" w:after="0"/>
        <w:ind w:left="72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55"/>
        <w:gridCol w:w="5675"/>
      </w:tblGrid>
      <w:tr>
        <w:tc>
          <w:tcPr>
            <w:tcW w:w="75"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pPr>
            <w:r>
              <w:rPr>
                <w:rStyle w:val="StrongEmphasis"/>
                <w:rFonts w:ascii="Times New Roman;Times;serif" w:hAnsi="Times New Roman;Times;serif"/>
                <w:sz w:val="20"/>
              </w:rPr>
              <w:t>c.</w:t>
            </w:r>
          </w:p>
        </w:tc>
        <w:tc>
          <w:tcPr>
            <w:tcW w:w="5675" w:type="dxa"/>
            <w:tcBorders/>
            <w:vAlign w:val="center"/>
          </w:tcPr>
          <w:p>
            <w:pPr>
              <w:pStyle w:val="TableContents"/>
              <w:bidi w:val="0"/>
              <w:spacing w:before="0" w:after="283"/>
              <w:jc w:val="left"/>
            </w:pPr>
            <w:r>
              <w:rPr>
                <w:rStyle w:val="StrongEmphasis"/>
                <w:rFonts w:ascii="Times New Roman;Times;serif" w:hAnsi="Times New Roman;Times;serif"/>
                <w:sz w:val="20"/>
              </w:rPr>
              <w:t>Amendment of the April 2026 and July 2026 Pre-Funded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Company and BVF, the holder of all outstanding April 2026 and July 2026 Pre-Funded Warrants, amended the terms of such pre-funded warrants to change the exercise price from NIS 0.0000769 per ordinary share to $0.000025 per ordinary share. Following the amendment, the pre-funded warrants met the criteria for equity classification under ASC 815-40. In accordance with the standard, the pre-funded warrants were remeasured to fair value as of August 21, 2026, with the change in fair value recognized in financial expenses, net, and their fair value was reclassified from liability to additional paid-in capital. Following this amendment the pre-funded warrants no longer require remeasurement on a recurring basis as of the end of each reporting period. As of September 30, 2026, none of the April 2026 or July 2026 Pre-Funded Warrants had been exercised.</w:t>
        <w:br/>
        <w:t> </w:t>
        <w:br/>
        <w:t>Through August 21, 2026, the pre-funded warrant liability was measured at fair value on a recurring basis based on the quoted price of the Company’s ordinary shares (Level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pre-funded warrants liability (Level 2):</w:t>
      </w:r>
    </w:p>
    <w:p>
      <w:pPr>
        <w:pStyle w:val="TextBody"/>
        <w:bidi w:val="0"/>
        <w:spacing w:before="0" w:after="0"/>
        <w:ind w:left="720" w:right="0" w:hanging="0"/>
        <w:jc w:val="both"/>
        <w:rPr>
          <w:caps w:val="false"/>
          <w:smallCaps w:val="false"/>
        </w:rPr>
      </w:pPr>
      <w:r>
        <w:rPr>
          <w:caps w:val="false"/>
          <w:smallCaps w:val="false"/>
        </w:rPr>
        <w:t> </w:t>
      </w:r>
    </w:p>
    <w:tbl>
      <w:tblPr>
        <w:tblW w:w="7713" w:type="dxa"/>
        <w:jc w:val="left"/>
        <w:tblInd w:w="851" w:type="dxa"/>
        <w:tblLayout w:type="fixed"/>
        <w:tblCellMar>
          <w:top w:w="0" w:type="dxa"/>
          <w:left w:w="0" w:type="dxa"/>
          <w:bottom w:w="0" w:type="dxa"/>
          <w:right w:w="0" w:type="dxa"/>
        </w:tblCellMar>
      </w:tblPr>
      <w:tblGrid>
        <w:gridCol w:w="4775"/>
        <w:gridCol w:w="60"/>
        <w:gridCol w:w="79"/>
        <w:gridCol w:w="855"/>
        <w:gridCol w:w="80"/>
        <w:gridCol w:w="60"/>
        <w:gridCol w:w="72"/>
        <w:gridCol w:w="787"/>
        <w:gridCol w:w="80"/>
        <w:gridCol w:w="60"/>
        <w:gridCol w:w="60"/>
        <w:gridCol w:w="650"/>
        <w:gridCol w:w="95"/>
      </w:tblGrid>
      <w:tr>
        <w:tc>
          <w:tcPr>
            <w:tcW w:w="477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pPr>
            <w:r>
              <w:t> </w:t>
            </w:r>
          </w:p>
        </w:tc>
      </w:tr>
      <w:tr>
        <w:tc>
          <w:tcPr>
            <w:tcW w:w="477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278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w:t>
            </w:r>
          </w:p>
        </w:tc>
        <w:tc>
          <w:tcPr>
            <w:tcW w:w="95" w:type="dxa"/>
            <w:tcBorders/>
            <w:vAlign w:val="center"/>
          </w:tcPr>
          <w:p>
            <w:pPr>
              <w:pStyle w:val="TableContents"/>
              <w:bidi w:val="0"/>
              <w:spacing w:before="0" w:after="283"/>
              <w:jc w:val="left"/>
            </w:pPr>
            <w:r>
              <w:t> </w:t>
            </w:r>
          </w:p>
        </w:tc>
      </w:tr>
      <w:tr>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as of January 1, 2026</w:t>
            </w:r>
          </w:p>
        </w:tc>
        <w:tc>
          <w:tcPr>
            <w:tcW w:w="60" w:type="dxa"/>
            <w:tcBorders/>
            <w:vAlign w:val="center"/>
          </w:tcPr>
          <w:p>
            <w:pPr>
              <w:pStyle w:val="TableContents"/>
              <w:bidi w:val="0"/>
              <w:spacing w:before="0" w:after="283"/>
              <w:jc w:val="left"/>
            </w:pPr>
            <w:r>
              <w:t> </w:t>
            </w:r>
          </w:p>
        </w:tc>
        <w:tc>
          <w:tcPr>
            <w:tcW w:w="934" w:type="dxa"/>
            <w:gridSpan w:val="2"/>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59" w:type="dxa"/>
            <w:gridSpan w:val="2"/>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10" w:type="dxa"/>
            <w:gridSpan w:val="2"/>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pPr>
            <w:r>
              <w:t> </w:t>
            </w:r>
          </w:p>
        </w:tc>
      </w:tr>
      <w:tr>
        <w:tc>
          <w:tcPr>
            <w:tcW w:w="4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recognition at fair value</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c>
          <w:tcPr>
            <w:tcW w:w="8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6,807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38,607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45,414</w:t>
            </w:r>
          </w:p>
        </w:tc>
        <w:tc>
          <w:tcPr>
            <w:tcW w:w="95" w:type="dxa"/>
            <w:tcBorders/>
            <w:shd w:fill="CCEEFF" w:val="clear"/>
            <w:vAlign w:val="center"/>
          </w:tcPr>
          <w:p>
            <w:pPr>
              <w:pStyle w:val="TableContents"/>
              <w:bidi w:val="0"/>
              <w:spacing w:before="0" w:after="283"/>
              <w:jc w:val="left"/>
            </w:pPr>
            <w:r>
              <w:t> </w:t>
            </w:r>
          </w:p>
        </w:tc>
      </w:tr>
      <w:tr>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recognized in statement of operations</w:t>
            </w:r>
          </w:p>
        </w:tc>
        <w:tc>
          <w:tcPr>
            <w:tcW w:w="60" w:type="dxa"/>
            <w:tcBorders/>
            <w:vAlign w:val="center"/>
          </w:tcPr>
          <w:p>
            <w:pPr>
              <w:pStyle w:val="TableContents"/>
              <w:bidi w:val="0"/>
              <w:spacing w:before="0" w:after="283"/>
              <w:jc w:val="left"/>
            </w:pPr>
            <w:r>
              <w:t> </w:t>
            </w:r>
          </w:p>
        </w:tc>
        <w:tc>
          <w:tcPr>
            <w:tcW w:w="79" w:type="dxa"/>
            <w:tcBorders/>
            <w:vAlign w:val="center"/>
          </w:tcPr>
          <w:p>
            <w:pPr>
              <w:pStyle w:val="TableContents"/>
              <w:bidi w:val="0"/>
              <w:spacing w:before="0" w:after="283"/>
              <w:jc w:val="left"/>
            </w:pPr>
            <w:r>
              <w:t> </w:t>
            </w:r>
          </w:p>
        </w:tc>
        <w:tc>
          <w:tcPr>
            <w:tcW w:w="8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10,644</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2" w:type="dxa"/>
            <w:tcBorders/>
            <w:vAlign w:val="center"/>
          </w:tcPr>
          <w:p>
            <w:pPr>
              <w:pStyle w:val="TableContents"/>
              <w:bidi w:val="0"/>
              <w:spacing w:before="0" w:after="283"/>
              <w:jc w:val="left"/>
            </w:pPr>
            <w:r>
              <w:t> </w:t>
            </w:r>
          </w:p>
        </w:tc>
        <w:tc>
          <w:tcPr>
            <w:tcW w:w="7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10,289</w:t>
            </w:r>
          </w:p>
        </w:tc>
        <w:tc>
          <w:tcPr>
            <w:tcW w:w="95" w:type="dxa"/>
            <w:tcBorders/>
            <w:vAlign w:val="center"/>
          </w:tcPr>
          <w:p>
            <w:pPr>
              <w:pStyle w:val="TableContents"/>
              <w:bidi w:val="0"/>
              <w:spacing w:before="0" w:after="283"/>
              <w:jc w:val="left"/>
            </w:pPr>
            <w:r>
              <w:t> </w:t>
            </w:r>
          </w:p>
        </w:tc>
      </w:tr>
      <w:tr>
        <w:tc>
          <w:tcPr>
            <w:tcW w:w="4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Reclassification to additional paid-in capital</w:t>
            </w:r>
          </w:p>
        </w:tc>
        <w:tc>
          <w:tcPr>
            <w:tcW w:w="60" w:type="dxa"/>
            <w:tcBorders/>
            <w:shd w:fill="CCEEFF" w:val="clear"/>
            <w:vAlign w:val="center"/>
          </w:tcPr>
          <w:p>
            <w:pPr>
              <w:pStyle w:val="TableContents"/>
              <w:bidi w:val="0"/>
              <w:spacing w:before="0" w:after="283"/>
              <w:jc w:val="left"/>
            </w:pPr>
            <w: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7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(55,703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September 30, 2026</w:t>
            </w:r>
          </w:p>
        </w:tc>
        <w:tc>
          <w:tcPr>
            <w:tcW w:w="60" w:type="dxa"/>
            <w:tcBorders/>
            <w:vAlign w:val="center"/>
          </w:tcPr>
          <w:p>
            <w:pPr>
              <w:pStyle w:val="TableContents"/>
              <w:bidi w:val="0"/>
              <w:spacing w:before="0" w:after="283"/>
              <w:jc w:val="left"/>
            </w:pPr>
            <w:r>
              <w:t> </w:t>
            </w:r>
          </w:p>
        </w:tc>
        <w:tc>
          <w:tcPr>
            <w:tcW w:w="79" w:type="dxa"/>
            <w:tcBorders>
              <w:bottom w:val="double" w:sz="6" w:space="0" w:color="000000"/>
            </w:tcBorders>
            <w:tcMar>
              <w:bottom w:w="28" w:type="dxa"/>
            </w:tcMar>
            <w:vAlign w:val="center"/>
          </w:tcPr>
          <w:p>
            <w:pPr>
              <w:pStyle w:val="TableContents"/>
              <w:bidi w:val="0"/>
              <w:spacing w:before="0" w:after="283"/>
              <w:jc w:val="left"/>
            </w:pPr>
            <w:r>
              <w:t> </w:t>
            </w:r>
          </w:p>
        </w:tc>
        <w:tc>
          <w:tcPr>
            <w:tcW w:w="85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2" w:type="dxa"/>
            <w:tcBorders>
              <w:bottom w:val="double" w:sz="6" w:space="0" w:color="000000"/>
            </w:tcBorders>
            <w:tcMar>
              <w:bottom w:w="28" w:type="dxa"/>
            </w:tcMar>
            <w:vAlign w:val="center"/>
          </w:tcPr>
          <w:p>
            <w:pPr>
              <w:pStyle w:val="TableContents"/>
              <w:bidi w:val="0"/>
              <w:spacing w:before="0" w:after="283"/>
              <w:jc w:val="left"/>
            </w:pPr>
            <w:r>
              <w:t> </w:t>
            </w:r>
          </w:p>
        </w:tc>
        <w:tc>
          <w:tcPr>
            <w:tcW w:w="78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bottom w:val="double" w:sz="6" w:space="0" w:color="000000"/>
            </w:tcBorders>
            <w:tcMar>
              <w:bottom w:w="28" w:type="dxa"/>
            </w:tcMar>
            <w:vAlign w:val="center"/>
          </w:tcPr>
          <w:p>
            <w:pPr>
              <w:pStyle w:val="TableContents"/>
              <w:bidi w:val="0"/>
              <w:spacing w:before="0" w:after="283"/>
              <w:jc w:val="left"/>
            </w:pPr>
            <w:r>
              <w:t> </w:t>
            </w:r>
          </w:p>
        </w:tc>
        <w:tc>
          <w:tcPr>
            <w:tcW w:w="65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double" w:sz="2" w:space="0" w:color="808080"/>
        </w:pBdr>
        <w:bidi w:val="0"/>
        <w:spacing w:before="0" w:after="283"/>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NOTE 4 - EQUITY AND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pPr>
      <w:r>
        <w:rPr>
          <w:rStyle w:val="StrongEmphasis"/>
          <w:rFonts w:ascii="Times New Roman;Times;serif" w:hAnsi="Times New Roman;Times;serif"/>
          <w:b w:val="false"/>
          <w:i w:val="false"/>
          <w:caps w:val="false"/>
          <w:smallCaps w:val="false"/>
          <w:sz w:val="20"/>
        </w:rPr>
        <w:t>Changes in Share Capital:</w:t>
        <w:b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1, 2026, the Company issued 148,872 ordinary shares to five non-executive members of the board of directors in lieu of cash board fees for fiscal year 2025, which was approved by the Company’s shareholders at a meeting of the Company’s shareholders held on July 31, 2024. The fair value of the ordinary shares on the grant date was $289 thousand.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and April 2026, two former non-executive board members exercised options for an aggregate of 394,748 ordinary shares for total consideration of $260 thousand.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14, 2026, the Company’s shareholders approved an increase in the Company’s authorized share capital to 350,000,000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7, 2026, the Company issued 107,770 ordinary shares to five non-executive members of the board of directors in lieu of cash board fees for the first and second quarters of 2026, as approved by the Company’s shareholders at a meeting held on July 31, 2024. The fair value of the ordinary shares on the grant date was $309 thousand. On August 5, 2026, the board of directors resolved to reinstate cash compensation for non-executive directors effective July 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nine months ended September 30, 2026, certain holders of warrants issued in the Company’s December 2023 private placement exercised an aggregate of 480,879 warrants and 906,886 pre-funded warrants for an aggregate of 1,387,765 ordinary shares, for aggregate gross proceeds to the Company of $474 thousand.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pPr>
      <w:r>
        <w:rPr>
          <w:rStyle w:val="StrongEmphasis"/>
          <w:rFonts w:ascii="Times New Roman;Times;serif" w:hAnsi="Times New Roman;Times;serif"/>
          <w:b w:val="false"/>
          <w:i w:val="false"/>
          <w:caps w:val="false"/>
          <w:smallCaps w:val="false"/>
          <w:sz w:val="20"/>
        </w:rPr>
        <w:t>Share-based Compensation:</w:t>
      </w:r>
    </w:p>
    <w:p>
      <w:pPr>
        <w:pStyle w:val="TextBody"/>
        <w:bidi w:val="0"/>
        <w:spacing w:before="0" w:after="0"/>
        <w:ind w:left="225" w:right="0" w:firstLine="72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55"/>
        <w:gridCol w:w="8165"/>
      </w:tblGrid>
      <w:t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tables summarizes option activity during the nine months ended September 30, 2026:</w:t>
            </w:r>
          </w:p>
        </w:tc>
      </w:tr>
    </w:tbl>
    <w:p>
      <w:pPr>
        <w:pStyle w:val="TextBody"/>
        <w:bidi w:val="0"/>
        <w:spacing w:before="0" w:after="0"/>
        <w:jc w:val="left"/>
        <w:rPr>
          <w:caps w:val="false"/>
          <w:smallCaps w:val="false"/>
        </w:rPr>
      </w:pPr>
      <w:r>
        <w:rPr>
          <w:caps w:val="false"/>
          <w:smallCaps w:val="false"/>
        </w:rPr>
        <w:t> </w:t>
      </w:r>
    </w:p>
    <w:tbl>
      <w:tblPr>
        <w:tblW w:w="7330" w:type="dxa"/>
        <w:jc w:val="left"/>
        <w:tblInd w:w="1080" w:type="dxa"/>
        <w:tblLayout w:type="fixed"/>
        <w:tblCellMar>
          <w:top w:w="0" w:type="dxa"/>
          <w:left w:w="0" w:type="dxa"/>
          <w:bottom w:w="0" w:type="dxa"/>
          <w:right w:w="0" w:type="dxa"/>
        </w:tblCellMar>
      </w:tblPr>
      <w:tblGrid>
        <w:gridCol w:w="2660"/>
        <w:gridCol w:w="60"/>
        <w:gridCol w:w="93"/>
        <w:gridCol w:w="1486"/>
        <w:gridCol w:w="81"/>
        <w:gridCol w:w="61"/>
        <w:gridCol w:w="686"/>
        <w:gridCol w:w="2093"/>
        <w:gridCol w:w="110"/>
      </w:tblGrid>
      <w:tr>
        <w:tc>
          <w:tcPr>
            <w:tcW w:w="26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50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Nine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2026</w:t>
            </w:r>
          </w:p>
        </w:tc>
        <w:tc>
          <w:tcPr>
            <w:tcW w:w="110" w:type="dxa"/>
            <w:tcBorders/>
            <w:vAlign w:val="center"/>
          </w:tcPr>
          <w:p>
            <w:pPr>
              <w:pStyle w:val="TableContents"/>
              <w:bidi w:val="0"/>
              <w:spacing w:before="0" w:after="283"/>
              <w:jc w:val="left"/>
            </w:pPr>
            <w:r>
              <w:t> </w:t>
            </w:r>
          </w:p>
        </w:tc>
      </w:tr>
      <w:tr>
        <w:tc>
          <w:tcPr>
            <w:tcW w:w="266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57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 options</w:t>
            </w:r>
          </w:p>
        </w:tc>
        <w:tc>
          <w:tcPr>
            <w:tcW w:w="81" w:type="dxa"/>
            <w:tcBorders/>
            <w:vAlign w:val="center"/>
          </w:tcPr>
          <w:p>
            <w:pPr>
              <w:pStyle w:val="TableContents"/>
              <w:bidi w:val="0"/>
              <w:spacing w:before="0" w:after="283"/>
              <w:jc w:val="left"/>
            </w:pPr>
            <w:r>
              <w:t> </w:t>
            </w:r>
          </w:p>
        </w:tc>
        <w:tc>
          <w:tcPr>
            <w:tcW w:w="61" w:type="dxa"/>
            <w:tcBorders/>
            <w:vAlign w:val="center"/>
          </w:tcPr>
          <w:p>
            <w:pPr>
              <w:pStyle w:val="TableContents"/>
              <w:bidi w:val="0"/>
              <w:spacing w:before="0" w:after="283"/>
              <w:jc w:val="left"/>
            </w:pPr>
            <w:r>
              <w:t> </w:t>
            </w:r>
          </w:p>
        </w:tc>
        <w:tc>
          <w:tcPr>
            <w:tcW w:w="27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w:t>
            </w:r>
          </w:p>
        </w:tc>
        <w:tc>
          <w:tcPr>
            <w:tcW w:w="110" w:type="dxa"/>
            <w:tcBorders/>
            <w:vAlign w:val="center"/>
          </w:tcPr>
          <w:p>
            <w:pPr>
              <w:pStyle w:val="TableContents"/>
              <w:bidi w:val="0"/>
              <w:spacing w:before="0" w:after="283"/>
              <w:ind w:left="0" w:right="0" w:hanging="26"/>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beginning</w:t>
              <w:br/>
              <w:t>of the period</w:t>
            </w:r>
          </w:p>
        </w:tc>
        <w:tc>
          <w:tcPr>
            <w:tcW w:w="60"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4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9,283,274</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110" w:type="dxa"/>
            <w:tcBorders/>
            <w:shd w:fill="CCEEFF" w:val="clear"/>
            <w:vAlign w:val="center"/>
          </w:tcPr>
          <w:p>
            <w:pPr>
              <w:pStyle w:val="TableContents"/>
              <w:bidi w:val="0"/>
              <w:spacing w:before="0" w:after="283"/>
              <w:ind w:left="0" w:right="0" w:hanging="26"/>
              <w:jc w:val="left"/>
            </w:pPr>
            <w:r>
              <w:t> </w:t>
            </w:r>
          </w:p>
        </w:tc>
      </w:tr>
      <w:tr>
        <w:tc>
          <w:tcPr>
            <w:tcW w:w="26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486" w:type="dxa"/>
            <w:tcBorders/>
            <w:vAlign w:val="center"/>
          </w:tcPr>
          <w:p>
            <w:pPr>
              <w:pStyle w:val="TableContents"/>
              <w:bidi w:val="0"/>
              <w:spacing w:before="0" w:after="283"/>
              <w:jc w:val="right"/>
            </w:pPr>
            <w:r>
              <w:t> </w:t>
            </w:r>
          </w:p>
        </w:tc>
        <w:tc>
          <w:tcPr>
            <w:tcW w:w="81" w:type="dxa"/>
            <w:tcBorders/>
            <w:vAlign w:val="center"/>
          </w:tcPr>
          <w:p>
            <w:pPr>
              <w:pStyle w:val="TableContents"/>
              <w:bidi w:val="0"/>
              <w:spacing w:before="0" w:after="283"/>
              <w:jc w:val="left"/>
            </w:pPr>
            <w:r>
              <w:t> </w:t>
            </w:r>
          </w:p>
        </w:tc>
        <w:tc>
          <w:tcPr>
            <w:tcW w:w="61" w:type="dxa"/>
            <w:tcBorders/>
            <w:vAlign w:val="center"/>
          </w:tcPr>
          <w:p>
            <w:pPr>
              <w:pStyle w:val="TableContents"/>
              <w:bidi w:val="0"/>
              <w:spacing w:before="0" w:after="283"/>
              <w:jc w:val="left"/>
            </w:pPr>
            <w:r>
              <w:t> </w:t>
            </w:r>
          </w:p>
        </w:tc>
        <w:tc>
          <w:tcPr>
            <w:tcW w:w="686" w:type="dxa"/>
            <w:tcBorders/>
            <w:vAlign w:val="center"/>
          </w:tcPr>
          <w:p>
            <w:pPr>
              <w:pStyle w:val="TableContents"/>
              <w:bidi w:val="0"/>
              <w:spacing w:before="0" w:after="283"/>
              <w:jc w:val="left"/>
            </w:pPr>
            <w:r>
              <w:t> </w:t>
            </w:r>
          </w:p>
        </w:tc>
        <w:tc>
          <w:tcPr>
            <w:tcW w:w="2093" w:type="dxa"/>
            <w:tcBorders/>
            <w:vAlign w:val="center"/>
          </w:tcPr>
          <w:p>
            <w:pPr>
              <w:pStyle w:val="TableContents"/>
              <w:bidi w:val="0"/>
              <w:spacing w:before="0" w:after="283"/>
              <w:jc w:val="right"/>
            </w:pPr>
            <w:r>
              <w:t> </w:t>
            </w:r>
          </w:p>
        </w:tc>
        <w:tc>
          <w:tcPr>
            <w:tcW w:w="110" w:type="dxa"/>
            <w:tcBorders/>
            <w:vAlign w:val="center"/>
          </w:tcPr>
          <w:p>
            <w:pPr>
              <w:pStyle w:val="TableContents"/>
              <w:bidi w:val="0"/>
              <w:spacing w:before="0" w:after="283"/>
              <w:ind w:left="0" w:right="0" w:hanging="26"/>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4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2,849,312</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86" w:type="dxa"/>
            <w:tcBorders/>
            <w:shd w:fill="CCEEFF" w:val="clear"/>
            <w:vAlign w:val="center"/>
          </w:tcPr>
          <w:p>
            <w:pPr>
              <w:pStyle w:val="TableContents"/>
              <w:bidi w:val="0"/>
              <w:spacing w:before="0" w:after="283"/>
              <w:jc w:val="left"/>
            </w:pPr>
            <w:r>
              <w:t> </w:t>
            </w:r>
          </w:p>
        </w:tc>
        <w:tc>
          <w:tcPr>
            <w:tcW w:w="20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110" w:type="dxa"/>
            <w:tcBorders/>
            <w:shd w:fill="CCEEFF" w:val="clear"/>
            <w:vAlign w:val="center"/>
          </w:tcPr>
          <w:p>
            <w:pPr>
              <w:pStyle w:val="TableContents"/>
              <w:bidi w:val="0"/>
              <w:spacing w:before="0" w:after="283"/>
              <w:ind w:left="0" w:right="0" w:hanging="26"/>
              <w:jc w:val="left"/>
            </w:pPr>
            <w:r>
              <w:t> </w:t>
            </w:r>
          </w:p>
        </w:tc>
      </w:tr>
      <w:t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4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(410,308</w:t>
            </w:r>
          </w:p>
        </w:tc>
        <w:tc>
          <w:tcPr>
            <w:tcW w:w="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vAlign w:val="center"/>
          </w:tcPr>
          <w:p>
            <w:pPr>
              <w:pStyle w:val="TableContents"/>
              <w:bidi w:val="0"/>
              <w:spacing w:before="0" w:after="283"/>
              <w:jc w:val="left"/>
            </w:pPr>
            <w:r>
              <w:t> </w:t>
            </w:r>
          </w:p>
        </w:tc>
        <w:tc>
          <w:tcPr>
            <w:tcW w:w="686" w:type="dxa"/>
            <w:tcBorders/>
            <w:vAlign w:val="center"/>
          </w:tcPr>
          <w:p>
            <w:pPr>
              <w:pStyle w:val="TableContents"/>
              <w:bidi w:val="0"/>
              <w:spacing w:before="0" w:after="283"/>
              <w:jc w:val="left"/>
            </w:pPr>
            <w:r>
              <w:t> </w:t>
            </w:r>
          </w:p>
        </w:tc>
        <w:tc>
          <w:tcPr>
            <w:tcW w:w="209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w:t>
            </w:r>
          </w:p>
        </w:tc>
        <w:tc>
          <w:tcPr>
            <w:tcW w:w="110" w:type="dxa"/>
            <w:tcBorders/>
            <w:vAlign w:val="center"/>
          </w:tcPr>
          <w:p>
            <w:pPr>
              <w:pStyle w:val="TableContents"/>
              <w:bidi w:val="0"/>
              <w:spacing w:before="0" w:after="283"/>
              <w:ind w:left="0" w:right="0" w:hanging="26"/>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4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(93,137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pPr>
            <w:r>
              <w:t> </w:t>
            </w:r>
          </w:p>
        </w:tc>
        <w:tc>
          <w:tcPr>
            <w:tcW w:w="686" w:type="dxa"/>
            <w:tcBorders/>
            <w:shd w:fill="CCEEFF" w:val="clear"/>
            <w:vAlign w:val="center"/>
          </w:tcPr>
          <w:p>
            <w:pPr>
              <w:pStyle w:val="TableContents"/>
              <w:bidi w:val="0"/>
              <w:spacing w:before="0" w:after="283"/>
              <w:jc w:val="left"/>
            </w:pPr>
            <w:r>
              <w:t> </w:t>
            </w:r>
          </w:p>
        </w:tc>
        <w:tc>
          <w:tcPr>
            <w:tcW w:w="20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w:t>
            </w:r>
          </w:p>
        </w:tc>
        <w:tc>
          <w:tcPr>
            <w:tcW w:w="110" w:type="dxa"/>
            <w:tcBorders/>
            <w:shd w:fill="CCEEFF" w:val="clear"/>
            <w:vAlign w:val="center"/>
          </w:tcPr>
          <w:p>
            <w:pPr>
              <w:pStyle w:val="TableContents"/>
              <w:bidi w:val="0"/>
              <w:spacing w:before="0" w:after="283"/>
              <w:ind w:left="0" w:right="0" w:hanging="168"/>
              <w:jc w:val="left"/>
            </w:pPr>
            <w:r>
              <w:t> </w:t>
            </w:r>
          </w:p>
        </w:tc>
      </w:tr>
      <w:t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60" w:type="dxa"/>
            <w:tcBorders/>
            <w:vAlign w:val="center"/>
          </w:tcPr>
          <w:p>
            <w:pPr>
              <w:pStyle w:val="TableContents"/>
              <w:bidi w:val="0"/>
              <w:spacing w:before="0" w:after="283"/>
              <w:jc w:val="left"/>
            </w:pPr>
            <w:r>
              <w:t> </w:t>
            </w:r>
          </w:p>
        </w:tc>
        <w:tc>
          <w:tcPr>
            <w:tcW w:w="93" w:type="dxa"/>
            <w:tcBorders>
              <w:bottom w:val="single" w:sz="8" w:space="0" w:color="000000"/>
            </w:tcBorders>
            <w:tcMar>
              <w:bottom w:w="28" w:type="dxa"/>
            </w:tcMar>
            <w:vAlign w:val="center"/>
          </w:tcPr>
          <w:p>
            <w:pPr>
              <w:pStyle w:val="TableContents"/>
              <w:bidi w:val="0"/>
              <w:spacing w:before="0" w:after="283"/>
              <w:jc w:val="left"/>
            </w:pPr>
            <w:r>
              <w:t> </w:t>
            </w:r>
          </w:p>
        </w:tc>
        <w:tc>
          <w:tcPr>
            <w:tcW w:w="148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(411,112</w:t>
            </w:r>
          </w:p>
        </w:tc>
        <w:tc>
          <w:tcPr>
            <w:tcW w:w="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vAlign w:val="center"/>
          </w:tcPr>
          <w:p>
            <w:pPr>
              <w:pStyle w:val="TableContents"/>
              <w:bidi w:val="0"/>
              <w:spacing w:before="0" w:after="283"/>
              <w:jc w:val="left"/>
            </w:pPr>
            <w:r>
              <w:t> </w:t>
            </w:r>
          </w:p>
        </w:tc>
        <w:tc>
          <w:tcPr>
            <w:tcW w:w="686" w:type="dxa"/>
            <w:tcBorders>
              <w:bottom w:val="single" w:sz="8" w:space="0" w:color="000000"/>
            </w:tcBorders>
            <w:tcMar>
              <w:bottom w:w="28" w:type="dxa"/>
            </w:tcMar>
            <w:vAlign w:val="center"/>
          </w:tcPr>
          <w:p>
            <w:pPr>
              <w:pStyle w:val="TableContents"/>
              <w:bidi w:val="0"/>
              <w:spacing w:before="0" w:after="283"/>
              <w:jc w:val="left"/>
            </w:pPr>
            <w:r>
              <w:t> </w:t>
            </w:r>
          </w:p>
        </w:tc>
        <w:tc>
          <w:tcPr>
            <w:tcW w:w="209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w:t>
            </w:r>
          </w:p>
        </w:tc>
        <w:tc>
          <w:tcPr>
            <w:tcW w:w="110" w:type="dxa"/>
            <w:tcBorders/>
            <w:vAlign w:val="center"/>
          </w:tcPr>
          <w:p>
            <w:pPr>
              <w:pStyle w:val="TableContents"/>
              <w:bidi w:val="0"/>
              <w:spacing w:before="0" w:after="283"/>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end of the period</w:t>
            </w:r>
          </w:p>
        </w:tc>
        <w:tc>
          <w:tcPr>
            <w:tcW w:w="60" w:type="dxa"/>
            <w:tcBorders/>
            <w:shd w:fill="CCEEFF" w:val="clear"/>
            <w:vAlign w:val="center"/>
          </w:tcPr>
          <w:p>
            <w:pPr>
              <w:pStyle w:val="TableContents"/>
              <w:bidi w:val="0"/>
              <w:spacing w:before="0" w:after="283"/>
              <w:jc w:val="left"/>
            </w:pPr>
            <w: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4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11,218,029</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110" w:type="dxa"/>
            <w:tcBorders/>
            <w:shd w:fill="CCEEFF" w:val="clear"/>
            <w:vAlign w:val="center"/>
          </w:tcPr>
          <w:p>
            <w:pPr>
              <w:pStyle w:val="TableContents"/>
              <w:bidi w:val="0"/>
              <w:spacing w:before="0" w:after="283"/>
              <w:ind w:left="0" w:right="0" w:firstLine="35"/>
              <w:jc w:val="left"/>
            </w:pPr>
            <w:r>
              <w:t> </w:t>
            </w:r>
          </w:p>
        </w:tc>
      </w:tr>
      <w:t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Exercisable at end of the period</w:t>
            </w:r>
          </w:p>
        </w:tc>
        <w:tc>
          <w:tcPr>
            <w:tcW w:w="60" w:type="dxa"/>
            <w:tcBorders/>
            <w:vAlign w:val="center"/>
          </w:tcPr>
          <w:p>
            <w:pPr>
              <w:pStyle w:val="TableContents"/>
              <w:bidi w:val="0"/>
              <w:spacing w:before="0" w:after="283"/>
              <w:jc w:val="left"/>
            </w:pPr>
            <w:r>
              <w:t> </w:t>
            </w:r>
          </w:p>
        </w:tc>
        <w:tc>
          <w:tcPr>
            <w:tcW w:w="93" w:type="dxa"/>
            <w:tcBorders>
              <w:bottom w:val="double" w:sz="6" w:space="0" w:color="000000"/>
            </w:tcBorders>
            <w:tcMar>
              <w:bottom w:w="28" w:type="dxa"/>
            </w:tcMar>
            <w:vAlign w:val="center"/>
          </w:tcPr>
          <w:p>
            <w:pPr>
              <w:pStyle w:val="TableContents"/>
              <w:bidi w:val="0"/>
              <w:spacing w:before="0" w:after="283"/>
              <w:jc w:val="left"/>
            </w:pPr>
            <w:r>
              <w:t> </w:t>
            </w:r>
          </w:p>
        </w:tc>
        <w:tc>
          <w:tcPr>
            <w:tcW w:w="148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7,036,150</w:t>
            </w:r>
          </w:p>
        </w:tc>
        <w:tc>
          <w:tcPr>
            <w:tcW w:w="81" w:type="dxa"/>
            <w:tcBorders/>
            <w:vAlign w:val="center"/>
          </w:tcPr>
          <w:p>
            <w:pPr>
              <w:pStyle w:val="TableContents"/>
              <w:bidi w:val="0"/>
              <w:spacing w:before="0" w:after="283"/>
              <w:jc w:val="left"/>
            </w:pPr>
            <w:r>
              <w:t> </w:t>
            </w:r>
          </w:p>
        </w:tc>
        <w:tc>
          <w:tcPr>
            <w:tcW w:w="61" w:type="dxa"/>
            <w:tcBorders/>
            <w:vAlign w:val="center"/>
          </w:tcPr>
          <w:p>
            <w:pPr>
              <w:pStyle w:val="TableContents"/>
              <w:bidi w:val="0"/>
              <w:spacing w:before="0" w:after="283"/>
              <w:jc w:val="left"/>
            </w:pPr>
            <w:r>
              <w:t> </w:t>
            </w:r>
          </w:p>
        </w:tc>
        <w:tc>
          <w:tcPr>
            <w:tcW w:w="686"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9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110"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double" w:sz="2" w:space="0" w:color="808080"/>
        </w:pBdr>
        <w:bidi w:val="0"/>
        <w:spacing w:before="0" w:after="283"/>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4 - EQUITY AND SHARE-BASED COMPENSATION (Cont.)</w:t>
      </w:r>
    </w:p>
    <w:p>
      <w:pPr>
        <w:pStyle w:val="TextBody"/>
        <w:bidi w:val="0"/>
        <w:spacing w:lineRule="auto" w:line="300" w:before="0" w:after="0"/>
        <w:jc w:val="left"/>
      </w:pPr>
      <w:r>
        <w:t> </w:t>
      </w:r>
    </w:p>
    <w:p>
      <w:pPr>
        <w:pStyle w:val="TextBody"/>
        <w:bidi w:val="0"/>
        <w:spacing w:lineRule="auto" w:line="300" w:before="0" w:after="0"/>
        <w:ind w:left="1080" w:right="0" w:hanging="0"/>
        <w:jc w:val="left"/>
      </w:pPr>
      <w:r>
        <w:rPr>
          <w:rStyle w:val="StrongEmphasis"/>
          <w:rFonts w:ascii="Times New Roman;Times;serif" w:hAnsi="Times New Roman;Times;serif"/>
          <w:b/>
          <w:sz w:val="20"/>
        </w:rPr>
        <w:t>Share-based Compensation (Cont.):</w:t>
      </w:r>
    </w:p>
    <w:tbl>
      <w:tblPr>
        <w:tblW w:w="6799" w:type="dxa"/>
        <w:jc w:val="left"/>
        <w:tblInd w:w="1080" w:type="dxa"/>
        <w:tblLayout w:type="fixed"/>
        <w:tblCellMar>
          <w:top w:w="0" w:type="dxa"/>
          <w:left w:w="0" w:type="dxa"/>
          <w:bottom w:w="0" w:type="dxa"/>
          <w:right w:w="0" w:type="dxa"/>
        </w:tblCellMar>
      </w:tblPr>
      <w:tblGrid>
        <w:gridCol w:w="2660"/>
        <w:gridCol w:w="60"/>
        <w:gridCol w:w="62"/>
        <w:gridCol w:w="984"/>
        <w:gridCol w:w="82"/>
        <w:gridCol w:w="62"/>
        <w:gridCol w:w="746"/>
        <w:gridCol w:w="2033"/>
        <w:gridCol w:w="110"/>
      </w:tblGrid>
      <w:tr>
        <w:tc>
          <w:tcPr>
            <w:tcW w:w="26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969"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2026</w:t>
            </w:r>
          </w:p>
        </w:tc>
        <w:tc>
          <w:tcPr>
            <w:tcW w:w="110" w:type="dxa"/>
            <w:tcBorders/>
            <w:vAlign w:val="center"/>
          </w:tcPr>
          <w:p>
            <w:pPr>
              <w:pStyle w:val="TableContents"/>
              <w:bidi w:val="0"/>
              <w:spacing w:before="0" w:after="283"/>
              <w:jc w:val="left"/>
            </w:pPr>
            <w:r>
              <w:t> </w:t>
            </w:r>
          </w:p>
        </w:tc>
      </w:tr>
      <w:tr>
        <w:tc>
          <w:tcPr>
            <w:tcW w:w="266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04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options</w:t>
            </w:r>
          </w:p>
        </w:tc>
        <w:tc>
          <w:tcPr>
            <w:tcW w:w="8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27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w:t>
            </w:r>
          </w:p>
        </w:tc>
        <w:tc>
          <w:tcPr>
            <w:tcW w:w="110" w:type="dxa"/>
            <w:tcBorders/>
            <w:vAlign w:val="center"/>
          </w:tcPr>
          <w:p>
            <w:pPr>
              <w:pStyle w:val="TableContents"/>
              <w:bidi w:val="0"/>
              <w:spacing w:before="0" w:after="283"/>
              <w:ind w:left="0" w:right="0" w:hanging="26"/>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beginning</w:t>
              <w:br/>
              <w:t>of the period</w:t>
            </w:r>
          </w:p>
        </w:tc>
        <w:tc>
          <w:tcPr>
            <w:tcW w:w="60"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9,189,929</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746" w:type="dxa"/>
            <w:tcBorders/>
            <w:shd w:fill="CCEEFF" w:val="clear"/>
            <w:vAlign w:val="center"/>
          </w:tcPr>
          <w:p>
            <w:pPr>
              <w:pStyle w:val="TableContents"/>
              <w:bidi w:val="0"/>
              <w:spacing w:before="0" w:after="283"/>
              <w:jc w:val="left"/>
            </w:pPr>
            <w:r>
              <w:t>$</w:t>
            </w:r>
          </w:p>
        </w:tc>
        <w:tc>
          <w:tcPr>
            <w:tcW w:w="2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110" w:type="dxa"/>
            <w:tcBorders/>
            <w:shd w:fill="CCEEFF" w:val="clear"/>
            <w:vAlign w:val="center"/>
          </w:tcPr>
          <w:p>
            <w:pPr>
              <w:pStyle w:val="TableContents"/>
              <w:bidi w:val="0"/>
              <w:spacing w:before="0" w:after="283"/>
              <w:ind w:left="0" w:right="0" w:hanging="26"/>
              <w:jc w:val="left"/>
            </w:pPr>
            <w:r>
              <w:t> </w:t>
            </w:r>
          </w:p>
        </w:tc>
      </w:tr>
      <w:tr>
        <w:tc>
          <w:tcPr>
            <w:tcW w:w="26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984" w:type="dxa"/>
            <w:tcBorders/>
            <w:vAlign w:val="center"/>
          </w:tcPr>
          <w:p>
            <w:pPr>
              <w:pStyle w:val="TableContents"/>
              <w:bidi w:val="0"/>
              <w:spacing w:before="0" w:after="283"/>
              <w:jc w:val="right"/>
            </w:pPr>
            <w:r>
              <w:t> </w:t>
            </w:r>
          </w:p>
        </w:tc>
        <w:tc>
          <w:tcPr>
            <w:tcW w:w="8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746" w:type="dxa"/>
            <w:tcBorders/>
            <w:vAlign w:val="center"/>
          </w:tcPr>
          <w:p>
            <w:pPr>
              <w:pStyle w:val="TableContents"/>
              <w:bidi w:val="0"/>
              <w:spacing w:before="0" w:after="283"/>
              <w:jc w:val="left"/>
            </w:pPr>
            <w:r>
              <w:t> </w:t>
            </w:r>
          </w:p>
        </w:tc>
        <w:tc>
          <w:tcPr>
            <w:tcW w:w="2033" w:type="dxa"/>
            <w:tcBorders/>
            <w:vAlign w:val="center"/>
          </w:tcPr>
          <w:p>
            <w:pPr>
              <w:pStyle w:val="TableContents"/>
              <w:bidi w:val="0"/>
              <w:spacing w:before="0" w:after="283"/>
              <w:jc w:val="right"/>
            </w:pPr>
            <w:r>
              <w:t> </w:t>
            </w:r>
          </w:p>
        </w:tc>
        <w:tc>
          <w:tcPr>
            <w:tcW w:w="110" w:type="dxa"/>
            <w:tcBorders/>
            <w:vAlign w:val="center"/>
          </w:tcPr>
          <w:p>
            <w:pPr>
              <w:pStyle w:val="TableContents"/>
              <w:bidi w:val="0"/>
              <w:spacing w:before="0" w:after="283"/>
              <w:ind w:left="0" w:right="0" w:hanging="26"/>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2,069,787</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746" w:type="dxa"/>
            <w:tcBorders/>
            <w:shd w:fill="CCEEFF" w:val="clear"/>
            <w:vAlign w:val="center"/>
          </w:tcPr>
          <w:p>
            <w:pPr>
              <w:pStyle w:val="TableContents"/>
              <w:bidi w:val="0"/>
              <w:spacing w:before="0" w:after="283"/>
              <w:jc w:val="left"/>
            </w:pPr>
            <w:r>
              <w:t> </w:t>
            </w:r>
          </w:p>
        </w:tc>
        <w:tc>
          <w:tcPr>
            <w:tcW w:w="2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110" w:type="dxa"/>
            <w:tcBorders/>
            <w:shd w:fill="CCEEFF" w:val="clear"/>
            <w:vAlign w:val="center"/>
          </w:tcPr>
          <w:p>
            <w:pPr>
              <w:pStyle w:val="TableContents"/>
              <w:bidi w:val="0"/>
              <w:spacing w:before="0" w:after="283"/>
              <w:ind w:left="0" w:right="0" w:hanging="26"/>
              <w:jc w:val="left"/>
            </w:pPr>
            <w:r>
              <w:t> </w:t>
            </w:r>
          </w:p>
        </w:tc>
      </w:tr>
      <w:t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9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(15,560</w:t>
            </w:r>
          </w:p>
        </w:tc>
        <w:tc>
          <w:tcPr>
            <w:tcW w:w="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pPr>
            <w:r>
              <w:t> </w:t>
            </w:r>
          </w:p>
        </w:tc>
        <w:tc>
          <w:tcPr>
            <w:tcW w:w="746" w:type="dxa"/>
            <w:tcBorders/>
            <w:vAlign w:val="center"/>
          </w:tcPr>
          <w:p>
            <w:pPr>
              <w:pStyle w:val="TableContents"/>
              <w:bidi w:val="0"/>
              <w:spacing w:before="0" w:after="283"/>
              <w:jc w:val="left"/>
            </w:pPr>
            <w:r>
              <w:t> </w:t>
            </w:r>
          </w:p>
        </w:tc>
        <w:tc>
          <w:tcPr>
            <w:tcW w:w="203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110" w:type="dxa"/>
            <w:tcBorders/>
            <w:vAlign w:val="center"/>
          </w:tcPr>
          <w:p>
            <w:pPr>
              <w:pStyle w:val="TableContents"/>
              <w:bidi w:val="0"/>
              <w:spacing w:before="0" w:after="283"/>
              <w:ind w:left="0" w:right="0" w:hanging="168"/>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pPr>
            <w: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(26,127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pPr>
            <w: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20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w:t>
            </w:r>
          </w:p>
        </w:tc>
        <w:tc>
          <w:tcPr>
            <w:tcW w:w="110" w:type="dxa"/>
            <w:tcBorders/>
            <w:shd w:fill="CCEEFF" w:val="clear"/>
            <w:vAlign w:val="center"/>
          </w:tcPr>
          <w:p>
            <w:pPr>
              <w:pStyle w:val="TableContents"/>
              <w:bidi w:val="0"/>
              <w:spacing w:before="0" w:after="283"/>
              <w:jc w:val="left"/>
            </w:pPr>
            <w:r>
              <w:t> </w:t>
            </w:r>
          </w:p>
        </w:tc>
      </w:tr>
      <w:t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end of the period</w:t>
            </w:r>
          </w:p>
        </w:tc>
        <w:tc>
          <w:tcPr>
            <w:tcW w:w="60" w:type="dxa"/>
            <w:tcBorders/>
            <w:vAlign w:val="center"/>
          </w:tcPr>
          <w:p>
            <w:pPr>
              <w:pStyle w:val="TableContents"/>
              <w:bidi w:val="0"/>
              <w:spacing w:before="0" w:after="283"/>
              <w:jc w:val="left"/>
            </w:pPr>
            <w:r>
              <w:t> </w:t>
            </w:r>
          </w:p>
        </w:tc>
        <w:tc>
          <w:tcPr>
            <w:tcW w:w="62" w:type="dxa"/>
            <w:tcBorders>
              <w:bottom w:val="double" w:sz="6" w:space="0" w:color="000000"/>
            </w:tcBorders>
            <w:tcMar>
              <w:bottom w:w="28" w:type="dxa"/>
            </w:tcMar>
            <w:vAlign w:val="center"/>
          </w:tcPr>
          <w:p>
            <w:pPr>
              <w:pStyle w:val="TableContents"/>
              <w:bidi w:val="0"/>
              <w:spacing w:before="0" w:after="283"/>
              <w:jc w:val="left"/>
            </w:pPr>
            <w:r>
              <w:t> </w:t>
            </w:r>
          </w:p>
        </w:tc>
        <w:tc>
          <w:tcPr>
            <w:tcW w:w="984"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11,218,029</w:t>
            </w:r>
          </w:p>
        </w:tc>
        <w:tc>
          <w:tcPr>
            <w:tcW w:w="8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746" w:type="dxa"/>
            <w:tcBorders>
              <w:bottom w:val="double" w:sz="6" w:space="0" w:color="000000"/>
            </w:tcBorders>
            <w:tcMar>
              <w:bottom w:w="28" w:type="dxa"/>
            </w:tcMar>
            <w:vAlign w:val="center"/>
          </w:tcPr>
          <w:p>
            <w:pPr>
              <w:pStyle w:val="TableContents"/>
              <w:bidi w:val="0"/>
              <w:spacing w:before="0" w:after="283"/>
              <w:jc w:val="left"/>
            </w:pPr>
            <w:r>
              <w:t>$</w:t>
            </w:r>
          </w:p>
        </w:tc>
        <w:tc>
          <w:tcPr>
            <w:tcW w:w="203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110" w:type="dxa"/>
            <w:tcBorders/>
            <w:vAlign w:val="center"/>
          </w:tcPr>
          <w:p>
            <w:pPr>
              <w:pStyle w:val="TableContents"/>
              <w:bidi w:val="0"/>
              <w:spacing w:before="0" w:after="283"/>
              <w:ind w:left="0" w:right="0" w:firstLine="35"/>
              <w:jc w:val="left"/>
            </w:pPr>
            <w:r>
              <w:t> </w:t>
            </w:r>
          </w:p>
        </w:tc>
      </w:tr>
      <w:t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Exercisable at end of the period</w:t>
            </w:r>
          </w:p>
        </w:tc>
        <w:tc>
          <w:tcPr>
            <w:tcW w:w="60" w:type="dxa"/>
            <w:tcBorders/>
            <w:shd w:fill="CCEEFF" w:val="clear"/>
            <w:vAlign w:val="center"/>
          </w:tcPr>
          <w:p>
            <w:pPr>
              <w:pStyle w:val="TableContents"/>
              <w:bidi w:val="0"/>
              <w:spacing w:before="0" w:after="283"/>
              <w:jc w:val="left"/>
            </w:pPr>
            <w: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7,036,150</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746" w:type="dxa"/>
            <w:tcBorders>
              <w:bottom w:val="double" w:sz="6"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11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value of each option granted was estimated as of the date of grant using the Black-Scholes option-pricing model, using the following assumptions:</w:t>
            </w:r>
          </w:p>
        </w:tc>
      </w:tr>
    </w:tbl>
    <w:p>
      <w:pPr>
        <w:pStyle w:val="TextBody"/>
        <w:bidi w:val="0"/>
        <w:spacing w:before="0" w:after="0"/>
        <w:jc w:val="left"/>
        <w:rPr>
          <w:caps w:val="false"/>
          <w:smallCaps w:val="false"/>
        </w:rPr>
      </w:pPr>
      <w:r>
        <w:rPr>
          <w:caps w:val="false"/>
          <w:smallCaps w:val="false"/>
        </w:rPr>
        <w:t> </w:t>
      </w:r>
    </w:p>
    <w:tbl>
      <w:tblPr>
        <w:tblW w:w="3670" w:type="dxa"/>
        <w:jc w:val="left"/>
        <w:tblInd w:w="1080" w:type="dxa"/>
        <w:tblLayout w:type="fixed"/>
        <w:tblCellMar>
          <w:top w:w="0" w:type="dxa"/>
          <w:left w:w="0" w:type="dxa"/>
          <w:bottom w:w="0" w:type="dxa"/>
          <w:right w:w="0" w:type="dxa"/>
        </w:tblCellMar>
      </w:tblPr>
      <w:tblGrid>
        <w:gridCol w:w="1895"/>
        <w:gridCol w:w="60"/>
        <w:gridCol w:w="1640"/>
        <w:gridCol w:w="75"/>
      </w:tblGrid>
      <w:tr>
        <w:tc>
          <w:tcPr>
            <w:tcW w:w="18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640" w:type="dxa"/>
            <w:tcBorders>
              <w:bottom w:val="single" w:sz="4" w:space="0" w:color="000000"/>
            </w:tcBorders>
            <w:tcMar>
              <w:bottom w:w="28" w:type="dxa"/>
            </w:tcMar>
            <w:vAlign w:val="center"/>
          </w:tcPr>
          <w:p>
            <w:pPr>
              <w:pStyle w:val="TableContents"/>
              <w:bidi w:val="0"/>
              <w:spacing w:before="0" w:after="0"/>
              <w:ind w:left="0" w:right="0" w:hanging="0"/>
              <w:jc w:val="center"/>
            </w:pPr>
            <w:r>
              <w:rPr>
                <w:rStyle w:val="StrongEmphasis"/>
                <w:rFonts w:ascii="Times New Roman;Times;serif" w:hAnsi="Times New Roman;Times;serif"/>
                <w:b w:val="false"/>
                <w:i w:val="false"/>
                <w:caps w:val="false"/>
                <w:smallCaps w:val="false"/>
                <w:sz w:val="20"/>
              </w:rPr>
              <w:t>Nine months ended</w:t>
            </w:r>
          </w:p>
          <w:p>
            <w:pPr>
              <w:pStyle w:val="TableContents"/>
              <w:bidi w:val="0"/>
              <w:spacing w:before="0" w:after="0"/>
              <w:ind w:left="0" w:right="0" w:hanging="0"/>
              <w:jc w:val="center"/>
            </w:pPr>
            <w:r>
              <w:rPr>
                <w:rStyle w:val="StrongEmphasis"/>
                <w:rFonts w:ascii="Times New Roman;Times;serif" w:hAnsi="Times New Roman;Times;serif"/>
                <w:b w:val="false"/>
                <w:i w:val="false"/>
                <w:caps w:val="false"/>
                <w:smallCaps w:val="false"/>
                <w:sz w:val="20"/>
              </w:rPr>
              <w:t>September 30, 2026</w:t>
            </w:r>
          </w:p>
        </w:tc>
        <w:tc>
          <w:tcPr>
            <w:tcW w:w="75" w:type="dxa"/>
            <w:tcBorders/>
            <w:vAlign w:val="center"/>
          </w:tcPr>
          <w:p>
            <w:pPr>
              <w:pStyle w:val="TableContents"/>
              <w:bidi w:val="0"/>
              <w:spacing w:before="0" w:after="283"/>
              <w:jc w:val="left"/>
            </w:pPr>
            <w:r>
              <w:t> </w:t>
            </w:r>
          </w:p>
        </w:tc>
      </w:tr>
      <w:tr>
        <w:tc>
          <w:tcPr>
            <w:tcW w:w="18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pPr>
            <w:r>
              <w:t> </w:t>
            </w:r>
          </w:p>
        </w:tc>
        <w:tc>
          <w:tcPr>
            <w:tcW w:w="16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$1.37-$2.81</w:t>
            </w:r>
          </w:p>
        </w:tc>
        <w:tc>
          <w:tcPr>
            <w:tcW w:w="75" w:type="dxa"/>
            <w:tcBorders/>
            <w:shd w:fill="CCEEFF" w:val="clear"/>
            <w:vAlign w:val="center"/>
          </w:tcPr>
          <w:p>
            <w:pPr>
              <w:pStyle w:val="TableContents"/>
              <w:bidi w:val="0"/>
              <w:spacing w:before="0" w:after="283"/>
              <w:jc w:val="left"/>
            </w:pPr>
            <w:r>
              <w:t> </w:t>
            </w:r>
          </w:p>
        </w:tc>
      </w:tr>
      <w:t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vAlign w:val="center"/>
          </w:tcPr>
          <w:p>
            <w:pPr>
              <w:pStyle w:val="TableContents"/>
              <w:bidi w:val="0"/>
              <w:spacing w:before="0" w:after="283"/>
              <w:jc w:val="left"/>
            </w:pPr>
            <w:r>
              <w:t> </w:t>
            </w:r>
          </w:p>
        </w:tc>
        <w:tc>
          <w:tcPr>
            <w:tcW w:w="1640" w:type="dxa"/>
            <w:tcBorders>
              <w:bottom w:val="double" w:sz="6"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pPr>
            <w:r>
              <w:t> </w:t>
            </w:r>
          </w:p>
        </w:tc>
      </w:tr>
      <w:tr>
        <w:tc>
          <w:tcPr>
            <w:tcW w:w="18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pPr>
            <w:r>
              <w:t> </w:t>
            </w:r>
          </w:p>
        </w:tc>
        <w:tc>
          <w:tcPr>
            <w:tcW w:w="16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84.2%-86.4%</w:t>
            </w:r>
          </w:p>
        </w:tc>
        <w:tc>
          <w:tcPr>
            <w:tcW w:w="75" w:type="dxa"/>
            <w:tcBorders/>
            <w:shd w:fill="CCEEFF" w:val="clear"/>
            <w:vAlign w:val="center"/>
          </w:tcPr>
          <w:p>
            <w:pPr>
              <w:pStyle w:val="TableContents"/>
              <w:bidi w:val="0"/>
              <w:spacing w:before="0" w:after="283"/>
              <w:jc w:val="left"/>
            </w:pPr>
            <w:r>
              <w:t> </w:t>
            </w:r>
          </w:p>
        </w:tc>
      </w:tr>
      <w:t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vAlign w:val="center"/>
          </w:tcPr>
          <w:p>
            <w:pPr>
              <w:pStyle w:val="TableContents"/>
              <w:bidi w:val="0"/>
              <w:spacing w:before="0" w:after="283"/>
              <w:jc w:val="left"/>
            </w:pPr>
            <w:r>
              <w:t> </w:t>
            </w:r>
          </w:p>
        </w:tc>
        <w:tc>
          <w:tcPr>
            <w:tcW w:w="164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3.74%-4.42%</w:t>
            </w:r>
          </w:p>
        </w:tc>
        <w:tc>
          <w:tcPr>
            <w:tcW w:w="75" w:type="dxa"/>
            <w:tcBorders/>
            <w:vAlign w:val="center"/>
          </w:tcPr>
          <w:p>
            <w:pPr>
              <w:pStyle w:val="TableContents"/>
              <w:bidi w:val="0"/>
              <w:spacing w:before="0" w:after="283"/>
              <w:jc w:val="left"/>
            </w:pPr>
            <w:r>
              <w:t> </w:t>
            </w:r>
          </w:p>
        </w:tc>
      </w:tr>
      <w:tr>
        <w:tc>
          <w:tcPr>
            <w:tcW w:w="18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life - in years</w:t>
            </w:r>
          </w:p>
        </w:tc>
        <w:tc>
          <w:tcPr>
            <w:tcW w:w="60" w:type="dxa"/>
            <w:tcBorders/>
            <w:shd w:fill="CCEEFF" w:val="clear"/>
            <w:vAlign w:val="center"/>
          </w:tcPr>
          <w:p>
            <w:pPr>
              <w:pStyle w:val="TableContents"/>
              <w:bidi w:val="0"/>
              <w:spacing w:before="0" w:after="283"/>
              <w:jc w:val="left"/>
            </w:pPr>
            <w:r>
              <w:t> </w:t>
            </w:r>
          </w:p>
        </w:tc>
        <w:tc>
          <w:tcPr>
            <w:tcW w:w="16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7, 2026, the board of directors approved the grant of 734,428 RSUs to executive officers and service providers, of which 420,559 RSUs were subject to shareholder approval, which was obtained at a meeting of the Company’s shareholders held on July 14, 2026. The RSUs vest in four equal quarterly installments over a one-year period that started on May 1, 2026. The fair value of the 313,869 RSUs that were not subject to shareholder approval was $430 thousand at the date of grant. The grant date for accounting purposes of the 420,559 RSUs subject to shareholder approval was July 14, 2026, and their fair value at the grant date was $681 thousand.</w:t>
            </w:r>
          </w:p>
        </w:tc>
      </w:tr>
    </w:tbl>
    <w:p>
      <w:pPr>
        <w:pStyle w:val="TextBody"/>
        <w:bidi w:val="0"/>
        <w:spacing w:before="0" w:after="0"/>
        <w:jc w:val="center"/>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double" w:sz="2" w:space="0" w:color="808080"/>
        </w:pBdr>
        <w:bidi w:val="0"/>
        <w:spacing w:before="0" w:after="283"/>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EQUITY AND SHARE-BASED COMPENSATION (Cont.)</w:t>
      </w:r>
    </w:p>
    <w:p>
      <w:pPr>
        <w:pStyle w:val="TextBody"/>
        <w:bidi w:val="0"/>
        <w:spacing w:before="0" w:after="0"/>
        <w:ind w:left="0" w:right="0" w:hanging="0"/>
        <w:jc w:val="left"/>
      </w:pPr>
      <w:r>
        <w:t> </w:t>
      </w:r>
    </w:p>
    <w:p>
      <w:pPr>
        <w:pStyle w:val="TextBody"/>
        <w:bidi w:val="0"/>
        <w:spacing w:before="0" w:after="0"/>
        <w:ind w:left="1080" w:right="0" w:hanging="0"/>
        <w:jc w:val="both"/>
      </w:pPr>
      <w:r>
        <w:rPr>
          <w:rStyle w:val="StrongEmphasis"/>
          <w:rFonts w:ascii="Times New Roman;Times;serif" w:hAnsi="Times New Roman;Times;serif"/>
          <w:b/>
          <w:i w:val="false"/>
          <w:caps w:val="false"/>
          <w:smallCaps w:val="false"/>
          <w:sz w:val="20"/>
        </w:rPr>
        <w:t>Share-based Compensation (Cont.):</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c>
          <w:tcPr>
            <w:tcW w:w="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In connection with the transactions contemplated by the July 2026 Private Placement, on September 16, 2026, the Company's Board of Directors approved one-time equity awards to the Company's Chief Executive Officer, Chief Financial Officer, Chief Operating Officer and Chief of Research and Development, consisting of 3,351,790 RSUs and 8,438,729 options to purchase an aggregate of 11,790,519 ordinary shares. The options have an exercise price of $2.96 per share and vest over three years, while the RSUs vest ratably on a quarterly basis over one year.</w:t>
            </w:r>
          </w:p>
          <w:p>
            <w:pPr>
              <w:pStyle w:val="TableContents"/>
              <w:bidi w:val="0"/>
              <w:jc w:val="both"/>
            </w:pPr>
            <w:r>
              <w:t>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equity awards are subject to shareholder approval at the Company's Special Meeting of Shareholders scheduled for November 24, 2026.</w:t>
            </w:r>
          </w:p>
        </w:tc>
      </w:tr>
    </w:tbl>
    <w:p>
      <w:pPr>
        <w:pStyle w:val="TextBody"/>
        <w:bidi w:val="0"/>
        <w:spacing w:before="0" w:after="283"/>
        <w:jc w:val="left"/>
      </w:pPr>
      <w:r>
        <w:t> </w:t>
      </w:r>
    </w:p>
    <w:tbl>
      <w:tblPr>
        <w:tblW w:w="5088" w:type="dxa"/>
        <w:jc w:val="left"/>
        <w:tblInd w:w="0" w:type="dxa"/>
        <w:tblLayout w:type="fixed"/>
        <w:tblCellMar>
          <w:top w:w="0" w:type="dxa"/>
          <w:left w:w="0" w:type="dxa"/>
          <w:bottom w:w="0" w:type="dxa"/>
          <w:right w:w="0" w:type="dxa"/>
        </w:tblCellMar>
      </w:tblPr>
      <w:tblGrid>
        <w:gridCol w:w="38"/>
        <w:gridCol w:w="155"/>
        <w:gridCol w:w="4895"/>
      </w:tblGrid>
      <w:t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shares units grants to employees and consultants: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pPr>
      <w:r>
        <w:rPr>
          <w:rStyle w:val="StrongEmphasis"/>
          <w:rFonts w:ascii="Times New Roman;Times;serif" w:hAnsi="Times New Roman;Times;serif"/>
          <w:b w:val="false"/>
          <w:i w:val="false"/>
          <w:caps w:val="false"/>
          <w:smallCaps w:val="false"/>
          <w:sz w:val="20"/>
        </w:rPr>
        <w:t>The following tables summarize information concerning RSUs:</w:t>
      </w:r>
    </w:p>
    <w:p>
      <w:pPr>
        <w:pStyle w:val="TextBody"/>
        <w:bidi w:val="0"/>
        <w:spacing w:before="0" w:after="0"/>
        <w:ind w:left="1305" w:right="0" w:hanging="0"/>
        <w:jc w:val="left"/>
        <w:rPr>
          <w:caps w:val="false"/>
          <w:smallCaps w:val="false"/>
        </w:rPr>
      </w:pPr>
      <w:r>
        <w:rPr>
          <w:caps w:val="false"/>
          <w:smallCaps w:val="false"/>
        </w:rPr>
        <w:t> </w:t>
      </w:r>
    </w:p>
    <w:tbl>
      <w:tblPr>
        <w:tblW w:w="9125" w:type="dxa"/>
        <w:jc w:val="left"/>
        <w:tblInd w:w="1080" w:type="dxa"/>
        <w:tblLayout w:type="fixed"/>
        <w:tblCellMar>
          <w:top w:w="0" w:type="dxa"/>
          <w:left w:w="0" w:type="dxa"/>
          <w:bottom w:w="0" w:type="dxa"/>
          <w:right w:w="0" w:type="dxa"/>
        </w:tblCellMar>
      </w:tblPr>
      <w:tblGrid>
        <w:gridCol w:w="1825"/>
        <w:gridCol w:w="60"/>
        <w:gridCol w:w="95"/>
        <w:gridCol w:w="1208"/>
        <w:gridCol w:w="127"/>
        <w:gridCol w:w="95"/>
        <w:gridCol w:w="287"/>
        <w:gridCol w:w="1689"/>
        <w:gridCol w:w="60"/>
        <w:gridCol w:w="60"/>
        <w:gridCol w:w="98"/>
        <w:gridCol w:w="1236"/>
        <w:gridCol w:w="130"/>
        <w:gridCol w:w="98"/>
        <w:gridCol w:w="290"/>
        <w:gridCol w:w="1686"/>
        <w:gridCol w:w="81"/>
      </w:tblGrid>
      <w:tr>
        <w:tc>
          <w:tcPr>
            <w:tcW w:w="182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501" w:type="dxa"/>
            <w:gridSpan w:val="6"/>
            <w:tcBorders>
              <w:bottom w:val="single" w:sz="8" w:space="0" w:color="000000"/>
            </w:tcBorders>
            <w:tcMar>
              <w:bottom w:w="28" w:type="dxa"/>
            </w:tcMar>
            <w:vAlign w:val="center"/>
          </w:tcPr>
          <w:p>
            <w:pPr>
              <w:pStyle w:val="TableContents"/>
              <w:bidi w:val="0"/>
              <w:spacing w:before="0" w:after="283"/>
              <w:jc w:val="center"/>
            </w:pPr>
            <w:r>
              <w:rPr>
                <w:rStyle w:val="StrongEmphasis"/>
                <w:rFonts w:ascii="Times New Roman;Times;serif" w:hAnsi="Times New Roman;Times;serif"/>
                <w:sz w:val="20"/>
              </w:rPr>
              <w:t>Nine Months Ended September 30, 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538" w:type="dxa"/>
            <w:gridSpan w:val="6"/>
            <w:tcBorders>
              <w:bottom w:val="single" w:sz="8" w:space="0" w:color="000000"/>
            </w:tcBorders>
            <w:tcMar>
              <w:bottom w:w="28" w:type="dxa"/>
            </w:tcMar>
            <w:vAlign w:val="center"/>
          </w:tcPr>
          <w:p>
            <w:pPr>
              <w:pStyle w:val="TableContents"/>
              <w:bidi w:val="0"/>
              <w:spacing w:before="0" w:after="283"/>
              <w:jc w:val="center"/>
            </w:pPr>
            <w:r>
              <w:rPr>
                <w:rStyle w:val="StrongEmphasis"/>
                <w:rFonts w:ascii="Times New Roman;Times;serif" w:hAnsi="Times New Roman;Times;serif"/>
                <w:sz w:val="20"/>
              </w:rPr>
              <w:t>Three Months Ended September 30, 2026</w:t>
            </w:r>
          </w:p>
        </w:tc>
        <w:tc>
          <w:tcPr>
            <w:tcW w:w="81" w:type="dxa"/>
            <w:tcBorders/>
            <w:vAlign w:val="center"/>
          </w:tcPr>
          <w:p>
            <w:pPr>
              <w:pStyle w:val="TableContents"/>
              <w:bidi w:val="0"/>
              <w:spacing w:before="0" w:after="283"/>
              <w:jc w:val="left"/>
            </w:pPr>
            <w:r>
              <w:t> </w:t>
            </w:r>
          </w:p>
        </w:tc>
      </w:tr>
      <w:tr>
        <w:tc>
          <w:tcPr>
            <w:tcW w:w="182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RSU</w:t>
            </w:r>
          </w:p>
        </w:tc>
        <w:tc>
          <w:tcPr>
            <w:tcW w:w="127"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1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Grant Date Fair Value</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RSU</w:t>
            </w:r>
          </w:p>
        </w:tc>
        <w:tc>
          <w:tcPr>
            <w:tcW w:w="130"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1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Grant Date Fair Value</w:t>
            </w:r>
          </w:p>
        </w:tc>
        <w:tc>
          <w:tcPr>
            <w:tcW w:w="81" w:type="dxa"/>
            <w:tcBorders/>
            <w:vAlign w:val="center"/>
          </w:tcPr>
          <w:p>
            <w:pPr>
              <w:pStyle w:val="TableContents"/>
              <w:bidi w:val="0"/>
              <w:spacing w:before="0" w:after="283"/>
              <w:jc w:val="left"/>
            </w:pPr>
            <w:r>
              <w:t> </w:t>
            </w:r>
          </w:p>
        </w:tc>
      </w:tr>
      <w:tr>
        <w:tc>
          <w:tcPr>
            <w:tcW w:w="1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beginning of period</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2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142,984</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287" w:type="dxa"/>
            <w:tcBorders/>
            <w:shd w:fill="CCEEFF" w:val="clear"/>
            <w:vAlign w:val="center"/>
          </w:tcPr>
          <w:p>
            <w:pPr>
              <w:pStyle w:val="TableContents"/>
              <w:bidi w:val="0"/>
              <w:spacing w:before="0" w:after="283"/>
              <w:jc w:val="left"/>
            </w:pPr>
            <w:r>
              <w:t> </w:t>
            </w:r>
          </w:p>
        </w:tc>
        <w:tc>
          <w:tcPr>
            <w:tcW w:w="1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12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313,870</w:t>
            </w:r>
          </w:p>
        </w:tc>
        <w:tc>
          <w:tcPr>
            <w:tcW w:w="13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c>
          <w:tcPr>
            <w:tcW w:w="16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c>
          <w:tcPr>
            <w:tcW w:w="81" w:type="dxa"/>
            <w:tcBorders/>
            <w:shd w:fill="CCEEFF" w:val="clear"/>
            <w:vAlign w:val="center"/>
          </w:tcPr>
          <w:p>
            <w:pPr>
              <w:pStyle w:val="TableContents"/>
              <w:bidi w:val="0"/>
              <w:spacing w:before="0" w:after="283"/>
              <w:jc w:val="left"/>
            </w:pPr>
            <w:r>
              <w:t> </w:t>
            </w:r>
          </w:p>
        </w:tc>
      </w:tr>
      <w:tr>
        <w:tc>
          <w:tcPr>
            <w:tcW w:w="18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during the period:</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208" w:type="dxa"/>
            <w:tcBorders/>
            <w:shd w:fill="FFFFFF" w:val="clear"/>
            <w:vAlign w:val="center"/>
          </w:tcPr>
          <w:p>
            <w:pPr>
              <w:pStyle w:val="TableContents"/>
              <w:bidi w:val="0"/>
              <w:spacing w:before="0" w:after="283"/>
              <w:jc w:val="right"/>
            </w:pPr>
            <w:r>
              <w:t> </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287" w:type="dxa"/>
            <w:tcBorders/>
            <w:shd w:fill="FFFFFF" w:val="clear"/>
            <w:vAlign w:val="center"/>
          </w:tcPr>
          <w:p>
            <w:pPr>
              <w:pStyle w:val="TableContents"/>
              <w:bidi w:val="0"/>
              <w:spacing w:before="0" w:after="283"/>
              <w:jc w:val="left"/>
            </w:pPr>
            <w:r>
              <w:t> </w:t>
            </w:r>
          </w:p>
        </w:tc>
        <w:tc>
          <w:tcPr>
            <w:tcW w:w="1689"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1236" w:type="dxa"/>
            <w:tcBorders/>
            <w:shd w:fill="FFFFFF" w:val="clear"/>
            <w:vAlign w:val="center"/>
          </w:tcPr>
          <w:p>
            <w:pPr>
              <w:pStyle w:val="TableContents"/>
              <w:bidi w:val="0"/>
              <w:spacing w:before="0" w:after="283"/>
              <w:jc w:val="right"/>
            </w:pPr>
            <w:r>
              <w:t> </w:t>
            </w:r>
          </w:p>
        </w:tc>
        <w:tc>
          <w:tcPr>
            <w:tcW w:w="130"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left"/>
            </w:pPr>
            <w:r>
              <w:t> </w:t>
            </w:r>
          </w:p>
        </w:tc>
        <w:tc>
          <w:tcPr>
            <w:tcW w:w="16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pPr>
            <w:r>
              <w:t> </w:t>
            </w:r>
          </w:p>
        </w:tc>
      </w:tr>
      <w:tr>
        <w:tc>
          <w:tcPr>
            <w:tcW w:w="1825" w:type="dxa"/>
            <w:tcBorders/>
            <w:shd w:fill="CCEEFF" w:val="clear"/>
            <w:vAlign w:val="center"/>
          </w:tcPr>
          <w:p>
            <w:pPr>
              <w:pStyle w:val="TableContents"/>
              <w:bidi w:val="0"/>
              <w:spacing w:before="0" w:after="283"/>
              <w:jc w:val="left"/>
            </w:pPr>
            <w:r>
              <w:t xml:space="preserve">      </w:t>
            </w: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2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991,070</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287" w:type="dxa"/>
            <w:tcBorders/>
            <w:shd w:fill="CCEEFF" w:val="clear"/>
            <w:vAlign w:val="center"/>
          </w:tcPr>
          <w:p>
            <w:pPr>
              <w:pStyle w:val="TableContents"/>
              <w:bidi w:val="0"/>
              <w:spacing w:before="0" w:after="283"/>
              <w:jc w:val="left"/>
            </w:pPr>
            <w:r>
              <w:t> </w:t>
            </w:r>
          </w:p>
        </w:tc>
        <w:tc>
          <w:tcPr>
            <w:tcW w:w="1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12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528,329</w:t>
            </w:r>
          </w:p>
        </w:tc>
        <w:tc>
          <w:tcPr>
            <w:tcW w:w="13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c>
          <w:tcPr>
            <w:tcW w:w="16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w:t>
            </w:r>
          </w:p>
        </w:tc>
        <w:tc>
          <w:tcPr>
            <w:tcW w:w="81" w:type="dxa"/>
            <w:tcBorders/>
            <w:shd w:fill="CCEEFF" w:val="clear"/>
            <w:vAlign w:val="center"/>
          </w:tcPr>
          <w:p>
            <w:pPr>
              <w:pStyle w:val="TableContents"/>
              <w:bidi w:val="0"/>
              <w:spacing w:before="0" w:after="283"/>
              <w:jc w:val="left"/>
            </w:pPr>
            <w:r>
              <w:t> </w:t>
            </w:r>
          </w:p>
        </w:tc>
      </w:tr>
      <w:tr>
        <w:tc>
          <w:tcPr>
            <w:tcW w:w="1825" w:type="dxa"/>
            <w:tcBorders/>
            <w:shd w:fill="FFFFFF" w:val="clear"/>
            <w:vAlign w:val="center"/>
          </w:tcPr>
          <w:p>
            <w:pPr>
              <w:pStyle w:val="TableContents"/>
              <w:bidi w:val="0"/>
              <w:spacing w:before="0" w:after="283"/>
              <w:jc w:val="left"/>
            </w:pPr>
            <w:r>
              <w:t>      </w:t>
            </w: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283"/>
              <w:jc w:val="left"/>
            </w:pPr>
            <w: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(559,510</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pPr>
            <w: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(267,655</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pPr>
            <w: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81" w:type="dxa"/>
            <w:tcBorders/>
            <w:shd w:fill="FFFFFF" w:val="clear"/>
            <w:vAlign w:val="center"/>
          </w:tcPr>
          <w:p>
            <w:pPr>
              <w:pStyle w:val="TableContents"/>
              <w:bidi w:val="0"/>
              <w:spacing w:before="0" w:after="283"/>
              <w:jc w:val="left"/>
            </w:pPr>
            <w:r>
              <w:t> </w:t>
            </w:r>
          </w:p>
        </w:tc>
      </w:tr>
      <w:tr>
        <w:tc>
          <w:tcPr>
            <w:tcW w:w="1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end of period</w:t>
            </w:r>
          </w:p>
        </w:tc>
        <w:tc>
          <w:tcPr>
            <w:tcW w:w="60" w:type="dxa"/>
            <w:tcBorders/>
            <w:shd w:fill="CCEEFF" w:val="clear"/>
            <w:vAlign w:val="center"/>
          </w:tcPr>
          <w:p>
            <w:pPr>
              <w:pStyle w:val="TableContents"/>
              <w:bidi w:val="0"/>
              <w:spacing w:before="0" w:after="283"/>
              <w:jc w:val="left"/>
            </w:pPr>
            <w: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574,544</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574,544</w:t>
            </w:r>
          </w:p>
        </w:tc>
        <w:tc>
          <w:tcPr>
            <w:tcW w:w="13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1"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double" w:sz="2" w:space="0" w:color="808080"/>
        </w:pBdr>
        <w:bidi w:val="0"/>
        <w:spacing w:before="0" w:after="283"/>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lineRule="auto" w:line="300"/>
        <w:jc w:val="left"/>
      </w:pPr>
      <w:r>
        <w:rPr>
          <w:rStyle w:val="StrongEmphasis"/>
          <w:rFonts w:ascii="Times New Roman;Times;serif" w:hAnsi="Times New Roman;Times;serif"/>
          <w:b/>
          <w:sz w:val="20"/>
        </w:rPr>
        <w:t>NOTE 5 - SUPPLEMENTARY FINANCIAL STATEMENT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Balance sheets:</w:t>
      </w:r>
    </w:p>
    <w:p>
      <w:pPr>
        <w:pStyle w:val="TextBody"/>
        <w:bidi w:val="0"/>
        <w:spacing w:before="0" w:after="0"/>
        <w:ind w:left="0" w:right="0" w:hanging="0"/>
        <w:jc w:val="left"/>
        <w:rPr>
          <w:caps w:val="false"/>
          <w:smallCaps w:val="false"/>
        </w:rPr>
      </w:pPr>
      <w:r>
        <w:rPr>
          <w:caps w:val="false"/>
          <w:smallCaps w:val="false"/>
        </w:rPr>
        <w:t> </w:t>
      </w:r>
    </w:p>
    <w:tbl>
      <w:tblPr>
        <w:tblW w:w="7152" w:type="dxa"/>
        <w:jc w:val="left"/>
        <w:tblInd w:w="0" w:type="dxa"/>
        <w:tblLayout w:type="fixed"/>
        <w:tblCellMar>
          <w:top w:w="0" w:type="dxa"/>
          <w:left w:w="0" w:type="dxa"/>
          <w:bottom w:w="0" w:type="dxa"/>
          <w:right w:w="0" w:type="dxa"/>
        </w:tblCellMar>
      </w:tblPr>
      <w:tblGrid>
        <w:gridCol w:w="4220"/>
        <w:gridCol w:w="60"/>
        <w:gridCol w:w="133"/>
        <w:gridCol w:w="1086"/>
        <w:gridCol w:w="60"/>
        <w:gridCol w:w="60"/>
        <w:gridCol w:w="177"/>
        <w:gridCol w:w="997"/>
        <w:gridCol w:w="359"/>
      </w:tblGrid>
      <w:tr>
        <w:tc>
          <w:tcPr>
            <w:tcW w:w="422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359" w:type="dxa"/>
            <w:tcBorders/>
            <w:vAlign w:val="center"/>
          </w:tcPr>
          <w:p>
            <w:pPr>
              <w:pStyle w:val="TableContents"/>
              <w:bidi w:val="0"/>
              <w:spacing w:before="0" w:after="283"/>
              <w:jc w:val="left"/>
            </w:pPr>
            <w:r>
              <w:t> </w:t>
            </w:r>
          </w:p>
        </w:tc>
      </w:tr>
      <w:tr>
        <w:tc>
          <w:tcPr>
            <w:tcW w:w="42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vAlign w:val="center"/>
          </w:tcPr>
          <w:p>
            <w:pPr>
              <w:pStyle w:val="TableContents"/>
              <w:bidi w:val="0"/>
              <w:spacing w:before="0" w:after="283"/>
              <w:jc w:val="left"/>
            </w:pPr>
            <w: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359" w:type="dxa"/>
            <w:tcBorders/>
            <w:vAlign w:val="center"/>
          </w:tcPr>
          <w:p>
            <w:pPr>
              <w:pStyle w:val="TableContents"/>
              <w:bidi w:val="0"/>
              <w:spacing w:before="0" w:after="283"/>
              <w:ind w:left="0" w:right="0" w:firstLine="284"/>
              <w:jc w:val="left"/>
            </w:pPr>
            <w:r>
              <w:t> </w:t>
            </w:r>
          </w:p>
        </w:tc>
      </w:tr>
      <w:tr>
        <w:tc>
          <w:tcPr>
            <w:tcW w:w="4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359" w:type="dxa"/>
            <w:tcBorders/>
            <w:shd w:fill="CCEEFF" w:val="clear"/>
            <w:vAlign w:val="center"/>
          </w:tcPr>
          <w:p>
            <w:pPr>
              <w:pStyle w:val="TableContents"/>
              <w:bidi w:val="0"/>
              <w:spacing w:before="0" w:after="283"/>
              <w:jc w:val="left"/>
            </w:pPr>
            <w:r>
              <w:t> </w:t>
            </w:r>
          </w:p>
        </w:tc>
      </w:tr>
      <w:tr>
        <w:tc>
          <w:tcPr>
            <w:tcW w:w="4220" w:type="dxa"/>
            <w:tcBorders/>
            <w:vAlign w:val="center"/>
          </w:tcPr>
          <w:p>
            <w:pPr>
              <w:pStyle w:val="TableContents"/>
              <w:bidi w:val="0"/>
              <w:spacing w:before="0" w:after="283"/>
              <w:jc w:val="left"/>
            </w:pPr>
            <w:r>
              <w:t> </w:t>
            </w:r>
            <w:r>
              <w:rPr>
                <w:rFonts w:ascii="Times New Roman;Times;serif" w:hAnsi="Times New Roman;Times;serif"/>
                <w:sz w:val="20"/>
              </w:rPr>
              <w:t>Receivable in respect of collaborative arrangement</w:t>
            </w:r>
          </w:p>
        </w:tc>
        <w:tc>
          <w:tcPr>
            <w:tcW w:w="60" w:type="dxa"/>
            <w:tcBorders/>
            <w:vAlign w:val="center"/>
          </w:tcPr>
          <w:p>
            <w:pPr>
              <w:pStyle w:val="TableContents"/>
              <w:bidi w:val="0"/>
              <w:spacing w:before="0" w:after="283"/>
              <w:jc w:val="left"/>
            </w:pPr>
            <w:r>
              <w:t> </w:t>
            </w:r>
          </w:p>
        </w:tc>
        <w:tc>
          <w:tcPr>
            <w:tcW w:w="133"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w:t>
            </w:r>
          </w:p>
        </w:tc>
        <w:tc>
          <w:tcPr>
            <w:tcW w:w="359" w:type="dxa"/>
            <w:tcBorders/>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283"/>
              <w:jc w:val="left"/>
            </w:pPr>
            <w:r>
              <w:t> </w:t>
            </w:r>
            <w:r>
              <w:rPr>
                <w:rFonts w:ascii="Times New Roman;Times;serif" w:hAnsi="Times New Roman;Times;serif"/>
                <w:sz w:val="20"/>
              </w:rPr>
              <w:t>VAT receivable</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359" w:type="dxa"/>
            <w:tcBorders/>
            <w:shd w:fill="CCEEFF" w:val="clear"/>
            <w:vAlign w:val="center"/>
          </w:tcPr>
          <w:p>
            <w:pPr>
              <w:pStyle w:val="TableContents"/>
              <w:bidi w:val="0"/>
              <w:spacing w:before="0" w:after="283"/>
              <w:jc w:val="left"/>
            </w:pPr>
            <w:r>
              <w:t> </w:t>
            </w:r>
          </w:p>
        </w:tc>
      </w:tr>
      <w:tr>
        <w:tc>
          <w:tcPr>
            <w:tcW w:w="4220" w:type="dxa"/>
            <w:tcBorders/>
            <w:vAlign w:val="center"/>
          </w:tcPr>
          <w:p>
            <w:pPr>
              <w:pStyle w:val="TableContents"/>
              <w:bidi w:val="0"/>
              <w:spacing w:before="0" w:after="283"/>
              <w:jc w:val="both"/>
            </w:pPr>
            <w:r>
              <w:t>      </w:t>
            </w:r>
            <w:r>
              <w:rPr>
                <w:rFonts w:ascii="Times New Roman;Times;serif" w:hAnsi="Times New Roman;Times;serif"/>
                <w:sz w:val="20"/>
              </w:rPr>
              <w:t>Other</w:t>
            </w:r>
          </w:p>
        </w:tc>
        <w:tc>
          <w:tcPr>
            <w:tcW w:w="60" w:type="dxa"/>
            <w:tcBorders/>
            <w:vAlign w:val="center"/>
          </w:tcPr>
          <w:p>
            <w:pPr>
              <w:pStyle w:val="TableContents"/>
              <w:bidi w:val="0"/>
              <w:spacing w:before="0" w:after="283"/>
              <w:jc w:val="left"/>
            </w:pPr>
            <w:r>
              <w:t> </w:t>
            </w:r>
          </w:p>
        </w:tc>
        <w:tc>
          <w:tcPr>
            <w:tcW w:w="133" w:type="dxa"/>
            <w:tcBorders>
              <w:bottom w:val="single" w:sz="8" w:space="0" w:color="000000"/>
            </w:tcBorders>
            <w:tcMar>
              <w:bottom w:w="28" w:type="dxa"/>
            </w:tcMar>
            <w:vAlign w:val="center"/>
          </w:tcPr>
          <w:p>
            <w:pPr>
              <w:pStyle w:val="TableContents"/>
              <w:bidi w:val="0"/>
              <w:spacing w:before="0" w:after="283"/>
              <w:jc w:val="left"/>
            </w:pPr>
            <w:r>
              <w:t> </w:t>
            </w:r>
          </w:p>
        </w:tc>
        <w:tc>
          <w:tcPr>
            <w:tcW w:w="108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7" w:type="dxa"/>
            <w:tcBorders>
              <w:bottom w:val="single" w:sz="8" w:space="0" w:color="000000"/>
            </w:tcBorders>
            <w:tcMar>
              <w:bottom w:w="28" w:type="dxa"/>
            </w:tcMar>
            <w:vAlign w:val="center"/>
          </w:tcPr>
          <w:p>
            <w:pPr>
              <w:pStyle w:val="TableContents"/>
              <w:bidi w:val="0"/>
              <w:spacing w:before="0" w:after="283"/>
              <w:jc w:val="left"/>
            </w:pPr>
            <w:r>
              <w:t> </w:t>
            </w:r>
          </w:p>
        </w:tc>
        <w:tc>
          <w:tcPr>
            <w:tcW w:w="99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359" w:type="dxa"/>
            <w:tcBorders/>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283"/>
              <w:jc w:val="both"/>
            </w:pPr>
            <w:r>
              <w:t> </w:t>
            </w:r>
          </w:p>
        </w:tc>
        <w:tc>
          <w:tcPr>
            <w:tcW w:w="60" w:type="dxa"/>
            <w:tcBorders/>
            <w:shd w:fill="CCEEFF" w:val="clear"/>
            <w:vAlign w:val="center"/>
          </w:tcPr>
          <w:p>
            <w:pPr>
              <w:pStyle w:val="TableContents"/>
              <w:bidi w:val="0"/>
              <w:spacing w:before="0" w:after="283"/>
              <w:jc w:val="left"/>
            </w:pPr>
            <w: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w:t>
            </w:r>
          </w:p>
        </w:tc>
        <w:tc>
          <w:tcPr>
            <w:tcW w:w="359"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6897" w:type="dxa"/>
        <w:jc w:val="left"/>
        <w:tblInd w:w="0" w:type="dxa"/>
        <w:tblLayout w:type="fixed"/>
        <w:tblCellMar>
          <w:top w:w="0" w:type="dxa"/>
          <w:left w:w="0" w:type="dxa"/>
          <w:bottom w:w="0" w:type="dxa"/>
          <w:right w:w="0" w:type="dxa"/>
        </w:tblCellMar>
      </w:tblPr>
      <w:tblGrid>
        <w:gridCol w:w="3965"/>
        <w:gridCol w:w="60"/>
        <w:gridCol w:w="133"/>
        <w:gridCol w:w="1086"/>
        <w:gridCol w:w="60"/>
        <w:gridCol w:w="60"/>
        <w:gridCol w:w="128"/>
        <w:gridCol w:w="1046"/>
        <w:gridCol w:w="359"/>
      </w:tblGrid>
      <w:tr>
        <w:tc>
          <w:tcPr>
            <w:tcW w:w="396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359" w:type="dxa"/>
            <w:tcBorders/>
            <w:vAlign w:val="center"/>
          </w:tcPr>
          <w:p>
            <w:pPr>
              <w:pStyle w:val="TableContents"/>
              <w:bidi w:val="0"/>
              <w:spacing w:before="0" w:after="283"/>
              <w:jc w:val="left"/>
            </w:pPr>
            <w:r>
              <w:t> </w:t>
            </w:r>
          </w:p>
        </w:tc>
      </w:tr>
      <w:tr>
        <w:tc>
          <w:tcPr>
            <w:tcW w:w="3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Accrued expenses and other payables:</w:t>
            </w:r>
          </w:p>
        </w:tc>
        <w:tc>
          <w:tcPr>
            <w:tcW w:w="60" w:type="dxa"/>
            <w:tcBorders/>
            <w:vAlign w:val="center"/>
          </w:tcPr>
          <w:p>
            <w:pPr>
              <w:pStyle w:val="TableContents"/>
              <w:bidi w:val="0"/>
              <w:spacing w:before="0" w:after="283"/>
              <w:jc w:val="left"/>
            </w:pPr>
            <w: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359" w:type="dxa"/>
            <w:tcBorders/>
            <w:vAlign w:val="center"/>
          </w:tcPr>
          <w:p>
            <w:pPr>
              <w:pStyle w:val="TableContents"/>
              <w:bidi w:val="0"/>
              <w:spacing w:before="0" w:after="283"/>
              <w:ind w:left="0" w:right="0" w:firstLine="284"/>
              <w:jc w:val="left"/>
            </w:pPr>
            <w:r>
              <w:t> </w:t>
            </w:r>
          </w:p>
        </w:tc>
      </w:tr>
      <w:tr>
        <w:tc>
          <w:tcPr>
            <w:tcW w:w="39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Employees and employees related</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359" w:type="dxa"/>
            <w:tcBorders/>
            <w:shd w:fill="CCEEFF" w:val="clear"/>
            <w:vAlign w:val="center"/>
          </w:tcPr>
          <w:p>
            <w:pPr>
              <w:pStyle w:val="TableContents"/>
              <w:bidi w:val="0"/>
              <w:spacing w:before="0" w:after="283"/>
              <w:ind w:left="0" w:right="0" w:firstLine="284"/>
              <w:jc w:val="left"/>
            </w:pPr>
            <w:r>
              <w:t> </w:t>
            </w:r>
          </w:p>
        </w:tc>
      </w:tr>
      <w:tr>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 for vacation</w:t>
            </w:r>
          </w:p>
        </w:tc>
        <w:tc>
          <w:tcPr>
            <w:tcW w:w="60" w:type="dxa"/>
            <w:tcBorders/>
            <w:vAlign w:val="center"/>
          </w:tcPr>
          <w:p>
            <w:pPr>
              <w:pStyle w:val="TableContents"/>
              <w:bidi w:val="0"/>
              <w:spacing w:before="0" w:after="283"/>
              <w:jc w:val="left"/>
            </w:pPr>
            <w:r>
              <w:t> </w:t>
            </w:r>
          </w:p>
        </w:tc>
        <w:tc>
          <w:tcPr>
            <w:tcW w:w="133"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8" w:type="dxa"/>
            <w:tcBorders/>
            <w:vAlign w:val="center"/>
          </w:tcPr>
          <w:p>
            <w:pPr>
              <w:pStyle w:val="TableContents"/>
              <w:bidi w:val="0"/>
              <w:spacing w:before="0" w:after="283"/>
              <w:jc w:val="left"/>
            </w:pPr>
            <w:r>
              <w:t> </w:t>
            </w:r>
          </w:p>
        </w:tc>
        <w:tc>
          <w:tcPr>
            <w:tcW w:w="10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59" w:type="dxa"/>
            <w:tcBorders/>
            <w:vAlign w:val="center"/>
          </w:tcPr>
          <w:p>
            <w:pPr>
              <w:pStyle w:val="TableContents"/>
              <w:bidi w:val="0"/>
              <w:spacing w:before="0" w:after="283"/>
              <w:ind w:left="0" w:right="0" w:firstLine="284"/>
              <w:jc w:val="left"/>
            </w:pPr>
            <w:r>
              <w:t> </w:t>
            </w:r>
          </w:p>
        </w:tc>
      </w:tr>
      <w:t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Payables in respect of collaborative arrangement</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9" w:type="dxa"/>
            <w:tcBorders/>
            <w:shd w:fill="CCEEFF" w:val="clear"/>
            <w:vAlign w:val="center"/>
          </w:tcPr>
          <w:p>
            <w:pPr>
              <w:pStyle w:val="TableContents"/>
              <w:bidi w:val="0"/>
              <w:spacing w:before="0" w:after="283"/>
              <w:ind w:left="0" w:right="0" w:firstLine="284"/>
              <w:jc w:val="left"/>
            </w:pPr>
            <w:r>
              <w:t> </w:t>
            </w:r>
          </w:p>
        </w:tc>
      </w:tr>
      <w:tr>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w:t>
            </w:r>
          </w:p>
        </w:tc>
        <w:tc>
          <w:tcPr>
            <w:tcW w:w="60" w:type="dxa"/>
            <w:tcBorders/>
            <w:vAlign w:val="center"/>
          </w:tcPr>
          <w:p>
            <w:pPr>
              <w:pStyle w:val="TableContents"/>
              <w:bidi w:val="0"/>
              <w:spacing w:before="0" w:after="283"/>
              <w:jc w:val="left"/>
            </w:pPr>
            <w:r>
              <w:t> </w:t>
            </w:r>
          </w:p>
        </w:tc>
        <w:tc>
          <w:tcPr>
            <w:tcW w:w="133"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8" w:type="dxa"/>
            <w:tcBorders/>
            <w:vAlign w:val="center"/>
          </w:tcPr>
          <w:p>
            <w:pPr>
              <w:pStyle w:val="TableContents"/>
              <w:bidi w:val="0"/>
              <w:spacing w:before="0" w:after="283"/>
              <w:jc w:val="left"/>
            </w:pPr>
            <w:r>
              <w:t> </w:t>
            </w:r>
          </w:p>
        </w:tc>
        <w:tc>
          <w:tcPr>
            <w:tcW w:w="10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w:t>
            </w:r>
          </w:p>
        </w:tc>
        <w:tc>
          <w:tcPr>
            <w:tcW w:w="359" w:type="dxa"/>
            <w:tcBorders/>
            <w:vAlign w:val="center"/>
          </w:tcPr>
          <w:p>
            <w:pPr>
              <w:pStyle w:val="TableContents"/>
              <w:bidi w:val="0"/>
              <w:spacing w:before="0" w:after="283"/>
              <w:ind w:left="0" w:right="0" w:firstLine="284"/>
              <w:jc w:val="left"/>
            </w:pPr>
            <w:r>
              <w:t> </w:t>
            </w:r>
          </w:p>
        </w:tc>
      </w:tr>
      <w:tr>
        <w:tc>
          <w:tcPr>
            <w:tcW w:w="39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payables (See Note 6)</w:t>
            </w:r>
          </w:p>
        </w:tc>
        <w:tc>
          <w:tcPr>
            <w:tcW w:w="60" w:type="dxa"/>
            <w:tcBorders/>
            <w:shd w:fill="CCEEFF" w:val="clear"/>
            <w:vAlign w:val="center"/>
          </w:tcPr>
          <w:p>
            <w:pPr>
              <w:pStyle w:val="TableContents"/>
              <w:bidi w:val="0"/>
              <w:spacing w:before="0" w:after="283"/>
              <w:jc w:val="left"/>
            </w:pPr>
            <w: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w:t>
            </w:r>
          </w:p>
        </w:tc>
        <w:tc>
          <w:tcPr>
            <w:tcW w:w="359" w:type="dxa"/>
            <w:tcBorders/>
            <w:shd w:fill="CCEEFF" w:val="clear"/>
            <w:vAlign w:val="center"/>
          </w:tcPr>
          <w:p>
            <w:pPr>
              <w:pStyle w:val="TableContents"/>
              <w:bidi w:val="0"/>
              <w:spacing w:before="0" w:after="283"/>
              <w:jc w:val="left"/>
            </w:pPr>
            <w:r>
              <w:t> </w:t>
            </w:r>
          </w:p>
        </w:tc>
      </w:tr>
      <w:tr>
        <w:tc>
          <w:tcPr>
            <w:tcW w:w="3965" w:type="dxa"/>
            <w:tcBorders/>
            <w:vAlign w:val="center"/>
          </w:tcPr>
          <w:p>
            <w:pPr>
              <w:pStyle w:val="TableContents"/>
              <w:bidi w:val="0"/>
              <w:spacing w:before="0" w:after="283"/>
              <w:jc w:val="both"/>
            </w:pPr>
            <w:r>
              <w:t> </w:t>
            </w:r>
          </w:p>
        </w:tc>
        <w:tc>
          <w:tcPr>
            <w:tcW w:w="60" w:type="dxa"/>
            <w:tcBorders/>
            <w:vAlign w:val="center"/>
          </w:tcPr>
          <w:p>
            <w:pPr>
              <w:pStyle w:val="TableContents"/>
              <w:bidi w:val="0"/>
              <w:spacing w:before="0" w:after="283"/>
              <w:jc w:val="left"/>
            </w:pPr>
            <w:r>
              <w:t> </w:t>
            </w:r>
          </w:p>
        </w:tc>
        <w:tc>
          <w:tcPr>
            <w:tcW w:w="133" w:type="dxa"/>
            <w:tcBorders>
              <w:bottom w:val="double" w:sz="6" w:space="0" w:color="000000"/>
            </w:tcBorders>
            <w:tcMar>
              <w:bottom w:w="28" w:type="dxa"/>
            </w:tcMar>
            <w:vAlign w:val="center"/>
          </w:tcPr>
          <w:p>
            <w:pPr>
              <w:pStyle w:val="TableContents"/>
              <w:bidi w:val="0"/>
              <w:spacing w:before="0" w:after="283"/>
              <w:jc w:val="left"/>
            </w:pPr>
            <w:r>
              <w:t> </w:t>
            </w:r>
          </w:p>
        </w:tc>
        <w:tc>
          <w:tcPr>
            <w:tcW w:w="108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8" w:type="dxa"/>
            <w:tcBorders>
              <w:bottom w:val="double" w:sz="6" w:space="0" w:color="000000"/>
            </w:tcBorders>
            <w:tcMar>
              <w:bottom w:w="28" w:type="dxa"/>
            </w:tcMar>
            <w:vAlign w:val="center"/>
          </w:tcPr>
          <w:p>
            <w:pPr>
              <w:pStyle w:val="TableContents"/>
              <w:bidi w:val="0"/>
              <w:spacing w:before="0" w:after="283"/>
              <w:jc w:val="left"/>
            </w:pPr>
            <w:r>
              <w:t> </w:t>
            </w:r>
          </w:p>
        </w:tc>
        <w:tc>
          <w:tcPr>
            <w:tcW w:w="104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1,525</w:t>
            </w:r>
          </w:p>
        </w:tc>
        <w:tc>
          <w:tcPr>
            <w:tcW w:w="359"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COLLABORATION AND RESEARCH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2025, the Company entered into a collaboration agreement with OPKO (the “2025 Collaboration Agreement”), which is accounted for as a collaboration arrangement within the scope of ASC 808.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2025 Collaboration Agreement, the Company and OPKO have agreed to collaborate with respect to the preclinical and clinical development and decision making related to the EB618 Program. The Company and OPKO share in the economics and development costs of such program at 40% and 60%, respectively, subject to certain opt-out provisions. In connection with the agreement, the Company issued 3,685,226 ordinary shares to OPKO for aggregate gross proceeds of $8.0 million, which were allocated between equity and the collaboration components of the arrangement. Amounts allocated to the collaboration component are recognized over the period of performance and presented within other liabilities in the consolidated balance sheet.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the Company and OPKO amended and restated the 2025 Collaboration Agreement (the “A&amp;R Collaboration Agreement”) to expand the scope of the collaboration to include the EB612 Program. Development costs and proceeds related to the EB612 Program are shared equally between the parties. Except for the foregoing expansion, the material terms of the 2025 Collaboration Agreement remain unchanged.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2026, the Company recognized net expenses of $655 thousand and $1.8 million, respectively, relating to the A&amp;R Collaboration Agreement.</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double" w:sz="2" w:space="0" w:color="808080"/>
        </w:pBdr>
        <w:bidi w:val="0"/>
        <w:spacing w:before="0" w:after="283"/>
        <w:jc w:val="left"/>
      </w:pPr>
      <w:r/>
    </w:p>
    <w:p>
      <w:pPr>
        <w:pStyle w:val="TextBody"/>
        <w:bidi w:val="0"/>
        <w:spacing w:before="0" w:after="200"/>
        <w:jc w:val="left"/>
      </w:pPr>
      <w:r>
        <w:t> </w:t>
      </w:r>
    </w:p>
    <w:p>
      <w:pPr>
        <w:pStyle w:val="TextBody"/>
        <w:bidi w:val="0"/>
        <w:spacing w:before="0" w:after="0"/>
        <w:jc w:val="center"/>
      </w:pPr>
      <w:r>
        <w:rPr>
          <w:rStyle w:val="StrongEmphasis"/>
          <w:rFonts w:ascii="Times New Roman;Times;serif" w:hAnsi="Times New Roman;Times;serif"/>
          <w:sz w:val="20"/>
        </w:rPr>
        <w:t>ENTERA BIO LTD.</w:t>
      </w:r>
    </w:p>
    <w:p>
      <w:pPr>
        <w:pStyle w:val="TextBody"/>
        <w:bidi w:val="0"/>
        <w:spacing w:before="0" w:after="0"/>
        <w:jc w:val="cente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360" w:right="0" w:hanging="0"/>
        <w:jc w:val="center"/>
      </w:pPr>
      <w:r>
        <w:t> </w:t>
      </w:r>
    </w:p>
    <w:p>
      <w:pPr>
        <w:pStyle w:val="TextBody"/>
        <w:bidi w:val="0"/>
        <w:spacing w:lineRule="auto" w:line="300"/>
        <w:jc w:val="left"/>
      </w:pPr>
      <w:r>
        <w:rPr>
          <w:rStyle w:val="StrongEmphasis"/>
          <w:rFonts w:ascii="Times New Roman;Times;serif" w:hAnsi="Times New Roman;Times;serif"/>
          <w:b/>
          <w:sz w:val="20"/>
        </w:rPr>
        <w:t>NOTE 7 – SEGMENT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c>
          <w:tcPr>
            <w:tcW w:w="75"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legally headquartered, and the Company’s laboratories are located, in Israel as a single operating segment. The Company’s Chief Executive Officer is the chief operating decision maker (the “CODM”). The CODM makes decisions on resource allocation, assesses performance of the business and monitors budget versus actual results on a consolidated basis. The CODM reviews the Company's consolidated results of operations through income (loss) before income taxes.</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70"/>
        <w:gridCol w:w="1805"/>
      </w:tblGrid>
      <w:tr>
        <w:tc>
          <w:tcPr>
            <w:tcW w:w="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tbl>
      <w:tblPr>
        <w:tblW w:w="8813" w:type="dxa"/>
        <w:jc w:val="left"/>
        <w:tblInd w:w="1080" w:type="dxa"/>
        <w:tblLayout w:type="fixed"/>
        <w:tblCellMar>
          <w:top w:w="0" w:type="dxa"/>
          <w:left w:w="0" w:type="dxa"/>
          <w:bottom w:w="0" w:type="dxa"/>
          <w:right w:w="0" w:type="dxa"/>
        </w:tblCellMar>
      </w:tblPr>
      <w:tblGrid>
        <w:gridCol w:w="5105"/>
        <w:gridCol w:w="60"/>
        <w:gridCol w:w="144"/>
        <w:gridCol w:w="681"/>
        <w:gridCol w:w="69"/>
        <w:gridCol w:w="69"/>
        <w:gridCol w:w="144"/>
        <w:gridCol w:w="560"/>
        <w:gridCol w:w="60"/>
        <w:gridCol w:w="60"/>
        <w:gridCol w:w="154"/>
        <w:gridCol w:w="730"/>
        <w:gridCol w:w="74"/>
        <w:gridCol w:w="74"/>
        <w:gridCol w:w="154"/>
        <w:gridCol w:w="600"/>
        <w:gridCol w:w="75"/>
      </w:tblGrid>
      <w:tr>
        <w:tc>
          <w:tcPr>
            <w:tcW w:w="51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66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Nine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8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75" w:type="dxa"/>
            <w:tcBorders/>
            <w:vAlign w:val="center"/>
          </w:tcPr>
          <w:p>
            <w:pPr>
              <w:pStyle w:val="TableContents"/>
              <w:bidi w:val="0"/>
              <w:spacing w:before="0" w:after="283"/>
              <w:jc w:val="left"/>
            </w:pPr>
            <w:r>
              <w:t> </w:t>
            </w:r>
          </w:p>
        </w:tc>
      </w:tr>
      <w:tr>
        <w:tc>
          <w:tcPr>
            <w:tcW w:w="51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7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pPr>
            <w:r>
              <w:t> </w:t>
            </w:r>
          </w:p>
        </w:tc>
      </w:tr>
      <w:tr>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pPr>
            <w:r>
              <w:t> </w:t>
            </w:r>
          </w:p>
        </w:tc>
      </w:tr>
      <w:tr>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w:t>
            </w:r>
          </w:p>
        </w:tc>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 </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c>
          <w:tcPr>
            <w:tcW w:w="560" w:type="dxa"/>
            <w:tcBorders/>
            <w:vAlign w:val="center"/>
          </w:tcPr>
          <w:p>
            <w:pPr>
              <w:pStyle w:val="TableContents"/>
              <w:bidi w:val="0"/>
              <w:spacing w:before="0" w:after="283"/>
              <w:jc w:val="righ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730" w:type="dxa"/>
            <w:tcBorders/>
            <w:vAlign w:val="center"/>
          </w:tcPr>
          <w:p>
            <w:pPr>
              <w:pStyle w:val="TableContents"/>
              <w:bidi w:val="0"/>
              <w:spacing w:before="0" w:after="283"/>
              <w:jc w:val="right"/>
            </w:pPr>
            <w:r>
              <w:t> </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600" w:type="dxa"/>
            <w:tcBorders/>
            <w:vAlign w:val="center"/>
          </w:tcPr>
          <w:p>
            <w:pPr>
              <w:pStyle w:val="TableContents"/>
              <w:bidi w:val="0"/>
              <w:spacing w:before="0" w:after="283"/>
              <w:jc w:val="right"/>
            </w:pPr>
            <w:r>
              <w:t> </w:t>
            </w:r>
          </w:p>
        </w:tc>
        <w:tc>
          <w:tcPr>
            <w:tcW w:w="75" w:type="dxa"/>
            <w:tcBorders/>
            <w:vAlign w:val="center"/>
          </w:tcPr>
          <w:p>
            <w:pPr>
              <w:pStyle w:val="TableContents"/>
              <w:bidi w:val="0"/>
              <w:spacing w:before="0" w:after="283"/>
              <w:jc w:val="left"/>
            </w:pPr>
            <w:r>
              <w:t> </w:t>
            </w:r>
          </w:p>
        </w:tc>
      </w:tr>
      <w:tr>
        <w:tc>
          <w:tcPr>
            <w:tcW w:w="510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Research and development, net:</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 </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56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730" w:type="dxa"/>
            <w:tcBorders/>
            <w:shd w:fill="CCEEFF" w:val="clear"/>
            <w:vAlign w:val="center"/>
          </w:tcPr>
          <w:p>
            <w:pPr>
              <w:pStyle w:val="TableContents"/>
              <w:bidi w:val="0"/>
              <w:spacing w:before="0" w:after="283"/>
              <w:jc w:val="right"/>
            </w:pPr>
            <w:r>
              <w:t> </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00" w:type="dxa"/>
            <w:tcBorders/>
            <w:shd w:fill="CCEEFF" w:val="clear"/>
            <w:vAlign w:val="center"/>
          </w:tcPr>
          <w:p>
            <w:pPr>
              <w:pStyle w:val="TableContents"/>
              <w:bidi w:val="0"/>
              <w:spacing w:before="0" w:after="283"/>
              <w:jc w:val="right"/>
            </w:pPr>
            <w:r>
              <w:t> </w:t>
            </w:r>
          </w:p>
        </w:tc>
        <w:tc>
          <w:tcPr>
            <w:tcW w:w="75" w:type="dxa"/>
            <w:tcBorders/>
            <w:shd w:fill="CCEEFF" w:val="clear"/>
            <w:vAlign w:val="center"/>
          </w:tcPr>
          <w:p>
            <w:pPr>
              <w:pStyle w:val="TableContents"/>
              <w:bidi w:val="0"/>
              <w:spacing w:before="0" w:after="283"/>
              <w:jc w:val="left"/>
            </w:pPr>
            <w:r>
              <w:t> </w:t>
            </w:r>
          </w:p>
        </w:tc>
      </w:tr>
      <w:tr>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trial, sub-contractors and consulting expense (EB613)</w:t>
            </w:r>
          </w:p>
        </w:tc>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5,161</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2,827</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w:t>
            </w:r>
          </w:p>
        </w:tc>
        <w:tc>
          <w:tcPr>
            <w:tcW w:w="75" w:type="dxa"/>
            <w:tcBorders/>
            <w:vAlign w:val="center"/>
          </w:tcPr>
          <w:p>
            <w:pPr>
              <w:pStyle w:val="TableContents"/>
              <w:bidi w:val="0"/>
              <w:spacing w:before="0" w:after="283"/>
              <w:jc w:val="left"/>
            </w:pPr>
            <w:r>
              <w:t> </w:t>
            </w:r>
          </w:p>
        </w:tc>
      </w:tr>
      <w:tr>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expenses related to OPKO Collaboration Agreement</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75" w:type="dxa"/>
            <w:tcBorders/>
            <w:shd w:fill="CCEEFF" w:val="clear"/>
            <w:vAlign w:val="center"/>
          </w:tcPr>
          <w:p>
            <w:pPr>
              <w:pStyle w:val="TableContents"/>
              <w:bidi w:val="0"/>
              <w:spacing w:before="0" w:after="283"/>
              <w:jc w:val="left"/>
            </w:pPr>
            <w:r>
              <w:t> </w:t>
            </w:r>
          </w:p>
        </w:tc>
      </w:tr>
      <w:tr>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related expenses</w:t>
            </w:r>
          </w:p>
        </w:tc>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1,546</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1,184</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7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6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w:t>
            </w:r>
          </w:p>
        </w:tc>
        <w:tc>
          <w:tcPr>
            <w:tcW w:w="75" w:type="dxa"/>
            <w:tcBorders/>
            <w:vAlign w:val="center"/>
          </w:tcPr>
          <w:p>
            <w:pPr>
              <w:pStyle w:val="TableContents"/>
              <w:bidi w:val="0"/>
              <w:spacing w:before="0" w:after="283"/>
              <w:jc w:val="left"/>
            </w:pPr>
            <w:r>
              <w:t> </w:t>
            </w:r>
          </w:p>
        </w:tc>
      </w:tr>
      <w:tr>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w:t>
            </w:r>
          </w:p>
        </w:tc>
        <w:tc>
          <w:tcPr>
            <w:tcW w:w="75" w:type="dxa"/>
            <w:tcBorders/>
            <w:shd w:fill="CCEEFF" w:val="clear"/>
            <w:vAlign w:val="center"/>
          </w:tcPr>
          <w:p>
            <w:pPr>
              <w:pStyle w:val="TableContents"/>
              <w:bidi w:val="0"/>
              <w:spacing w:before="0" w:after="283"/>
              <w:jc w:val="left"/>
            </w:pPr>
            <w:r>
              <w:t> </w:t>
            </w:r>
          </w:p>
        </w:tc>
      </w:tr>
      <w:tr>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 and related expenses</w:t>
            </w:r>
          </w:p>
        </w:tc>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7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6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c>
          <w:tcPr>
            <w:tcW w:w="75" w:type="dxa"/>
            <w:tcBorders/>
            <w:vAlign w:val="center"/>
          </w:tcPr>
          <w:p>
            <w:pPr>
              <w:pStyle w:val="TableContents"/>
              <w:bidi w:val="0"/>
              <w:spacing w:before="0" w:after="283"/>
              <w:jc w:val="left"/>
            </w:pPr>
            <w:r>
              <w:t> </w:t>
            </w:r>
          </w:p>
        </w:tc>
      </w:tr>
      <w:tr>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development expenses</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75" w:type="dxa"/>
            <w:tcBorders/>
            <w:shd w:fill="CCEEFF" w:val="clear"/>
            <w:vAlign w:val="center"/>
          </w:tcPr>
          <w:p>
            <w:pPr>
              <w:pStyle w:val="TableContents"/>
              <w:bidi w:val="0"/>
              <w:spacing w:before="0" w:after="283"/>
              <w:jc w:val="left"/>
            </w:pPr>
            <w:r>
              <w:t> </w:t>
            </w:r>
          </w:p>
        </w:tc>
      </w:tr>
      <w:tr>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p>
        </w:tc>
        <w:tc>
          <w:tcPr>
            <w:tcW w:w="60" w:type="dxa"/>
            <w:tcBorders/>
            <w:vAlign w:val="center"/>
          </w:tcPr>
          <w:p>
            <w:pPr>
              <w:pStyle w:val="TableContents"/>
              <w:bidi w:val="0"/>
              <w:spacing w:before="0" w:after="283"/>
              <w:jc w:val="left"/>
            </w:pPr>
            <w:r>
              <w:t> </w:t>
            </w:r>
          </w:p>
        </w:tc>
        <w:tc>
          <w:tcPr>
            <w:tcW w:w="144" w:type="dxa"/>
            <w:tcBorders>
              <w:bottom w:val="single" w:sz="8" w:space="0" w:color="000000"/>
            </w:tcBorders>
            <w:tcMar>
              <w:bottom w:w="28" w:type="dxa"/>
            </w:tcMar>
            <w:vAlign w:val="center"/>
          </w:tcPr>
          <w:p>
            <w:pPr>
              <w:pStyle w:val="TableContents"/>
              <w:bidi w:val="0"/>
              <w:spacing w:before="0" w:after="283"/>
              <w:jc w:val="left"/>
            </w:pPr>
            <w:r>
              <w:t> </w:t>
            </w:r>
          </w:p>
        </w:tc>
        <w:tc>
          <w:tcPr>
            <w:tcW w:w="68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16,037</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144" w:type="dxa"/>
            <w:tcBorders>
              <w:bottom w:val="single" w:sz="8" w:space="0" w:color="000000"/>
            </w:tcBorders>
            <w:tcMar>
              <w:bottom w:w="28" w:type="dxa"/>
            </w:tcMar>
            <w:vAlign w:val="center"/>
          </w:tcPr>
          <w:p>
            <w:pPr>
              <w:pStyle w:val="TableContents"/>
              <w:bidi w:val="0"/>
              <w:spacing w:before="0" w:after="283"/>
              <w:jc w:val="left"/>
            </w:pPr>
            <w:r>
              <w:t> </w:t>
            </w:r>
          </w:p>
        </w:tc>
        <w:tc>
          <w:tcPr>
            <w:tcW w:w="56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4,179</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4" w:type="dxa"/>
            <w:tcBorders>
              <w:bottom w:val="single" w:sz="8" w:space="0" w:color="000000"/>
            </w:tcBorders>
            <w:tcMar>
              <w:bottom w:w="28" w:type="dxa"/>
            </w:tcMar>
            <w:vAlign w:val="center"/>
          </w:tcPr>
          <w:p>
            <w:pPr>
              <w:pStyle w:val="TableContents"/>
              <w:bidi w:val="0"/>
              <w:spacing w:before="0" w:after="283"/>
              <w:jc w:val="left"/>
            </w:pPr>
            <w:r>
              <w:t> </w:t>
            </w:r>
          </w:p>
        </w:tc>
        <w:tc>
          <w:tcPr>
            <w:tcW w:w="73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10,672</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154" w:type="dxa"/>
            <w:tcBorders>
              <w:bottom w:val="single" w:sz="8" w:space="0" w:color="000000"/>
            </w:tcBorders>
            <w:tcMar>
              <w:bottom w:w="28" w:type="dxa"/>
            </w:tcMar>
            <w:vAlign w:val="center"/>
          </w:tcPr>
          <w:p>
            <w:pPr>
              <w:pStyle w:val="TableContents"/>
              <w:bidi w:val="0"/>
              <w:spacing w:before="0" w:after="283"/>
              <w:jc w:val="left"/>
            </w:pPr>
            <w:r>
              <w:t> </w:t>
            </w:r>
          </w:p>
        </w:tc>
        <w:tc>
          <w:tcPr>
            <w:tcW w:w="60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75" w:type="dxa"/>
            <w:tcBorders/>
            <w:vAlign w:val="center"/>
          </w:tcPr>
          <w:p>
            <w:pPr>
              <w:pStyle w:val="TableContents"/>
              <w:bidi w:val="0"/>
              <w:spacing w:before="0" w:after="283"/>
              <w:jc w:val="left"/>
            </w:pPr>
            <w:r>
              <w:t> </w:t>
            </w:r>
          </w:p>
        </w:tc>
      </w:tr>
      <w:tr>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Segment net loss</w:t>
            </w:r>
          </w:p>
        </w:tc>
        <w:tc>
          <w:tcPr>
            <w:tcW w:w="60" w:type="dxa"/>
            <w:tcBorders/>
            <w:shd w:fill="CCEEFF" w:val="clear"/>
            <w:vAlign w:val="center"/>
          </w:tcPr>
          <w:p>
            <w:pPr>
              <w:pStyle w:val="TableContents"/>
              <w:bidi w:val="0"/>
              <w:spacing w:before="0" w:after="283"/>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26,414</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15,597</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3,200</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Other segment expenses mainly related to general and administrative expenses, including payroll and related expenses, share-based compensation, legal and audit fees and others, and to financial expenses (income), net, including changes in the fair value of the pre-funded warrants liability.</w:t>
      </w:r>
    </w:p>
    <w:p>
      <w:pPr>
        <w:pStyle w:val="TextBody"/>
        <w:bidi w:val="0"/>
        <w:spacing w:before="0" w:after="0"/>
        <w:ind w:left="0" w:right="0" w:hanging="0"/>
        <w:jc w:val="left"/>
      </w:pPr>
      <w:r>
        <w:t> </w:t>
      </w:r>
    </w:p>
    <w:p>
      <w:pPr>
        <w:pStyle w:val="TextBody"/>
        <w:bidi w:val="0"/>
        <w:spacing w:before="0" w:after="0"/>
        <w:ind w:left="0" w:right="0" w:hanging="0"/>
        <w:jc w:val="left"/>
      </w:pPr>
      <w:bookmarkStart w:id="10" w:name="item2"/>
      <w:bookmarkEnd w:id="10"/>
      <w:r>
        <w:rPr>
          <w:rStyle w:val="StrongEmphasis"/>
          <w:rFonts w:ascii="Times New Roman;Times;serif" w:hAnsi="Times New Roman;Times;serif"/>
          <w:b w:val="false"/>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and analysis provides information we believe is relevant to an assessment and understanding of our results of operations, financial condition, liquidity and cash flows for the periods presented below. This discussion should be read in conjunction with the interim unaudited condensed consolidated financial statements and related notes contained elsewhere in this Quarterly Report, Part II, Item 1A-Risk Factors in this Quarterly Report, and Part I, Item 1A-Risk Factors in our 2025 Annual Report. As discussed in the section above titled “Cautionary Note Regarding Forward-Looking Statements,” the following discussion contains forward-looking statements that are based upon our current expectations, including with respect to our future operations, revenues and operating results. Our actual results may differ materially from those anticipated in such forward-looking statements as a result of various factors. Factors that could cause or contribute to such differences include, but are not limited to, those identified below, and those discussed in the section titled “Risk Factors” included under Part II, Item 1A below, as well as in Part I, Item 1A-Risk Factors in our 2025 Annual Report. Unless otherwise provided, references to the “Company,” “we,” “us” and “our” refer to Entera Bio Ltd. and its consolidated subsidiary.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is a clinical stage company focused on developing oral peptide and protein replacement therapies for significant unmet medical needs. We focus on underserved, chronic medical conditions for which oral administration of a protein therapy has the potential to significantly shift a treatment paradigm. Our pipeline includes first-in-class oral PTH(1-34), GLP-1/Glucagon and GLP-2 agonists in tablet form, with indications across women centric endocrine conditions and metabolic and inflammatory disorders.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most protein therapies are administered via frequent intravenous, subcutaneous, or intramuscular injections. In chronic progressive conditions, these cumbersome, often painful and high-priced injections limit adherence, access and can create a major treatment gap.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technical standpoint, the development of orally available peptides is challenging due to the enzymatic degradation within the gastrointestinal tract and poor absorption into the blood stream. We leverage our N-Tab® platform, which is designed to simultaneously stabilize large (4kD+), linear, hydrophilic peptides in the gastrointestinal tract and promote their absorption into the bloodstream.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EB613 Program (Oral PTH(1-34))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EB613, oral PTH (1-34), is being developed as the first oral, anabolic (bone building) tablet for osteoporosis. Osteoporosis is a chronic, progressive disorder in which bone resorption exceeds formation, resulting in increased susceptibility to fracture. Multiple guidelines recommend anabolic treatment as frontline treatment because of their superiority in rapidly increasing Bone Mineral Density (“BMD”) and lowering fracture risk versus anti-resorptive treatments. The three approved anabolic drugs (Forteo®, Tymlos®, Evenity®) require daily/”in-office” monthly subcutaneous (SC) injections which limits both clinician and patient access and are estimated to be used in a minority of very high-risk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EB613 is intended to provide the first oral anabolic option to patients earlier in their treatment journey to increase skeletal mass, reduce the risk of fracture and consequently limit the progression of the disease, and its associated disability and mortality.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EB613 is being developed under a 505(b)(2) application to the listed drug, Forteo® (teriparatide daily SC injection, Eli Lilly), which was first approved by the FDA in 2002 for the treatment of postmenopausal women with osteoporosis at high risk of fracture and later indicated for men with osteoporosis and osteoporosis associated with sustained systemic glucocorticoid therapy. Forteo® has been in clinical use for over 20 years with a well-established benefit-risk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placebo controlled, dose ranging Phase 2 study of EB613 oral tablets (n= 161) met primary (pharmacodynamic/bone turnover biomarker) and secondary endpoints (BMD). In April 2024, Phase 2 data was published in the Journal of Bone and Mineral Research (JBMR). EB613 produced rapid dose-proportional increases in biochemical markers of bone formation, reductions in markers of bone resorption, and increased lumbar spine, total hip, and femoral neck BMD. At 6 months of treatment, EB613 2.5mg produced comparable total hip BMD increases as those that have been reported for Forteo® at 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2026, we reported clinical data from a post-hoc analysis of our Phase 2 trial of EB613 at the ASBMR 2026 Annual Meeting in a poster presentation titled “EB613, Oral PTH(1-34) Tablet, Shows Markedly Enhanced Anabolic Effects in Postmenopausal Women with Osteoporosis at High Risk of Fracture: Insights from Phase 2 Trial”. This exploratory analysis, based on small patient groups, suggests a potentially greater treatment effect of EB613 in women with more severe osteoporosis (T-scores of -2.5 or lower) vs women with osteopenia (T-scores higher than -2.5). Our planned Phase 3 registrational program for EB613 is planned to enroll postmenopausal women with osteoporosis at high risk of fracture (T-scores of -2.5 or lower).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Osteoporosis is a major and growing public health issue worldwide. In the United States, osteoporosis results in over two million fractures annually, despite available treatment options. These fractures lead to chronic pain, decreased quality of life, increased disability and premature death. Studies show that up to 20-24% of hip fracture patients die within one year of the fracture. The total medical cost of osteoporotic fractures in the United States is projected to increase from $57 billion in 2018 to $95 billion by 2040, largely due to the aging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Postmenopausal women are at higher risk of developing osteoporosis-related fractures due to primary estrogen deficiency which leads to accelerated bone loss after menopause. After age 50, one in three women and one in five men are estimated to suffer an osteoporosis-related fracture in their remaining lifetime.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approvals of new drugs for the treatment of osteoporosis have historically required a placebo-controlled trial demonstrating fracture risk reduction as the primary efficacy endpoint. The fracture endpoint is challenging due to ethical considerations and the very large sample sizes required to evaluate treatment effectiveness. The last drug approval for osteoporosis occurred in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Foundation for the National Institute of Health-American Society for Bone and Mineral Research-Study to Advance BMD as a Regulatory Endpoint (FNIH-ASBMR-SABRE, previously known as the FNIH-Bone Quality Project [FNIH-BQP], hereinafter “SABRE”) was launched in 2013. Total Hip BMD was qualified by FDA in December 2025 as a surrogate efficacy endpoint to fracture.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end of our Phase 2 Meeting in December 2021, we have engaged with the FDA in various Type C, D, A and other meetings in 2022, 2023, 2024, 2025 and 2026 to obtain clarity and alignment an appropriate data package to support a new drug application (“NDA”) for EB613 under a 505(b)(2)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submitted to the FDA a clinical amendment comprising a streamlined EB613 Phase 3 protocol, statistical analysis plan and extension synopsis. In June 2026, we announced that the FDA accepted our proposed registrational development plan for EB613 and that a randomized, double-blind, placebo-controlled, phase 3 trial in approximately 750 postmenopausal women with osteoporosis, with a primary endpoint of percent change from baseline in total hip BMD at Month 12, may support our NDA. The FDA agreed with our proposal to continue following the randomized patients to 24 months in an extension study and specified that the 120-day safety update should include data up to 18 months. We also plan to submit the complete 2-year data upon completion of the extension study to demonstrate durability of response of EB613 beyond the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aligned in 2022 and 2023 communications with FDA, to support the NDA under the 505(b)(2) regulatory pathway, the data package will include a scientific bridging analysis with Forteo® (teriparatide SC injection, Eli Lilly) which will be based on a PK exposure analysis with separate population PK and PK sub-studies planned. We also intend to conduct a transiliac crest bone biopsy sub-study in a small subset of patients as part of our registrational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2026, we presented the design of our planned Phase 3 study of EB613 at the ASBMR 2026 Annual Meeting. The study is expected to enroll approximately 900 postmenopausal women with osteoporosis, randomized 2:1 to EB613 (N ~ 600) or placebo (N ~ 300). Eligible participants will include postmenopausal women 50-90 years of age and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rPr>
        <w:t>5 years from the last menstrual period with osteoporosis diagnosed by DXA with BMD T-score ≤-2.5 at either lumbar spine, total hip, or femoral neck. Participants completing 12 months of treatment in the registrational study will be eligible to enroll in the planned extension study through Month 24. We are currently preparing to open the Phase 3 study for EB613 in late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EB612 Program (Oral Acylated PTH(1-34))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EB612, is being developed as the first oral acylated PTH(1-34) peptide replacement therapy in tablet form for patients with hypoparathyroidism.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is being developed as part of our February 2026 expanded collaboration with OPKO Biologics, Inc. (“OPKO Biologics”), a subsidiary of OPKO Health, Inc. (“OPKO”). Under the collaboration, Entera and OPKO each hold a 50% pro-rata ownership interest in the EB612 program, and each is responsible for 50% of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at ENDO 2026, we presented preclinical data for EB612 from three animal models — a thyroparathyroidectomized (TPTx) rat model, a minipig model and a non-human primate model — showing sustained increases in serum calcium consistent with clinically validated injectable PTH-replacement therapies for hypoparathyroidism.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IND enabling studies for EB612. We intend to initiate a PK Phase 1 Single Ascending Dose (SAD) phase 1 study with EB612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EB618 Program (Oral GLP-1/Glucagon)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a collaboration agreement with OPKO Biologics (the “2023 Collaboration Agreement”) to develop the first oral dual agonist GLP-1/Glucagon (OXM) peptide as a tablet for patients with obesity and metabolic disorders. Oxyntomodulin (OXM) is a hormone that regulates appetite and glucose metabolism and promotes weight loss, with additional cardioprotective and anti-fibrotic properties; its therapeutic potential as a native hormone is limited by a short plasma half-life. Currently, there are no approved dual GLP-1/Glucagon agonists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at ENDO 2026, we presented preclinical data for EB618 from a single-dose pharmacokinetic-pharmacodynamic study in non-human primates, showing dose-proportional systemic exposure across three tablet strengths, a dose-proportional pharmacologic effect on postprandial blood glucose.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OPKO is conducting a single ascending dose (SAD) Phase 1 clinical study with a weekly subcutaneous injection of the OXM peptide. We plan to determine next steps of the clinical development plan for EB618 based on the outcomes of that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our collaboration agreements with OPKO, see Item 2. Management’s Discussion and Analysis of Financial Condition and Results of Operations—Patent Transfer, Licensing Agreements and Grant Funding—OPKO Collaboration and License Agreements, contained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Oral GLP-2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focuses on developing the first GLP-2 peptide tablet alternative for patients suffering from short bowel syndrome and additional disorders involving mucosal inflammation and nutrient malabsorption. 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exploring potential collaboration and partnering options for this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Patent Transfer, Licensing Agreements and Grant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OPKO Collaboration and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2023 Collaboration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the 2023 Collaboration Agreement with OPKO Biologics. Under the terms of this agreement, OPKO has agreed to supply a proprietary long-acting GLP-2 peptide and certain OXM analogs for the development of oral tablet candidates using our proprietary N-Tab® platform. Under this agreement, we and OPKO have each agreed to be responsible for specific phases of development of the two oral peptides to the point of demonstrated in vivo feasibility.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2025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entered into the 2025 Collaboration Agreement with OPKO and OPKO Biologics to collaborate with respect to the preclinical and clinical development and decision making related to the Oral OXM program for the treatment of obesity, metabolic and fibrotic disorders in humans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2025 Collaboration Agreement, we granted to OPKO an exclusive, sublicensable and non-transferable, worldwide license to certain of our intellectual property and technology solely to develop, manufacture, and commercialize any GLP-1/Glucagon dual agonist as an oral treatment form for the treatment of obesity, metabolic, cardiovascular, and fibrotic disorders in humans, and OPKO has granted to us a non-exclusive, non-sublicensable and non-transferable license to certain of its intellectual property and technology to the extent necessary for us to perform our obligations in relation to the Program, in each case subject to the exceptions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2025 Collaboration Agreement, we and OPKO retain 40% and 60%, respectively, of all proceeds deriving from the EB618 Program, and will be responsible for 40% and 60% of the Program’s development costs, respectively. Following the completion of the Phase 1 stage, we may continue to fund our 40% share of the Program to maintain our right to proceeds or opt-out (the “Opt-Out”). If we Opt-Out, then we and OPKO will retain 15% and 85%, respectively, of all proceeds deriving from the Program, while OPKO will be solely responsible for ongoing development and commercialization funding of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2025 Collaboration Agreement, we issued and sold to OPKO an aggregate of 3,685,226 Ordinary Shares for a purchase price of $8.0 million, the proceeds of which we have agreed to use solely to fund our development cost obligations under the 2025 Collaboration Agreement, subject to the expiration or termination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Amended and Restated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the A&amp;R Collaboration Agreement with OPKO which amends and restates the 2025 Collaboration Agreement to expand the scope of the agreement to include the collaboration with respect to the preclinical and clinical development of long acting or acylated PTH(1-34) peptides for the treatment of hypoparathyroidism (EB612 Program) . Development costs incurred by the parties and proceeds relating to the EB612 program will be shared equally (50% / 50%) between Entera and OPKO.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Oramed Patent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2011, we entered into a patent transfer agreement with Oramed Ltd. (“Oramed”), which we refer to as the Patent Transfer Agreement, pursuant to which Oramed assigned to us all of its rights, title and interest in the patent rights Oramed licensed to us when we were originally organized,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that involve the use of, or utilize, the patents underlying the Patent Transfer Agreement. Under the terms of the Patent Transfer Agreement, we agreed to pay Oramed royalties equal to 3% of our net revenues generated, directly or indirectly, from our exploitation of the assigned patent rights, including the sale, lease or transfer of the assigned patent rights or sales of products or services covered by the assigned patent rights. On March 27, 2025, we entered into a Novation Agreement with Oramed, and Oramed NewCo Inc. ("Oramed NewCo") pursuant to which Oramed NewCo replaced Oramed as a party to the Patent Transfer Agreement. Under the Novation Agreement, Oramed NewCo assumed all of Oramed's rights and obligations under the Patent Transfer Agreement accruing on or after the effective date, Oramed was released from any obligations and liabilities owed to us under the Patent Transfer Agreement accruing or arising after such date, and we were released from any obligations and liabilities owed to Oramed accruing or arising after such date. All other provisions of the Patent Transfer Agreement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Israeli Innovation Authority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grants of approximately $0.5 million from the Israeli Innovation Authority (“IIA”) to partially fund our PTH research and development for Osteoporosis. The grants are subject to certain requirements and restrictions under the Israeli Encouragement of Research, Development and Technological Innovation in Industry Law 5477 1984 (the “Research Law”). In general, until the grants are repaid with interest, royalties are payable to the Israeli government in the amount of 3% on revenues derived from sales of products or services developed in whole or in part using the IIA grants. The royalty rate may increase to 5%, with respect to approved applications filed following any year in which we achieve sales of over $70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that must be repaid may be increased up to six times the amount of the grant received and the interest. The rate of royalties may be accelerated and the royalty liability may increase (up to three times the amount of the grant amount and the interest), if manufacturing of the products developed with the grant money is transferred outside of the State of Israel. Moreover, a payment of up to 600% of the grant received may be required upon the transfer of any IIA-related know-how to a non-Israeli entity. We signed a contract with a U.K.-based contract manufacturing organization to produce and supply tablets for trials performed worldwide. We believe that, because this production is not for commercial purposes, it will not affect the royalty rates to be paid to the IIA. Should the IIA successfully take a contrary position, the maximum royalties to be paid to the IIA will be approximately $1.5 million, which is three times the amount of the original grant (plus interest on the entire increased amount). Under a collaboration agreement that was previously mutually terminated in May 2023, from 2019 through March 31, 2023, we recognized an aggregate amount of $1.7 million of revenue in accordance with ASC 606, “Revenues from Contracts with Customers” with respect to revenue generated from the collaboration agreement. Prior to its termination, we had been required to pay to the IIA 5.38% of each payment made to us under such collaboration agreement with an ultimately liability of up to 600% of the grant received plus interest. As of September 30, 2026, we had paid royalties to the IIA in the amount of $96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paying any royalties due, we must abide by other restrictions associated with receiving such grants under the Research Law that continue to apply following repayment to the IIA.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 xml:space="preserve">Recent Developments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Appointment of Chief Medical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we appointed Riccardo Paolo Camisasca, M.D., as our Chief Medical Officer, effective immediately. Dr. Camisasca has more than 30 years of experience spanning clinical development, medical affairs, regulatory strategy and research and development leadership. Most recently, he served as Global Head of Research &amp; Development at Sumitomo Pharma Switzerland, and he previously held clinical development and medical affairs leadership roles at Bial, Syneos Health, Takeda and Novartis.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pPr>
      <w:r>
        <w:rPr>
          <w:rStyle w:val="StrongEmphasis"/>
          <w:rFonts w:ascii="Times New Roman;Times;serif" w:hAnsi="Times New Roman;Times;serif"/>
          <w:b w:val="false"/>
          <w:i/>
          <w:caps w:val="false"/>
          <w:smallCaps w:val="false"/>
          <w:sz w:val="20"/>
        </w:rPr>
        <w:t>Appointment and Departure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our board of directors (the “Board”) appointed Laura Hamill as a Class I director of the Company, effective December 1, 2026, to serve until our 2027 annual general meeting of shareholders and until her successor has been duly elected and qualified. Ms. Hamill will also serve as a member of the audit committee and the corporate governance and nomination committee of the Board, in each case, effective December 1, 2026. Ms. Hamill has more than 35 years of biopharmaceutical commercial leadership experience. Most recently she served as Executive Vice President, Worldwide Commercial Operations at Gilead Sciences, Inc., and before that she held senior commercial leadership roles at Amgen Inc. for nearly two decades.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2026, the Board appointed Juan Camilo Arjona Ferreira, M.D., as a Class II director of the Company, effective December 1, 2026. Dr. Arjona Ferreira will serve as a director until the Company’s 2028 Annual Meeting of Shareholders and until his successor shall have been elected and qualified, or until his earlier death, resignation, retirement, disqualification or removal. Dr. Arjona Ferreira has also been appointed to serve as a member of the compensation committee of the Board, effective December 1, 2026. Dr. Arjona Ferreira is a seasoned physician and pharmaceutical executive and a longtime global advocate for women’s health, with more than 20 years of global clinical development experience. He currently serves as Head of Research &amp; Development and Chief Medical Officer at Organon &amp; Co. (NYSE: OGN), leading Organon’s global research and development organization, which spans early- and late-stage development, global regulatory affairs, pharmacovigilance and safety science, and medical affairs across a diverse portfolio focused on women’s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and October 27, 2026, Yonatan Malca and Haya Taitel, respectively, notified the Board that he or she will step down as a director, effective December 1, 2026. Mr. Malca’s and Ms. Taitel’s departure are not the result of any disagreement with us on any matter relating to our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Israel-Hamas War and Regional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 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and on April 21, 2026, U.S. President Donald Trump announced that the United States would extend the ceasefire with Iran, to allow Iran's leadership to present a unified proposal for negotiations. On June 17, 2026, the United States and Iran signed a memorandum of understanding formalizing the ceasefire, which ended the U.S. naval blockade of Iranian ports and provided for the reopening of the Strait of Hormuz; however, negotiations subsequently stalled, the ceasefire broke down and, beginning in late June 2026, Iran resumed attacks on commercial vessels and U.S. military facilities in the region. In July 2026, Iran announced the closure of the Strait of Hormuz and the United States reinstated its naval blockade of Iranian ports. Iran has since continued restricting commercial vessel passage through the Strait of Hormuz, declaring that the waterway would remain effectively closed until the blockade is lifted. Since early September 2026, no major attacks on land-based targets have been reported, although Iranian attacks on commercial shipping in and around the Strait of Hormuz intensified in October 2026, and the U.S. naval blockade of Iranian ports remains in effect. Hostilities could resume or escalate at any time. On April 16, 2026, following direct talks between Israeli and Lebanese officials in Washington, D.C., a 10-day cessation of hostilities between Israel and Lebanon was announced, brokered by the United States. On June 26, 2026, Israel, Lebanon and the United States facilitated a framework agreement providing for the disarmament of Hezbollah and a phased withdrawal of Israeli forces from southern Lebanon; however, implementation has been limited.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 In August 2026, Iran and Oman entered advanced negotiations on a new shipping arrangement for the Strait of Hormuz; however, Iran has conditioned reopening the waterway on additional demands, including U.S. compensation and the cessation of hostilities, while the United States has similarly demanded compensation from Iran as a precondition for further talks. As of the date of this Quarterly Report, those negotiations remain unresolved and the Strait of Hormuz remains effectively closed to normal commercial traffic.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early research and development personnel and certain officers of the Company are located in Israel. The Company’s clinical operations and development team and our supply chain is located outside of Israel. During the three and nine months ended September 30, 2026 and 2025, the impact of these conflicts on the Company’s results of operations and financial condition was immaterial. See Item 1A. “Risk Factors—Security, political and economic instability in the Middle East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 xml:space="preserve">Financial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inception through September 30, 2026, we have financed our operations primarily through a combination of public and private equity offerings and the issuance of Ordinary Shares upon the exercise of options and warrants. Through September 30, 2026, we had raised an aggregate of approximately $397.3 million from these sources, including approximately $275.0 million of gross proceeds received in connection with the July 2026 Private Placement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and negative cash flows from operations as we have devoted substantially all of our resources to the research and development of our product candidates. We expect to incur significant operating losses for the foreseeable future as we advance our clinical development programs. For the three months ended September 30, 2026 and 2025, our operating losses were $7.3 million and $3.3 million, respectively. For the nine months ended September 30, 2026 and 2025, our operating losses were $15.4 million and $8.5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we had an accumulated deficit of $151.8 million. Our operating results may increase significantly from period to period depending on, among other things, the timing and progress of our clinical trials, research and development activities, manufacturing activities, regulatory interactions, strategic collaborations and any third-party collaborations into which we may 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we had cash, cash equivalents and restricted cash of $272.4 million, of which $6.5 million has been designated to fund collaboration activities with OPKO under the A&amp;R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we consummated the July 2026 Private Placement and received aggregate gross proceeds of approximately $275.0 million and aggregate net proceeds of approximately $260.9 million after deducting placement agent fees and other offering expenses. Based on our current operating plan, we believe that our existing cash resources will be sufficient to fund our planned operations into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regarding the period through which our financial resources will be sufficient to support our operations is based on our current operating plan and assumptions regarding the timing and costs of our development programs and other operating activities. These assumptions are subject to change, and we may use our available capital resources sooner than currently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we had a total of 27 employees based in Israel, the U.S., Switzerland and Canada. In addition, we employ a team of dedicated clinical, non-clinical, statistics, CMC, regulatory and development advisors. Our laboratories are in Jerusalem,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sales of our products, and we do not expect to receive any revenue from any product candidates that we develop unless and until we obtain regulatory approval and successfully commercialize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for the development of our N-Tab® platform and our product candidates. We expense both internal and external research and development expenses to operations for the periods in which they are incurred. We mapped the majority of external research and development costs incurred for our product candidates and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and certain general external research and development expenses that support multiple programs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employee-related expenses, including salaries, bonuses and share-based compensation expenses for employees and service providers in the research and development function;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associated with our research and development platform used across programs, process development, manufacturing, consulting fees and preclinical development for earlier stage programs and new technologies;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4"/>
        <w:gridCol w:w="10025"/>
      </w:tblGrid>
      <w:tr>
        <w:tc>
          <w:tcPr>
            <w:tcW w:w="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in operating our laboratories including our small-scale manufacturing facility;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of research and development equipment, allocated overhead, rent and facilities-related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for our main clinical development programs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under agreements with CROs and investigative sites that conduct our clinical trials;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7"/>
        <w:gridCol w:w="9914"/>
      </w:tblGrid>
      <w:tr>
        <w:tc>
          <w:tcPr>
            <w:tcW w:w="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costs associated with pre-clinical and clinical activities;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59"/>
        <w:gridCol w:w="9991"/>
      </w:tblGrid>
      <w:tr>
        <w:tc>
          <w:tcPr>
            <w:tcW w:w="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supply, development and manufacturing costs relating to clinical trial materials;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consulting and advisory services related to the program.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our primary focus.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significantly in future periods as we advance our clinical candidates into later stages of clinical development and invest in additional preclinical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may vary substantially from period to period based on the timing of our research and development activities, including due to the timing of initiation of clinical trials and the enrolment of patients in clinical trials. For the three months ended September 30, 2026 and 2025, our research and development expenses were $4.9 million and $1.6 million, respectively. For the nine months ended September 30, 2026 and 2025, our research and development expenses were $10.4 million and $4.3 million, respectively. Research and development expenses for the three and nine months ended September 30, 2026 were primarily for the development of the EB613 program, including start-up activities for the registrational Phase 3 study of EB613, and expenses related to our EB612 and EB618 programs in collaboration with OPKO.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uncertainty of the scope, rate of progress, results and cost of our clinical trials, nonclinical testing and other related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26 </w:t>
      </w:r>
    </w:p>
    <w:p>
      <w:pPr>
        <w:pStyle w:val="TextBody"/>
        <w:bidi w:val="0"/>
        <w:spacing w:before="0" w:after="0"/>
        <w:ind w:left="0" w:right="0" w:hanging="0"/>
        <w:jc w:val="left"/>
      </w:pPr>
      <w: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manufacturing clinical supplies and establishing commercial supplies of our product candidates and any products that we may develop;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6"/>
        <w:gridCol w:w="9942"/>
      </w:tblGrid>
      <w:tr>
        <w:tc>
          <w:tcPr>
            <w:tcW w:w="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characteristics of product candidates that we pursue;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3"/>
        <w:gridCol w:w="9878"/>
      </w:tblGrid>
      <w:tr>
        <w:tc>
          <w:tcPr>
            <w:tcW w:w="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timing and outcomes of regulatory approvals;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50"/>
        <w:gridCol w:w="10004"/>
      </w:tblGrid>
      <w:tr>
        <w:tc>
          <w:tcPr>
            <w:tcW w:w="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establishing any sales, marketing, and distribution capabilities;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timing of any collaborative, licensing and other arrangements that we may establish, including any milestone and royalty payments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EB613, EB612 and EB618 or any other product candidate that we may develop could significantly change the costs and timing associated with the development of any such product candidate. For example, if the FDA or other regulatory authority were to require us to conduct preclinical or clinical studies beyond those that we currently anticipate will be required for the completion of clinical development, if we experience significant delays in enrolment in any clinical trials or if we encounter difficulties in manufacturing our clinical supplies, then we could be required to expend significant additional financial resources and time on the completion of the clinical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for the three and nine months ended September 30, 2026 and 2025 are summarized as follows:</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0" w:type="dxa"/>
          <w:right w:w="0" w:type="dxa"/>
        </w:tblCellMar>
      </w:tblPr>
      <w:tblGrid>
        <w:gridCol w:w="3005"/>
        <w:gridCol w:w="60"/>
        <w:gridCol w:w="144"/>
        <w:gridCol w:w="681"/>
        <w:gridCol w:w="69"/>
        <w:gridCol w:w="69"/>
        <w:gridCol w:w="144"/>
        <w:gridCol w:w="560"/>
        <w:gridCol w:w="60"/>
        <w:gridCol w:w="60"/>
        <w:gridCol w:w="166"/>
        <w:gridCol w:w="647"/>
        <w:gridCol w:w="80"/>
        <w:gridCol w:w="80"/>
        <w:gridCol w:w="166"/>
        <w:gridCol w:w="647"/>
        <w:gridCol w:w="75"/>
      </w:tblGrid>
      <w:tr>
        <w:tc>
          <w:tcPr>
            <w:tcW w:w="30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66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Nine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8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75" w:type="dxa"/>
            <w:tcBorders/>
            <w:vAlign w:val="center"/>
          </w:tcPr>
          <w:p>
            <w:pPr>
              <w:pStyle w:val="TableContents"/>
              <w:bidi w:val="0"/>
              <w:spacing w:before="0" w:after="283"/>
              <w:jc w:val="left"/>
            </w:pPr>
            <w:r>
              <w:t> </w:t>
            </w:r>
          </w:p>
        </w:tc>
      </w:tr>
      <w:tr>
        <w:tc>
          <w:tcPr>
            <w:tcW w:w="30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7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8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pPr>
            <w:r>
              <w:t> </w:t>
            </w:r>
          </w:p>
        </w:tc>
      </w:tr>
      <w:tr>
        <w:tc>
          <w:tcPr>
            <w:tcW w:w="30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57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75" w:type="dxa"/>
            <w:tcBorders/>
            <w:vAlign w:val="center"/>
          </w:tcPr>
          <w:p>
            <w:pPr>
              <w:pStyle w:val="TableContents"/>
              <w:bidi w:val="0"/>
              <w:spacing w:before="0" w:after="283"/>
              <w:jc w:val="left"/>
            </w:pPr>
            <w:r>
              <w:t> </w:t>
            </w:r>
          </w:p>
        </w:tc>
      </w:tr>
      <w:tr>
        <w:tc>
          <w:tcPr>
            <w:tcW w:w="30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25" w:type="dxa"/>
            <w:gridSpan w:val="2"/>
            <w:tcBorders/>
            <w:vAlign w:val="center"/>
          </w:tcPr>
          <w:p>
            <w:pPr>
              <w:pStyle w:val="TableContents"/>
              <w:bidi w:val="0"/>
              <w:spacing w:before="0" w:after="283"/>
              <w:jc w:val="center"/>
            </w:pPr>
            <w:r>
              <w:t> </w:t>
            </w:r>
          </w:p>
        </w:tc>
        <w:tc>
          <w:tcPr>
            <w:tcW w:w="69" w:type="dxa"/>
            <w:tcBorders/>
            <w:vAlign w:val="center"/>
          </w:tcPr>
          <w:p>
            <w:pPr>
              <w:pStyle w:val="TableContents"/>
              <w:bidi w:val="0"/>
              <w:spacing w:before="0" w:after="283"/>
              <w:jc w:val="left"/>
            </w:pPr>
            <w:r>
              <w:t> </w:t>
            </w:r>
          </w:p>
        </w:tc>
        <w:tc>
          <w:tcPr>
            <w:tcW w:w="69" w:type="dxa"/>
            <w:tcBorders/>
            <w:vAlign w:val="center"/>
          </w:tcPr>
          <w:p>
            <w:pPr>
              <w:pStyle w:val="TableContents"/>
              <w:bidi w:val="0"/>
              <w:spacing w:before="0" w:after="283"/>
              <w:jc w:val="left"/>
            </w:pPr>
            <w:r>
              <w:t> </w:t>
            </w:r>
          </w:p>
        </w:tc>
        <w:tc>
          <w:tcPr>
            <w:tcW w:w="704" w:type="dxa"/>
            <w:gridSpan w:val="2"/>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13" w:type="dxa"/>
            <w:gridSpan w:val="2"/>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813" w:type="dxa"/>
            <w:gridSpan w:val="2"/>
            <w:tcBorders/>
            <w:vAlign w:val="center"/>
          </w:tcPr>
          <w:p>
            <w:pPr>
              <w:pStyle w:val="TableContents"/>
              <w:bidi w:val="0"/>
              <w:spacing w:before="0" w:after="283"/>
              <w:jc w:val="center"/>
            </w:pPr>
            <w:r>
              <w:t> </w:t>
            </w:r>
          </w:p>
        </w:tc>
        <w:tc>
          <w:tcPr>
            <w:tcW w:w="75" w:type="dxa"/>
            <w:tcBorders/>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trial, sub-contractors and  </w:t>
              <w:br/>
              <w:t>    consulting expenses (EB613)</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5,161</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2,827</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w:t>
            </w:r>
          </w:p>
        </w:tc>
        <w:tc>
          <w:tcPr>
            <w:tcW w:w="75"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expenses related to OPKO</w:t>
              <w:br/>
              <w:t>   Collaboration Agreement</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6" w:type="dxa"/>
            <w:tcBorders/>
            <w:shd w:fill="FFFFFF" w:val="clear"/>
            <w:vAlign w:val="center"/>
          </w:tcPr>
          <w:p>
            <w:pPr>
              <w:pStyle w:val="TableContents"/>
              <w:bidi w:val="0"/>
              <w:spacing w:before="0" w:after="283"/>
              <w:jc w:val="left"/>
            </w:pPr>
            <w: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6" w:type="dxa"/>
            <w:tcBorders/>
            <w:shd w:fill="FFFFFF" w:val="clear"/>
            <w:vAlign w:val="center"/>
          </w:tcPr>
          <w:p>
            <w:pPr>
              <w:pStyle w:val="TableContents"/>
              <w:bidi w:val="0"/>
              <w:spacing w:before="0" w:after="283"/>
              <w:jc w:val="left"/>
            </w:pPr>
            <w: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75" w:type="dxa"/>
            <w:tcBorders/>
            <w:shd w:fill="FFFFFF" w:val="clear"/>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related expenses</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1,546</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pPr>
            <w: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pPr>
            <w: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w:t>
            </w:r>
          </w:p>
        </w:tc>
        <w:tc>
          <w:tcPr>
            <w:tcW w:w="75"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6" w:type="dxa"/>
            <w:tcBorders/>
            <w:shd w:fill="FFFFFF" w:val="clear"/>
            <w:vAlign w:val="center"/>
          </w:tcPr>
          <w:p>
            <w:pPr>
              <w:pStyle w:val="TableContents"/>
              <w:bidi w:val="0"/>
              <w:spacing w:before="0" w:after="283"/>
              <w:jc w:val="left"/>
            </w:pPr>
            <w: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6" w:type="dxa"/>
            <w:tcBorders/>
            <w:shd w:fill="FFFFFF" w:val="clear"/>
            <w:vAlign w:val="center"/>
          </w:tcPr>
          <w:p>
            <w:pPr>
              <w:pStyle w:val="TableContents"/>
              <w:bidi w:val="0"/>
              <w:spacing w:before="0" w:after="283"/>
              <w:jc w:val="left"/>
            </w:pPr>
            <w: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w:t>
            </w:r>
          </w:p>
        </w:tc>
        <w:tc>
          <w:tcPr>
            <w:tcW w:w="75" w:type="dxa"/>
            <w:tcBorders/>
            <w:shd w:fill="FFFFFF" w:val="clear"/>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 and related expenses</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pPr>
            <w: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pPr>
            <w:r>
              <w:t> </w:t>
            </w:r>
          </w:p>
        </w:tc>
        <w:tc>
          <w:tcPr>
            <w:tcW w:w="647" w:type="dxa"/>
            <w:tcBorders/>
            <w:shd w:fill="CCEEFF" w:val="clear"/>
            <w:vAlign w:val="center"/>
          </w:tcPr>
          <w:p>
            <w:pPr>
              <w:pStyle w:val="TableContents"/>
              <w:bidi w:val="0"/>
              <w:spacing w:before="0" w:after="283"/>
              <w:jc w:val="right"/>
            </w:pPr>
            <w:r>
              <w:t>118</w:t>
            </w:r>
          </w:p>
        </w:tc>
        <w:tc>
          <w:tcPr>
            <w:tcW w:w="75"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283"/>
              <w:jc w:val="left"/>
            </w:pPr>
            <w:r>
              <w:t>      </w:t>
            </w:r>
            <w:r>
              <w:rPr>
                <w:rFonts w:ascii="Times New Roman;Times;serif" w:hAnsi="Times New Roman;Times;serif"/>
                <w:sz w:val="20"/>
              </w:rPr>
              <w:t>Other development expenses</w:t>
            </w:r>
          </w:p>
        </w:tc>
        <w:tc>
          <w:tcPr>
            <w:tcW w:w="60" w:type="dxa"/>
            <w:tcBorders/>
            <w:shd w:fill="FFFFFF" w:val="clear"/>
            <w:vAlign w:val="center"/>
          </w:tcPr>
          <w:p>
            <w:pPr>
              <w:pStyle w:val="TableContents"/>
              <w:bidi w:val="0"/>
              <w:spacing w:before="0" w:after="283"/>
              <w:jc w:val="left"/>
            </w:pPr>
            <w: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75" w:type="dxa"/>
            <w:tcBorders/>
            <w:shd w:fill="FFFFFF" w:val="clear"/>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CCEEFF" w:val="clear"/>
            <w:vAlign w:val="center"/>
          </w:tcPr>
          <w:p>
            <w:pPr>
              <w:pStyle w:val="TableContents"/>
              <w:bidi w:val="0"/>
              <w:spacing w:before="0" w:after="283"/>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10,377</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4,925</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1,643</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rPr>
          <w:rStyle w:val="StrongEmphasis"/>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principally of salaries and related expenses, share-based compensation and related costs for directors and personnel in executive and finance functions. Other general and administrative expenses include D&amp;O insurance and other insurance, professional fees for legal and accounting services, costs associated with maintaining and prosecuting our intellectual property portfolio and business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Financial Expenses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expenses (income), net is composed primarily of changes in the fair value of the April 2026 Pre-Funded Warrants and the July 2026 Pre-Funded Warrants, which were classified as a financial liability until their reclassification to equity on August 21, 2026, the portion of offering costs allocated to such pre-funded warrants, interest income from bank deposits and exchange rate differences of certain currencies against our functional currency, which is the U.S. Dollar. Following the reclassification of the pre-funded warrants to equity, we do not expect to recognize further changes in their fair value, and we expect interest income on the net proceeds of the July 2026 Private Placement to be the primary component of financial expenses (income), net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Taxes on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taxable income since our inception, and, as of September 30, 2026, we had carryforward tax losses of $102.9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be able to carry forward these tax losses indefinitely to future tax years. Accordingly, we do not expect to pay taxes in Israel until we have taxable income after the full utilization of our carryforward tax losses. We provided a full valuation allowance with respect to the deferred tax assets related to these carryforward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Entera Bio Inc., is taxed separately under U.S. tax laws. As of September 30, 2026, Entera Bio Inc. had tax loss carryforwards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pPr>
      <w:r>
        <w:rPr>
          <w:rStyle w:val="StrongEmphasis"/>
          <w:rFonts w:ascii="Times New Roman;Times;serif" w:hAnsi="Times New Roman;Times;serif"/>
          <w:b w:val="false"/>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Comparison of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3350"/>
        <w:gridCol w:w="60"/>
        <w:gridCol w:w="171"/>
        <w:gridCol w:w="814"/>
        <w:gridCol w:w="82"/>
        <w:gridCol w:w="82"/>
        <w:gridCol w:w="171"/>
        <w:gridCol w:w="669"/>
        <w:gridCol w:w="89"/>
        <w:gridCol w:w="66"/>
        <w:gridCol w:w="74"/>
        <w:gridCol w:w="742"/>
        <w:gridCol w:w="74"/>
        <w:gridCol w:w="74"/>
        <w:gridCol w:w="74"/>
        <w:gridCol w:w="818"/>
        <w:gridCol w:w="260"/>
      </w:tblGrid>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9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September 30,</w:t>
            </w:r>
          </w:p>
        </w:tc>
        <w:tc>
          <w:tcPr>
            <w:tcW w:w="89" w:type="dxa"/>
            <w:tcBorders/>
            <w:vAlign w:val="center"/>
          </w:tcPr>
          <w:p>
            <w:pPr>
              <w:pStyle w:val="TableContents"/>
              <w:bidi w:val="0"/>
              <w:spacing w:before="0" w:after="283"/>
              <w:jc w:val="left"/>
            </w:pPr>
            <w:r>
              <w:t> </w:t>
            </w:r>
          </w:p>
        </w:tc>
        <w:tc>
          <w:tcPr>
            <w:tcW w:w="66" w:type="dxa"/>
            <w:tcBorders/>
            <w:vAlign w:val="center"/>
          </w:tcPr>
          <w:p>
            <w:pPr>
              <w:pStyle w:val="TableContents"/>
              <w:bidi w:val="0"/>
              <w:spacing w:before="0" w:after="283"/>
              <w:jc w:val="left"/>
            </w:pPr>
            <w:r>
              <w:t> </w:t>
            </w:r>
          </w:p>
        </w:tc>
        <w:tc>
          <w:tcPr>
            <w:tcW w:w="1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Increase (Decrease)</w:t>
            </w:r>
          </w:p>
        </w:tc>
        <w:tc>
          <w:tcPr>
            <w:tcW w:w="260" w:type="dxa"/>
            <w:tcBorders/>
            <w:vAlign w:val="center"/>
          </w:tcPr>
          <w:p>
            <w:pPr>
              <w:pStyle w:val="TableContents"/>
              <w:bidi w:val="0"/>
              <w:spacing w:before="0" w:after="283"/>
              <w:jc w:val="left"/>
            </w:pPr>
            <w:r>
              <w:t> </w:t>
            </w:r>
          </w:p>
        </w:tc>
      </w:tr>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82" w:type="dxa"/>
            <w:tcBorders/>
            <w:vAlign w:val="center"/>
          </w:tcPr>
          <w:p>
            <w:pPr>
              <w:pStyle w:val="TableContents"/>
              <w:bidi w:val="0"/>
              <w:spacing w:before="0" w:after="283"/>
              <w:jc w:val="left"/>
            </w:pPr>
            <w:r>
              <w:t> </w:t>
            </w:r>
          </w:p>
        </w:tc>
        <w:tc>
          <w:tcPr>
            <w:tcW w:w="82" w:type="dxa"/>
            <w:tcBorders/>
            <w:vAlign w:val="center"/>
          </w:tcPr>
          <w:p>
            <w:pPr>
              <w:pStyle w:val="TableContents"/>
              <w:bidi w:val="0"/>
              <w:spacing w:before="0" w:after="283"/>
              <w:jc w:val="left"/>
            </w:pPr>
            <w: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89" w:type="dxa"/>
            <w:tcBorders/>
            <w:vAlign w:val="center"/>
          </w:tcPr>
          <w:p>
            <w:pPr>
              <w:pStyle w:val="TableContents"/>
              <w:bidi w:val="0"/>
              <w:spacing w:before="0" w:after="283"/>
              <w:jc w:val="left"/>
            </w:pPr>
            <w:r>
              <w:t> </w:t>
            </w:r>
          </w:p>
        </w:tc>
        <w:tc>
          <w:tcPr>
            <w:tcW w:w="66" w:type="dxa"/>
            <w:tcBorders/>
            <w:vAlign w:val="center"/>
          </w:tcPr>
          <w:p>
            <w:pPr>
              <w:pStyle w:val="TableContents"/>
              <w:bidi w:val="0"/>
              <w:spacing w:before="0" w:after="283"/>
              <w:jc w:val="left"/>
            </w:pPr>
            <w:r>
              <w:t> </w:t>
            </w:r>
          </w:p>
        </w:tc>
        <w:tc>
          <w:tcPr>
            <w:tcW w:w="8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4"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0" w:type="dxa"/>
            <w:tcBorders/>
            <w:vAlign w:val="center"/>
          </w:tcPr>
          <w:p>
            <w:pPr>
              <w:pStyle w:val="TableContents"/>
              <w:bidi w:val="0"/>
              <w:spacing w:before="0" w:after="283"/>
              <w:jc w:val="left"/>
            </w:pPr>
            <w:r>
              <w:t> </w:t>
            </w:r>
          </w:p>
        </w:tc>
      </w:tr>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000" w:type="dxa"/>
            <w:gridSpan w:val="14"/>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 except for percentage information)</w:t>
            </w:r>
          </w:p>
        </w:tc>
        <w:tc>
          <w:tcPr>
            <w:tcW w:w="260" w:type="dxa"/>
            <w:tcBorders/>
            <w:vAlign w:val="center"/>
          </w:tcPr>
          <w:p>
            <w:pPr>
              <w:pStyle w:val="TableContents"/>
              <w:bidi w:val="0"/>
              <w:spacing w:before="0" w:after="283"/>
              <w:jc w:val="left"/>
            </w:pPr>
            <w:r>
              <w:t> </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4" w:type="dxa"/>
            <w:tcBorders/>
            <w:shd w:fill="CCEEFF" w:val="clear"/>
            <w:vAlign w:val="center"/>
          </w:tcPr>
          <w:p>
            <w:pPr>
              <w:pStyle w:val="TableContents"/>
              <w:bidi w:val="0"/>
              <w:spacing w:before="0" w:after="283"/>
              <w:jc w:val="righ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right"/>
            </w:pPr>
            <w:r>
              <w:t> </w:t>
            </w:r>
          </w:p>
        </w:tc>
        <w:tc>
          <w:tcPr>
            <w:tcW w:w="89"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 </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818" w:type="dxa"/>
            <w:tcBorders/>
            <w:shd w:fill="CCEEFF" w:val="clear"/>
            <w:vAlign w:val="center"/>
          </w:tcPr>
          <w:p>
            <w:pPr>
              <w:pStyle w:val="TableContents"/>
              <w:bidi w:val="0"/>
              <w:spacing w:before="0" w:after="283"/>
              <w:jc w:val="right"/>
            </w:pPr>
            <w:r>
              <w:t> </w:t>
            </w:r>
          </w:p>
        </w:tc>
        <w:tc>
          <w:tcPr>
            <w:tcW w:w="260" w:type="dxa"/>
            <w:tcBorders/>
            <w:shd w:fill="CCEEFF" w:val="clear"/>
            <w:vAlign w:val="center"/>
          </w:tcPr>
          <w:p>
            <w:pPr>
              <w:pStyle w:val="TableContents"/>
              <w:bidi w:val="0"/>
              <w:spacing w:before="0" w:after="283"/>
              <w:jc w:val="left"/>
            </w:pPr>
            <w:r>
              <w:t> </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4,925</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1,643</w:t>
            </w:r>
          </w:p>
        </w:tc>
        <w:tc>
          <w:tcPr>
            <w:tcW w:w="89"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7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3,282</w:t>
            </w:r>
          </w:p>
        </w:tc>
        <w:tc>
          <w:tcPr>
            <w:tcW w:w="74"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8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pPr>
            <w: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2,340</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w:t>
            </w:r>
          </w:p>
        </w:tc>
        <w:tc>
          <w:tcPr>
            <w:tcW w:w="89"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7,265</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3,256</w:t>
            </w:r>
          </w:p>
        </w:tc>
        <w:tc>
          <w:tcPr>
            <w:tcW w:w="89"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7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4,009</w:t>
            </w:r>
          </w:p>
        </w:tc>
        <w:tc>
          <w:tcPr>
            <w:tcW w:w="74"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8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expenses (income), net</w:t>
            </w:r>
          </w:p>
        </w:tc>
        <w:tc>
          <w:tcPr>
            <w:tcW w:w="60" w:type="dxa"/>
            <w:tcBorders/>
            <w:shd w:fill="CCEEFF" w:val="clear"/>
            <w:vAlign w:val="center"/>
          </w:tcPr>
          <w:p>
            <w:pPr>
              <w:pStyle w:val="TableContents"/>
              <w:bidi w:val="0"/>
              <w:spacing w:before="0" w:after="283"/>
              <w:jc w:val="left"/>
            </w:pPr>
            <w: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8,332</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8,388</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15,597</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3,200</w:t>
            </w:r>
          </w:p>
        </w:tc>
        <w:tc>
          <w:tcPr>
            <w:tcW w:w="89"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12,397</w:t>
            </w:r>
          </w:p>
        </w:tc>
        <w:tc>
          <w:tcPr>
            <w:tcW w:w="74"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rPr>
          <w:rStyle w:val="StrongEmphasis"/>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September 30, 2026 were $4.9 million, as compared to $1.6 million for the three months ended September 30, 2025. The increase in expenses of $3.3 million was primarily attributable to an increase of $2.3 million in costs associated with preparatory and start-up activities for the registrational Phase 3 program of EB613, including clinical drug supply and contract research organization (CRO) activity, an increase of $0.6 million in connection with our collaboration programs with OPKO, mainly for EB612, and an increase of $0.5 million in personnel-related expenses, reflecting the appointment of our Chief Medical Officer, the expansion of our clinical and early development teams and non-cash share-based compensation expenses. These were partially offset by $0.1 million in regulatory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September 30, 2026 were $2.3 million, as compared to $1.6 million for the three months ended September 30, 2025. The increase of $0.7 million was primarily due to an increase in non-cash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Financial Expenses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expenses, net for the three months ended September 30, 2026 were $8.3 million, as compared to financial income, net of $56 thousand for the three months ended September 30, 2025. The change was primarily driven by (i) a non-cash loss of $7.5 million resulting from the remeasurement to fair value of the April 2026 and July 2026 Pre-Funded Warrants through August 21, 2026, the date on which they were reclassified to equity, and (ii) $2.1 million of offering costs related to the April and July 2026 Private Placement allocated to the Pre-Funded Warrants and expensed as incurred. These were partially offset by interest income of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28 </w:t>
      </w:r>
    </w:p>
    <w:p>
      <w:pPr>
        <w:pStyle w:val="TextBody"/>
        <w:bidi w:val="0"/>
        <w:spacing w:before="0" w:after="0"/>
        <w:ind w:left="0" w:right="0" w:hanging="0"/>
        <w:jc w:val="left"/>
      </w:pPr>
      <w: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Comparison of Nine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7672" w:type="dxa"/>
        <w:jc w:val="left"/>
        <w:tblInd w:w="0" w:type="dxa"/>
        <w:tblLayout w:type="fixed"/>
        <w:tblCellMar>
          <w:top w:w="0" w:type="dxa"/>
          <w:left w:w="0" w:type="dxa"/>
          <w:bottom w:w="0" w:type="dxa"/>
          <w:right w:w="0" w:type="dxa"/>
        </w:tblCellMar>
      </w:tblPr>
      <w:tblGrid>
        <w:gridCol w:w="3350"/>
        <w:gridCol w:w="60"/>
        <w:gridCol w:w="168"/>
        <w:gridCol w:w="796"/>
        <w:gridCol w:w="80"/>
        <w:gridCol w:w="80"/>
        <w:gridCol w:w="168"/>
        <w:gridCol w:w="654"/>
        <w:gridCol w:w="94"/>
        <w:gridCol w:w="70"/>
        <w:gridCol w:w="151"/>
        <w:gridCol w:w="715"/>
        <w:gridCol w:w="96"/>
        <w:gridCol w:w="71"/>
        <w:gridCol w:w="71"/>
        <w:gridCol w:w="788"/>
        <w:gridCol w:w="260"/>
      </w:tblGrid>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946" w:type="dxa"/>
            <w:gridSpan w:val="6"/>
            <w:tcBorders>
              <w:bottom w:val="single" w:sz="8" w:space="0" w:color="000000"/>
            </w:tcBorders>
            <w:tcMar>
              <w:bottom w:w="28" w:type="dxa"/>
            </w:tcMar>
            <w:vAlign w:val="center"/>
          </w:tcPr>
          <w:p>
            <w:pPr>
              <w:pStyle w:val="TableContents"/>
              <w:bidi w:val="0"/>
              <w:spacing w:before="0" w:after="0"/>
              <w:ind w:left="0" w:right="0" w:hanging="0"/>
              <w:jc w:val="center"/>
            </w:pPr>
            <w:r>
              <w:rPr>
                <w:rStyle w:val="StrongEmphasis"/>
                <w:rFonts w:ascii="Times New Roman;Times;serif" w:hAnsi="Times New Roman;Times;serif"/>
                <w:b w:val="false"/>
                <w:i w:val="false"/>
                <w:caps w:val="false"/>
                <w:smallCaps w:val="false"/>
                <w:sz w:val="20"/>
              </w:rPr>
              <w:t>Nine Months Ended</w:t>
              <w:br/>
              <w:t>September 30,</w:t>
            </w:r>
            <w:r>
              <w:rPr>
                <w:rFonts w:ascii="Times New Roman;Times;serif" w:hAnsi="Times New Roman;Times;serif"/>
                <w:b w:val="false"/>
                <w:i w:val="false"/>
                <w:caps w:val="false"/>
                <w:smallCaps w:val="false"/>
                <w:sz w:val="20"/>
              </w:rPr>
              <w:t> </w:t>
            </w:r>
          </w:p>
        </w:tc>
        <w:tc>
          <w:tcPr>
            <w:tcW w:w="94" w:type="dxa"/>
            <w:tcBorders/>
            <w:vAlign w:val="center"/>
          </w:tcPr>
          <w:p>
            <w:pPr>
              <w:pStyle w:val="TableContents"/>
              <w:bidi w:val="0"/>
              <w:spacing w:before="0" w:after="283"/>
              <w:jc w:val="left"/>
            </w:pPr>
            <w:r>
              <w:t> </w:t>
            </w:r>
          </w:p>
        </w:tc>
        <w:tc>
          <w:tcPr>
            <w:tcW w:w="70" w:type="dxa"/>
            <w:tcBorders/>
            <w:vAlign w:val="center"/>
          </w:tcPr>
          <w:p>
            <w:pPr>
              <w:pStyle w:val="TableContents"/>
              <w:bidi w:val="0"/>
              <w:spacing w:before="0" w:after="283"/>
              <w:jc w:val="left"/>
            </w:pPr>
            <w:r>
              <w:t> </w:t>
            </w:r>
          </w:p>
        </w:tc>
        <w:tc>
          <w:tcPr>
            <w:tcW w:w="1892" w:type="dxa"/>
            <w:gridSpan w:val="6"/>
            <w:tcBorders>
              <w:bottom w:val="single" w:sz="8" w:space="0" w:color="000000"/>
            </w:tcBorders>
            <w:tcMar>
              <w:bottom w:w="28" w:type="dxa"/>
            </w:tcMar>
            <w:vAlign w:val="center"/>
          </w:tcPr>
          <w:p>
            <w:pPr>
              <w:pStyle w:val="TableContents"/>
              <w:bidi w:val="0"/>
              <w:spacing w:before="0" w:after="0"/>
              <w:ind w:left="0" w:right="0" w:hanging="0"/>
              <w:jc w:val="center"/>
            </w:pP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Increase (Decrease)</w:t>
            </w:r>
            <w:r>
              <w:rPr>
                <w:rFonts w:ascii="Times New Roman;Times;serif" w:hAnsi="Times New Roman;Times;serif"/>
                <w:b w:val="false"/>
                <w:i w:val="false"/>
                <w:caps w:val="false"/>
                <w:smallCaps w:val="false"/>
                <w:sz w:val="20"/>
              </w:rPr>
              <w:t> </w:t>
            </w:r>
          </w:p>
        </w:tc>
        <w:tc>
          <w:tcPr>
            <w:tcW w:w="260" w:type="dxa"/>
            <w:tcBorders/>
            <w:vAlign w:val="center"/>
          </w:tcPr>
          <w:p>
            <w:pPr>
              <w:pStyle w:val="TableContents"/>
              <w:bidi w:val="0"/>
              <w:spacing w:before="0" w:after="283"/>
              <w:jc w:val="left"/>
            </w:pPr>
            <w:r>
              <w:t> </w:t>
            </w:r>
          </w:p>
        </w:tc>
      </w:tr>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4" w:type="dxa"/>
            <w:tcBorders/>
            <w:vAlign w:val="center"/>
          </w:tcPr>
          <w:p>
            <w:pPr>
              <w:pStyle w:val="TableContents"/>
              <w:bidi w:val="0"/>
              <w:spacing w:before="0" w:after="283"/>
              <w:jc w:val="left"/>
            </w:pPr>
            <w:r>
              <w:t> </w:t>
            </w:r>
          </w:p>
        </w:tc>
        <w:tc>
          <w:tcPr>
            <w:tcW w:w="70" w:type="dxa"/>
            <w:tcBorders/>
            <w:vAlign w:val="center"/>
          </w:tcPr>
          <w:p>
            <w:pPr>
              <w:pStyle w:val="TableContents"/>
              <w:bidi w:val="0"/>
              <w:spacing w:before="0" w:after="283"/>
              <w:jc w:val="left"/>
            </w:pPr>
            <w: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6" w:type="dxa"/>
            <w:tcBorders/>
            <w:vAlign w:val="center"/>
          </w:tcPr>
          <w:p>
            <w:pPr>
              <w:pStyle w:val="TableContents"/>
              <w:bidi w:val="0"/>
              <w:spacing w:before="0" w:after="283"/>
              <w:jc w:val="left"/>
            </w:pPr>
            <w:r>
              <w:t> </w:t>
            </w:r>
          </w:p>
        </w:tc>
        <w:tc>
          <w:tcPr>
            <w:tcW w:w="71" w:type="dxa"/>
            <w:tcBorders/>
            <w:vAlign w:val="center"/>
          </w:tcPr>
          <w:p>
            <w:pPr>
              <w:pStyle w:val="TableContents"/>
              <w:bidi w:val="0"/>
              <w:spacing w:before="0" w:after="283"/>
              <w:jc w:val="left"/>
            </w:pPr>
            <w: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60" w:type="dxa"/>
            <w:tcBorders/>
            <w:vAlign w:val="center"/>
          </w:tcPr>
          <w:p>
            <w:pPr>
              <w:pStyle w:val="TableContents"/>
              <w:bidi w:val="0"/>
              <w:spacing w:before="0" w:after="283"/>
              <w:jc w:val="left"/>
            </w:pPr>
            <w:r>
              <w:t> </w:t>
            </w:r>
          </w:p>
        </w:tc>
      </w:tr>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002" w:type="dxa"/>
            <w:gridSpan w:val="14"/>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 except for percentage information)</w:t>
            </w:r>
          </w:p>
        </w:tc>
        <w:tc>
          <w:tcPr>
            <w:tcW w:w="260" w:type="dxa"/>
            <w:tcBorders/>
            <w:vAlign w:val="center"/>
          </w:tcPr>
          <w:p>
            <w:pPr>
              <w:pStyle w:val="TableContents"/>
              <w:bidi w:val="0"/>
              <w:spacing w:before="0" w:after="283"/>
              <w:jc w:val="left"/>
            </w:pPr>
            <w:r>
              <w:t> </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jc w:val="left"/>
            </w:pPr>
            <w: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pPr>
            <w: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88" w:type="dxa"/>
            <w:tcBorders/>
            <w:shd w:fill="CCEEFF" w:val="clear"/>
            <w:vAlign w:val="center"/>
          </w:tcPr>
          <w:p>
            <w:pPr>
              <w:pStyle w:val="TableContents"/>
              <w:bidi w:val="0"/>
              <w:spacing w:before="0" w:after="283"/>
              <w:jc w:val="right"/>
            </w:pPr>
            <w:r>
              <w:t> </w:t>
            </w:r>
          </w:p>
        </w:tc>
        <w:tc>
          <w:tcPr>
            <w:tcW w:w="260" w:type="dxa"/>
            <w:tcBorders/>
            <w:shd w:fill="CCEEFF" w:val="clear"/>
            <w:vAlign w:val="center"/>
          </w:tcPr>
          <w:p>
            <w:pPr>
              <w:pStyle w:val="TableContents"/>
              <w:bidi w:val="0"/>
              <w:spacing w:before="0" w:after="283"/>
              <w:jc w:val="left"/>
            </w:pPr>
            <w:r>
              <w:t> </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796"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654" w:type="dxa"/>
            <w:tcBorders/>
            <w:shd w:fill="FFFFFF" w:val="clear"/>
            <w:vAlign w:val="center"/>
          </w:tcPr>
          <w:p>
            <w:pPr>
              <w:pStyle w:val="TableContents"/>
              <w:bidi w:val="0"/>
              <w:spacing w:before="0" w:after="283"/>
              <w:jc w:val="righ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jc w:val="left"/>
            </w:pPr>
            <w:r>
              <w:t> </w:t>
            </w:r>
          </w:p>
        </w:tc>
        <w:tc>
          <w:tcPr>
            <w:tcW w:w="715" w:type="dxa"/>
            <w:tcBorders/>
            <w:shd w:fill="FFFFFF" w:val="clear"/>
            <w:vAlign w:val="center"/>
          </w:tcPr>
          <w:p>
            <w:pPr>
              <w:pStyle w:val="TableContents"/>
              <w:bidi w:val="0"/>
              <w:spacing w:before="0" w:after="283"/>
              <w:jc w:val="right"/>
            </w:pPr>
            <w:r>
              <w:t> </w:t>
            </w:r>
          </w:p>
        </w:tc>
        <w:tc>
          <w:tcPr>
            <w:tcW w:w="96"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788" w:type="dxa"/>
            <w:tcBorders/>
            <w:shd w:fill="FFFFFF" w:val="clear"/>
            <w:vAlign w:val="center"/>
          </w:tcPr>
          <w:p>
            <w:pPr>
              <w:pStyle w:val="TableContents"/>
              <w:bidi w:val="0"/>
              <w:spacing w:before="0" w:after="283"/>
              <w:jc w:val="right"/>
            </w:pPr>
            <w:r>
              <w:t> </w:t>
            </w:r>
          </w:p>
        </w:tc>
        <w:tc>
          <w:tcPr>
            <w:tcW w:w="260" w:type="dxa"/>
            <w:tcBorders/>
            <w:shd w:fill="FFFFFF" w:val="clear"/>
            <w:vAlign w:val="center"/>
          </w:tcPr>
          <w:p>
            <w:pPr>
              <w:pStyle w:val="TableContents"/>
              <w:bidi w:val="0"/>
              <w:spacing w:before="0" w:after="283"/>
              <w:jc w:val="left"/>
            </w:pPr>
            <w:r>
              <w:t> </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10,377</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4,286</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jc w:val="left"/>
            </w:pPr>
            <w: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6,091</w:t>
            </w:r>
          </w:p>
        </w:tc>
        <w:tc>
          <w:tcPr>
            <w:tcW w:w="96"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FFFFFF" w:val="clear"/>
            <w:vAlign w:val="center"/>
          </w:tcPr>
          <w:p>
            <w:pPr>
              <w:pStyle w:val="TableContents"/>
              <w:bidi w:val="0"/>
              <w:spacing w:before="0" w:after="283"/>
              <w:jc w:val="left"/>
            </w:pPr>
            <w: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4,990</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4,201</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w:t>
            </w:r>
          </w:p>
        </w:tc>
        <w:tc>
          <w:tcPr>
            <w:tcW w:w="96"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15,367</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8,487</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jc w:val="left"/>
            </w:pPr>
            <w: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6,880</w:t>
            </w:r>
          </w:p>
        </w:tc>
        <w:tc>
          <w:tcPr>
            <w:tcW w:w="96"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expenses (income), net</w:t>
            </w:r>
          </w:p>
        </w:tc>
        <w:tc>
          <w:tcPr>
            <w:tcW w:w="60" w:type="dxa"/>
            <w:tcBorders/>
            <w:shd w:fill="FFFFFF" w:val="clear"/>
            <w:vAlign w:val="center"/>
          </w:tcPr>
          <w:p>
            <w:pPr>
              <w:pStyle w:val="TableContents"/>
              <w:bidi w:val="0"/>
              <w:spacing w:before="0" w:after="283"/>
              <w:jc w:val="left"/>
            </w:pPr>
            <w: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11,047</w:t>
            </w:r>
          </w:p>
        </w:tc>
        <w:tc>
          <w:tcPr>
            <w:tcW w:w="8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11,111</w:t>
            </w:r>
          </w:p>
        </w:tc>
        <w:tc>
          <w:tcPr>
            <w:tcW w:w="96"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(17,360</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pPr>
            <w: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26,414</w:t>
            </w:r>
          </w:p>
        </w:tc>
        <w:tc>
          <w:tcPr>
            <w:tcW w:w="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8,423</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17,991</w:t>
            </w:r>
          </w:p>
        </w:tc>
        <w:tc>
          <w:tcPr>
            <w:tcW w:w="96"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rPr>
          <w:rStyle w:val="StrongEmphasis"/>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nine months ended September 30, 2025 were $42 thousand, which were attributable to research services we provided pursuant to a research services agreement with an external party. The Company completed its obligations under the research services agreement in the first quarter of 2025. We did not recognize any revenue for the nine months ended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nine months ended September 30, 2025 were $42 thousand, which was attributable to research services we provided pursuant to a research services agreement with an external party. For the nine months ended September 30, 2026, we did not recognize any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nine months ended September 30, 2026 were $10.4 million, as compared to $4.3 million for the nine months ended September 30, 2025. The increase in expenses of $6.1 million was mainly attributable to an increase of $3.6 million in costs associated with preparatory and start-up activities for the registrational Phase 3 program of EB613, including clinical drug supply and contract research organization (CRO) activity and related to our Phase 1 safety and PK bridging study for the Next Generation of EB613, an increase of $1.6 million in connection with our collaboration programs with OPKO for EB612 and EB618 and an increase of $0.9 million in personnel-related expenses, reflecting the appointment of our Chief Medical Officer, the expansion of our clinical and early development teams and non-cash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nine months ended September 30, 2026 were $5.0 million, as compared to $4.2 million for the nine months ended September 30, 2025. The increase was primarily due to an increase of $0.9 million in non-cash share-based compensation. This increase was partially offset by a decrease of $0.1 million in legal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Financial Expenses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expenses, net for the nine months ended September 30, 2026 were $11.0 million, as compared to financial income, net of $64 thousand for the nine months ended September 30, 2025. The change was primarily driven by (i) a non-cash loss of $10.3 million from the remeasurement to fair value of the April 2026 and July 2026 Pre-Funded Warrants until their reclassification to equity on August 21, 2026, (ii) $2.1 million of offering costs related to the April and July 2026 Private Placements allocated to the Pre-Funded Warrants and expensed as incurred and (iii) exchange rate differences. These were partially offset by interest income of $1.4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Liquidity, Capital Resources and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and through September 30, 2026, we have financed our operations primarily through a combination of public and private equity offerings, IIA grants and the issuance of Ordinary Shares upon the exercise of options and warrants. Through September 30, 2026, we had raised an aggregate of approximately $397.3 million from these sources, including the issuance of $36.4 million of Ordinary Shares through at-the-market-offering (“ATM”) programs and approximately $285.0 million of gross proceeds received in connection with the April and July 2026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we had cash and cash equivalents and restricted cash of $272.4 million, of which $6.5 million has been designated to fund our obligations under the A&amp;R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and negative cash flows from operations as we have devoted substantially all of our resources to the research and development of our product candidates. We expect to incur significant operating losses for the foreseeable future as we advance our clinical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28, 2026, we consummated the July 2026 Private Placement, which significantly strengthened our financial position and liquidity, providing us with the capital to execute our current operating plan, including our Phase 3 registrational program for EB613, the advancement of EB612 and our other development activities, and supporting our expected operations into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July 2026 Private Placement primarily to fund our planned Phase 3 registrational program for EB613 in postmenopausal women with osteoporosis, including activities through the anticipated submission of an NDA, to advance EB612 in collaboration with OPKO, and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2026 and 2025, our operating losses were $7.3 million and $3.3 million, respectively. For the nine months ended September 30, 2026 and 2025, our operating losses were $15.4 million and $8.5 million, respectively. As of September 30, 2026, we had an accumulated deficit of $151.8 million. We expect our operating expenses to increase significantly as we advance our planned Phase 3 registrational program for EB613, continue the development of EB612 and support our other research and development and general management activities. Based on our current operating plan, we believe that our existing cash resources will be sufficient to fund our planned operations into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regarding the period through which our financial resources will be sufficient to support our operations is based on our current operating plan and assumptions regarding the timing and costs of our development programs and other operating activities. These assumptions are subject to change, and we may use our available capital resources sooner than currently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2022, we entered into a Sales Agreement with Leerink Partners LLC (f/k/a SVB Securities LLC), as sales agent, to implement an ATM program (the “Leerink ATM Program”) under which we were originally able to sell up to 5,000,000 Ordinary Shares in an at-the-market offering registered under the Securities Act. The sales agent is entitled to a fixed commission of 3% of the aggregate gross proceeds as well as reimbursement of expenses. As of September 30, 2026, we had sold 4,940,156 Ordinary Shares under the Leerink ATM Program for aggregate proceeds of $9.8 million, net of issuance costs. We currently have the ability, but not the obligation, to sell up to an additional 30,000,000 Ordinary Shares under the Leerink ATM Program under our currently effective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we entered into a securities purchase agreement with certain investors, providing for the private placement (the “December 2023 Private Placement”) of an aggregate of 7,916,879 units, each consisting of (i) one Ordinary Share (or, in lieu thereof, one pre-funded warrant to purchase one Ordinary Share (the “2023 Pre-Funded Warrants”)) and (ii) one warrant to purchase one Ordinary Share (the “2023 Ordinary Share Warrant”), for aggregate proceeds of approximately $6.6 million. The December 2023 Private Placement was priced at the market under applicable Nasdaq rules and closed on December 22,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2023 Ordinary Share Warrant has an exercise price of $1.00 per share and expires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entering into the 2025 Collaboration Agreement with OPKO, we issued to OPKO an aggregate of 3,685,226 Ordinary Shares for a purchase price of $8.0 million, representing a purchase price per share equal to approximately $2.17, which was the volume weighted average price per share for the 30 trading days immediately preceding the date of such agreement. We have agreed to use the proceeds from the issuance of such Ordinary Shares solely to fund our development cost obligations under the A&amp;R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30 </w:t>
      </w:r>
    </w:p>
    <w:p>
      <w:pPr>
        <w:pStyle w:val="TextBody"/>
        <w:bidi w:val="0"/>
        <w:spacing w:before="0" w:after="0"/>
        <w:ind w:left="0" w:right="0" w:hanging="0"/>
        <w:jc w:val="left"/>
      </w:pPr>
      <w: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April 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we entered into a securities purchase agreement with certain funds affiliated with BVF Partners L.P. (collectively, “BVF”), providing for the private placement (the “April 2026 Private Placement”) to BVF of an aggregate of 7,827,789 units (the “2026 Units”), each 2026 Unit consisting of (i) one Ordinary Share (or, in lieu thereof, one pre-funded warrant to purchase one Ordinary Share (the “April 2026 Pre-Funded Warrants”)) and (ii) one warrant to purchase one and one-half Ordinary Shares (the “2026 Ordinary Share Warrants”), for aggregate proceeds of approximately $10.0 million (or $1.2775 per 2026 Unit). On April 2, 2026 (the “April 2026 Closing Date”), the Company issued 2,425,000 Ordinary Shares, 5,402,789 April 2026 Pre-Funded Warrants, and 11,741,683 2026 Ordinary Share Warrants in connection with the April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2026 Ordinary Share Warrant has an exercise price of $1.24 per share, became exercisable on October 2, 2026, six months following the April 2026 Closing Date, expires five years from the date of issuance, and is subject to customary adjustments. The 2026 Ordinary Share Warrants are exercisable only for cash so long as we have an effective registration statement registering the shares underlying the 2026 Ordinary Share Warrants. The April 2026 Pre-Funded Warrants have an exercise price of $0.000025 per share, are immediately exercisable and may be exercised at any time and have no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July 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we entered into a securities purchase agreement (the “July 2026 Purchase Agreement”) with certain institutional and accredited investors, including funds affiliated with BVF, providing for the private placement (the “July 2026 Private Placement”) of an aggregate of 134,803,910 Ordinary Shares, or, in lieu thereof, pre-funded warrants to purchase Ordinary Shares (the “July 2026 Pre-Funded Warrants”), at a purchase price of $2.04 per Ordinary Share, for aggregate gross proceeds of approximately $275.0 million, before deducting placement agent fees and other related offering expenses. On July 28, 2026 (the “Closing Date”), we issued 122,961,215 Ordinary Shares and July 2026 Pre-Funded Warrants to purchase 11,842,695 Ordinary Shares. Net proceeds from the July 2026 Private Placement were approximately $260.9 million, after deducting placement agent fees of approximately $13.8 million and other offering expenses of approximately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2026 Pre-Funded Warrants have an exercise price of $0.000025 per Ordinary Share, are immediately exercisable, do not expire and are subject to customary beneficial ownership limitations and adjustments. We intend to use the net proceeds from the July 2026 Private Placement to support activities related to the initiation of our Phase 3 registrational program of EB613 in postmenopausal women with osteoporosis and for general working capital and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July 2026 Purchase Agreement, effective upon the closing of the July 2026 Private Placement, we also granted BVF certain rights to designate two nominees to the Company’s board of directors, subject to specified ownership thresholds and other conditions as set forth in the July 2026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we have received approximately $1.1 million of net proceeds from the exercise of outstanding 2023 Ordinary Share Warrants, including $0.5 million received during the three months ended September 30, 2026. If all remaining 2023 Ordinary Share Warrants and all 2026 Ordinary Share Warrants were exercised for cash, then the Company would receive additional proceeds of approximately $21.8 million. There can be no assurance that the holders will exercise any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believe that our existing cash resources will be sufficient to fund our planned operations into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operating expenses to increase significantly as we advance our planned Phase 3 registrational program for EB613, continue the development of EB612 and support our other research and development activities. Our current operating plan and expected cash runway into 2030 reflect these anticipated increases in operating expenditures. Our expectations are based on management’s current assumptions, clinical development plans and regulatory submission timelines, which may prove to be wrong, and we could spend our available financial resources much faster than we currently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our existing cash resources are sufficient to execute our current operating plan, we may seek additional capital in the future to support strategic opportunities, expand our pipeline, accelerate the development of our product candidates or pursue other business development initiatives. We continuously evaluate various financing alternatives in the public or private equity markets or through license of our N-Tab® platform to additional external parties through partnerships or research collaborations. However, any future financing may not be available on favorable terms, or at all, and any equity financing may result in dilution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Leerink ATM Program,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our existing shareholders’ rights as shareholders. Debt financing, if available, may involve agreements that include covenants limiting or restricting our ability to take specific actions, such as incurring additional debt, making capital expenditures or declaring dividends and may include requirements to hold minimum levels of funding.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 or collaborations, when needed, we may be required to delay, limit, reduce or terminate our product development or future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Nine Months Ended September 30, 2026 compared to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each of the periods set forth below:</w:t>
      </w:r>
    </w:p>
    <w:p>
      <w:pPr>
        <w:pStyle w:val="TextBody"/>
        <w:bidi w:val="0"/>
        <w:spacing w:before="0" w:after="0"/>
        <w:ind w:left="0" w:right="0" w:hanging="0"/>
        <w:jc w:val="both"/>
        <w:rPr>
          <w:caps w:val="false"/>
          <w:smallCaps w:val="false"/>
        </w:rPr>
      </w:pPr>
      <w:r>
        <w:rPr>
          <w:caps w:val="false"/>
          <w:smallCaps w:val="false"/>
        </w:rPr>
        <w:t> </w:t>
      </w:r>
    </w:p>
    <w:tbl>
      <w:tblPr>
        <w:tblW w:w="8728" w:type="dxa"/>
        <w:jc w:val="left"/>
        <w:tblInd w:w="0" w:type="dxa"/>
        <w:tblLayout w:type="fixed"/>
        <w:tblCellMar>
          <w:top w:w="0" w:type="dxa"/>
          <w:left w:w="0" w:type="dxa"/>
          <w:bottom w:w="0" w:type="dxa"/>
          <w:right w:w="0" w:type="dxa"/>
        </w:tblCellMar>
      </w:tblPr>
      <w:tblGrid>
        <w:gridCol w:w="5690"/>
        <w:gridCol w:w="60"/>
        <w:gridCol w:w="215"/>
        <w:gridCol w:w="1197"/>
        <w:gridCol w:w="137"/>
        <w:gridCol w:w="103"/>
        <w:gridCol w:w="215"/>
        <w:gridCol w:w="1016"/>
        <w:gridCol w:w="95"/>
      </w:tblGrid>
      <w:tr>
        <w:tc>
          <w:tcPr>
            <w:tcW w:w="569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8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 September 30,</w:t>
              <w:br/>
              <w:t>(unaudited)</w:t>
            </w:r>
          </w:p>
        </w:tc>
        <w:tc>
          <w:tcPr>
            <w:tcW w:w="95" w:type="dxa"/>
            <w:tcBorders/>
            <w:vAlign w:val="center"/>
          </w:tcPr>
          <w:p>
            <w:pPr>
              <w:pStyle w:val="TableContents"/>
              <w:bidi w:val="0"/>
              <w:spacing w:before="0" w:after="283"/>
              <w:jc w:val="left"/>
            </w:pPr>
            <w:r>
              <w:t> </w:t>
            </w:r>
          </w:p>
        </w:tc>
      </w:tr>
      <w:tr>
        <w:tc>
          <w:tcPr>
            <w:tcW w:w="569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37"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pPr>
            <w:r>
              <w:t> </w:t>
            </w:r>
          </w:p>
        </w:tc>
      </w:tr>
      <w:tr>
        <w:tc>
          <w:tcPr>
            <w:tcW w:w="569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883" w:type="dxa"/>
            <w:gridSpan w:val="6"/>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95" w:type="dxa"/>
            <w:tcBorders/>
            <w:vAlign w:val="center"/>
          </w:tcPr>
          <w:p>
            <w:pPr>
              <w:pStyle w:val="TableContents"/>
              <w:bidi w:val="0"/>
              <w:spacing w:before="0" w:after="283"/>
              <w:jc w:val="left"/>
            </w:pPr>
            <w:r>
              <w:t> </w:t>
            </w:r>
          </w:p>
        </w:tc>
      </w:tr>
      <w:t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(13,953</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jc w:val="left"/>
            </w:pPr>
            <w: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jc w:val="left"/>
            </w:pPr>
            <w:r>
              <w:t> </w:t>
            </w:r>
          </w:p>
        </w:tc>
        <w:tc>
          <w:tcPr>
            <w:tcW w:w="11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jc w:val="left"/>
            </w:pPr>
            <w:r>
              <w:t> </w:t>
            </w:r>
          </w:p>
        </w:tc>
        <w:tc>
          <w:tcPr>
            <w:tcW w:w="10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jc w:val="left"/>
            </w:pPr>
            <w:r>
              <w:t> </w:t>
            </w:r>
          </w:p>
        </w:tc>
        <w:tc>
          <w:tcPr>
            <w:tcW w:w="11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271,500</w:t>
            </w:r>
          </w:p>
        </w:tc>
        <w:tc>
          <w:tcPr>
            <w:tcW w:w="137"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jc w:val="left"/>
            </w:pPr>
            <w: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13,536</w:t>
            </w:r>
          </w:p>
        </w:tc>
        <w:tc>
          <w:tcPr>
            <w:tcW w:w="95" w:type="dxa"/>
            <w:tcBorders/>
            <w:shd w:fill="CCEEFF" w:val="clear"/>
            <w:vAlign w:val="center"/>
          </w:tcPr>
          <w:p>
            <w:pPr>
              <w:pStyle w:val="TableContents"/>
              <w:bidi w:val="0"/>
              <w:spacing w:before="0" w:after="283"/>
              <w:jc w:val="left"/>
            </w:pPr>
            <w:r>
              <w:t> </w:t>
            </w:r>
          </w:p>
        </w:tc>
      </w:tr>
      <w:tr>
        <w:tc>
          <w:tcPr>
            <w:tcW w:w="5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Exchange Rate change on cash and cash equivalents</w:t>
            </w:r>
          </w:p>
        </w:tc>
        <w:tc>
          <w:tcPr>
            <w:tcW w:w="60" w:type="dxa"/>
            <w:tcBorders/>
            <w:shd w:fill="FFFFFF" w:val="clear"/>
            <w:vAlign w:val="center"/>
          </w:tcPr>
          <w:p>
            <w:pPr>
              <w:pStyle w:val="TableContents"/>
              <w:bidi w:val="0"/>
              <w:spacing w:before="0" w:after="283"/>
              <w:jc w:val="left"/>
            </w:pPr>
            <w: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137" w:type="dxa"/>
            <w:tcBorders/>
            <w:shd w:fill="FFFFFF" w:val="clear"/>
            <w:vAlign w:val="center"/>
          </w:tcPr>
          <w:p>
            <w:pPr>
              <w:pStyle w:val="TableContents"/>
              <w:bidi w:val="0"/>
              <w:spacing w:before="0" w:after="283"/>
              <w:jc w:val="left"/>
            </w:pPr>
            <w:r>
              <w:t> </w:t>
            </w:r>
          </w:p>
        </w:tc>
        <w:tc>
          <w:tcPr>
            <w:tcW w:w="103" w:type="dxa"/>
            <w:tcBorders/>
            <w:shd w:fill="FFFFFF" w:val="clear"/>
            <w:vAlign w:val="center"/>
          </w:tcPr>
          <w:p>
            <w:pPr>
              <w:pStyle w:val="TableContents"/>
              <w:bidi w:val="0"/>
              <w:spacing w:before="0" w:after="283"/>
              <w:jc w:val="left"/>
            </w:pPr>
            <w: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95" w:type="dxa"/>
            <w:tcBorders/>
            <w:shd w:fill="FFFFFF" w:val="clear"/>
            <w:vAlign w:val="center"/>
          </w:tcPr>
          <w:p>
            <w:pPr>
              <w:pStyle w:val="TableContents"/>
              <w:bidi w:val="0"/>
              <w:spacing w:before="0" w:after="283"/>
              <w:jc w:val="left"/>
            </w:pPr>
            <w:r>
              <w:t> </w:t>
            </w:r>
          </w:p>
        </w:tc>
      </w:tr>
      <w:t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in cash and cash equivalents, restricted cash and deposits</w:t>
            </w:r>
          </w:p>
        </w:tc>
        <w:tc>
          <w:tcPr>
            <w:tcW w:w="60" w:type="dxa"/>
            <w:tcBorders/>
            <w:shd w:fill="CCEEFF" w:val="clear"/>
            <w:vAlign w:val="center"/>
          </w:tcPr>
          <w:p>
            <w:pPr>
              <w:pStyle w:val="TableContents"/>
              <w:bidi w:val="0"/>
              <w:spacing w:before="0" w:after="283"/>
              <w:jc w:val="left"/>
            </w:pPr>
            <w: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257,539</w:t>
            </w:r>
          </w:p>
        </w:tc>
        <w:tc>
          <w:tcPr>
            <w:tcW w:w="137"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7,948</w:t>
            </w:r>
          </w:p>
        </w:tc>
        <w:tc>
          <w:tcPr>
            <w:tcW w:w="9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rPr>
          <w:rStyle w:val="StrongEmphasis"/>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 xml:space="preserve">Net Cash Used in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nine months ended September 30, 2026 was $14.0 million, consisting primarily of our operating expenses of $15.4 million and an increase of $3.1 million in our net operating assets and liabilities, partially offset by approximately $3.1 million of share-based compensation and depreciation expenses and interest income of $1.4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nine months ended September 30, 2025 was $5.5 million, consisting primarily of our operating loss of $8.5 million, which was partially offset by approximately $2.1 million of share-based compensation and depreciation expenses, a decrease of approximately $0.8 million in our net operating assets and liabilities and interest income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used in operating activities for the nine months ended September 30, 2026 compared to the same period in 2025 was mainly attributed to an increase of $6.9 million in our operating loss and $3.9 million in our net operating assets, which was partially offset by an increase of $1.1 million in share-based compensation and depreciation expense and an increase of $1.3 million in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Net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September 30, 2026 and 2025 consisted primarily of the purchase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32 </w:t>
      </w:r>
    </w:p>
    <w:p>
      <w:pPr>
        <w:pStyle w:val="TextBody"/>
        <w:bidi w:val="0"/>
        <w:spacing w:before="0" w:after="0"/>
        <w:ind w:left="0" w:right="0" w:hanging="0"/>
        <w:jc w:val="left"/>
      </w:pPr>
      <w: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September 30, 2026 consisted of net proceeds of $270.7 million from the issuance of securities in the April 2026 and July 2026 Private Placements, and $0.8 million from the issuance of Ordinary Shares upon the exercise of 2023 Ordinary Share Warrants and 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September 30, 2025 consisted of the net proceeds of $6.0 million from the issuance of Ordinary Shares under the Leerink ATM Program, $0.4 million from the issuance of Ordinary Shares upon the exercise of warrants and $7.1 million from issuance of Ordinary Shares under the 2025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not been any material changes in our assessment of material contractual obligations and commitments as set forth in Part II, Item 7 “Management’s Discussion and Analysis of Financial Condition and Results of Operations” of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Part II, Item 7 “Management’s Discussion and Analysis of Financial Condition and Results of Operations – Critical Accounting Policies” and our consolidated financial statements and related notes included in the 2025 Annual Report for accounting policies and related estimates we believe are the most critical to understanding our consolidated financial statements, financial condition and results of operations and which require complex management judgment and assumptions, or involve uncertainties. The preparation of consolidated financial statements also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Other than as described below, there have been no changes to our critical accounting policies or their application since the date of the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2026, we issued pre-funded warrants in the April 2026 Private Placement and the July 2026 Private Placement. We evaluated these instruments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and initially classified them as liabilities measured at fair value, with changes in fair value recognized in financial expenses (income), net. Because the exercise price of the pre-funded warrants is nominal, their fair value was determined based on the quoted closing price of our Ordinary Shares (Level 2). Proceeds and offering costs were allocated first to the pre-funded warrants based on their fair value, with the residual allocated to the equity-classified instruments. Upon the August 21, 2026 amendments, we reassessed the classification of the pre-funded warrants, remeasured them to fair value and reclassified them to equity. The determination of the classification of these instruments required significant judgment. See Note 3c to our unaudited condensed consolidated financial statements included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recently issued accounting pronouncements are discussed in Note 2 to the unaudited condensed consolidated financial statements included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bookmarkStart w:id="11" w:name="item3"/>
      <w:bookmarkEnd w:id="11"/>
      <w:r>
        <w:rPr>
          <w:rStyle w:val="StrongEmphasis"/>
          <w:rFonts w:ascii="Times New Roman;Times;serif" w:hAnsi="Times New Roman;Times;serif"/>
          <w:b w:val="false"/>
          <w:i w:val="false"/>
          <w:caps w:val="false"/>
          <w:smallCaps w:val="false"/>
          <w:sz w:val="20"/>
        </w:rPr>
        <w:t xml:space="preserve">ITEM 3.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bookmarkStart w:id="12" w:name="item4"/>
      <w:bookmarkEnd w:id="12"/>
      <w:r>
        <w:rPr>
          <w:rStyle w:val="StrongEmphasis"/>
          <w:rFonts w:ascii="Times New Roman;Times;serif" w:hAnsi="Times New Roman;Times;serif"/>
          <w:b w:val="false"/>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evaluated the effectiveness of our disclosure controls and procedures (as such term is defined in Rules 13a-15(e) and 15d-15(e) under the Exchange Act) as of September 30, 2026, which we refer to as the Evaluation Date. Based on such evaluation, our Chief Executive Officer and Chief Financial Officer have concluded that, as of the Evaluation Date, our disclosure controls and procedures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that occurred during the last fiscal quarter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33 </w:t>
      </w:r>
    </w:p>
    <w:p>
      <w:pPr>
        <w:pStyle w:val="TextBody"/>
        <w:bidi w:val="0"/>
        <w:spacing w:before="0" w:after="0"/>
        <w:ind w:left="0" w:right="0" w:hanging="0"/>
        <w:jc w:val="left"/>
      </w:pPr>
      <w:r>
        <w:t> </w:t>
      </w:r>
    </w:p>
    <w:p>
      <w:pPr>
        <w:pStyle w:val="TextBody"/>
        <w:bidi w:val="0"/>
        <w:spacing w:before="0" w:after="0"/>
        <w:ind w:left="0" w:right="0" w:hanging="0"/>
        <w:jc w:val="center"/>
      </w:pPr>
      <w:bookmarkStart w:id="13" w:name="part2"/>
      <w:bookmarkEnd w:id="13"/>
      <w:r>
        <w:rPr>
          <w:rStyle w:val="StrongEmphasis"/>
          <w:rFonts w:ascii="Times New Roman;Times;serif" w:hAnsi="Times New Roman;Times;serif"/>
          <w:b w:val="false"/>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pPr>
      <w:bookmarkStart w:id="14" w:name="item1a"/>
      <w:bookmarkEnd w:id="14"/>
      <w:r>
        <w:rPr>
          <w:rStyle w:val="StrongEmphasis"/>
          <w:rFonts w:ascii="Times New Roman;Times;serif" w:hAnsi="Times New Roman;Times;serif"/>
          <w:b w:val="false"/>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a party to any 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bookmarkStart w:id="15" w:name="item1a1"/>
      <w:bookmarkEnd w:id="15"/>
      <w:r>
        <w:rPr>
          <w:rStyle w:val="StrongEmphasis"/>
          <w:rFonts w:ascii="Times New Roman;Times;serif" w:hAnsi="Times New Roman;Times;serif"/>
          <w:b w:val="false"/>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there have been no material changes with respect to the risk factors disclosed in Part I, Item 1A. of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r>
        <w:rPr>
          <w:rStyle w:val="StrongEmphasis"/>
          <w:rFonts w:ascii="Times New Roman;Times;serif" w:hAnsi="Times New Roman;Times;serif"/>
          <w:b w:val="false"/>
          <w:i/>
          <w:caps w:val="false"/>
          <w:smallCaps w:val="false"/>
          <w:sz w:val="20"/>
        </w:rPr>
        <w:t>Security, political and economic instability in the Middle East may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facilities and certain officers of the Company are located in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On June 17, 2026, the United States and Iran signed a 14-point memorandum of understanding that formalized the ceasefire, ended the U.S. naval blockade of Iranian ports, provided for the reopening of the Strait of Hormuz and commenced a 60-day period to negotiate a final agreement. Those negotiations subsequently stalled and the ceasefire broke down. Beginning in late June 2026, Iran resumed attacks on commercial vessels transiting the Strait of Hormuz and on U.S. military facilities in Bahrain, Kuwait and Jordan, and the United States has resumed large-scale air strikes against Iranian military and maritime targets. In July 2026, Iran announced the closure of the Strait of Hormuz and the United States reinstated its naval blockade of Iranian ports. In August 2026, Iran and Oman entered advanced negotiations on a new shipping arrangement for the Strait of Hormuz; however, Iran has conditioned reopening the waterway on additional demands, including U.S. compensation and the cessation of hostilities, while the United States has similarly demanded compensation from Iran as a precondition for further talks. Since early September 2026, no major attacks on land-based targets have been reported; however, Iranian attacks on commercial shipping in and around the Strait of Hormuz intensified in October 2026. The U.S. naval blockade of Iranian ports remains in effect. As of the date of this Quarterly Report, those negotiations remain unresolved and the Strait of Hormuz remains effectively closed to normal commercial traffic. Although Israel has not participated in the current round of strikes on Iran, in June 2026 Iran launched ballistic missiles toward northern Israel and Israel conducted retaliatory strikes in Iran, and Israel’s Home Front Command has from time to time imposed restrictions on civilian activity. There can be no assurance that a ceasefire will be restored, and hostilities between the United States, Israel and Iran could resume or further escalate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following direct talks between Israeli and Lebanese officials in Washington, D.C., a 10-day cessation of hostilities between Israel and Lebanon was announced, brokered by the United States. On June 26, 2026, following further U.S.-brokered negotiations, Israel, Lebanon and the United States signed a trilateral framework agreement providing for the disarmament of Hezbollah by the Lebanese Armed Forces, beginning in designated pilot zones, and a phased withdrawal of Israeli forces from southern Lebanon. Implementation has been limited to date, Israeli forces remain stationed in southern Lebanon and Hezbollah has not accepted the terms as binding, stating that its fighters will remain deployed and will respond to any violations. The arrangement remains fragile, with reports of continued military operations by both sides in southern Lebanon.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few employees who are in active military service, the ongoing conflicts,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activities including clinical, regulatory and our supply chain are not. However, we cannot currently predict the intensity or duration of Israel’s conflicts with Hamas, Hezbollah and Iran, and its proxies, nor can we predict how such conflicts will ultimately affect our business and operations or Israel’s economy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which resumed in late June 2026 following the breakdown of the June 2026 ceasefire. In addition, the ceasefire framework in Gaza remains in place but implementation of its later phases has stalled following the proposal in August 2026 of a U.S.-brokered 15-point plan for the second phase of the ceasefire, which has not been accepted by all parties. Reported attacks on commercial vessels in the Red Sea and the Bab al-Mandeb strait have also resumed, resulting in casualties and in advisories to commercial shipping operating in the region. These developments have increased regional instability and may further escalate into more severe and prolonged hostilities, which could affect Israel and us.</w:t>
        <w:br/>
        <w:t> </w:t>
        <w:br/>
        <w:t>In addition, Israel held general elections on October 27, 2026, and as of the date of this Quarterly Report, a new government has not yet been formed. Coalition formation may take several weeks and, if unsuccessful, may lead to additional elections. Any deterioration in Israel’s security, political or economic conditions, could adversely affect the Israeli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35 </w:t>
      </w:r>
    </w:p>
    <w:p>
      <w:pPr>
        <w:pStyle w:val="TextBody"/>
        <w:bidi w:val="0"/>
        <w:spacing w:before="0" w:after="0"/>
        <w:ind w:left="0" w:right="0" w:hanging="0"/>
        <w:jc w:val="left"/>
      </w:pPr>
      <w:r>
        <w:t> </w:t>
      </w:r>
    </w:p>
    <w:p>
      <w:pPr>
        <w:pStyle w:val="TextBody"/>
        <w:bidi w:val="0"/>
        <w:spacing w:before="0" w:after="0"/>
        <w:ind w:left="0" w:right="0" w:hanging="0"/>
        <w:jc w:val="left"/>
      </w:pPr>
      <w:bookmarkStart w:id="16" w:name="item2a"/>
      <w:bookmarkEnd w:id="16"/>
      <w:r>
        <w:rPr>
          <w:rStyle w:val="StrongEmphasis"/>
          <w:rFonts w:ascii="Times New Roman;Times;serif" w:hAnsi="Times New Roman;Times;serif"/>
          <w:b w:val="false"/>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bookmarkStart w:id="17" w:name="item3a"/>
      <w:bookmarkEnd w:id="17"/>
      <w:r>
        <w:rPr>
          <w:rStyle w:val="StrongEmphasis"/>
          <w:rFonts w:ascii="Times New Roman;Times;serif" w:hAnsi="Times New Roman;Times;serif"/>
          <w:b w:val="false"/>
          <w:i w:val="false"/>
          <w:caps w:val="false"/>
          <w:smallCaps w:val="false"/>
          <w:sz w:val="20"/>
        </w:rPr>
        <w:t xml:space="preserve">ITEM 3. 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bookmarkStart w:id="18" w:name="item4a"/>
      <w:bookmarkEnd w:id="18"/>
      <w:r>
        <w:rPr>
          <w:rStyle w:val="StrongEmphasis"/>
          <w:rFonts w:ascii="Times New Roman;Times;serif" w:hAnsi="Times New Roman;Times;serif"/>
          <w:b w:val="false"/>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bookmarkStart w:id="19" w:name="item5a"/>
      <w:bookmarkEnd w:id="19"/>
      <w:r>
        <w:rPr>
          <w:rStyle w:val="StrongEmphasis"/>
          <w:rFonts w:ascii="Times New Roman;Times;serif" w:hAnsi="Times New Roman;Times;serif"/>
          <w:b w:val="false"/>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pPr>
      <w:bookmarkStart w:id="20" w:name="item6a"/>
      <w:bookmarkEnd w:id="20"/>
      <w:r>
        <w:rPr>
          <w:rStyle w:val="StrongEmphasis"/>
          <w:rFonts w:ascii="Times New Roman;Times;serif" w:hAnsi="Times New Roman;Times;serif"/>
          <w:b w:val="false"/>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1"/>
        <w:gridCol w:w="9394"/>
      </w:tblGrid>
      <w:tr>
        <w:tc>
          <w:tcPr>
            <w:tcW w:w="811" w:type="dxa"/>
            <w:tcBorders/>
            <w:vAlign w:val="center"/>
          </w:tcPr>
          <w:p>
            <w:pPr>
              <w:pStyle w:val="TableContents"/>
              <w:bidi w:val="0"/>
              <w:spacing w:before="0" w:after="283"/>
              <w:jc w:val="left"/>
            </w:pPr>
            <w:r>
              <w:rPr>
                <w:rStyle w:val="StrongEmphasis"/>
                <w:rFonts w:ascii="Times New Roman;Times;serif" w:hAnsi="Times New Roman;Times;serif"/>
                <w:sz w:val="20"/>
              </w:rPr>
              <w:t>Exhibit No.</w:t>
            </w:r>
          </w:p>
        </w:tc>
        <w:tc>
          <w:tcPr>
            <w:tcW w:w="9394" w:type="dxa"/>
            <w:tcBorders/>
            <w:vAlign w:val="center"/>
          </w:tcPr>
          <w:p>
            <w:pPr>
              <w:pStyle w:val="TableContents"/>
              <w:bidi w:val="0"/>
              <w:spacing w:before="0" w:after="283"/>
              <w:jc w:val="left"/>
            </w:pPr>
            <w:r>
              <w:rPr>
                <w:rStyle w:val="StrongEmphasis"/>
                <w:rFonts w:ascii="Times New Roman;Times;serif" w:hAnsi="Times New Roman;Times;serif"/>
                <w:sz w:val="20"/>
              </w:rPr>
              <w:t>Description of Exhibits</w:t>
            </w:r>
          </w:p>
        </w:tc>
      </w:tr>
      <w:tr>
        <w:tc>
          <w:tcPr>
            <w:tcW w:w="811" w:type="dxa"/>
            <w:tcBorders/>
            <w:vAlign w:val="center"/>
          </w:tcPr>
          <w:p>
            <w:pPr>
              <w:pStyle w:val="TableContents"/>
              <w:bidi w:val="0"/>
              <w:spacing w:before="0" w:after="283"/>
              <w:jc w:val="left"/>
            </w:pPr>
            <w:hyperlink r:id="rId2">
              <w:r>
                <w:rPr>
                  <w:rStyle w:val="InternetLink"/>
                  <w:rFonts w:ascii="Times New Roman;Times;serif" w:hAnsi="Times New Roman;Times;serif"/>
                  <w:sz w:val="20"/>
                </w:rPr>
                <w:t>10.1</w:t>
              </w:r>
            </w:hyperlink>
          </w:p>
        </w:tc>
        <w:tc>
          <w:tcPr>
            <w:tcW w:w="9394" w:type="dxa"/>
            <w:tcBorders/>
            <w:vAlign w:val="center"/>
          </w:tcPr>
          <w:p>
            <w:pPr>
              <w:pStyle w:val="TableContents"/>
              <w:bidi w:val="0"/>
              <w:spacing w:before="0" w:after="283"/>
              <w:jc w:val="left"/>
            </w:pPr>
            <w:hyperlink r:id="rId3">
              <w:r>
                <w:rPr>
                  <w:rStyle w:val="InternetLink"/>
                  <w:rFonts w:ascii="Times New Roman;Times;serif" w:hAnsi="Times New Roman;Times;serif"/>
                  <w:sz w:val="20"/>
                </w:rPr>
                <w:t>Securities Purchase Agreement, dated as of July 26, 2026, by and between Entera Bio Ltd. and the purchasers party thereto (incorporated by reference to Exhibit 10.1 to the Current Report on Form 8-K filed by the Registrant on July 28, 2026).</w:t>
              </w:r>
            </w:hyperlink>
          </w:p>
        </w:tc>
      </w:tr>
      <w:tr>
        <w:tc>
          <w:tcPr>
            <w:tcW w:w="811" w:type="dxa"/>
            <w:tcBorders/>
            <w:vAlign w:val="center"/>
          </w:tcPr>
          <w:p>
            <w:pPr>
              <w:pStyle w:val="TableContents"/>
              <w:bidi w:val="0"/>
              <w:spacing w:before="0" w:after="283"/>
              <w:jc w:val="left"/>
            </w:pPr>
            <w:hyperlink w:anchor="exhibit_10-2.htm">
              <w:r>
                <w:rPr>
                  <w:rStyle w:val="InternetLink"/>
                  <w:rFonts w:ascii="Times New Roman;Times;serif" w:hAnsi="Times New Roman;Times;serif"/>
                  <w:sz w:val="20"/>
                </w:rPr>
                <w:t>10.2*</w:t>
              </w:r>
            </w:hyperlink>
          </w:p>
        </w:tc>
        <w:tc>
          <w:tcPr>
            <w:tcW w:w="9394" w:type="dxa"/>
            <w:tcBorders/>
            <w:vAlign w:val="center"/>
          </w:tcPr>
          <w:p>
            <w:pPr>
              <w:pStyle w:val="TableContents"/>
              <w:bidi w:val="0"/>
              <w:spacing w:before="0" w:after="283"/>
              <w:jc w:val="left"/>
            </w:pPr>
            <w:hyperlink w:anchor="exhibit_10-2.htm">
              <w:r>
                <w:rPr>
                  <w:rStyle w:val="InternetLink"/>
                  <w:rFonts w:ascii="Times New Roman;Times;serif" w:hAnsi="Times New Roman;Times;serif"/>
                  <w:sz w:val="20"/>
                </w:rPr>
                <w:t>Form of Pre-Funded Warrant</w:t>
              </w:r>
            </w:hyperlink>
          </w:p>
        </w:tc>
      </w:tr>
      <w:tr>
        <w:tc>
          <w:tcPr>
            <w:tcW w:w="811" w:type="dxa"/>
            <w:tcBorders/>
            <w:vAlign w:val="center"/>
          </w:tcPr>
          <w:p>
            <w:pPr>
              <w:pStyle w:val="TableContents"/>
              <w:bidi w:val="0"/>
              <w:spacing w:before="0" w:after="283"/>
              <w:jc w:val="left"/>
            </w:pPr>
            <w:hyperlink r:id="rId4">
              <w:r>
                <w:rPr>
                  <w:rStyle w:val="InternetLink"/>
                  <w:rFonts w:ascii="Times New Roman;Times;serif" w:hAnsi="Times New Roman;Times;serif"/>
                  <w:sz w:val="20"/>
                </w:rPr>
                <w:t>10.3</w:t>
              </w:r>
            </w:hyperlink>
          </w:p>
        </w:tc>
        <w:tc>
          <w:tcPr>
            <w:tcW w:w="9394" w:type="dxa"/>
            <w:tcBorders/>
            <w:vAlign w:val="center"/>
          </w:tcPr>
          <w:p>
            <w:pPr>
              <w:pStyle w:val="TableContents"/>
              <w:bidi w:val="0"/>
              <w:spacing w:before="0" w:after="283"/>
              <w:jc w:val="left"/>
            </w:pPr>
            <w:hyperlink r:id="rId5">
              <w:r>
                <w:rPr>
                  <w:rStyle w:val="InternetLink"/>
                  <w:rFonts w:ascii="Times New Roman;Times;serif" w:hAnsi="Times New Roman;Times;serif"/>
                  <w:sz w:val="20"/>
                </w:rPr>
                <w:t>Registration Rights Agreement, dated as of July 28, 2026, by and among Entera Bio Ltd. and the purchasers party thereto (incorporated by reference to Exhibit 10.3 to the Current Report on Form 8-K filed by the Registrant on July 28, 2026).</w:t>
              </w:r>
            </w:hyperlink>
          </w:p>
        </w:tc>
      </w:tr>
      <w:tr>
        <w:tc>
          <w:tcPr>
            <w:tcW w:w="811" w:type="dxa"/>
            <w:tcBorders/>
            <w:vAlign w:val="center"/>
          </w:tcPr>
          <w:p>
            <w:pPr>
              <w:pStyle w:val="TableContents"/>
              <w:bidi w:val="0"/>
              <w:spacing w:before="0" w:after="283"/>
              <w:jc w:val="left"/>
            </w:pPr>
            <w:hyperlink w:anchor="exhibit_31-1.htm">
              <w:r>
                <w:rPr>
                  <w:rStyle w:val="InternetLink"/>
                  <w:rFonts w:ascii="Times New Roman;Times;serif" w:hAnsi="Times New Roman;Times;serif"/>
                  <w:sz w:val="20"/>
                </w:rPr>
                <w:t>31.1</w:t>
              </w:r>
            </w:hyperlink>
          </w:p>
        </w:tc>
        <w:tc>
          <w:tcPr>
            <w:tcW w:w="9394" w:type="dxa"/>
            <w:tcBorders/>
            <w:vAlign w:val="center"/>
          </w:tcPr>
          <w:p>
            <w:pPr>
              <w:pStyle w:val="TableContents"/>
              <w:bidi w:val="0"/>
              <w:spacing w:before="0" w:after="283"/>
              <w:jc w:val="left"/>
            </w:pPr>
            <w:hyperlink w:anchor="exhibit_31-1.htm">
              <w:r>
                <w:rPr>
                  <w:rStyle w:val="InternetLink"/>
                  <w:rFonts w:ascii="Times New Roman;Times;serif" w:hAnsi="Times New Roman;Times;serif"/>
                  <w:sz w:val="20"/>
                </w:rPr>
                <w:t>Certification of Principal Executive Officer Pursuant to Rules 13a-14(a) and 15d-14(a) under the Securities Exchange Act of 1934, as Adopted Pursuant to Section 302 of the Sarbanes-Oxley Act of 2002.</w:t>
              </w:r>
            </w:hyperlink>
          </w:p>
        </w:tc>
      </w:tr>
      <w:tr>
        <w:tc>
          <w:tcPr>
            <w:tcW w:w="811" w:type="dxa"/>
            <w:tcBorders/>
            <w:vAlign w:val="center"/>
          </w:tcPr>
          <w:p>
            <w:pPr>
              <w:pStyle w:val="TableContents"/>
              <w:bidi w:val="0"/>
              <w:spacing w:before="0" w:after="283"/>
              <w:jc w:val="left"/>
            </w:pPr>
            <w:hyperlink w:anchor="exhibit_31-2.htm">
              <w:r>
                <w:rPr>
                  <w:rStyle w:val="InternetLink"/>
                  <w:rFonts w:ascii="Times New Roman;Times;serif" w:hAnsi="Times New Roman;Times;serif"/>
                  <w:sz w:val="20"/>
                </w:rPr>
                <w:t>31.2</w:t>
              </w:r>
            </w:hyperlink>
          </w:p>
        </w:tc>
        <w:tc>
          <w:tcPr>
            <w:tcW w:w="9394" w:type="dxa"/>
            <w:tcBorders/>
            <w:vAlign w:val="center"/>
          </w:tcPr>
          <w:p>
            <w:pPr>
              <w:pStyle w:val="TableContents"/>
              <w:bidi w:val="0"/>
              <w:spacing w:before="0" w:after="283"/>
              <w:jc w:val="left"/>
            </w:pPr>
            <w:hyperlink w:anchor="exhibit_31-2.htm">
              <w:r>
                <w:rPr>
                  <w:rStyle w:val="InternetLink"/>
                  <w:rFonts w:ascii="Times New Roman;Times;serif" w:hAnsi="Times New Roman;Times;serif"/>
                  <w:sz w:val="20"/>
                </w:rPr>
                <w:t>Certification of Principal Financial Officer Pursuant to Rules 13a-14(a) and 15d-14(a) under the Securities Exchange Act of 1934, as Adopted Pursuant to Section 302 of the Sarbanes-Oxley Act of 2002.</w:t>
              </w:r>
            </w:hyperlink>
          </w:p>
        </w:tc>
      </w:tr>
      <w:tr>
        <w:tc>
          <w:tcPr>
            <w:tcW w:w="811" w:type="dxa"/>
            <w:tcBorders/>
            <w:vAlign w:val="center"/>
          </w:tcPr>
          <w:p>
            <w:pPr>
              <w:pStyle w:val="TableContents"/>
              <w:bidi w:val="0"/>
              <w:spacing w:before="0" w:after="283"/>
              <w:jc w:val="left"/>
            </w:pPr>
            <w:hyperlink w:anchor="exhibit_32-1.htm">
              <w:r>
                <w:rPr>
                  <w:rStyle w:val="InternetLink"/>
                  <w:rFonts w:ascii="Times New Roman;Times;serif" w:hAnsi="Times New Roman;Times;serif"/>
                  <w:sz w:val="20"/>
                </w:rPr>
                <w:t>32.1**</w:t>
              </w:r>
            </w:hyperlink>
          </w:p>
        </w:tc>
        <w:tc>
          <w:tcPr>
            <w:tcW w:w="9394" w:type="dxa"/>
            <w:tcBorders/>
            <w:vAlign w:val="center"/>
          </w:tcPr>
          <w:p>
            <w:pPr>
              <w:pStyle w:val="TableContents"/>
              <w:bidi w:val="0"/>
              <w:spacing w:before="0" w:after="283"/>
              <w:jc w:val="left"/>
            </w:pPr>
            <w:hyperlink w:anchor="exhibit_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c>
          <w:tcPr>
            <w:tcW w:w="811" w:type="dxa"/>
            <w:tcBorders/>
            <w:vAlign w:val="center"/>
          </w:tcPr>
          <w:p>
            <w:pPr>
              <w:pStyle w:val="TableContents"/>
              <w:bidi w:val="0"/>
              <w:spacing w:before="0" w:after="283"/>
              <w:jc w:val="left"/>
            </w:pPr>
            <w:hyperlink w:anchor="exhibit_32-2.htm">
              <w:r>
                <w:rPr>
                  <w:rStyle w:val="InternetLink"/>
                  <w:rFonts w:ascii="Times New Roman;Times;serif" w:hAnsi="Times New Roman;Times;serif"/>
                  <w:sz w:val="20"/>
                </w:rPr>
                <w:t>32.2**</w:t>
              </w:r>
            </w:hyperlink>
          </w:p>
        </w:tc>
        <w:tc>
          <w:tcPr>
            <w:tcW w:w="9394" w:type="dxa"/>
            <w:tcBorders/>
            <w:vAlign w:val="center"/>
          </w:tcPr>
          <w:p>
            <w:pPr>
              <w:pStyle w:val="TableContents"/>
              <w:bidi w:val="0"/>
              <w:spacing w:before="0" w:after="283"/>
              <w:jc w:val="left"/>
            </w:pPr>
            <w:hyperlink w:anchor="exhibit_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Instance Document.</w:t>
            </w:r>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Schema Document.</w:t>
            </w:r>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36 </w:t>
      </w:r>
    </w:p>
    <w:p>
      <w:pPr>
        <w:pStyle w:val="TextBody"/>
        <w:bidi w:val="0"/>
        <w:spacing w:before="0" w:after="0"/>
        <w:ind w:left="0" w:right="0" w:hanging="0"/>
        <w:jc w:val="left"/>
      </w:pPr>
      <w:r>
        <w:t> </w:t>
      </w:r>
    </w:p>
    <w:p>
      <w:pPr>
        <w:pStyle w:val="TextBody"/>
        <w:bidi w:val="0"/>
        <w:spacing w:before="0" w:after="0"/>
        <w:ind w:left="0" w:right="0" w:hanging="0"/>
        <w:jc w:val="center"/>
      </w:pPr>
      <w:bookmarkStart w:id="21" w:name="signatures"/>
      <w:bookmarkEnd w:id="21"/>
      <w:r>
        <w:rPr>
          <w:rStyle w:val="StrongEmphasis"/>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015"/>
        <w:gridCol w:w="3755"/>
      </w:tblGrid>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pPr>
            <w:r>
              <w:rPr>
                <w:rStyle w:val="StrongEmphasis"/>
                <w:rFonts w:ascii="Times New Roman;Times;serif" w:hAnsi="Times New Roman;Times;serif"/>
                <w:sz w:val="20"/>
              </w:rPr>
              <w:t>ENTERA BIO LTD.</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pPr>
            <w:r>
              <w:t> </w:t>
            </w:r>
          </w:p>
        </w:tc>
      </w:tr>
      <w:tr>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6, 2026</w:t>
            </w:r>
          </w:p>
        </w:tc>
        <w:tc>
          <w:tcPr>
            <w:tcW w:w="37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Miranda Toledano</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p>
            <w:pPr>
              <w:pStyle w:val="TableContents"/>
              <w:bidi w:val="0"/>
              <w:spacing w:before="0" w:after="0"/>
              <w:ind w:left="0" w:right="0" w:hanging="0"/>
              <w:jc w:val="left"/>
              <w:rPr>
                <w:caps w:val="false"/>
                <w:smallCaps w:val="false"/>
              </w:rPr>
            </w:pPr>
            <w:r>
              <w:rPr>
                <w:caps w:val="false"/>
                <w:smallCaps w:val="false"/>
              </w:rPr>
              <w:t> </w:t>
            </w:r>
          </w:p>
        </w:tc>
      </w:tr>
      <w:tr>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6, 2026</w:t>
            </w:r>
          </w:p>
        </w:tc>
        <w:tc>
          <w:tcPr>
            <w:tcW w:w="37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Dana Yaacov-Garbeli</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Dana Yaacov-Garbeli</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c>
          <w:tcPr>
            <w:tcW w:w="2015" w:type="dxa"/>
            <w:tcBorders/>
            <w:vAlign w:val="center"/>
          </w:tcPr>
          <w:p>
            <w:pPr>
              <w:pStyle w:val="TableContents"/>
              <w:bidi w:val="0"/>
              <w:spacing w:before="0" w:after="283"/>
              <w:jc w:val="left"/>
            </w:pPr>
            <w:r>
              <w:t> </w:t>
            </w:r>
          </w:p>
        </w:tc>
        <w:tc>
          <w:tcPr>
            <w:tcW w:w="3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p>
    <w:p>
      <w:pPr>
        <w:pStyle w:val="TextBody"/>
        <w:bidi w:val="0"/>
        <w:jc w:val="left"/>
        <w:rPr>
          <w:bdr w:val="single" w:sz="8" w:space="1" w:color="000000"/>
        </w:rPr>
      </w:pPr>
      <w:r>
        <w:rPr>
          <w:bdr w:val="single" w:sz="8" w:space="1" w:color="000000"/>
        </w:rPr>
        <w:t> </w:t>
      </w:r>
    </w:p>
    <w:p>
      <w:pPr>
        <w:pStyle w:val="TextBody"/>
        <w:bidi w:val="0"/>
        <w:spacing w:before="0" w:after="283"/>
        <w:jc w:val="left"/>
      </w:pPr>
      <w:r>
        <w:t> </w:t>
      </w:r>
    </w:p>
    <w:p>
      <w:pPr>
        <w:pStyle w:val="TextBody"/>
        <w:bidi w:val="0"/>
        <w:spacing w:before="240" w:after="60"/>
        <w:jc w:val="left"/>
        <w:rPr>
          <w:bdr w:val="single" w:sz="16" w:space="1" w:color="000000"/>
        </w:rPr>
      </w:pPr>
      <w:bookmarkStart w:id="22" w:name="exhibit_10-2.htm"/>
      <w:bookmarkStart w:id="23" w:name="ksexhibit_102"/>
      <w:bookmarkEnd w:id="22"/>
      <w:bookmarkEnd w:id="23"/>
      <w:r>
        <w:rPr>
          <w:bdr w:val="single" w:sz="16" w:space="1" w:color="000000"/>
        </w:rPr>
        <w:t> </w:t>
      </w:r>
      <w:r>
        <w:br w:type="page"/>
      </w:r>
    </w:p>
    <w:p>
      <w:pPr>
        <w:pStyle w:val="TextBody"/>
        <w:bidi w:val="0"/>
        <w:jc w:val="right"/>
        <w:rPr>
          <w:b/>
          <w:u w:val="single"/>
        </w:rPr>
      </w:pPr>
      <w:r>
        <w:rPr>
          <w:b/>
          <w:u w:val="single"/>
        </w:rPr>
        <w:t>Exhibit 10.2</w:t>
      </w:r>
    </w:p>
    <w:p>
      <w:pPr>
        <w:pStyle w:val="TextBody"/>
        <w:bidi w:val="0"/>
        <w:spacing w:before="0" w:after="283"/>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ORDINARY SHARE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565"/>
        <w:gridCol w:w="2075"/>
      </w:tblGrid>
      <w:t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c>
          <w:tcPr>
            <w:tcW w:w="20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July 28,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ORDINARY SHARE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[HOLDER]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Ordinary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Ordinary Share under this Warrant shall be equal to the Exercise Price, as defined in Section 2(b). The Warrant is being issued pursuant to that certain Securities Purchase Agreement, dated July 26, 2026, among the Company and the purchasers signatory thereto, as amended and/or restated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(the “</w:t>
      </w:r>
      <w:r>
        <w:rPr>
          <w:rFonts w:ascii="Times New Roman;Times;Serif" w:hAnsi="Times New Roman;Times;Serif"/>
          <w:b w:val="false"/>
          <w:i w:val="false"/>
          <w:caps w:val="false"/>
          <w:smallCaps w:val="false"/>
          <w:sz w:val="20"/>
          <w:u w:val="single"/>
        </w:rPr>
        <w:t>Exercise Shares</w:t>
      </w:r>
      <w:r>
        <w:rPr>
          <w:rFonts w:ascii="Times New Roman;Times;Serif" w:hAnsi="Times New Roman;Times;Serif"/>
          <w:b w:val="false"/>
          <w:i w:val="false"/>
          <w:caps w:val="false"/>
          <w:smallCaps w:val="false"/>
          <w:sz w:val="20"/>
        </w:rPr>
        <w:t>” and the date on which the last of the Notice of Exercise and Exercise Price are delivered to the Company (as determined in accordance with the notice provisions hereof),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xml:space="preserv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Ordinary Share under this Warrant shall be $0.000025, subject to adjustment as set forth herein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Closing Price of the Ordinary Shares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closing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closing price per share of the Ordinary Shares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closing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Transfer Agent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the Warrant is being exercised via cashless exercise, and otherwise by physical delivery of a certificate (or evidence of issuance of the Warrant Shares in book entry with the Transfer Agent), registered in the Company’s share register in the name of the Holder or its designee, for the number of Warrant Shares to which the Holder is entitled pursuant to such exercise to the address specified by the Holder in the Notice of Exercise (or, in the case of book entry issuance of Warrant Shares, evidence of such issuance to the email address specified in such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 If the Company fails to comply with the foregoing obligations to deliver the Warrant Shares on the Warrant Share Delivery Date, such Holder will be entitled to a payment, as liquidated damages and not as a penalty, in the amount per month equal to one percent (1%) of the purchase price paid by such Holder for the Warrant Share for which this Warrant is then being exercised, from the Warrant Share Delivery Date to the date of the actual delivery of the Warrant Shares, with such amount being pro-rated for any partial month. The maximum amount payable to each Holder for failure to timely deliver the Warrant Shares shall not exceed eight percent (8%) of the exercise price of such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delivery of the Warrant Shares.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and the calculations required under this Section ‎2(e).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19.99%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Section ‎2(e) shall be construed and implemented in a manner otherwise than in strict conformity with the terms of this Section ‎2(e) to correct this Section ‎2(e) (or any portion hereof) which may be defective or inconsistent with the intended Beneficial Ownership Limitation herein contained or to make changes or supplements necessary or desirable to properly give effect to such limitation. The limitations contained in this Section ‎2(e)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Buy-In. In addition to any other rights available to the Holder, if the Company fails to cause the Transfer Agent to deliver to the Holder or its designee the Exercise Shares in the manner required pursuant to Section ‎2(d)(i) within the Standard Settlement Period following the Exercise Date (other than a failure caused by incorrect or incomplete information provided by the Holder to the Company) and the Holder or the Holder’s broker on its behalf purchases (in an open market transaction or otherwise) Ordinary Shares to deliver in satisfaction of a sale by the Holder of the Exercise Shares which the Holder anticipated receiving upon such exercise (a “Buy-In”) but did not receive within the Standard Settlement Period, then the Company shall, within two (2) Trading Days after the Holder’s request and in the Holder’s sole discretion, promptly honor its obligation to deliver to the Holder or its designee the Exercise Shares pursuant to Section ‎2(d)(i) and pay cash to the Holder in an amount equal to the excess (if any) of the Holder’s total purchase price (including brokerage commissions, if any) for the Ordinary Shares so purchased in the Buy-In (which shall in no event exceed the number of Exercise Shares to which the Holder was entitled), less the product of (A) the number of Ordinary Shares purchased in the Buy-In (which shall in no event exceed the number of Exercise Shares to which the Holder was entitled), times (B) the Closing Price of an Ordinary Share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i w:val="false"/>
          <w:caps w:val="false"/>
          <w:smallCaps w:val="false"/>
          <w:sz w:val="20"/>
        </w:rPr>
        <w:t>Note to Draft</w:t>
      </w:r>
      <w:r>
        <w:rPr>
          <w:rFonts w:ascii="Times New Roman;Times;Serif" w:hAnsi="Times New Roman;Times;Serif"/>
          <w:b w:val="false"/>
          <w:i w:val="false"/>
          <w:caps w:val="false"/>
          <w:smallCaps w:val="false"/>
          <w:sz w:val="20"/>
        </w:rPr>
        <w:t>: To reflect each purchaser’s election.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the Ordinary Shares into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(excluding a merger effected solely to change the Company’s name or domicile),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(not including any Ordinary Shares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the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Section ‎3 shall be made to the nearest cent or the nearest 1/100th of a share,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in no event shall the Exercise Price be less than the then-applicable par value per Ordinary Share.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pPr>
            <w:r>
              <w:t>(i)</w:t>
            </w:r>
          </w:p>
        </w:tc>
        <w:tc>
          <w:tcPr>
            <w:tcW w:w="9995" w:type="dxa"/>
            <w:tcBorders/>
            <w:vAlign w:val="center"/>
          </w:tcPr>
          <w:p>
            <w:pPr>
              <w:pStyle w:val="TableContents"/>
              <w:bidi w:val="0"/>
              <w:spacing w:before="0" w:after="283"/>
              <w:jc w:val="both"/>
            </w:pPr>
            <w:r>
              <w:rPr>
                <w:u w:val="single"/>
              </w:rPr>
              <w:t>Adjustment to Exercise Price</w:t>
            </w:r>
            <w:r>
              <w:t>. Whenever the Exercise Price is adjusted pursuant to any provision of this Section ‎3, the Company shall promptly, at its expense, deliver to the Holder by facsimile or email a notice setting forth the Exercise Price after such adjustment and any resulting adjustment to the number of Warrant Shares and setting forth a brief statement of the facts requiring such adjustment.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pPr>
            <w:r>
              <w:t>(ii)</w:t>
            </w:r>
          </w:p>
        </w:tc>
        <w:tc>
          <w:tcPr>
            <w:tcW w:w="9951" w:type="dxa"/>
            <w:tcBorders/>
            <w:vAlign w:val="center"/>
          </w:tcPr>
          <w:p>
            <w:pPr>
              <w:pStyle w:val="TableContents"/>
              <w:bidi w:val="0"/>
              <w:spacing w:before="0" w:after="283"/>
              <w:jc w:val="both"/>
            </w:pPr>
            <w:r>
              <w:rPr>
                <w:u w:val="single"/>
              </w:rPr>
              <w:t>Notice to Allow Exercise by Holder</w:t>
            </w:r>
            <w: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shareholders of the Company shall be required in connection with any reclassification of the Ordinary Shares, any consolidation or merger to which the Company is a party, any sale or transfer of all or substantially all of its assets, or any compulsory share exchange whereby the Ordinary Shares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or furnish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Transfer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4.1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‎2(a). Without limiting any rights of a Holder to receive Warrant Shares on a “cashless exercise” pursuant to Section 2(c) or to receive cash payments pursuant to Section 2(d)(i)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free from preemptive rights or any other contingent purchase rights of persons other than the Holder.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tLeast" w:line="250" w:before="0" w:after="0"/>
        <w:ind w:left="0" w:right="0" w:firstLine="1440"/>
        <w:jc w:val="both"/>
        <w:rPr>
          <w:caps w:val="false"/>
          <w:smallCaps w:val="false"/>
        </w:rPr>
      </w:pPr>
      <w:r>
        <w:rPr>
          <w:caps w:val="false"/>
          <w:smallCaps w:val="false"/>
        </w:rPr>
        <w:t> </w:t>
      </w:r>
    </w:p>
    <w:p>
      <w:pPr>
        <w:pStyle w:val="TextBody"/>
        <w:bidi w:val="0"/>
        <w:spacing w:lineRule="atLeast" w:line="25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lineRule="atLeast" w:line="25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tLeast" w:line="250"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only with the written consent of the Company and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Warrant may be executed and delivered by facsimile transmission or by e-mail delivery of a “.pdf” or similar format data file, in which case such signature shall create a valid and binding obligation of the party executing (or on whose behalf such signature is executed) with the same force and effect as if such facsimile or “.pdf” or similar format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4760"/>
      </w:tblGrid>
      <w:tr>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ENTERA BIO LTD</w:t>
            </w:r>
            <w:r>
              <w:rPr>
                <w:rFonts w:ascii="Times New Roman;Times;Serif" w:hAnsi="Times New Roman;Times;Serif"/>
                <w:b w:val="false"/>
                <w:i w:val="false"/>
                <w:caps w:val="false"/>
                <w:smallCaps w:val="false"/>
                <w:sz w:val="20"/>
              </w:rPr>
              <w:t>.</w:t>
            </w:r>
          </w:p>
        </w:tc>
      </w:tr>
      <w:tr>
        <w:tc>
          <w:tcPr>
            <w:tcW w:w="47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ENTERA BIO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uto" w:line="480" w:before="0" w:after="0"/>
        <w:ind w:left="144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tLeast" w:line="250"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lineRule="atLeast" w:line="250" w:before="0" w:after="0"/>
        <w:ind w:left="0" w:right="0" w:firstLine="2160"/>
        <w:jc w:val="both"/>
        <w:rPr>
          <w:caps w:val="false"/>
          <w:smallCaps w:val="false"/>
        </w:rPr>
      </w:pPr>
      <w:r>
        <w:rPr>
          <w:caps w:val="false"/>
          <w:smallCaps w:val="false"/>
        </w:rPr>
        <w:t> </w:t>
      </w:r>
    </w:p>
    <w:p>
      <w:pPr>
        <w:pStyle w:val="TextBody"/>
        <w:bidi w:val="0"/>
        <w:spacing w:lineRule="atLeast" w:line="25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lineRule="atLeast" w:line="250" w:before="0" w:after="0"/>
        <w:ind w:left="0" w:right="0" w:hanging="0"/>
        <w:jc w:val="both"/>
        <w:rPr>
          <w:caps w:val="false"/>
          <w:smallCaps w:val="false"/>
        </w:rPr>
      </w:pPr>
      <w:r>
        <w:rPr>
          <w:caps w:val="false"/>
          <w:smallCaps w:val="false"/>
        </w:rPr>
        <w:t> </w:t>
      </w:r>
    </w:p>
    <w:p>
      <w:pPr>
        <w:pStyle w:val="TextBody"/>
        <w:bidi w:val="0"/>
        <w:spacing w:lineRule="atLeast" w:line="250"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lineRule="atLeast" w:line="250" w:before="0" w:after="0"/>
        <w:ind w:left="0" w:right="0" w:firstLine="2160"/>
        <w:jc w:val="both"/>
        <w:rPr>
          <w:caps w:val="false"/>
          <w:smallCaps w:val="false"/>
        </w:rPr>
      </w:pPr>
      <w:r>
        <w:rPr>
          <w:caps w:val="false"/>
          <w:smallCaps w:val="false"/>
        </w:rPr>
        <w:t> </w:t>
      </w:r>
    </w:p>
    <w:p>
      <w:pPr>
        <w:pStyle w:val="TextBody"/>
        <w:bidi w:val="0"/>
        <w:spacing w:lineRule="atLeast" w:line="250"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lineRule="atLeast" w:line="250" w:before="0" w:after="0"/>
        <w:ind w:left="0" w:right="0" w:firstLine="2160"/>
        <w:jc w:val="both"/>
        <w:rPr>
          <w:caps w:val="false"/>
          <w:smallCaps w:val="false"/>
        </w:rPr>
      </w:pPr>
      <w:r>
        <w:rPr>
          <w:caps w:val="false"/>
          <w:smallCaps w:val="false"/>
        </w:rPr>
        <w:t> </w:t>
      </w:r>
    </w:p>
    <w:p>
      <w:pPr>
        <w:pStyle w:val="TextBody"/>
        <w:bidi w:val="0"/>
        <w:spacing w:lineRule="atLeast" w:line="250"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lineRule="atLeast" w:line="250"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tLeast" w:line="25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lineRule="atLeast" w:line="250" w:before="0" w:after="0"/>
        <w:ind w:left="0" w:right="0" w:hanging="0"/>
        <w:jc w:val="both"/>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4025"/>
        <w:gridCol w:w="4025"/>
      </w:tblGrid>
      <w:t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c>
          <w:tcPr>
            <w:tcW w:w="4025" w:type="dxa"/>
            <w:tcBorders/>
            <w:vAlign w:val="center"/>
          </w:tcPr>
          <w:p>
            <w:pPr>
              <w:pStyle w:val="TableContents"/>
              <w:bidi w:val="0"/>
              <w:spacing w:before="0" w:after="283"/>
              <w:jc w:val="left"/>
            </w:pPr>
            <w: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c>
          <w:tcPr>
            <w:tcW w:w="402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40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4025" w:type="dxa"/>
            <w:tcBorders/>
            <w:vAlign w:val="center"/>
          </w:tcPr>
          <w:p>
            <w:pPr>
              <w:pStyle w:val="TableContents"/>
              <w:bidi w:val="0"/>
              <w:spacing w:before="0" w:after="283"/>
              <w:jc w:val="left"/>
            </w:pPr>
            <w:r>
              <w:t> </w:t>
            </w:r>
          </w:p>
        </w:tc>
      </w:tr>
      <w:tr>
        <w:tc>
          <w:tcPr>
            <w:tcW w:w="402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c>
          <w:tcPr>
            <w:tcW w:w="4025" w:type="dxa"/>
            <w:tcBorders/>
            <w:vAlign w:val="center"/>
          </w:tcPr>
          <w:p>
            <w:pPr>
              <w:pStyle w:val="TableContents"/>
              <w:bidi w:val="0"/>
              <w:spacing w:before="0" w:after="283"/>
              <w:jc w:val="left"/>
            </w:pPr>
            <w:r>
              <w:t> </w:t>
            </w:r>
          </w:p>
        </w:tc>
      </w:tr>
      <w:tr>
        <w:tc>
          <w:tcPr>
            <w:tcW w:w="402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c>
          <w:tcPr>
            <w:tcW w:w="4025"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60"/>
        <w:ind w:left="0" w:right="0" w:hanging="0"/>
        <w:jc w:val="left"/>
        <w:rPr>
          <w:bdr w:val="single" w:sz="16" w:space="1" w:color="000000"/>
        </w:rPr>
      </w:pPr>
      <w:bookmarkStart w:id="24" w:name="exhibit_31-1.htm"/>
      <w:bookmarkStart w:id="25" w:name="ksexhibit_311"/>
      <w:bookmarkEnd w:id="24"/>
      <w:bookmarkEnd w:id="25"/>
      <w:r>
        <w:rPr>
          <w:bdr w:val="single" w:sz="16" w:space="1" w:color="000000"/>
        </w:rPr>
        <w:t> </w:t>
      </w:r>
      <w:r>
        <w:br w:type="page"/>
      </w:r>
    </w:p>
    <w:p>
      <w:pPr>
        <w:pStyle w:val="TextBody"/>
        <w:bidi w:val="0"/>
        <w:spacing w:lineRule="auto" w:line="256"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31.1</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Miranda Toledano, certify that:</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pPr>
            <w:r>
              <w:t>1.</w:t>
            </w:r>
          </w:p>
        </w:tc>
        <w:tc>
          <w:tcPr>
            <w:tcW w:w="9977" w:type="dxa"/>
            <w:tcBorders/>
            <w:vAlign w:val="center"/>
          </w:tcPr>
          <w:p>
            <w:pPr>
              <w:pStyle w:val="TableContents"/>
              <w:bidi w:val="0"/>
              <w:spacing w:before="0" w:after="283"/>
              <w:jc w:val="both"/>
            </w:pPr>
            <w:r>
              <w:t>I have reviewed this Quarterly Report on Form 10-Q for the fiscal quarter ended September 30, 2026, of Entera Bio Ltd.;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pPr>
            <w:r>
              <w:t>2.</w:t>
            </w:r>
          </w:p>
        </w:tc>
        <w:tc>
          <w:tcPr>
            <w:tcW w:w="10009" w:type="dxa"/>
            <w:tcBorders/>
            <w:vAlign w:val="center"/>
          </w:tcPr>
          <w:p>
            <w:pPr>
              <w:pStyle w:val="TableContents"/>
              <w:bidi w:val="0"/>
              <w:spacing w:before="0" w:after="283"/>
              <w:jc w:val="both"/>
            </w:pPr>
            <w: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pPr>
            <w:r>
              <w:t>3.</w:t>
            </w:r>
          </w:p>
        </w:tc>
        <w:tc>
          <w:tcPr>
            <w:tcW w:w="10006" w:type="dxa"/>
            <w:tcBorders/>
            <w:vAlign w:val="center"/>
          </w:tcPr>
          <w:p>
            <w:pPr>
              <w:pStyle w:val="TableContents"/>
              <w:bidi w:val="0"/>
              <w:spacing w:before="0" w:after="283"/>
              <w:jc w:val="both"/>
            </w:pPr>
            <w: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pPr>
            <w:r>
              <w:t>4.</w:t>
            </w:r>
          </w:p>
        </w:tc>
        <w:tc>
          <w:tcPr>
            <w:tcW w:w="10010" w:type="dxa"/>
            <w:tcBorders/>
            <w:vAlign w:val="center"/>
          </w:tcPr>
          <w:p>
            <w:pPr>
              <w:pStyle w:val="TableContents"/>
              <w:bidi w:val="0"/>
              <w:spacing w:before="0" w:after="283"/>
              <w:jc w:val="both"/>
            </w:pPr>
            <w: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pPr>
            <w:r>
              <w:t>a.</w:t>
            </w:r>
          </w:p>
        </w:tc>
        <w:tc>
          <w:tcPr>
            <w:tcW w:w="9983" w:type="dxa"/>
            <w:tcBorders/>
            <w:vAlign w:val="center"/>
          </w:tcPr>
          <w:p>
            <w:pPr>
              <w:pStyle w:val="TableContents"/>
              <w:bidi w:val="0"/>
              <w:spacing w:before="0" w:after="283"/>
              <w:jc w:val="both"/>
            </w:pPr>
            <w: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b.</w:t>
            </w:r>
          </w:p>
        </w:tc>
        <w:tc>
          <w:tcPr>
            <w:tcW w:w="9968" w:type="dxa"/>
            <w:tcBorders/>
            <w:vAlign w:val="center"/>
          </w:tcPr>
          <w:p>
            <w:pPr>
              <w:pStyle w:val="TableContents"/>
              <w:bidi w:val="0"/>
              <w:spacing w:before="0" w:after="283"/>
              <w:jc w:val="both"/>
            </w:pPr>
            <w: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pPr>
            <w:r>
              <w:t>c.</w:t>
            </w:r>
          </w:p>
        </w:tc>
        <w:tc>
          <w:tcPr>
            <w:tcW w:w="9983" w:type="dxa"/>
            <w:tcBorders/>
            <w:vAlign w:val="center"/>
          </w:tcPr>
          <w:p>
            <w:pPr>
              <w:pStyle w:val="TableContents"/>
              <w:bidi w:val="0"/>
              <w:spacing w:before="0" w:after="283"/>
              <w:jc w:val="both"/>
            </w:pPr>
            <w: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d.</w:t>
            </w:r>
          </w:p>
        </w:tc>
        <w:tc>
          <w:tcPr>
            <w:tcW w:w="9968" w:type="dxa"/>
            <w:tcBorders/>
            <w:vAlign w:val="center"/>
          </w:tcPr>
          <w:p>
            <w:pPr>
              <w:pStyle w:val="TableContents"/>
              <w:bidi w:val="0"/>
              <w:spacing w:before="0" w:after="283"/>
              <w:jc w:val="both"/>
            </w:pPr>
            <w: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pPr>
            <w:r>
              <w:t>5.</w:t>
            </w:r>
          </w:p>
        </w:tc>
        <w:tc>
          <w:tcPr>
            <w:tcW w:w="10007" w:type="dxa"/>
            <w:tcBorders/>
            <w:vAlign w:val="center"/>
          </w:tcPr>
          <w:p>
            <w:pPr>
              <w:pStyle w:val="TableContents"/>
              <w:bidi w:val="0"/>
              <w:spacing w:before="0" w:after="283"/>
              <w:jc w:val="both"/>
            </w:pPr>
            <w: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pPr>
            <w:r>
              <w:t>a.</w:t>
            </w:r>
          </w:p>
        </w:tc>
        <w:tc>
          <w:tcPr>
            <w:tcW w:w="9983" w:type="dxa"/>
            <w:tcBorders/>
            <w:vAlign w:val="center"/>
          </w:tcPr>
          <w:p>
            <w:pPr>
              <w:pStyle w:val="TableContents"/>
              <w:bidi w:val="0"/>
              <w:spacing w:before="0" w:after="283"/>
              <w:jc w:val="both"/>
            </w:pPr>
            <w: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b.</w:t>
            </w:r>
          </w:p>
        </w:tc>
        <w:tc>
          <w:tcPr>
            <w:tcW w:w="9968" w:type="dxa"/>
            <w:tcBorders/>
            <w:vAlign w:val="center"/>
          </w:tcPr>
          <w:p>
            <w:pPr>
              <w:pStyle w:val="TableContents"/>
              <w:bidi w:val="0"/>
              <w:spacing w:before="0" w:after="283"/>
              <w:jc w:val="both"/>
            </w:pPr>
            <w: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90"/>
        <w:gridCol w:w="2360"/>
      </w:tblGrid>
      <w:tr>
        <w:tc>
          <w:tcPr>
            <w:tcW w:w="2390" w:type="dxa"/>
            <w:tcBorders/>
            <w:vAlign w:val="center"/>
          </w:tcPr>
          <w:p>
            <w:pPr>
              <w:pStyle w:val="TableContents"/>
              <w:bidi w:val="0"/>
              <w:spacing w:before="0" w:after="283"/>
              <w:jc w:val="left"/>
            </w:pPr>
            <w:r>
              <w:t>Date: November 6, 2026</w:t>
            </w:r>
          </w:p>
        </w:tc>
        <w:tc>
          <w:tcPr>
            <w:tcW w:w="2360" w:type="dxa"/>
            <w:tcBorders/>
            <w:vAlign w:val="center"/>
          </w:tcPr>
          <w:p>
            <w:pPr>
              <w:pStyle w:val="TableContents"/>
              <w:bidi w:val="0"/>
              <w:spacing w:lineRule="auto" w:line="256"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Miranda Toledano</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Miranda Toledano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6" w:name="exhibit_31-2.htm"/>
      <w:bookmarkStart w:id="27" w:name="ksexhibit_312"/>
      <w:bookmarkEnd w:id="26"/>
      <w:bookmarkEnd w:id="27"/>
      <w:r>
        <w:rPr>
          <w:bdr w:val="single" w:sz="16" w:space="1" w:color="000000"/>
        </w:rPr>
        <w:t> </w:t>
      </w:r>
      <w:r>
        <w:br w:type="page"/>
      </w:r>
    </w:p>
    <w:p>
      <w:pPr>
        <w:pStyle w:val="TextBody"/>
        <w:bidi w:val="0"/>
        <w:jc w:val="right"/>
        <w:rPr>
          <w:b/>
          <w:u w:val="single"/>
        </w:rPr>
      </w:pPr>
      <w:r>
        <w:rPr>
          <w:b/>
          <w:u w:val="single"/>
        </w:rPr>
        <w:t>Exhibit 31.2</w:t>
      </w:r>
    </w:p>
    <w:p>
      <w:pPr>
        <w:pStyle w:val="TextBody"/>
        <w:bidi w:val="0"/>
        <w:spacing w:before="0" w:after="283"/>
        <w:jc w:val="left"/>
      </w:pPr>
      <w:r>
        <w:t> </w:t>
      </w:r>
    </w:p>
    <w:p>
      <w:pPr>
        <w:pStyle w:val="TextBody"/>
        <w:bidi w:val="0"/>
        <w:spacing w:lineRule="auto" w:line="256" w:before="0" w:after="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CERTIFICATION PURSUANT TO SECTION 302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Dana Yaacov-Garbeli, certify that:</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pPr>
            <w:r>
              <w:t>1.</w:t>
            </w:r>
          </w:p>
        </w:tc>
        <w:tc>
          <w:tcPr>
            <w:tcW w:w="9977" w:type="dxa"/>
            <w:tcBorders/>
            <w:vAlign w:val="center"/>
          </w:tcPr>
          <w:p>
            <w:pPr>
              <w:pStyle w:val="TableContents"/>
              <w:bidi w:val="0"/>
              <w:spacing w:before="0" w:after="283"/>
              <w:jc w:val="both"/>
            </w:pPr>
            <w:r>
              <w:t>I have reviewed this Quarterly Report on Form 10-Q for the fiscal quarter ended September 30, 2026, of Entera Bio Ltd.;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pPr>
            <w:r>
              <w:t>2.</w:t>
            </w:r>
          </w:p>
        </w:tc>
        <w:tc>
          <w:tcPr>
            <w:tcW w:w="10009" w:type="dxa"/>
            <w:tcBorders/>
            <w:vAlign w:val="center"/>
          </w:tcPr>
          <w:p>
            <w:pPr>
              <w:pStyle w:val="TableContents"/>
              <w:bidi w:val="0"/>
              <w:spacing w:before="0" w:after="283"/>
              <w:jc w:val="both"/>
            </w:pPr>
            <w: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pPr>
            <w:r>
              <w:t>3.</w:t>
            </w:r>
          </w:p>
        </w:tc>
        <w:tc>
          <w:tcPr>
            <w:tcW w:w="10006" w:type="dxa"/>
            <w:tcBorders/>
            <w:vAlign w:val="center"/>
          </w:tcPr>
          <w:p>
            <w:pPr>
              <w:pStyle w:val="TableContents"/>
              <w:bidi w:val="0"/>
              <w:spacing w:before="0" w:after="283"/>
              <w:jc w:val="both"/>
            </w:pPr>
            <w: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pPr>
            <w:r>
              <w:t>4.</w:t>
            </w:r>
          </w:p>
        </w:tc>
        <w:tc>
          <w:tcPr>
            <w:tcW w:w="10010" w:type="dxa"/>
            <w:tcBorders/>
            <w:vAlign w:val="center"/>
          </w:tcPr>
          <w:p>
            <w:pPr>
              <w:pStyle w:val="TableContents"/>
              <w:bidi w:val="0"/>
              <w:spacing w:before="0" w:after="283"/>
              <w:jc w:val="both"/>
            </w:pPr>
            <w: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pPr>
            <w:r>
              <w:t>a.</w:t>
            </w:r>
          </w:p>
        </w:tc>
        <w:tc>
          <w:tcPr>
            <w:tcW w:w="9983" w:type="dxa"/>
            <w:tcBorders/>
            <w:vAlign w:val="center"/>
          </w:tcPr>
          <w:p>
            <w:pPr>
              <w:pStyle w:val="TableContents"/>
              <w:bidi w:val="0"/>
              <w:spacing w:before="0" w:after="283"/>
              <w:jc w:val="both"/>
            </w:pPr>
            <w: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b.</w:t>
            </w:r>
          </w:p>
        </w:tc>
        <w:tc>
          <w:tcPr>
            <w:tcW w:w="9968" w:type="dxa"/>
            <w:tcBorders/>
            <w:vAlign w:val="center"/>
          </w:tcPr>
          <w:p>
            <w:pPr>
              <w:pStyle w:val="TableContents"/>
              <w:bidi w:val="0"/>
              <w:spacing w:before="0" w:after="283"/>
              <w:jc w:val="both"/>
            </w:pPr>
            <w: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pPr>
            <w:r>
              <w:t>c.</w:t>
            </w:r>
          </w:p>
        </w:tc>
        <w:tc>
          <w:tcPr>
            <w:tcW w:w="9983" w:type="dxa"/>
            <w:tcBorders/>
            <w:vAlign w:val="center"/>
          </w:tcPr>
          <w:p>
            <w:pPr>
              <w:pStyle w:val="TableContents"/>
              <w:bidi w:val="0"/>
              <w:spacing w:before="0" w:after="283"/>
              <w:jc w:val="both"/>
            </w:pPr>
            <w: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d.</w:t>
            </w:r>
          </w:p>
        </w:tc>
        <w:tc>
          <w:tcPr>
            <w:tcW w:w="9968" w:type="dxa"/>
            <w:tcBorders/>
            <w:vAlign w:val="center"/>
          </w:tcPr>
          <w:p>
            <w:pPr>
              <w:pStyle w:val="TableContents"/>
              <w:bidi w:val="0"/>
              <w:spacing w:before="0" w:after="283"/>
              <w:jc w:val="both"/>
            </w:pPr>
            <w: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pPr>
            <w:r>
              <w:t>5.</w:t>
            </w:r>
          </w:p>
        </w:tc>
        <w:tc>
          <w:tcPr>
            <w:tcW w:w="10007" w:type="dxa"/>
            <w:tcBorders/>
            <w:vAlign w:val="center"/>
          </w:tcPr>
          <w:p>
            <w:pPr>
              <w:pStyle w:val="TableContents"/>
              <w:bidi w:val="0"/>
              <w:spacing w:before="0" w:after="283"/>
              <w:jc w:val="both"/>
            </w:pPr>
            <w: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pPr>
            <w:r>
              <w:t>a.</w:t>
            </w:r>
          </w:p>
        </w:tc>
        <w:tc>
          <w:tcPr>
            <w:tcW w:w="9983" w:type="dxa"/>
            <w:tcBorders/>
            <w:vAlign w:val="center"/>
          </w:tcPr>
          <w:p>
            <w:pPr>
              <w:pStyle w:val="TableContents"/>
              <w:bidi w:val="0"/>
              <w:spacing w:before="0" w:after="283"/>
              <w:jc w:val="both"/>
            </w:pPr>
            <w: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pPr>
            <w:r>
              <w:t>b.</w:t>
            </w:r>
          </w:p>
        </w:tc>
        <w:tc>
          <w:tcPr>
            <w:tcW w:w="9968" w:type="dxa"/>
            <w:tcBorders/>
            <w:vAlign w:val="center"/>
          </w:tcPr>
          <w:p>
            <w:pPr>
              <w:pStyle w:val="TableContents"/>
              <w:bidi w:val="0"/>
              <w:spacing w:before="0" w:after="283"/>
              <w:jc w:val="both"/>
            </w:pPr>
            <w: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390"/>
        <w:gridCol w:w="3650"/>
      </w:tblGrid>
      <w:tr>
        <w:tc>
          <w:tcPr>
            <w:tcW w:w="2390" w:type="dxa"/>
            <w:tcBorders/>
            <w:vAlign w:val="center"/>
          </w:tcPr>
          <w:p>
            <w:pPr>
              <w:pStyle w:val="TableContents"/>
              <w:bidi w:val="0"/>
              <w:spacing w:before="0" w:after="283"/>
              <w:jc w:val="left"/>
            </w:pPr>
            <w:r>
              <w:t>Date: November 6, 2026</w:t>
            </w:r>
          </w:p>
        </w:tc>
        <w:tc>
          <w:tcPr>
            <w:tcW w:w="3650" w:type="dxa"/>
            <w:tcBorders/>
            <w:vAlign w:val="center"/>
          </w:tcPr>
          <w:p>
            <w:pPr>
              <w:pStyle w:val="TableContents"/>
              <w:bidi w:val="0"/>
              <w:spacing w:lineRule="auto" w:line="256"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Dana Yaacov-Garbeli</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Dana Yaacov-Garbeli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283"/>
        <w:jc w:val="left"/>
      </w:pPr>
      <w:r>
        <w:t> </w:t>
      </w:r>
    </w:p>
    <w:p>
      <w:pPr>
        <w:pStyle w:val="TextBody"/>
        <w:bidi w:val="0"/>
        <w:spacing w:before="0" w:after="283"/>
        <w:jc w:val="left"/>
      </w:pPr>
      <w:r>
        <w:t> </w:t>
      </w:r>
    </w:p>
    <w:p>
      <w:pPr>
        <w:pStyle w:val="TextBody"/>
        <w:bidi w:val="0"/>
        <w:spacing w:before="0" w:after="283"/>
        <w:jc w:val="left"/>
      </w:pPr>
      <w:r>
        <w:t> </w:t>
      </w:r>
    </w:p>
    <w:p>
      <w:pPr>
        <w:pStyle w:val="TextBody"/>
        <w:bidi w:val="0"/>
        <w:spacing w:before="0" w:after="283"/>
        <w:jc w:val="left"/>
      </w:pPr>
      <w:r>
        <w:t> </w:t>
      </w:r>
    </w:p>
    <w:p>
      <w:pPr>
        <w:pStyle w:val="TextBody"/>
        <w:bidi w:val="0"/>
        <w:spacing w:before="0" w:after="283"/>
        <w:jc w:val="left"/>
      </w:pPr>
      <w:r>
        <w:t> </w:t>
      </w:r>
    </w:p>
    <w:p>
      <w:pPr>
        <w:pStyle w:val="TextBody"/>
        <w:bidi w:val="0"/>
        <w:jc w:val="left"/>
      </w:pPr>
      <w:bookmarkStart w:id="28" w:name="exhibit_32-1.htm"/>
      <w:bookmarkStart w:id="29" w:name="ksexhibit_321"/>
      <w:bookmarkEnd w:id="28"/>
      <w:bookmarkEnd w:id="29"/>
      <w: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spacing w:lineRule="auto" w:line="256"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32.1</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CERTIFICATION PURSUANT TO SECTION 906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Miranda Toledano, Chief Executive Officer of Entera Bio Ltd. (the “Company”), certify, pursuant to Section 906 of the Sarbanes-Oxley Act of 2002, 18 U.S.C. Section 1350 that, to the best of my knowledge:</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pPr>
            <w:r>
              <w:t>1.</w:t>
            </w:r>
          </w:p>
        </w:tc>
        <w:tc>
          <w:tcPr>
            <w:tcW w:w="10005" w:type="dxa"/>
            <w:tcBorders/>
            <w:vAlign w:val="center"/>
          </w:tcPr>
          <w:p>
            <w:pPr>
              <w:pStyle w:val="TableContents"/>
              <w:bidi w:val="0"/>
              <w:spacing w:before="0" w:after="283"/>
              <w:jc w:val="both"/>
            </w:pPr>
            <w:r>
              <w:t>the Quarterly Report on Form 10-Q of the Company for the fiscal quarter ended September 30, 2026 (the “Report”) fully complies with the requirements of Section 13(a) or 15(d) of the Securities Exchange Act of 1934 (15 U.S.C. 78m or 78o(d));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pPr>
            <w:r>
              <w:t>2.</w:t>
            </w:r>
          </w:p>
        </w:tc>
        <w:tc>
          <w:tcPr>
            <w:tcW w:w="9986" w:type="dxa"/>
            <w:tcBorders/>
            <w:vAlign w:val="center"/>
          </w:tcPr>
          <w:p>
            <w:pPr>
              <w:pStyle w:val="TableContents"/>
              <w:bidi w:val="0"/>
              <w:spacing w:before="0" w:after="283"/>
              <w:jc w:val="both"/>
            </w:pPr>
            <w: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90"/>
        <w:gridCol w:w="2360"/>
      </w:tblGrid>
      <w:tr>
        <w:tc>
          <w:tcPr>
            <w:tcW w:w="2390" w:type="dxa"/>
            <w:tcBorders/>
            <w:vAlign w:val="center"/>
          </w:tcPr>
          <w:p>
            <w:pPr>
              <w:pStyle w:val="TableContents"/>
              <w:bidi w:val="0"/>
              <w:spacing w:before="0" w:after="283"/>
              <w:jc w:val="left"/>
            </w:pPr>
            <w:r>
              <w:t>Date: November 6, 2026</w:t>
            </w:r>
          </w:p>
        </w:tc>
        <w:tc>
          <w:tcPr>
            <w:tcW w:w="2360" w:type="dxa"/>
            <w:tcBorders/>
            <w:vAlign w:val="center"/>
          </w:tcPr>
          <w:p>
            <w:pPr>
              <w:pStyle w:val="TableContents"/>
              <w:bidi w:val="0"/>
              <w:jc w:val="left"/>
              <w:rPr>
                <w:u w:val="single"/>
              </w:rPr>
            </w:pPr>
            <w:r>
              <w:rPr>
                <w:u w:val="single"/>
              </w:rPr>
              <w:t>/s/ Miranda Toledano</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Miranda Toledano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30" w:name="exhibit_32-2.htm"/>
      <w:bookmarkStart w:id="31" w:name="ksexhibit_322"/>
      <w:bookmarkEnd w:id="30"/>
      <w:bookmarkEnd w:id="31"/>
      <w:r>
        <w:rPr>
          <w:bdr w:val="single" w:sz="16" w:space="1" w:color="000000"/>
        </w:rPr>
        <w:t> </w:t>
      </w:r>
      <w:r>
        <w:br w:type="page"/>
      </w:r>
    </w:p>
    <w:p>
      <w:pPr>
        <w:pStyle w:val="TextBody"/>
        <w:bidi w:val="0"/>
        <w:jc w:val="right"/>
        <w:rPr>
          <w:b/>
          <w:u w:val="single"/>
        </w:rPr>
      </w:pPr>
      <w:r>
        <w:rPr>
          <w:b/>
          <w:u w:val="single"/>
        </w:rPr>
        <w:t>Exhibit 32.2</w:t>
      </w:r>
    </w:p>
    <w:p>
      <w:pPr>
        <w:pStyle w:val="TextBody"/>
        <w:bidi w:val="0"/>
        <w:spacing w:before="0" w:after="283"/>
        <w:jc w:val="left"/>
      </w:pPr>
      <w:r>
        <w:t> </w:t>
      </w:r>
    </w:p>
    <w:p>
      <w:pPr>
        <w:pStyle w:val="TextBody"/>
        <w:bidi w:val="0"/>
        <w:spacing w:lineRule="auto" w:line="256" w:before="0" w:after="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CERTIFICATION PURSUANT TO SECTION 906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Dana Yaacov-Garbeli, Chief Financial Officer of Entera Bio Ltd. (the “Company”), certify, pursuant to Section 906 of the Sarbanes-Oxley Act of 2002, 18 U.S.C. Section 1350 that, to the best of my knowledge:</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pPr>
            <w:r>
              <w:t>1.</w:t>
            </w:r>
          </w:p>
        </w:tc>
        <w:tc>
          <w:tcPr>
            <w:tcW w:w="10005" w:type="dxa"/>
            <w:tcBorders/>
            <w:vAlign w:val="center"/>
          </w:tcPr>
          <w:p>
            <w:pPr>
              <w:pStyle w:val="TableContents"/>
              <w:bidi w:val="0"/>
              <w:spacing w:before="0" w:after="283"/>
              <w:jc w:val="both"/>
            </w:pPr>
            <w:r>
              <w:t>the Quarterly Report on Form 10-Q of the Company for the fiscal quarter ended September 30, 2026 (the “Report”) fully complies with the requirements of Section 13(a) or 15(d) of the Securities Exchange Act of 1934 (15 U.S.C. 78m or 78o(d));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pPr>
            <w:r>
              <w:t>2.</w:t>
            </w:r>
          </w:p>
        </w:tc>
        <w:tc>
          <w:tcPr>
            <w:tcW w:w="9986" w:type="dxa"/>
            <w:tcBorders/>
            <w:vAlign w:val="center"/>
          </w:tcPr>
          <w:p>
            <w:pPr>
              <w:pStyle w:val="TableContents"/>
              <w:bidi w:val="0"/>
              <w:spacing w:before="0" w:after="283"/>
              <w:jc w:val="both"/>
            </w:pPr>
            <w: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390"/>
        <w:gridCol w:w="3650"/>
      </w:tblGrid>
      <w:tr>
        <w:tc>
          <w:tcPr>
            <w:tcW w:w="2390" w:type="dxa"/>
            <w:tcBorders/>
            <w:vAlign w:val="center"/>
          </w:tcPr>
          <w:p>
            <w:pPr>
              <w:pStyle w:val="TableContents"/>
              <w:bidi w:val="0"/>
              <w:spacing w:before="0" w:after="283"/>
              <w:jc w:val="left"/>
            </w:pPr>
            <w:r>
              <w:t>Date: November 6, 2026</w:t>
            </w:r>
          </w:p>
        </w:tc>
        <w:tc>
          <w:tcPr>
            <w:tcW w:w="3650" w:type="dxa"/>
            <w:tcBorders/>
            <w:vAlign w:val="center"/>
          </w:tcPr>
          <w:p>
            <w:pPr>
              <w:pStyle w:val="TableContents"/>
              <w:bidi w:val="0"/>
              <w:jc w:val="left"/>
              <w:rPr>
                <w:u w:val="single"/>
              </w:rPr>
            </w:pPr>
            <w:r>
              <w:rPr>
                <w:u w:val="single"/>
              </w:rPr>
              <w:t>/s/ Dana Yaacov-Garbeli</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Dana Yaacov-Garbeli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w:t>
            </w:r>
          </w:p>
          <w:p>
            <w:pPr>
              <w:pStyle w:val="TableContents"/>
              <w:bidi w:val="0"/>
              <w:spacing w:lineRule="auto" w:line="256"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8097/000117891326003617/exhibit_10-1.htm" TargetMode="External"/><Relationship Id="rId3" Type="http://schemas.openxmlformats.org/officeDocument/2006/relationships/hyperlink" Target="https://www.sec.gov/Archives/edgar/data/1638097/000117891326003617/exhibit_10-1.htm" TargetMode="External"/><Relationship Id="rId4" Type="http://schemas.openxmlformats.org/officeDocument/2006/relationships/hyperlink" Target="https://www.sec.gov/Archives/edgar/data/1638097/000117891326003617/exhibit_10-3.htm" TargetMode="External"/><Relationship Id="rId5" Type="http://schemas.openxmlformats.org/officeDocument/2006/relationships/hyperlink" Target="https://www.sec.gov/Archives/edgar/data/1638097/000117891326003617/exhibit_10-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28252</Words>
  <Characters>154938</Characters>
  <CharactersWithSpaces>184702</CharactersWithSpaces>
  <Paragraphs>4561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