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165.htm"/>
      <w:bookmarkStart w:id="1" w:name="kszk263516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8"/>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pPr>
      <w:r>
        <w:rPr>
          <w:caps w:val="false"/>
          <w:smallCaps w:val="false"/>
        </w:rPr>
        <w:t xml:space="preserve">☒ </w:t>
      </w:r>
      <w:r>
        <w:rPr>
          <w:rStyle w:val="StrongEmphasis"/>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For the quarterly period ended </w:t>
      </w:r>
      <w:r>
        <w:rPr>
          <w:rStyle w:val="StrongEmphasis"/>
          <w:rFonts w:ascii="Times New Roman;Times;serif" w:hAnsi="Times New Roman;Times;serif"/>
          <w:b w:val="false"/>
          <w:i w:val="false"/>
          <w:caps w:val="false"/>
          <w:smallCaps w:val="false"/>
          <w:sz w:val="20"/>
          <w:u w:val="single"/>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caps w:val="false"/>
          <w:smallCaps w:val="false"/>
        </w:rPr>
        <w:t xml:space="preserve">☐ </w:t>
      </w:r>
      <w:r>
        <w:rPr>
          <w:rStyle w:val="StrongEmphasis"/>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For the transition period from </w:t>
      </w:r>
      <w:r>
        <w:rPr>
          <w:rStyle w:val="StrongEmphasis"/>
          <w:rFonts w:ascii="Times New Roman;Times;serif" w:hAnsi="Times New Roman;Times;serif"/>
          <w:b w:val="false"/>
          <w:i w:val="false"/>
          <w:caps w:val="false"/>
          <w:smallCaps w:val="false"/>
          <w:sz w:val="20"/>
          <w:u w:val="single"/>
        </w:rPr>
        <w:t xml:space="preserve">                      </w:t>
      </w:r>
      <w:r>
        <w:rPr>
          <w:rStyle w:val="StrongEmphasis"/>
          <w:rFonts w:ascii="Times New Roman;Times;serif" w:hAnsi="Times New Roman;Times;serif"/>
          <w:b w:val="false"/>
          <w:i w:val="false"/>
          <w:caps w:val="false"/>
          <w:smallCaps w:val="false"/>
          <w:sz w:val="20"/>
        </w:rPr>
        <w:t xml:space="preserve">to </w:t>
      </w:r>
      <w:r>
        <w:rPr>
          <w:rStyle w:val="StrongEmphasis"/>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Commission File Number: 001-38556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ENTERA BIO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Israel</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Not applicable</w:t>
            </w:r>
          </w:p>
        </w:tc>
      </w:tr>
      <w:tr>
        <w:trPr/>
        <w:tc>
          <w:tcPr>
            <w:tcW w:w="2660"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(I.R.S. Employer</w:t>
            </w:r>
          </w:p>
        </w:tc>
      </w:tr>
      <w:tr>
        <w:trPr/>
        <w:tc>
          <w:tcPr>
            <w:tcW w:w="2660"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Identification No.)</w:t>
            </w:r>
          </w:p>
        </w:tc>
      </w:tr>
    </w:tbl>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lineRule="auto" w:line="228" w:before="0" w:after="0"/>
              <w:ind w:left="0" w:right="0" w:hanging="0"/>
              <w:jc w:val="center"/>
              <w:rPr/>
            </w:pPr>
            <w:r>
              <w:rPr>
                <w:rStyle w:val="StrongEmphasis"/>
                <w:rFonts w:ascii="Times New Roman;Times;serif" w:hAnsi="Times New Roman;Times;serif"/>
                <w:b w:val="false"/>
                <w:i w:val="false"/>
                <w:caps w:val="false"/>
                <w:smallCaps w:val="false"/>
                <w:sz w:val="20"/>
              </w:rPr>
              <w:t>Kiryat Hadassah</w:t>
            </w:r>
          </w:p>
          <w:p>
            <w:pPr>
              <w:pStyle w:val="TableContents"/>
              <w:bidi w:val="0"/>
              <w:spacing w:lineRule="auto" w:line="228" w:before="0" w:after="0"/>
              <w:ind w:left="0" w:right="0" w:hanging="0"/>
              <w:jc w:val="center"/>
              <w:rPr/>
            </w:pPr>
            <w:r>
              <w:rPr>
                <w:rStyle w:val="StrongEmphasis"/>
                <w:rFonts w:ascii="Times New Roman;Times;serif" w:hAnsi="Times New Roman;Times;serif"/>
                <w:b w:val="false"/>
                <w:i w:val="false"/>
                <w:caps w:val="false"/>
                <w:smallCaps w:val="false"/>
                <w:sz w:val="20"/>
              </w:rPr>
              <w:t>Minrav Building – Fifth Floor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290" w:type="dxa"/>
            <w:tcBorders>
              <w:bottom w:val="single" w:sz="12"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Jerusalem, Israel</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9112002</w:t>
            </w:r>
          </w:p>
        </w:tc>
      </w:tr>
      <w:tr>
        <w:trPr/>
        <w:tc>
          <w:tcPr>
            <w:tcW w:w="3290" w:type="dxa"/>
            <w:tcBorders/>
            <w:vAlign w:val="center"/>
          </w:tcPr>
          <w:p>
            <w:pPr>
              <w:pStyle w:val="TableContents"/>
              <w:bidi w:val="0"/>
              <w:spacing w:before="0" w:after="283"/>
              <w:jc w:val="center"/>
              <w:rPr/>
            </w:pPr>
            <w:r>
              <w:rPr>
                <w:rStyle w:val="StrongEmphasis"/>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rStyle w:val="StrongEmphasis"/>
                <w:rFonts w:ascii="Times New Roman;Times;serif" w:hAnsi="Times New Roman;Times;serif"/>
                <w:sz w:val="20"/>
              </w:rPr>
              <w:t>(Zip Code)</w:t>
            </w:r>
          </w:p>
        </w:tc>
      </w:tr>
    </w:tbl>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972-2-532-7151</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2390"/>
        <w:gridCol w:w="60"/>
        <w:gridCol w:w="1415"/>
        <w:gridCol w:w="60"/>
        <w:gridCol w:w="3890"/>
      </w:tblGrid>
      <w:tr>
        <w:trPr/>
        <w:tc>
          <w:tcPr>
            <w:tcW w:w="2390"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Name of Each Exchange on Which Registered</w:t>
            </w:r>
          </w:p>
        </w:tc>
      </w:tr>
      <w:tr>
        <w:trPr/>
        <w:tc>
          <w:tcPr>
            <w:tcW w:w="2390" w:type="dxa"/>
            <w:tcBorders/>
            <w:shd w:fill="CCEEFF" w:val="clear"/>
            <w:tcMar>
              <w:bottom w:w="0" w:type="dxa"/>
            </w:tcMar>
            <w:vAlign w:val="center"/>
          </w:tcPr>
          <w:p>
            <w:pPr>
              <w:pStyle w:val="TableContents"/>
              <w:bidi w:val="0"/>
              <w:spacing w:before="0" w:after="0"/>
              <w:jc w:val="center"/>
              <w:rPr/>
            </w:pPr>
            <w:r>
              <w:rPr>
                <w:rStyle w:val="StrongEmphasis"/>
                <w:rFonts w:ascii="Times New Roman;Times;serif" w:hAnsi="Times New Roman;Times;serif"/>
                <w:sz w:val="20"/>
              </w:rPr>
              <w:t xml:space="preserve">Ordinary Shares, par value </w:t>
            </w:r>
          </w:p>
          <w:p>
            <w:pPr>
              <w:pStyle w:val="TableContents"/>
              <w:bidi w:val="0"/>
              <w:spacing w:before="0" w:after="0"/>
              <w:jc w:val="center"/>
              <w:rPr/>
            </w:pPr>
            <w:r>
              <w:rPr>
                <w:rStyle w:val="StrongEmphasis"/>
                <w:rFonts w:ascii="Times New Roman;Times;serif" w:hAnsi="Times New Roman;Times;serif"/>
                <w:sz w:val="20"/>
              </w:rPr>
              <w:t>NIS 0.0000769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ENTX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Nasdaq Capital Market</w:t>
            </w:r>
          </w:p>
        </w:tc>
      </w:tr>
    </w:tbl>
    <w:p>
      <w:pPr>
        <w:pStyle w:val="TextBody"/>
        <w:bidi w:val="0"/>
        <w:spacing w:before="0" w:after="0"/>
        <w:ind w:left="0" w:right="0" w:hanging="0"/>
        <w:jc w:val="center"/>
        <w:rPr/>
      </w:pPr>
      <w:r>
        <w:rPr>
          <w:rStyle w:val="StrongEmphasis"/>
          <w:caps w:val="false"/>
          <w:smallCaps w:val="false"/>
        </w:rPr>
        <w:t>  </w:t>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firstLine="3557"/>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4, 2026, the registrant had 49,225,321 ordinary shares, par value NIS 0.0000769 per share (“Ordinary Shares”) outstanding.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16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9025"/>
        <w:gridCol w:w="455"/>
      </w:tblGrid>
      <w:tr>
        <w:trPr/>
        <w:tc>
          <w:tcPr>
            <w:tcW w:w="725" w:type="dxa"/>
            <w:tcBorders/>
            <w:vAlign w:val="center"/>
          </w:tcPr>
          <w:p>
            <w:pPr>
              <w:pStyle w:val="TableContents"/>
              <w:bidi w:val="0"/>
              <w:spacing w:before="0" w:after="283"/>
              <w:jc w:val="left"/>
              <w:rPr/>
            </w:pPr>
            <w:r>
              <w:rPr/>
              <w:t> </w:t>
            </w:r>
          </w:p>
        </w:tc>
        <w:tc>
          <w:tcPr>
            <w:tcW w:w="9025" w:type="dxa"/>
            <w:tcBorders/>
            <w:vAlign w:val="center"/>
          </w:tcPr>
          <w:p>
            <w:pPr>
              <w:pStyle w:val="TableContents"/>
              <w:bidi w:val="0"/>
              <w:spacing w:before="0" w:after="283"/>
              <w:jc w:val="both"/>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Page</w:t>
            </w:r>
          </w:p>
        </w:tc>
      </w:tr>
      <w:tr>
        <w:trPr/>
        <w:tc>
          <w:tcPr>
            <w:tcW w:w="9750" w:type="dxa"/>
            <w:gridSpan w:val="2"/>
            <w:tcBorders/>
            <w:shd w:fill="CCEEFF" w:val="clear"/>
            <w:vAlign w:val="center"/>
          </w:tcPr>
          <w:p>
            <w:pPr>
              <w:pStyle w:val="TableContents"/>
              <w:bidi w:val="0"/>
              <w:spacing w:before="0" w:after="283"/>
              <w:jc w:val="left"/>
              <w:rPr/>
            </w:pPr>
            <w:hyperlink w:anchor="p0">
              <w:r>
                <w:rPr>
                  <w:rStyle w:val="InternetLink"/>
                  <w:rFonts w:ascii="Times New Roman;Times;serif" w:hAnsi="Times New Roman;Times;serif"/>
                  <w:b/>
                  <w:b/>
                  <w:bCs/>
                  <w:sz w:val="20"/>
                </w:rPr>
                <w:t>CAUTIONARY STATEMENT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750" w:type="dxa"/>
            <w:gridSpan w:val="2"/>
            <w:tcBorders/>
            <w:shd w:fill="FFFFFF" w:val="clear"/>
            <w:vAlign w:val="center"/>
          </w:tcPr>
          <w:p>
            <w:pPr>
              <w:pStyle w:val="TableContents"/>
              <w:bidi w:val="0"/>
              <w:spacing w:before="0" w:after="283"/>
              <w:jc w:val="left"/>
              <w:rPr/>
            </w:pPr>
            <w:hyperlink w:anchor="p1">
              <w:r>
                <w:rPr>
                  <w:rStyle w:val="InternetLink"/>
                  <w:rFonts w:ascii="Times New Roman;Times;serif" w:hAnsi="Times New Roman;Times;serif"/>
                  <w:b/>
                  <w:b/>
                  <w:bCs/>
                  <w:sz w:val="20"/>
                </w:rPr>
                <w:t>PART I – 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25" w:type="dxa"/>
            <w:tcBorders/>
            <w:shd w:fill="CCEEFF" w:val="clear"/>
            <w:vAlign w:val="center"/>
          </w:tcPr>
          <w:p>
            <w:pPr>
              <w:pStyle w:val="TableContents"/>
              <w:bidi w:val="0"/>
              <w:spacing w:before="0" w:after="283"/>
              <w:jc w:val="left"/>
              <w:rPr/>
            </w:pPr>
            <w:r>
              <w:rPr/>
              <w:t> </w:t>
            </w:r>
          </w:p>
        </w:tc>
        <w:tc>
          <w:tcPr>
            <w:tcW w:w="9025" w:type="dxa"/>
            <w:tcBorders/>
            <w:shd w:fill="CCEEFF" w:val="clear"/>
            <w:vAlign w:val="center"/>
          </w:tcPr>
          <w:p>
            <w:pPr>
              <w:pStyle w:val="TableContents"/>
              <w:bidi w:val="0"/>
              <w:spacing w:before="0" w:after="283"/>
              <w:jc w:val="both"/>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i1">
              <w:r>
                <w:rPr>
                  <w:rStyle w:val="InternetLink"/>
                  <w:rFonts w:ascii="Times New Roman;Times;serif" w:hAnsi="Times New Roman;Times;serif"/>
                  <w:sz w:val="20"/>
                </w:rPr>
                <w:t>Item 1.</w:t>
              </w:r>
            </w:hyperlink>
          </w:p>
        </w:tc>
        <w:tc>
          <w:tcPr>
            <w:tcW w:w="9025" w:type="dxa"/>
            <w:tcBorders/>
            <w:shd w:fill="FFFFFF" w:val="clear"/>
            <w:vAlign w:val="center"/>
          </w:tcPr>
          <w:p>
            <w:pPr>
              <w:pStyle w:val="TableContents"/>
              <w:bidi w:val="0"/>
              <w:spacing w:before="0" w:after="283"/>
              <w:jc w:val="both"/>
              <w:rPr/>
            </w:pPr>
            <w:hyperlink w:anchor="i1">
              <w:r>
                <w:rPr>
                  <w:rStyle w:val="InternetLink"/>
                  <w:rFonts w:ascii="Times New Roman;Times;serif" w:hAnsi="Times New Roman;Times;serif"/>
                  <w:sz w:val="20"/>
                </w:rPr>
                <w:t>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25" w:type="dxa"/>
            <w:tcBorders/>
            <w:shd w:fill="CCEEFF" w:val="clear"/>
            <w:vAlign w:val="center"/>
          </w:tcPr>
          <w:p>
            <w:pPr>
              <w:pStyle w:val="TableContents"/>
              <w:bidi w:val="0"/>
              <w:spacing w:before="0" w:after="283"/>
              <w:jc w:val="left"/>
              <w:rPr/>
            </w:pPr>
            <w:r>
              <w:rPr/>
              <w:t> </w:t>
            </w:r>
          </w:p>
        </w:tc>
        <w:tc>
          <w:tcPr>
            <w:tcW w:w="9025" w:type="dxa"/>
            <w:tcBorders/>
            <w:shd w:fill="CCEEFF" w:val="clear"/>
            <w:vAlign w:val="center"/>
          </w:tcPr>
          <w:p>
            <w:pPr>
              <w:pStyle w:val="TableContents"/>
              <w:bidi w:val="0"/>
              <w:spacing w:before="0" w:after="283"/>
              <w:jc w:val="both"/>
              <w:rPr/>
            </w:pPr>
            <w:hyperlink w:anchor="SHEETS">
              <w:r>
                <w:rPr>
                  <w:rStyle w:val="InternetLink"/>
                  <w:rFonts w:ascii="Times New Roman;Times;serif" w:hAnsi="Times New Roman;Times;serif"/>
                  <w:sz w:val="20"/>
                </w:rPr>
                <w:t>Condensed Consolidated Balance Sheets as of March 31, 2026 and December 31,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25" w:type="dxa"/>
            <w:tcBorders/>
            <w:shd w:fill="FFFFFF" w:val="clear"/>
            <w:vAlign w:val="center"/>
          </w:tcPr>
          <w:p>
            <w:pPr>
              <w:pStyle w:val="TableContents"/>
              <w:bidi w:val="0"/>
              <w:spacing w:before="0" w:after="283"/>
              <w:jc w:val="left"/>
              <w:rPr/>
            </w:pPr>
            <w:r>
              <w:rPr/>
              <w:t> </w:t>
            </w:r>
          </w:p>
        </w:tc>
        <w:tc>
          <w:tcPr>
            <w:tcW w:w="9025" w:type="dxa"/>
            <w:tcBorders/>
            <w:shd w:fill="FFFFFF" w:val="clear"/>
            <w:vAlign w:val="center"/>
          </w:tcPr>
          <w:p>
            <w:pPr>
              <w:pStyle w:val="TableContents"/>
              <w:bidi w:val="0"/>
              <w:spacing w:before="0" w:after="283"/>
              <w:jc w:val="both"/>
              <w:rPr/>
            </w:pPr>
            <w:hyperlink w:anchor="OPERATIONS">
              <w:r>
                <w:rPr>
                  <w:rStyle w:val="InternetLink"/>
                  <w:rFonts w:ascii="Times New Roman;Times;serif" w:hAnsi="Times New Roman;Times;serif"/>
                  <w:sz w:val="20"/>
                </w:rPr>
                <w:t>Condensed Consolidated Statements of Operations for the three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25" w:type="dxa"/>
            <w:tcBorders/>
            <w:shd w:fill="CCEEFF" w:val="clear"/>
            <w:vAlign w:val="center"/>
          </w:tcPr>
          <w:p>
            <w:pPr>
              <w:pStyle w:val="TableContents"/>
              <w:bidi w:val="0"/>
              <w:spacing w:before="0" w:after="283"/>
              <w:jc w:val="left"/>
              <w:rPr/>
            </w:pPr>
            <w:r>
              <w:rPr/>
              <w:t> </w:t>
            </w:r>
          </w:p>
        </w:tc>
        <w:tc>
          <w:tcPr>
            <w:tcW w:w="9025" w:type="dxa"/>
            <w:tcBorders/>
            <w:shd w:fill="CCEEFF" w:val="clear"/>
            <w:vAlign w:val="center"/>
          </w:tcPr>
          <w:p>
            <w:pPr>
              <w:pStyle w:val="TableContents"/>
              <w:bidi w:val="0"/>
              <w:spacing w:before="0" w:after="283"/>
              <w:jc w:val="both"/>
              <w:rPr/>
            </w:pPr>
            <w:hyperlink w:anchor="EQUITY">
              <w:r>
                <w:rPr>
                  <w:rStyle w:val="InternetLink"/>
                  <w:rFonts w:ascii="Times New Roman;Times;serif" w:hAnsi="Times New Roman;Times;serif"/>
                  <w:sz w:val="20"/>
                </w:rPr>
                <w:t>Condensed Consolidated Statement of Changes in Shareholders’ Equity for the three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25" w:type="dxa"/>
            <w:tcBorders/>
            <w:shd w:fill="FFFFFF" w:val="clear"/>
            <w:vAlign w:val="center"/>
          </w:tcPr>
          <w:p>
            <w:pPr>
              <w:pStyle w:val="TableContents"/>
              <w:bidi w:val="0"/>
              <w:spacing w:before="0" w:after="283"/>
              <w:jc w:val="left"/>
              <w:rPr/>
            </w:pPr>
            <w:r>
              <w:rPr/>
              <w:t> </w:t>
            </w:r>
          </w:p>
        </w:tc>
        <w:tc>
          <w:tcPr>
            <w:tcW w:w="9025" w:type="dxa"/>
            <w:tcBorders/>
            <w:shd w:fill="FFFFFF" w:val="clear"/>
            <w:vAlign w:val="center"/>
          </w:tcPr>
          <w:p>
            <w:pPr>
              <w:pStyle w:val="TableContents"/>
              <w:bidi w:val="0"/>
              <w:spacing w:before="0" w:after="283"/>
              <w:jc w:val="both"/>
              <w:rPr/>
            </w:pPr>
            <w:hyperlink w:anchor="FLOWS">
              <w:r>
                <w:rPr>
                  <w:rStyle w:val="InternetLink"/>
                  <w:rFonts w:ascii="Times New Roman;Times;serif" w:hAnsi="Times New Roman;Times;serif"/>
                  <w:sz w:val="20"/>
                </w:rPr>
                <w:t>Condensed Consolidated Statements of Cash Flows for the three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725" w:type="dxa"/>
            <w:tcBorders/>
            <w:shd w:fill="CCEEFF" w:val="clear"/>
            <w:vAlign w:val="center"/>
          </w:tcPr>
          <w:p>
            <w:pPr>
              <w:pStyle w:val="TableContents"/>
              <w:bidi w:val="0"/>
              <w:spacing w:before="0" w:after="283"/>
              <w:jc w:val="left"/>
              <w:rPr/>
            </w:pPr>
            <w:r>
              <w:rPr/>
              <w:t> </w:t>
            </w:r>
          </w:p>
        </w:tc>
        <w:tc>
          <w:tcPr>
            <w:tcW w:w="9025" w:type="dxa"/>
            <w:tcBorders/>
            <w:shd w:fill="CCEEFF" w:val="clear"/>
            <w:vAlign w:val="center"/>
          </w:tcPr>
          <w:p>
            <w:pPr>
              <w:pStyle w:val="TableContents"/>
              <w:bidi w:val="0"/>
              <w:spacing w:before="0" w:after="283"/>
              <w:jc w:val="both"/>
              <w:rPr/>
            </w:pPr>
            <w:hyperlink w:anchor="NOTES">
              <w:r>
                <w:rPr>
                  <w:rStyle w:val="InternetLink"/>
                  <w:rFonts w:ascii="Times New Roman;Times;serif" w:hAnsi="Times New Roman;Times;serif"/>
                  <w:sz w:val="20"/>
                </w:rPr>
                <w:t>Notes to Condensed Consolidated 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725" w:type="dxa"/>
            <w:tcBorders/>
            <w:shd w:fill="FFFFFF" w:val="clear"/>
            <w:vAlign w:val="center"/>
          </w:tcPr>
          <w:p>
            <w:pPr>
              <w:pStyle w:val="TableContents"/>
              <w:bidi w:val="0"/>
              <w:spacing w:before="0" w:after="283"/>
              <w:jc w:val="left"/>
              <w:rPr/>
            </w:pPr>
            <w:hyperlink w:anchor="i2">
              <w:r>
                <w:rPr>
                  <w:rStyle w:val="InternetLink"/>
                  <w:rFonts w:ascii="Times New Roman;Times;serif" w:hAnsi="Times New Roman;Times;serif"/>
                  <w:sz w:val="20"/>
                </w:rPr>
                <w:t>Item 2.</w:t>
              </w:r>
            </w:hyperlink>
          </w:p>
        </w:tc>
        <w:tc>
          <w:tcPr>
            <w:tcW w:w="9025" w:type="dxa"/>
            <w:tcBorders/>
            <w:shd w:fill="FFFFFF" w:val="clear"/>
            <w:vAlign w:val="center"/>
          </w:tcPr>
          <w:p>
            <w:pPr>
              <w:pStyle w:val="TableContents"/>
              <w:bidi w:val="0"/>
              <w:spacing w:before="0" w:after="283"/>
              <w:jc w:val="both"/>
              <w:rPr/>
            </w:pPr>
            <w:hyperlink w:anchor="i2">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725" w:type="dxa"/>
            <w:tcBorders/>
            <w:shd w:fill="CCEEFF" w:val="clear"/>
            <w:vAlign w:val="center"/>
          </w:tcPr>
          <w:p>
            <w:pPr>
              <w:pStyle w:val="TableContents"/>
              <w:bidi w:val="0"/>
              <w:spacing w:before="0" w:after="283"/>
              <w:jc w:val="left"/>
              <w:rPr/>
            </w:pPr>
            <w:hyperlink w:anchor="i3">
              <w:r>
                <w:rPr>
                  <w:rStyle w:val="InternetLink"/>
                  <w:rFonts w:ascii="Times New Roman;Times;serif" w:hAnsi="Times New Roman;Times;serif"/>
                  <w:sz w:val="20"/>
                </w:rPr>
                <w:t>Item 3.</w:t>
              </w:r>
            </w:hyperlink>
          </w:p>
        </w:tc>
        <w:tc>
          <w:tcPr>
            <w:tcW w:w="9025" w:type="dxa"/>
            <w:tcBorders/>
            <w:shd w:fill="CCEEFF" w:val="clear"/>
            <w:vAlign w:val="center"/>
          </w:tcPr>
          <w:p>
            <w:pPr>
              <w:pStyle w:val="TableContents"/>
              <w:bidi w:val="0"/>
              <w:spacing w:before="0" w:after="283"/>
              <w:jc w:val="both"/>
              <w:rPr/>
            </w:pPr>
            <w:hyperlink w:anchor="i3">
              <w:r>
                <w:rPr>
                  <w:rStyle w:val="InternetLink"/>
                  <w:rFonts w:ascii="Times New Roman;Times;serif" w:hAnsi="Times New Roman;Times;serif"/>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25" w:type="dxa"/>
            <w:tcBorders/>
            <w:shd w:fill="FFFFFF" w:val="clear"/>
            <w:vAlign w:val="center"/>
          </w:tcPr>
          <w:p>
            <w:pPr>
              <w:pStyle w:val="TableContents"/>
              <w:bidi w:val="0"/>
              <w:spacing w:before="0" w:after="283"/>
              <w:jc w:val="left"/>
              <w:rPr/>
            </w:pPr>
            <w:hyperlink w:anchor="i4">
              <w:r>
                <w:rPr>
                  <w:rStyle w:val="InternetLink"/>
                  <w:rFonts w:ascii="Times New Roman;Times;serif" w:hAnsi="Times New Roman;Times;serif"/>
                  <w:sz w:val="20"/>
                </w:rPr>
                <w:t>Item 4.</w:t>
              </w:r>
            </w:hyperlink>
          </w:p>
        </w:tc>
        <w:tc>
          <w:tcPr>
            <w:tcW w:w="9025" w:type="dxa"/>
            <w:tcBorders/>
            <w:shd w:fill="FFFFFF" w:val="clear"/>
            <w:vAlign w:val="center"/>
          </w:tcPr>
          <w:p>
            <w:pPr>
              <w:pStyle w:val="TableContents"/>
              <w:bidi w:val="0"/>
              <w:spacing w:before="0" w:after="283"/>
              <w:jc w:val="both"/>
              <w:rPr/>
            </w:pPr>
            <w:hyperlink w:anchor="i4">
              <w:r>
                <w:rPr>
                  <w:rStyle w:val="InternetLink"/>
                  <w:rFonts w:ascii="Times New Roman;Times;serif" w:hAnsi="Times New Roman;Times;serif"/>
                  <w:sz w:val="20"/>
                </w:rPr>
                <w:t>Controls and Procedures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25" w:type="dxa"/>
            <w:tcBorders/>
            <w:shd w:fill="CCEEFF" w:val="clear"/>
            <w:vAlign w:val="center"/>
          </w:tcPr>
          <w:p>
            <w:pPr>
              <w:pStyle w:val="TableContents"/>
              <w:bidi w:val="0"/>
              <w:spacing w:before="0" w:after="283"/>
              <w:jc w:val="left"/>
              <w:rPr/>
            </w:pPr>
            <w:r>
              <w:rPr/>
              <w:t> </w:t>
            </w:r>
          </w:p>
        </w:tc>
        <w:tc>
          <w:tcPr>
            <w:tcW w:w="9025" w:type="dxa"/>
            <w:tcBorders/>
            <w:shd w:fill="CCEEFF" w:val="clear"/>
            <w:vAlign w:val="center"/>
          </w:tcPr>
          <w:p>
            <w:pPr>
              <w:pStyle w:val="TableContents"/>
              <w:bidi w:val="0"/>
              <w:spacing w:before="0" w:after="283"/>
              <w:jc w:val="both"/>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750" w:type="dxa"/>
            <w:gridSpan w:val="2"/>
            <w:tcBorders/>
            <w:shd w:fill="FFFFFF" w:val="clear"/>
            <w:vAlign w:val="center"/>
          </w:tcPr>
          <w:p>
            <w:pPr>
              <w:pStyle w:val="TableContents"/>
              <w:bidi w:val="0"/>
              <w:spacing w:before="0" w:after="283"/>
              <w:jc w:val="left"/>
              <w:rPr/>
            </w:pPr>
            <w:hyperlink w:anchor="p2">
              <w:r>
                <w:rPr>
                  <w:rStyle w:val="InternetLink"/>
                  <w:rFonts w:ascii="Times New Roman;Times;serif" w:hAnsi="Times New Roman;Times;serif"/>
                  <w:b/>
                  <w:b/>
                  <w:bCs/>
                  <w:sz w:val="20"/>
                </w:rPr>
                <w:t>PART II – OTHER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0205" w:type="dxa"/>
            <w:gridSpan w:val="3"/>
            <w:tcBorders/>
            <w:shd w:fill="CCEEFF" w:val="cle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pPr>
            <w:hyperlink w:anchor="p2i1">
              <w:r>
                <w:rPr>
                  <w:rStyle w:val="InternetLink"/>
                  <w:rFonts w:ascii="Times New Roman;Times;serif" w:hAnsi="Times New Roman;Times;serif"/>
                  <w:sz w:val="20"/>
                </w:rPr>
                <w:t>Item 1.</w:t>
              </w:r>
            </w:hyperlink>
          </w:p>
        </w:tc>
        <w:tc>
          <w:tcPr>
            <w:tcW w:w="9025" w:type="dxa"/>
            <w:tcBorders/>
            <w:shd w:fill="FFFFFF" w:val="clear"/>
            <w:vAlign w:val="center"/>
          </w:tcPr>
          <w:p>
            <w:pPr>
              <w:pStyle w:val="TableContents"/>
              <w:bidi w:val="0"/>
              <w:spacing w:before="0" w:after="283"/>
              <w:jc w:val="left"/>
              <w:rPr/>
            </w:pPr>
            <w:hyperlink w:anchor="p2i1">
              <w:r>
                <w:rPr>
                  <w:rStyle w:val="InternetLink"/>
                  <w:rFonts w:ascii="Times New Roman;Times;serif" w:hAnsi="Times New Roman;Times;serif"/>
                  <w:sz w:val="20"/>
                </w:rPr>
                <w:t>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25" w:type="dxa"/>
            <w:tcBorders/>
            <w:shd w:fill="CCEEFF" w:val="clear"/>
            <w:vAlign w:val="center"/>
          </w:tcPr>
          <w:p>
            <w:pPr>
              <w:pStyle w:val="TableContents"/>
              <w:bidi w:val="0"/>
              <w:spacing w:before="0" w:after="283"/>
              <w:jc w:val="left"/>
              <w:rPr/>
            </w:pPr>
            <w:hyperlink w:anchor="p2i1a">
              <w:r>
                <w:rPr>
                  <w:rStyle w:val="InternetLink"/>
                  <w:rFonts w:ascii="Times New Roman;Times;serif" w:hAnsi="Times New Roman;Times;serif"/>
                  <w:sz w:val="20"/>
                </w:rPr>
                <w:t>Item 1A.</w:t>
              </w:r>
            </w:hyperlink>
          </w:p>
        </w:tc>
        <w:tc>
          <w:tcPr>
            <w:tcW w:w="9025" w:type="dxa"/>
            <w:tcBorders/>
            <w:shd w:fill="CCEEFF" w:val="clear"/>
            <w:vAlign w:val="center"/>
          </w:tcPr>
          <w:p>
            <w:pPr>
              <w:pStyle w:val="TableContents"/>
              <w:bidi w:val="0"/>
              <w:spacing w:before="0" w:after="283"/>
              <w:jc w:val="left"/>
              <w:rPr/>
            </w:pPr>
            <w:hyperlink w:anchor="p2i1a">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725" w:type="dxa"/>
            <w:tcBorders/>
            <w:shd w:fill="FFFFFF" w:val="clear"/>
            <w:vAlign w:val="center"/>
          </w:tcPr>
          <w:p>
            <w:pPr>
              <w:pStyle w:val="TableContents"/>
              <w:bidi w:val="0"/>
              <w:spacing w:before="0" w:after="283"/>
              <w:jc w:val="left"/>
              <w:rPr/>
            </w:pPr>
            <w:hyperlink w:anchor="p2i2">
              <w:r>
                <w:rPr>
                  <w:rStyle w:val="InternetLink"/>
                  <w:rFonts w:ascii="Times New Roman;Times;serif" w:hAnsi="Times New Roman;Times;serif"/>
                  <w:sz w:val="20"/>
                </w:rPr>
                <w:t>Item 2.</w:t>
              </w:r>
            </w:hyperlink>
          </w:p>
        </w:tc>
        <w:tc>
          <w:tcPr>
            <w:tcW w:w="9025" w:type="dxa"/>
            <w:tcBorders/>
            <w:shd w:fill="FFFFFF" w:val="clear"/>
            <w:vAlign w:val="center"/>
          </w:tcPr>
          <w:p>
            <w:pPr>
              <w:pStyle w:val="TableContents"/>
              <w:bidi w:val="0"/>
              <w:spacing w:before="0" w:after="283"/>
              <w:jc w:val="left"/>
              <w:rPr/>
            </w:pPr>
            <w:hyperlink w:anchor="p2i2">
              <w:r>
                <w:rPr>
                  <w:rStyle w:val="InternetLink"/>
                  <w:rFonts w:ascii="Times New Roman;Times;serif" w:hAnsi="Times New Roman;Times;serif"/>
                  <w:sz w:val="20"/>
                </w:rPr>
                <w:t>Unregistered Sales of Equity Securities and 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283"/>
              <w:jc w:val="left"/>
              <w:rPr/>
            </w:pPr>
            <w:hyperlink w:anchor="p2i3">
              <w:r>
                <w:rPr>
                  <w:rStyle w:val="InternetLink"/>
                  <w:rFonts w:ascii="Times New Roman;Times;serif" w:hAnsi="Times New Roman;Times;serif"/>
                  <w:sz w:val="20"/>
                </w:rPr>
                <w:t>Item 3.</w:t>
              </w:r>
            </w:hyperlink>
          </w:p>
        </w:tc>
        <w:tc>
          <w:tcPr>
            <w:tcW w:w="9025" w:type="dxa"/>
            <w:tcBorders/>
            <w:shd w:fill="CCEEFF" w:val="clear"/>
            <w:vAlign w:val="center"/>
          </w:tcPr>
          <w:p>
            <w:pPr>
              <w:pStyle w:val="TableContents"/>
              <w:bidi w:val="0"/>
              <w:spacing w:before="0" w:after="283"/>
              <w:jc w:val="left"/>
              <w:rPr/>
            </w:pPr>
            <w:hyperlink w:anchor="p2i3">
              <w:r>
                <w:rPr>
                  <w:rStyle w:val="InternetLink"/>
                  <w:rFonts w:ascii="Times New Roman;Times;serif" w:hAnsi="Times New Roman;Times;serif"/>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FFFFFF" w:val="clear"/>
            <w:vAlign w:val="center"/>
          </w:tcPr>
          <w:p>
            <w:pPr>
              <w:pStyle w:val="TableContents"/>
              <w:bidi w:val="0"/>
              <w:spacing w:before="0" w:after="283"/>
              <w:jc w:val="left"/>
              <w:rPr/>
            </w:pPr>
            <w:hyperlink w:anchor="p2i4">
              <w:r>
                <w:rPr>
                  <w:rStyle w:val="InternetLink"/>
                  <w:rFonts w:ascii="Times New Roman;Times;serif" w:hAnsi="Times New Roman;Times;serif"/>
                  <w:sz w:val="20"/>
                </w:rPr>
                <w:t>Item 4.</w:t>
              </w:r>
            </w:hyperlink>
          </w:p>
        </w:tc>
        <w:tc>
          <w:tcPr>
            <w:tcW w:w="9025" w:type="dxa"/>
            <w:tcBorders/>
            <w:shd w:fill="FFFFFF" w:val="clear"/>
            <w:vAlign w:val="center"/>
          </w:tcPr>
          <w:p>
            <w:pPr>
              <w:pStyle w:val="TableContents"/>
              <w:bidi w:val="0"/>
              <w:spacing w:before="0" w:after="283"/>
              <w:jc w:val="left"/>
              <w:rPr/>
            </w:pPr>
            <w:hyperlink w:anchor="p2i4">
              <w:r>
                <w:rPr>
                  <w:rStyle w:val="InternetLink"/>
                  <w:rFonts w:ascii="Times New Roman;Times;serif" w:hAnsi="Times New Roman;Times;serif"/>
                  <w:sz w:val="20"/>
                </w:rPr>
                <w:t>Mine Safety Disclosures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CCEEFF" w:val="clear"/>
            <w:vAlign w:val="center"/>
          </w:tcPr>
          <w:p>
            <w:pPr>
              <w:pStyle w:val="TableContents"/>
              <w:bidi w:val="0"/>
              <w:spacing w:before="0" w:after="283"/>
              <w:jc w:val="left"/>
              <w:rPr/>
            </w:pPr>
            <w:hyperlink w:anchor="p2i5">
              <w:r>
                <w:rPr>
                  <w:rStyle w:val="InternetLink"/>
                  <w:rFonts w:ascii="Times New Roman;Times;serif" w:hAnsi="Times New Roman;Times;serif"/>
                  <w:sz w:val="20"/>
                </w:rPr>
                <w:t>Item 5.</w:t>
              </w:r>
            </w:hyperlink>
          </w:p>
        </w:tc>
        <w:tc>
          <w:tcPr>
            <w:tcW w:w="9025" w:type="dxa"/>
            <w:tcBorders/>
            <w:shd w:fill="CCEEFF" w:val="clear"/>
            <w:vAlign w:val="center"/>
          </w:tcPr>
          <w:p>
            <w:pPr>
              <w:pStyle w:val="TableContents"/>
              <w:bidi w:val="0"/>
              <w:spacing w:before="0" w:after="283"/>
              <w:jc w:val="left"/>
              <w:rPr/>
            </w:pPr>
            <w:hyperlink w:anchor="p2i5">
              <w:r>
                <w:rPr>
                  <w:rStyle w:val="InternetLink"/>
                  <w:rFonts w:ascii="Times New Roman;Times;serif" w:hAnsi="Times New Roman;Times;serif"/>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25" w:type="dxa"/>
            <w:tcBorders/>
            <w:shd w:fill="FFFFFF" w:val="clear"/>
            <w:vAlign w:val="center"/>
          </w:tcPr>
          <w:p>
            <w:pPr>
              <w:pStyle w:val="TableContents"/>
              <w:bidi w:val="0"/>
              <w:spacing w:before="0" w:after="283"/>
              <w:jc w:val="left"/>
              <w:rPr/>
            </w:pPr>
            <w:hyperlink w:anchor="p2i6">
              <w:r>
                <w:rPr>
                  <w:rStyle w:val="InternetLink"/>
                  <w:rFonts w:ascii="Times New Roman;Times;serif" w:hAnsi="Times New Roman;Times;serif"/>
                  <w:sz w:val="20"/>
                </w:rPr>
                <w:t>Item 6.</w:t>
              </w:r>
            </w:hyperlink>
          </w:p>
        </w:tc>
        <w:tc>
          <w:tcPr>
            <w:tcW w:w="9025" w:type="dxa"/>
            <w:tcBorders/>
            <w:shd w:fill="FFFFFF" w:val="clear"/>
            <w:vAlign w:val="center"/>
          </w:tcPr>
          <w:p>
            <w:pPr>
              <w:pStyle w:val="TableContents"/>
              <w:bidi w:val="0"/>
              <w:spacing w:before="0" w:after="283"/>
              <w:jc w:val="both"/>
              <w:rPr/>
            </w:pPr>
            <w:hyperlink w:anchor="p2i6">
              <w:r>
                <w:rPr>
                  <w:rStyle w:val="InternetLink"/>
                  <w:rFonts w:ascii="Times New Roman;Times;serif" w:hAnsi="Times New Roman;Times;serif"/>
                  <w:sz w:val="20"/>
                </w:rPr>
                <w:t>Exhibits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0205" w:type="dxa"/>
            <w:gridSpan w:val="3"/>
            <w:tcBorders/>
            <w:shd w:fill="CCEEFF" w:val="clear"/>
            <w:vAlign w:val="center"/>
          </w:tcPr>
          <w:p>
            <w:pPr>
              <w:pStyle w:val="TableContents"/>
              <w:bidi w:val="0"/>
              <w:spacing w:before="0" w:after="283"/>
              <w:jc w:val="center"/>
              <w:rPr/>
            </w:pPr>
            <w:r>
              <w:rPr/>
              <w:t> </w:t>
            </w:r>
          </w:p>
        </w:tc>
      </w:tr>
      <w:tr>
        <w:trPr/>
        <w:tc>
          <w:tcPr>
            <w:tcW w:w="9750" w:type="dxa"/>
            <w:gridSpan w:val="2"/>
            <w:tcBorders/>
            <w:shd w:fill="FFFFFF" w:val="clear"/>
            <w:vAlign w:val="center"/>
          </w:tcPr>
          <w:p>
            <w:pPr>
              <w:pStyle w:val="TableContents"/>
              <w:bidi w:val="0"/>
              <w:spacing w:before="0" w:after="283"/>
              <w:jc w:val="left"/>
              <w:rPr/>
            </w:pPr>
            <w:hyperlink w:anchor="SIGNATURES">
              <w:r>
                <w:rPr>
                  <w:rStyle w:val="InternetLink"/>
                  <w:rFonts w:ascii="Times New Roman;Times;serif" w:hAnsi="Times New Roman;Times;serif"/>
                  <w:b/>
                  <w:b/>
                  <w:bCs/>
                  <w:sz w:val="20"/>
                </w:rPr>
                <w:t>SIGNATURES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bookmarkStart w:id="2" w:name="p0"/>
      <w:bookmarkEnd w:id="2"/>
      <w:r>
        <w:rPr>
          <w:rStyle w:val="StrongEmphasis"/>
          <w:rFonts w:ascii="Times New Roman;Times;serif" w:hAnsi="Times New Roman;Times;serif"/>
          <w:b w:val="false"/>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“Quarterly Report”) contains “forward-looking statements,” as that term is defined under the Private Securities Litigation Reform Act of 1995 (“PSLRA”), Section 27A of the Securities Act of 1933, as amended (the “Securities Act”), and Section 21E of the Securities Exchange Act of 1934, as amended (the “Exchange Act”). Various statements in this Quarterly Report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Quarterly Report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Quarterly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including,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“Part II, Item 1A-Risk Factors” of this Quarterly Report and in “Part I, Item 1A-Risk Factors” in our Annual Report on Form 10-K for the year ended December 31, 2025 (the “2025 Annual Report”). Meaningful factors that could cause actual results to differ from those expressed in forward-looking statements include, but are not limited to:</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development involves a lengthy and expensive process with uncertain outcomes. We may incur additional costs and experience delays in developing and commercializing or be unable to develop or commercialize our current and future product candidates;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approval processes of the U.S. Food and Drug Administration (“FDA”) and comparable foreign authorities are lengthy, time-consuming and inherently unpredictable, and if we are ultimately unable to obtain regulatory approval for our product candidates, our business will be materially harmed;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results from preclinical studies and early-stage clinical trials may not be predictive of future results. Initial positive results in any of our clinical trials may not be indicative of results obtained when the trial is completed or in later stage trials;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accuracy of our estimates regarding expenses, capital requirements, the sufficiency of our cash resources and the need for additional financing; </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1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as a going concern absent access to sources of liquidity;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current or future product candidate receives marketing approval, it may fail to achieve the degree of market acceptance by physicians, patients, third-party payors and others in the medical community necessary for commercial success;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successful commercialization of our product candidates, if approved, will depend in part on the extent to which governmental authorities and third-party payors establish adequate coverage and reimbursement levels and pricing policies;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or maintain coverage and adequate reimbursement for our product candidates, if approved, could limit our ability to market those products and decrease our ability to generate revenue;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anticipate paying any cash dividends on our capital stock in the foreseeable future, capital appreciation, if any, will be your sole source of gain;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to conduct our clinical trials and on third-party suppliers to supply or produce our product candidates; </w:t>
            </w:r>
          </w:p>
        </w:tc>
      </w:tr>
    </w:tbl>
    <w:p>
      <w:pPr>
        <w:pStyle w:val="TextBody"/>
        <w:bidi w:val="0"/>
        <w:spacing w:before="0" w:after="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1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interpretation of FDA feedback and guidance and how such guidance may impact our clinical development plan; </w:t>
            </w:r>
          </w:p>
        </w:tc>
      </w:tr>
    </w:tbl>
    <w:p>
      <w:pPr>
        <w:pStyle w:val="TextBody"/>
        <w:bidi w:val="0"/>
        <w:spacing w:before="0" w:after="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1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use and expand our N-Tab® platform to additional product candidates;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 as a development stage company with limited operating history and a history of operating losses and our ability to fund our operations going forward;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tc>
      </w:tr>
    </w:tbl>
    <w:p>
      <w:pPr>
        <w:pStyle w:val="TextBody"/>
        <w:bidi w:val="0"/>
        <w:spacing w:before="0" w:after="0"/>
        <w:jc w:val="left"/>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development and commercialization collaborations;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manufacture and supply enough material to support our clinical trials and any potential future commercial requirements;</w:t>
            </w:r>
          </w:p>
        </w:tc>
      </w:tr>
    </w:tbl>
    <w:p>
      <w:pPr>
        <w:pStyle w:val="TextBody"/>
        <w:bidi w:val="0"/>
        <w:spacing w:before="0" w:after="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11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any market we may target and the adoption of our product candidates, if approved, by physicians and patients;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maintain and protect our intellectual property and operate our business without infringing, misappropriating, or otherwise violating any intellectual property rights of others;</w:t>
            </w:r>
          </w:p>
        </w:tc>
      </w:tr>
    </w:tbl>
    <w:p>
      <w:pPr>
        <w:pStyle w:val="TextBody"/>
        <w:bidi w:val="0"/>
        <w:spacing w:before="0" w:after="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11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 and recruit additional qualified personnel;</w:t>
            </w:r>
          </w:p>
        </w:tc>
      </w:tr>
    </w:tbl>
    <w:p>
      <w:pPr>
        <w:pStyle w:val="TextBody"/>
        <w:bidi w:val="0"/>
        <w:spacing w:before="0" w:after="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1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comply with laws and regulations that currently apply or become applicable to our business;</w:t>
            </w:r>
          </w:p>
        </w:tc>
      </w:tr>
    </w:tbl>
    <w:p>
      <w:pPr>
        <w:pStyle w:val="TextBody"/>
        <w:bidi w:val="0"/>
        <w:spacing w:before="0" w:after="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1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contained in this Quarterly Report are expressly qualified in their entirety by the cautionary statements contained or referred to in this section. We caution investors not to rely heavily on the forward-looking statements we make. Except as required by applicable law, we are under no duty, and expressly disclaim any obligation, to update or revise publicly any forward-looking statements, whether as a result of new information, future events or otherwise. You are advised, however, to consult all further disclosures we make in each annual, quarterly or current report that we file with the Securities and Exchange Commission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read Part II, Item 1A of this Quarterly Report and Part I, Item 1A of our 2025 Annual Report, each entitled “Risk Factors,” and Part I, Item 2 “Management’s Discussion and Analysis of Financial Condition and Results of Operation—Liquidity and Capital Resources” of this Quarterly Report for additional discussion of the risks and uncertainties associated with our business. 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p1"/>
      <w:bookmarkEnd w:id="3"/>
      <w:r>
        <w:rPr>
          <w:rStyle w:val="StrongEmphasis"/>
          <w:rFonts w:ascii="Times New Roman;Times;serif" w:hAnsi="Times New Roman;Times;serif"/>
          <w:b w:val="false"/>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bookmarkStart w:id="4" w:name="i1"/>
      <w:bookmarkEnd w:id="4"/>
      <w:r>
        <w:rPr>
          <w:rStyle w:val="StrongEmphasis"/>
          <w:rFonts w:ascii="Times New Roman;Times;serif" w:hAnsi="Times New Roman;Times;serif"/>
          <w:b w:val="false"/>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lineRule="auto" w:line="360"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w:t>
      </w:r>
    </w:p>
    <w:p>
      <w:pPr>
        <w:pStyle w:val="TextBody"/>
        <w:bidi w:val="0"/>
        <w:spacing w:lineRule="auto" w:line="256"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FINANCIAL STATEMENTS</w:t>
      </w:r>
    </w:p>
    <w:p>
      <w:pPr>
        <w:pStyle w:val="TextBody"/>
        <w:bidi w:val="0"/>
        <w:spacing w:lineRule="auto" w:line="256"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p>
      <w:pPr>
        <w:pStyle w:val="TextBody"/>
        <w:bidi w:val="0"/>
        <w:spacing w:lineRule="auto" w:line="256" w:before="0" w:after="0"/>
        <w:ind w:left="0" w:right="0" w:hanging="0"/>
        <w:jc w:val="center"/>
        <w:rPr>
          <w:caps w:val="false"/>
          <w:smallCaps w:val="false"/>
        </w:rPr>
      </w:pPr>
      <w:r>
        <w:rPr>
          <w:caps w:val="false"/>
          <w:smallCaps w:val="false"/>
        </w:rPr>
        <w:t> </w:t>
      </w:r>
    </w:p>
    <w:p>
      <w:pPr>
        <w:pStyle w:val="TextBody"/>
        <w:bidi w:val="0"/>
        <w:spacing w:lineRule="auto" w:line="256"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lineRule="auto" w:line="256" w:before="0" w:after="0"/>
        <w:ind w:left="0" w:right="0" w:hanging="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905"/>
        <w:gridCol w:w="455"/>
      </w:tblGrid>
      <w:tr>
        <w:trPr/>
        <w:tc>
          <w:tcPr>
            <w:tcW w:w="6905" w:type="dxa"/>
            <w:tcBorders/>
            <w:vAlign w:val="center"/>
          </w:tcPr>
          <w:p>
            <w:pPr>
              <w:pStyle w:val="TableContents"/>
              <w:bidi w:val="0"/>
              <w:spacing w:lineRule="auto" w:line="256"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lineRule="auto" w:line="256" w:before="0" w:after="283"/>
              <w:jc w:val="center"/>
              <w:rPr/>
            </w:pPr>
            <w:r>
              <w:rPr>
                <w:rStyle w:val="StrongEmphasis"/>
                <w:rFonts w:ascii="Times New Roman;Times;serif" w:hAnsi="Times New Roman;Times;serif"/>
                <w:sz w:val="20"/>
              </w:rPr>
              <w:t>Page</w:t>
            </w:r>
          </w:p>
        </w:tc>
      </w:tr>
      <w:tr>
        <w:trPr/>
        <w:tc>
          <w:tcPr>
            <w:tcW w:w="6905" w:type="dxa"/>
            <w:tcBorders/>
            <w:vAlign w:val="center"/>
          </w:tcPr>
          <w:p>
            <w:pPr>
              <w:pStyle w:val="TableContents"/>
              <w:bidi w:val="0"/>
              <w:spacing w:lineRule="auto" w:line="256" w:before="0" w:after="283"/>
              <w:jc w:val="left"/>
              <w:rPr/>
            </w:pPr>
            <w:r>
              <w:rPr>
                <w:rStyle w:val="StrongEmphasis"/>
                <w:rFonts w:ascii="Times New Roman;Times;serif" w:hAnsi="Times New Roman;Times;serif"/>
                <w:sz w:val="20"/>
              </w:rPr>
              <w:t>CONDENSED CONSOLIDATED FINANCIAL STATEMENTS:</w:t>
            </w:r>
          </w:p>
        </w:tc>
        <w:tc>
          <w:tcPr>
            <w:tcW w:w="455" w:type="dxa"/>
            <w:tcBorders/>
            <w:vAlign w:val="center"/>
          </w:tcPr>
          <w:p>
            <w:pPr>
              <w:pStyle w:val="TableContents"/>
              <w:bidi w:val="0"/>
              <w:spacing w:lineRule="auto" w:line="256" w:before="0" w:after="283"/>
              <w:jc w:val="center"/>
              <w:rPr/>
            </w:pPr>
            <w:r>
              <w:rPr/>
              <w:t> </w:t>
            </w:r>
          </w:p>
        </w:tc>
      </w:tr>
      <w:tr>
        <w:trPr/>
        <w:tc>
          <w:tcPr>
            <w:tcW w:w="6905" w:type="dxa"/>
            <w:tcBorders/>
            <w:vAlign w:val="center"/>
          </w:tcPr>
          <w:p>
            <w:pPr>
              <w:pStyle w:val="TableContents"/>
              <w:bidi w:val="0"/>
              <w:spacing w:lineRule="auto" w:line="256" w:before="0" w:after="283"/>
              <w:jc w:val="left"/>
              <w:rPr/>
            </w:pPr>
            <w:hyperlink w:anchor="SHEETS">
              <w:r>
                <w:rPr>
                  <w:rStyle w:val="InternetLink"/>
                  <w:rFonts w:ascii="Times New Roman;Times;serif" w:hAnsi="Times New Roman;Times;serif"/>
                  <w:sz w:val="20"/>
                </w:rPr>
                <w:t>Condensed Consolidated Balance Sheets (unaudited)</w:t>
              </w:r>
            </w:hyperlink>
          </w:p>
        </w:tc>
        <w:tc>
          <w:tcPr>
            <w:tcW w:w="455" w:type="dxa"/>
            <w:tcBorders/>
            <w:vAlign w:val="center"/>
          </w:tcPr>
          <w:p>
            <w:pPr>
              <w:pStyle w:val="TableContents"/>
              <w:bidi w:val="0"/>
              <w:spacing w:lineRule="auto" w:line="256" w:before="0" w:after="283"/>
              <w:jc w:val="center"/>
              <w:rPr>
                <w:rFonts w:ascii="Times New Roman;Times;serif" w:hAnsi="Times New Roman;Times;serif"/>
                <w:sz w:val="20"/>
              </w:rPr>
            </w:pPr>
            <w:r>
              <w:rPr>
                <w:rFonts w:ascii="Times New Roman;Times;serif" w:hAnsi="Times New Roman;Times;serif"/>
                <w:sz w:val="20"/>
              </w:rPr>
              <w:t>4</w:t>
            </w:r>
          </w:p>
        </w:tc>
      </w:tr>
      <w:tr>
        <w:trPr/>
        <w:tc>
          <w:tcPr>
            <w:tcW w:w="6905" w:type="dxa"/>
            <w:tcBorders/>
            <w:vAlign w:val="center"/>
          </w:tcPr>
          <w:p>
            <w:pPr>
              <w:pStyle w:val="TableContents"/>
              <w:bidi w:val="0"/>
              <w:spacing w:lineRule="auto" w:line="256" w:before="0" w:after="283"/>
              <w:jc w:val="left"/>
              <w:rPr/>
            </w:pPr>
            <w:hyperlink w:anchor="OPERATIONS">
              <w:r>
                <w:rPr>
                  <w:rStyle w:val="InternetLink"/>
                  <w:rFonts w:ascii="Times New Roman;Times;serif" w:hAnsi="Times New Roman;Times;serif"/>
                  <w:sz w:val="20"/>
                </w:rPr>
                <w:t>Condensed Consolidated Statements of Operations (unaudited)</w:t>
              </w:r>
            </w:hyperlink>
          </w:p>
        </w:tc>
        <w:tc>
          <w:tcPr>
            <w:tcW w:w="455" w:type="dxa"/>
            <w:tcBorders/>
            <w:vAlign w:val="center"/>
          </w:tcPr>
          <w:p>
            <w:pPr>
              <w:pStyle w:val="TableContents"/>
              <w:bidi w:val="0"/>
              <w:spacing w:lineRule="auto" w:line="256" w:before="0" w:after="283"/>
              <w:jc w:val="center"/>
              <w:rPr>
                <w:rFonts w:ascii="Times New Roman;Times;serif" w:hAnsi="Times New Roman;Times;serif"/>
                <w:sz w:val="20"/>
              </w:rPr>
            </w:pPr>
            <w:r>
              <w:rPr>
                <w:rFonts w:ascii="Times New Roman;Times;serif" w:hAnsi="Times New Roman;Times;serif"/>
                <w:sz w:val="20"/>
              </w:rPr>
              <w:t>5</w:t>
            </w:r>
          </w:p>
        </w:tc>
      </w:tr>
      <w:tr>
        <w:trPr/>
        <w:tc>
          <w:tcPr>
            <w:tcW w:w="6905" w:type="dxa"/>
            <w:tcBorders/>
            <w:vAlign w:val="center"/>
          </w:tcPr>
          <w:p>
            <w:pPr>
              <w:pStyle w:val="TableContents"/>
              <w:bidi w:val="0"/>
              <w:spacing w:lineRule="auto" w:line="256" w:before="0" w:after="283"/>
              <w:jc w:val="left"/>
              <w:rPr/>
            </w:pPr>
            <w:hyperlink w:anchor="EQUITY">
              <w:r>
                <w:rPr>
                  <w:rStyle w:val="InternetLink"/>
                  <w:rFonts w:ascii="Times New Roman;Times;serif" w:hAnsi="Times New Roman;Times;serif"/>
                  <w:sz w:val="20"/>
                </w:rPr>
                <w:t>Condensed Consolidated Statements of Changes in Shareholders' Equity (unaudited)</w:t>
              </w:r>
            </w:hyperlink>
          </w:p>
        </w:tc>
        <w:tc>
          <w:tcPr>
            <w:tcW w:w="455" w:type="dxa"/>
            <w:tcBorders/>
            <w:vAlign w:val="center"/>
          </w:tcPr>
          <w:p>
            <w:pPr>
              <w:pStyle w:val="TableContents"/>
              <w:bidi w:val="0"/>
              <w:spacing w:lineRule="auto" w:line="256" w:before="0" w:after="283"/>
              <w:jc w:val="center"/>
              <w:rPr>
                <w:rFonts w:ascii="Times New Roman;Times;serif" w:hAnsi="Times New Roman;Times;serif"/>
                <w:sz w:val="20"/>
              </w:rPr>
            </w:pPr>
            <w:r>
              <w:rPr>
                <w:rFonts w:ascii="Times New Roman;Times;serif" w:hAnsi="Times New Roman;Times;serif"/>
                <w:sz w:val="20"/>
              </w:rPr>
              <w:t>6</w:t>
            </w:r>
          </w:p>
        </w:tc>
      </w:tr>
      <w:tr>
        <w:trPr/>
        <w:tc>
          <w:tcPr>
            <w:tcW w:w="6905" w:type="dxa"/>
            <w:tcBorders/>
            <w:vAlign w:val="center"/>
          </w:tcPr>
          <w:p>
            <w:pPr>
              <w:pStyle w:val="TableContents"/>
              <w:bidi w:val="0"/>
              <w:spacing w:lineRule="auto" w:line="256" w:before="0" w:after="283"/>
              <w:jc w:val="left"/>
              <w:rPr/>
            </w:pPr>
            <w:hyperlink w:anchor="FLOWS">
              <w:r>
                <w:rPr>
                  <w:rStyle w:val="InternetLink"/>
                  <w:rFonts w:ascii="Times New Roman;Times;serif" w:hAnsi="Times New Roman;Times;serif"/>
                  <w:sz w:val="20"/>
                </w:rPr>
                <w:t>Condensed Consolidated Statements of Cash Flows (unaudited)</w:t>
              </w:r>
            </w:hyperlink>
          </w:p>
        </w:tc>
        <w:tc>
          <w:tcPr>
            <w:tcW w:w="455" w:type="dxa"/>
            <w:tcBorders/>
            <w:vAlign w:val="center"/>
          </w:tcPr>
          <w:p>
            <w:pPr>
              <w:pStyle w:val="TableContents"/>
              <w:bidi w:val="0"/>
              <w:spacing w:lineRule="auto" w:line="256" w:before="0" w:after="283"/>
              <w:jc w:val="center"/>
              <w:rPr>
                <w:rFonts w:ascii="Times New Roman;Times;serif" w:hAnsi="Times New Roman;Times;serif"/>
                <w:sz w:val="20"/>
              </w:rPr>
            </w:pPr>
            <w:r>
              <w:rPr>
                <w:rFonts w:ascii="Times New Roman;Times;serif" w:hAnsi="Times New Roman;Times;serif"/>
                <w:sz w:val="20"/>
              </w:rPr>
              <w:t>7</w:t>
            </w:r>
          </w:p>
        </w:tc>
      </w:tr>
      <w:tr>
        <w:trPr/>
        <w:tc>
          <w:tcPr>
            <w:tcW w:w="6905" w:type="dxa"/>
            <w:tcBorders/>
            <w:vAlign w:val="center"/>
          </w:tcPr>
          <w:p>
            <w:pPr>
              <w:pStyle w:val="TableContents"/>
              <w:bidi w:val="0"/>
              <w:spacing w:lineRule="auto" w:line="256" w:before="0" w:after="283"/>
              <w:jc w:val="left"/>
              <w:rPr/>
            </w:pPr>
            <w:hyperlink w:anchor="NOTES">
              <w:r>
                <w:rPr>
                  <w:rStyle w:val="InternetLink"/>
                  <w:rFonts w:ascii="Times New Roman;Times;serif" w:hAnsi="Times New Roman;Times;serif"/>
                  <w:sz w:val="20"/>
                </w:rPr>
                <w:t>Notes to the Condensed Consolidated Financial Statements (unaudited)</w:t>
              </w:r>
            </w:hyperlink>
          </w:p>
        </w:tc>
        <w:tc>
          <w:tcPr>
            <w:tcW w:w="455" w:type="dxa"/>
            <w:tcBorders/>
            <w:vAlign w:val="center"/>
          </w:tcPr>
          <w:p>
            <w:pPr>
              <w:pStyle w:val="TableContents"/>
              <w:bidi w:val="0"/>
              <w:spacing w:lineRule="auto" w:line="256" w:before="0" w:after="283"/>
              <w:jc w:val="center"/>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rPr/>
      </w:pPr>
      <w:bookmarkStart w:id="5" w:name="SHEETS"/>
      <w:bookmarkEnd w:id="5"/>
      <w:r>
        <w:rPr>
          <w:rStyle w:val="StrongEmphasis"/>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1"/>
        <w:gridCol w:w="60"/>
        <w:gridCol w:w="60"/>
        <w:gridCol w:w="755"/>
        <w:gridCol w:w="80"/>
        <w:gridCol w:w="60"/>
        <w:gridCol w:w="60"/>
        <w:gridCol w:w="758"/>
        <w:gridCol w:w="361"/>
      </w:tblGrid>
      <w:tr>
        <w:trPr/>
        <w:tc>
          <w:tcPr>
            <w:tcW w:w="8011"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117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r>
      <w:tr>
        <w:trPr/>
        <w:tc>
          <w:tcPr>
            <w:tcW w:w="80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117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80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361" w:type="dxa"/>
            <w:tcBorders/>
            <w:shd w:fill="CCEEFF" w:val="clear"/>
            <w:vAlign w:val="center"/>
          </w:tcPr>
          <w:p>
            <w:pPr>
              <w:pStyle w:val="TableContents"/>
              <w:bidi w:val="0"/>
              <w:spacing w:before="0" w:after="283"/>
              <w:ind w:left="0" w:right="0" w:firstLine="284"/>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7,108</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pPr>
            <w:r>
              <w:rPr/>
              <w:t>      </w:t>
            </w: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7,775</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pPr>
            <w:r>
              <w:rPr/>
              <w:t>      </w:t>
            </w:r>
            <w:r>
              <w:rPr>
                <w:rFonts w:ascii="Times New Roman;Times;serif" w:hAnsi="Times New Roman;Times;serif"/>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15,298</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361" w:type="dxa"/>
            <w:tcBorders/>
            <w:shd w:fill="CCEEFF" w:val="clear"/>
            <w:vAlign w:val="center"/>
          </w:tcPr>
          <w:p>
            <w:pPr>
              <w:pStyle w:val="TableContents"/>
              <w:bidi w:val="0"/>
              <w:spacing w:before="0" w:after="283"/>
              <w:ind w:left="0" w:right="0" w:firstLine="284"/>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c>
          <w:tcPr>
            <w:tcW w:w="361" w:type="dxa"/>
            <w:tcBorders/>
            <w:shd w:fill="FFFFFF" w:val="clear"/>
            <w:vAlign w:val="center"/>
          </w:tcPr>
          <w:p>
            <w:pPr>
              <w:pStyle w:val="TableContents"/>
              <w:bidi w:val="0"/>
              <w:spacing w:before="0" w:after="283"/>
              <w:ind w:left="0" w:right="0" w:firstLine="284"/>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361" w:type="dxa"/>
            <w:tcBorders/>
            <w:shd w:fill="FFFFFF" w:val="clear"/>
            <w:vAlign w:val="center"/>
          </w:tcPr>
          <w:p>
            <w:pPr>
              <w:pStyle w:val="TableContents"/>
              <w:bidi w:val="0"/>
              <w:spacing w:before="0" w:after="283"/>
              <w:ind w:left="0" w:right="0" w:firstLine="284"/>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Funds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15,993</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1,525</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maturities of 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2,203</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for employee rights upon retirement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2,892</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shares, NIS 0.0000769 par value: Authorized - as of March 31, 2026 and December 31, 2025, 140,010,000 shares; issued and outstanding as of March 31, 2026 and December 31, 2025, 46,622,239 and 46,178,630 shares,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138,425</w:t>
            </w:r>
          </w:p>
        </w:tc>
        <w:tc>
          <w:tcPr>
            <w:tcW w:w="361" w:type="dxa"/>
            <w:tcBorders/>
            <w:shd w:fill="CCEEFF" w:val="clear"/>
            <w:vAlign w:val="center"/>
          </w:tcPr>
          <w:p>
            <w:pPr>
              <w:pStyle w:val="TableContents"/>
              <w:bidi w:val="0"/>
              <w:spacing w:before="0" w:after="283"/>
              <w:jc w:val="left"/>
              <w:rPr/>
            </w:pPr>
            <w:r>
              <w:rPr/>
              <w:t> </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(125,366</w:t>
            </w:r>
          </w:p>
        </w:tc>
        <w:tc>
          <w:tcPr>
            <w:tcW w:w="3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11"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13,101</w:t>
            </w:r>
          </w:p>
        </w:tc>
        <w:tc>
          <w:tcPr>
            <w:tcW w:w="361" w:type="dxa"/>
            <w:tcBorders/>
            <w:shd w:fill="FFFFFF" w:val="clear"/>
            <w:vAlign w:val="center"/>
          </w:tcPr>
          <w:p>
            <w:pPr>
              <w:pStyle w:val="TableContents"/>
              <w:bidi w:val="0"/>
              <w:spacing w:before="0" w:after="283"/>
              <w:jc w:val="left"/>
              <w:rPr/>
            </w:pPr>
            <w:r>
              <w:rPr/>
              <w:t> </w:t>
            </w:r>
          </w:p>
        </w:tc>
      </w:tr>
      <w:tr>
        <w:trPr/>
        <w:tc>
          <w:tcPr>
            <w:tcW w:w="8011"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15,993</w:t>
            </w:r>
          </w:p>
        </w:tc>
        <w:tc>
          <w:tcPr>
            <w:tcW w:w="361" w:type="dxa"/>
            <w:tcBorders/>
            <w:shd w:fill="CCEEFF" w:val="clear"/>
            <w:vAlign w:val="center"/>
          </w:tcPr>
          <w:p>
            <w:pPr>
              <w:pStyle w:val="TableContents"/>
              <w:bidi w:val="0"/>
              <w:spacing w:before="0" w:after="283"/>
              <w:jc w:val="left"/>
              <w:rPr/>
            </w:pPr>
            <w:r>
              <w:rPr/>
              <w:t> </w:t>
            </w:r>
          </w:p>
        </w:tc>
      </w:tr>
    </w:tbl>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lineRule="auto" w:line="256" w:before="0" w:after="0"/>
        <w:ind w:left="0" w:right="0" w:hanging="0"/>
        <w:jc w:val="center"/>
        <w:rPr/>
      </w:pPr>
      <w:bookmarkStart w:id="6" w:name="OPERATIONS"/>
      <w:bookmarkEnd w:id="6"/>
      <w:r>
        <w:rPr>
          <w:rStyle w:val="StrongEmphasis"/>
          <w:rFonts w:ascii="Times New Roman;Times;serif" w:hAnsi="Times New Roman;Times;serif"/>
          <w:b w:val="false"/>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10"/>
        <w:gridCol w:w="60"/>
        <w:gridCol w:w="60"/>
        <w:gridCol w:w="950"/>
        <w:gridCol w:w="80"/>
        <w:gridCol w:w="60"/>
        <w:gridCol w:w="60"/>
        <w:gridCol w:w="950"/>
        <w:gridCol w:w="75"/>
      </w:tblGrid>
      <w:tr>
        <w:trPr/>
        <w:tc>
          <w:tcPr>
            <w:tcW w:w="7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35" w:type="dxa"/>
            <w:gridSpan w:val="7"/>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Three Months Ended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March 31,</w:t>
            </w:r>
          </w:p>
        </w:tc>
      </w:tr>
      <w:tr>
        <w:trPr/>
        <w:tc>
          <w:tcPr>
            <w:tcW w:w="7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1085" w:type="dxa"/>
            <w:gridSpan w:val="3"/>
            <w:tcBorders>
              <w:bottom w:val="single" w:sz="8" w:space="0" w:color="000000"/>
            </w:tcBorders>
            <w:tcMar>
              <w:bottom w:w="28" w:type="dxa"/>
            </w:tcMar>
            <w:vAlign w:val="center"/>
          </w:tcPr>
          <w:p>
            <w:pPr>
              <w:pStyle w:val="TableContents"/>
              <w:bidi w:val="0"/>
              <w:spacing w:before="0" w:after="283"/>
              <w:ind w:left="0" w:right="0" w:hanging="284"/>
              <w:jc w:val="center"/>
              <w:rPr>
                <w:rFonts w:ascii="Times New Roman;Times;serif" w:hAnsi="Times New Roman;Times;serif"/>
                <w:b/>
                <w:sz w:val="20"/>
              </w:rPr>
            </w:pPr>
            <w:r>
              <w:rPr>
                <w:rFonts w:ascii="Times New Roman;Times;serif" w:hAnsi="Times New Roman;Times;serif"/>
                <w:b/>
                <w:sz w:val="20"/>
              </w:rPr>
              <w:t>2025</w:t>
            </w:r>
          </w:p>
        </w:tc>
      </w:tr>
      <w:tr>
        <w:trPr/>
        <w:tc>
          <w:tcPr>
            <w:tcW w:w="791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791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1,123</w:t>
            </w:r>
          </w:p>
        </w:tc>
        <w:tc>
          <w:tcPr>
            <w:tcW w:w="75" w:type="dxa"/>
            <w:tcBorders/>
            <w:shd w:fill="CCEEFF" w:val="clear"/>
            <w:vAlign w:val="center"/>
          </w:tcPr>
          <w:p>
            <w:pPr>
              <w:pStyle w:val="TableContents"/>
              <w:bidi w:val="0"/>
              <w:spacing w:before="0" w:after="283"/>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791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791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79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 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75" w:type="dxa"/>
            <w:tcBorders/>
            <w:shd w:fill="FFFFFF" w:val="clear"/>
            <w:vAlign w:val="center"/>
          </w:tcPr>
          <w:p>
            <w:pPr>
              <w:pStyle w:val="TableContents"/>
              <w:bidi w:val="0"/>
              <w:spacing w:before="0" w:after="283"/>
              <w:ind w:left="0" w:right="0" w:hanging="284"/>
              <w:jc w:val="left"/>
              <w:rPr/>
            </w:pPr>
            <w:r>
              <w:rPr/>
              <w:t> </w:t>
            </w:r>
          </w:p>
        </w:tc>
      </w:tr>
      <w:tr>
        <w:trPr/>
        <w:tc>
          <w:tcPr>
            <w:tcW w:w="79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84"/>
              <w:jc w:val="left"/>
              <w:rPr/>
            </w:pPr>
            <w:r>
              <w:rPr/>
              <w:t> </w:t>
            </w:r>
          </w:p>
        </w:tc>
      </w:tr>
      <w:tr>
        <w:trPr/>
        <w:tc>
          <w:tcPr>
            <w:tcW w:w="791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WEIGHTED AVERAGE NUMBER OF SHARES OUTSTANDING USED IN COMPUTATION OF BASIC AND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47,756,409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43,377,391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lineRule="auto" w:line="256"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lineRule="auto" w:line="256" w:before="0" w:after="0"/>
        <w:ind w:left="0" w:right="0" w:hanging="0"/>
        <w:jc w:val="center"/>
        <w:rPr/>
      </w:pPr>
      <w:bookmarkStart w:id="7" w:name="EQUITY"/>
      <w:bookmarkEnd w:id="7"/>
      <w:r>
        <w:rPr>
          <w:rStyle w:val="StrongEmphasis"/>
          <w:rFonts w:ascii="Times New Roman;Times;serif" w:hAnsi="Times New Roman;Times;serif"/>
          <w:b w:val="false"/>
          <w:i w:val="false"/>
          <w:caps w:val="false"/>
          <w:smallCaps w:val="false"/>
          <w:sz w:val="20"/>
        </w:rPr>
        <w:t>CONDENSED CONSOLIDATED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7"/>
        <w:gridCol w:w="60"/>
        <w:gridCol w:w="75"/>
        <w:gridCol w:w="1202"/>
        <w:gridCol w:w="75"/>
        <w:gridCol w:w="60"/>
        <w:gridCol w:w="188"/>
        <w:gridCol w:w="392"/>
        <w:gridCol w:w="190"/>
        <w:gridCol w:w="60"/>
        <w:gridCol w:w="93"/>
        <w:gridCol w:w="1095"/>
        <w:gridCol w:w="96"/>
        <w:gridCol w:w="60"/>
        <w:gridCol w:w="342"/>
        <w:gridCol w:w="1315"/>
        <w:gridCol w:w="345"/>
        <w:gridCol w:w="60"/>
        <w:gridCol w:w="85"/>
        <w:gridCol w:w="1090"/>
        <w:gridCol w:w="116"/>
        <w:gridCol w:w="60"/>
        <w:gridCol w:w="60"/>
        <w:gridCol w:w="590"/>
        <w:gridCol w:w="99"/>
      </w:tblGrid>
      <w:tr>
        <w:trPr/>
        <w:tc>
          <w:tcPr>
            <w:tcW w:w="2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5506" w:type="dxa"/>
            <w:gridSpan w:val="15"/>
            <w:tcBorders/>
            <w:vAlign w:val="center"/>
          </w:tcPr>
          <w:p>
            <w:pPr>
              <w:pStyle w:val="TableContents"/>
              <w:bidi w:val="0"/>
              <w:spacing w:before="0" w:after="283"/>
              <w:jc w:val="left"/>
              <w:rPr/>
            </w:pPr>
            <w:r>
              <w:rPr/>
              <w:t> </w:t>
            </w:r>
          </w:p>
        </w:tc>
      </w:tr>
      <w:tr>
        <w:trPr/>
        <w:tc>
          <w:tcPr>
            <w:tcW w:w="2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issued</w:t>
            </w:r>
          </w:p>
        </w:tc>
        <w:tc>
          <w:tcPr>
            <w:tcW w:w="60" w:type="dxa"/>
            <w:tcBorders/>
            <w:vAlign w:val="center"/>
          </w:tcPr>
          <w:p>
            <w:pPr>
              <w:pStyle w:val="TableContents"/>
              <w:bidi w:val="0"/>
              <w:spacing w:before="0" w:after="283"/>
              <w:jc w:val="left"/>
              <w:rPr/>
            </w:pPr>
            <w:r>
              <w:rPr/>
              <w:t> </w:t>
            </w:r>
          </w:p>
        </w:tc>
        <w:tc>
          <w:tcPr>
            <w:tcW w:w="7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Amounts</w:t>
            </w:r>
          </w:p>
        </w:tc>
        <w:tc>
          <w:tcPr>
            <w:tcW w:w="60" w:type="dxa"/>
            <w:tcBorders/>
            <w:vAlign w:val="center"/>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 capital</w:t>
            </w:r>
          </w:p>
        </w:tc>
        <w:tc>
          <w:tcPr>
            <w:tcW w:w="60" w:type="dxa"/>
            <w:tcBorders/>
            <w:vAlign w:val="center"/>
          </w:tcPr>
          <w:p>
            <w:pPr>
              <w:pStyle w:val="TableContents"/>
              <w:bidi w:val="0"/>
              <w:spacing w:before="0" w:after="283"/>
              <w:jc w:val="left"/>
              <w:rPr/>
            </w:pPr>
            <w:r>
              <w:rPr/>
              <w:t> </w:t>
            </w:r>
          </w:p>
        </w:tc>
        <w:tc>
          <w:tcPr>
            <w:tcW w:w="200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other Comprehensive income</w:t>
            </w:r>
          </w:p>
        </w:tc>
        <w:tc>
          <w:tcPr>
            <w:tcW w:w="60" w:type="dxa"/>
            <w:tcBorders/>
            <w:vAlign w:val="center"/>
          </w:tcPr>
          <w:p>
            <w:pPr>
              <w:pStyle w:val="TableContents"/>
              <w:bidi w:val="0"/>
              <w:spacing w:before="0" w:after="283"/>
              <w:jc w:val="left"/>
              <w:rPr/>
            </w:pPr>
            <w:r>
              <w:rPr/>
              <w:t> </w:t>
            </w:r>
          </w:p>
        </w:tc>
        <w:tc>
          <w:tcPr>
            <w:tcW w:w="1291"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deficit</w:t>
            </w:r>
          </w:p>
        </w:tc>
        <w:tc>
          <w:tcPr>
            <w:tcW w:w="60" w:type="dxa"/>
            <w:tcBorders/>
            <w:vAlign w:val="center"/>
          </w:tcPr>
          <w:p>
            <w:pPr>
              <w:pStyle w:val="TableContents"/>
              <w:bidi w:val="0"/>
              <w:spacing w:before="0" w:after="283"/>
              <w:jc w:val="left"/>
              <w:rPr/>
            </w:pPr>
            <w:r>
              <w:rPr/>
              <w:t> </w:t>
            </w:r>
          </w:p>
        </w:tc>
        <w:tc>
          <w:tcPr>
            <w:tcW w:w="749" w:type="dxa"/>
            <w:gridSpan w:val="3"/>
            <w:tcBorders>
              <w:bottom w:val="single" w:sz="8" w:space="0" w:color="000000"/>
            </w:tcBorders>
            <w:tcMar>
              <w:bottom w:w="28" w:type="dxa"/>
            </w:tcMar>
            <w:vAlign w:val="center"/>
          </w:tcPr>
          <w:p>
            <w:pPr>
              <w:pStyle w:val="TableContents"/>
              <w:bidi w:val="0"/>
              <w:spacing w:before="0" w:after="283"/>
              <w:ind w:left="0" w:right="0" w:hanging="318"/>
              <w:jc w:val="center"/>
              <w:rPr>
                <w:rFonts w:ascii="Times New Roman;Times;serif" w:hAnsi="Times New Roman;Times;serif"/>
                <w:b/>
                <w:sz w:val="20"/>
              </w:rPr>
            </w:pPr>
            <w:r>
              <w:rPr>
                <w:rFonts w:ascii="Times New Roman;Times;serif" w:hAnsi="Times New Roman;Times;serif"/>
                <w:b/>
                <w:sz w:val="20"/>
              </w:rPr>
              <w:t>Total</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46,178,630</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138,425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(125,366</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13,101</w:t>
            </w:r>
          </w:p>
        </w:tc>
        <w:tc>
          <w:tcPr>
            <w:tcW w:w="99" w:type="dxa"/>
            <w:tcBorders/>
            <w:shd w:fill="CCEEFF" w:val="clear"/>
            <w:vAlign w:val="center"/>
          </w:tcPr>
          <w:p>
            <w:pPr>
              <w:pStyle w:val="TableContents"/>
              <w:bidi w:val="0"/>
              <w:spacing w:before="0" w:after="283"/>
              <w:ind w:left="0" w:right="0" w:hanging="5"/>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99" w:type="dxa"/>
            <w:tcBorders/>
            <w:shd w:fill="FFFFFF" w:val="clear"/>
            <w:vAlign w:val="center"/>
          </w:tcPr>
          <w:p>
            <w:pPr>
              <w:pStyle w:val="TableContents"/>
              <w:bidi w:val="0"/>
              <w:spacing w:before="0" w:after="283"/>
              <w:ind w:left="0" w:right="0" w:hanging="142"/>
              <w:jc w:val="left"/>
              <w:rPr>
                <w:rFonts w:ascii="Times New Roman;Times;serif" w:hAnsi="Times New Roman;Times;serif"/>
                <w:sz w:val="20"/>
              </w:rPr>
            </w:pPr>
            <w:r>
              <w:rPr>
                <w:rFonts w:ascii="Times New Roman;Times;serif" w:hAnsi="Times New Roman;Times;serif"/>
                <w:sz w:val="20"/>
              </w:rPr>
              <w:t>)</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216,666</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99" w:type="dxa"/>
            <w:tcBorders/>
            <w:shd w:fill="CCEEFF" w:val="clear"/>
            <w:vAlign w:val="center"/>
          </w:tcPr>
          <w:p>
            <w:pPr>
              <w:pStyle w:val="TableContents"/>
              <w:bidi w:val="0"/>
              <w:spacing w:before="0" w:after="283"/>
              <w:ind w:left="0" w:right="0" w:hanging="142"/>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226,943</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ind w:left="0" w:right="0" w:hanging="5"/>
              <w:jc w:val="left"/>
              <w:rPr/>
            </w:pPr>
            <w:r>
              <w:rPr/>
              <w:t> </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in share of executive officers compensation (see note 3)</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99" w:type="dxa"/>
            <w:tcBorders/>
            <w:shd w:fill="CCEEFF" w:val="clear"/>
            <w:vAlign w:val="center"/>
          </w:tcPr>
          <w:p>
            <w:pPr>
              <w:pStyle w:val="TableContents"/>
              <w:bidi w:val="0"/>
              <w:spacing w:before="0" w:after="283"/>
              <w:ind w:left="0" w:right="0" w:hanging="5"/>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w:t>
            </w:r>
          </w:p>
        </w:tc>
        <w:tc>
          <w:tcPr>
            <w:tcW w:w="99" w:type="dxa"/>
            <w:tcBorders/>
            <w:shd w:fill="FFFFFF" w:val="clear"/>
            <w:vAlign w:val="center"/>
          </w:tcPr>
          <w:p>
            <w:pPr>
              <w:pStyle w:val="TableContents"/>
              <w:bidi w:val="0"/>
              <w:spacing w:before="0" w:after="283"/>
              <w:jc w:val="left"/>
              <w:rPr/>
            </w:pPr>
            <w:r>
              <w:rPr/>
              <w:t> </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46,622,239</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(128,871</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10,687</w:t>
            </w:r>
          </w:p>
        </w:tc>
        <w:tc>
          <w:tcPr>
            <w:tcW w:w="99" w:type="dxa"/>
            <w:tcBorders/>
            <w:shd w:fill="CCEEFF" w:val="clear"/>
            <w:vAlign w:val="center"/>
          </w:tcPr>
          <w:p>
            <w:pPr>
              <w:pStyle w:val="TableContents"/>
              <w:bidi w:val="0"/>
              <w:spacing w:before="0" w:after="283"/>
              <w:ind w:left="0" w:right="0" w:hanging="318"/>
              <w:jc w:val="left"/>
              <w:rPr/>
            </w:pPr>
            <w:r>
              <w:rPr/>
              <w:t> </w:t>
            </w:r>
          </w:p>
        </w:tc>
      </w:tr>
      <w:tr>
        <w:trPr/>
        <w:tc>
          <w:tcPr>
            <w:tcW w:w="2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318"/>
              <w:jc w:val="left"/>
              <w:rPr/>
            </w:pPr>
            <w:r>
              <w:rPr/>
              <w:t> </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38,837,220</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121,965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(113,927</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8,080</w:t>
            </w:r>
          </w:p>
        </w:tc>
        <w:tc>
          <w:tcPr>
            <w:tcW w:w="99" w:type="dxa"/>
            <w:tcBorders/>
            <w:shd w:fill="CCEEFF" w:val="clear"/>
            <w:vAlign w:val="center"/>
          </w:tcPr>
          <w:p>
            <w:pPr>
              <w:pStyle w:val="TableContents"/>
              <w:bidi w:val="0"/>
              <w:spacing w:before="0" w:after="283"/>
              <w:ind w:left="0" w:right="0" w:hanging="5"/>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99" w:type="dxa"/>
            <w:tcBorders/>
            <w:shd w:fill="FFFFFF" w:val="clear"/>
            <w:vAlign w:val="center"/>
          </w:tcPr>
          <w:p>
            <w:pPr>
              <w:pStyle w:val="TableContents"/>
              <w:bidi w:val="0"/>
              <w:spacing w:before="0" w:after="283"/>
              <w:ind w:left="0" w:right="0" w:hanging="5"/>
              <w:jc w:val="left"/>
              <w:rPr>
                <w:rFonts w:ascii="Times New Roman;Times;serif" w:hAnsi="Times New Roman;Times;serif"/>
                <w:sz w:val="20"/>
              </w:rPr>
            </w:pPr>
            <w:r>
              <w:rPr>
                <w:rFonts w:ascii="Times New Roman;Times;serif" w:hAnsi="Times New Roman;Times;serif"/>
                <w:sz w:val="20"/>
              </w:rPr>
              <w:t>)</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149,700</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99" w:type="dxa"/>
            <w:tcBorders/>
            <w:shd w:fill="CCEEFF" w:val="clear"/>
            <w:vAlign w:val="center"/>
          </w:tcPr>
          <w:p>
            <w:pPr>
              <w:pStyle w:val="TableContents"/>
              <w:bidi w:val="0"/>
              <w:spacing w:before="0" w:after="283"/>
              <w:ind w:left="0" w:right="0" w:hanging="5"/>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 under collaboration agreement, net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3,685,226</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7,115</w:t>
            </w:r>
          </w:p>
        </w:tc>
        <w:tc>
          <w:tcPr>
            <w:tcW w:w="99" w:type="dxa"/>
            <w:tcBorders/>
            <w:shd w:fill="FFFFFF" w:val="clear"/>
            <w:vAlign w:val="center"/>
          </w:tcPr>
          <w:p>
            <w:pPr>
              <w:pStyle w:val="TableContents"/>
              <w:bidi w:val="0"/>
              <w:spacing w:before="0" w:after="283"/>
              <w:ind w:left="0" w:right="0" w:hanging="5"/>
              <w:jc w:val="left"/>
              <w:rPr/>
            </w:pPr>
            <w:r>
              <w:rPr/>
              <w:t> </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 under the ATM program, net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2,700,000</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w:t>
            </w:r>
          </w:p>
        </w:tc>
        <w:tc>
          <w:tcPr>
            <w:tcW w:w="99" w:type="dxa"/>
            <w:tcBorders/>
            <w:shd w:fill="CCEEFF" w:val="clear"/>
            <w:vAlign w:val="center"/>
          </w:tcPr>
          <w:p>
            <w:pPr>
              <w:pStyle w:val="TableContents"/>
              <w:bidi w:val="0"/>
              <w:spacing w:before="0" w:after="283"/>
              <w:ind w:left="0" w:right="0" w:hanging="142"/>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restricted share units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48,531</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ind w:left="0" w:right="0" w:hanging="5"/>
              <w:jc w:val="left"/>
              <w:rPr/>
            </w:pPr>
            <w:r>
              <w:rPr/>
              <w:t> </w:t>
            </w:r>
          </w:p>
        </w:tc>
      </w:tr>
      <w:tr>
        <w:trPr/>
        <w:tc>
          <w:tcPr>
            <w:tcW w:w="23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w:t>
            </w:r>
          </w:p>
        </w:tc>
        <w:tc>
          <w:tcPr>
            <w:tcW w:w="99" w:type="dxa"/>
            <w:tcBorders/>
            <w:shd w:fill="CCEEFF" w:val="clear"/>
            <w:vAlign w:val="center"/>
          </w:tcPr>
          <w:p>
            <w:pPr>
              <w:pStyle w:val="TableContents"/>
              <w:bidi w:val="0"/>
              <w:spacing w:before="0" w:after="283"/>
              <w:jc w:val="left"/>
              <w:rPr/>
            </w:pPr>
            <w:r>
              <w:rPr/>
              <w:t> </w:t>
            </w:r>
          </w:p>
        </w:tc>
      </w:tr>
      <w:tr>
        <w:trPr/>
        <w:tc>
          <w:tcPr>
            <w:tcW w:w="239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45,420,677</w:t>
            </w:r>
          </w:p>
        </w:tc>
        <w:tc>
          <w:tcPr>
            <w:tcW w:w="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135,831</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(116,494</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19,379</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an amount less than one thousand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rPr/>
      </w:pPr>
      <w:bookmarkStart w:id="8" w:name="FLOWS"/>
      <w:bookmarkEnd w:id="8"/>
      <w:r>
        <w:rPr>
          <w:rStyle w:val="StrongEmphasis"/>
          <w:rFonts w:ascii="Times New Roman;Times;serif" w:hAnsi="Times New Roman;Times;serif"/>
          <w:b w:val="false"/>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2"/>
        <w:gridCol w:w="60"/>
        <w:gridCol w:w="60"/>
        <w:gridCol w:w="590"/>
        <w:gridCol w:w="80"/>
        <w:gridCol w:w="60"/>
        <w:gridCol w:w="60"/>
        <w:gridCol w:w="590"/>
        <w:gridCol w:w="103"/>
      </w:tblGrid>
      <w:tr>
        <w:trPr/>
        <w:tc>
          <w:tcPr>
            <w:tcW w:w="86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4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w:t>
              <w:br/>
              <w:t>ended March 31,</w:t>
            </w:r>
          </w:p>
        </w:tc>
      </w:tr>
      <w:tr>
        <w:trPr/>
        <w:tc>
          <w:tcPr>
            <w:tcW w:w="8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753" w:type="dxa"/>
            <w:gridSpan w:val="3"/>
            <w:tcBorders>
              <w:bottom w:val="single" w:sz="8" w:space="0" w:color="000000"/>
            </w:tcBorders>
            <w:tcMar>
              <w:bottom w:w="28" w:type="dxa"/>
            </w:tcMar>
            <w:vAlign w:val="center"/>
          </w:tcPr>
          <w:p>
            <w:pPr>
              <w:pStyle w:val="TableContents"/>
              <w:bidi w:val="0"/>
              <w:spacing w:before="0" w:after="283"/>
              <w:ind w:left="0" w:right="0" w:hanging="284"/>
              <w:jc w:val="center"/>
              <w:rPr>
                <w:rFonts w:ascii="Times New Roman;Times;serif" w:hAnsi="Times New Roman;Times;serif"/>
                <w:b/>
                <w:sz w:val="20"/>
              </w:rPr>
            </w:pPr>
            <w:r>
              <w:rPr>
                <w:rFonts w:ascii="Times New Roman;Times;serif" w:hAnsi="Times New Roman;Times;serif"/>
                <w:b/>
                <w:sz w:val="20"/>
              </w:rPr>
              <w:t>2025</w:t>
            </w:r>
          </w:p>
        </w:tc>
      </w:tr>
      <w:tr>
        <w:trPr/>
        <w:tc>
          <w:tcPr>
            <w:tcW w:w="8602"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284"/>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103" w:type="dxa"/>
            <w:tcBorders/>
            <w:vAlign w:val="center"/>
          </w:tcPr>
          <w:p>
            <w:pPr>
              <w:pStyle w:val="TableContents"/>
              <w:bidi w:val="0"/>
              <w:spacing w:before="0" w:after="283"/>
              <w:ind w:left="0" w:right="0" w:hanging="284"/>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firstLine="8"/>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03" w:type="dxa"/>
            <w:tcBorders/>
            <w:vAlign w:val="center"/>
          </w:tcPr>
          <w:p>
            <w:pPr>
              <w:pStyle w:val="TableContents"/>
              <w:bidi w:val="0"/>
              <w:spacing w:before="0" w:after="283"/>
              <w:ind w:left="0" w:right="0" w:firstLine="8"/>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w:t>
            </w:r>
          </w:p>
        </w:tc>
        <w:tc>
          <w:tcPr>
            <w:tcW w:w="103" w:type="dxa"/>
            <w:tcBorders/>
            <w:shd w:fill="CCEEFF" w:val="clear"/>
            <w:vAlign w:val="center"/>
          </w:tcPr>
          <w:p>
            <w:pPr>
              <w:pStyle w:val="TableContents"/>
              <w:bidi w:val="0"/>
              <w:spacing w:before="0" w:after="283"/>
              <w:ind w:left="0" w:right="0" w:firstLine="8"/>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income,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03" w:type="dxa"/>
            <w:tcBorders/>
            <w:vAlign w:val="center"/>
          </w:tcPr>
          <w:p>
            <w:pPr>
              <w:pStyle w:val="TableContents"/>
              <w:bidi w:val="0"/>
              <w:spacing w:before="0" w:after="283"/>
              <w:ind w:left="0" w:right="0" w:hanging="284"/>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firstLine="8"/>
              <w:jc w:val="left"/>
              <w:rPr/>
            </w:pPr>
            <w:r>
              <w:rPr/>
              <w:t> </w:t>
            </w:r>
          </w:p>
        </w:tc>
      </w:tr>
      <w:tr>
        <w:trPr/>
        <w:tc>
          <w:tcPr>
            <w:tcW w:w="8602" w:type="dxa"/>
            <w:tcBorders/>
            <w:vAlign w:val="center"/>
          </w:tcPr>
          <w:p>
            <w:pPr>
              <w:pStyle w:val="TableContents"/>
              <w:bidi w:val="0"/>
              <w:spacing w:before="0" w:after="283"/>
              <w:jc w:val="left"/>
              <w:rPr/>
            </w:pPr>
            <w:r>
              <w:rPr/>
              <w:t> </w:t>
            </w:r>
            <w:r>
              <w:rPr>
                <w:rFonts w:ascii="Times New Roman;Times;serif" w:hAnsi="Times New Roman;Times;serif"/>
                <w:sz w:val="20"/>
              </w:rPr>
              <w:t>Increase in other 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103" w:type="dxa"/>
            <w:tcBorders/>
            <w:vAlign w:val="center"/>
          </w:tcPr>
          <w:p>
            <w:pPr>
              <w:pStyle w:val="TableContents"/>
              <w:bidi w:val="0"/>
              <w:spacing w:before="0" w:after="283"/>
              <w:ind w:left="0" w:right="0" w:firstLine="8"/>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3" w:type="dxa"/>
            <w:tcBorders/>
            <w:shd w:fill="CCEEFF" w:val="clear"/>
            <w:vAlign w:val="center"/>
          </w:tcPr>
          <w:p>
            <w:pPr>
              <w:pStyle w:val="TableContents"/>
              <w:bidi w:val="0"/>
              <w:spacing w:before="0" w:after="283"/>
              <w:ind w:left="0" w:right="0" w:firstLine="8"/>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accrued expenses and other payables and other long-term liabilities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886</w:t>
            </w:r>
          </w:p>
        </w:tc>
        <w:tc>
          <w:tcPr>
            <w:tcW w:w="103" w:type="dxa"/>
            <w:tcBorders/>
            <w:vAlign w:val="center"/>
          </w:tcPr>
          <w:p>
            <w:pPr>
              <w:pStyle w:val="TableContents"/>
              <w:bidi w:val="0"/>
              <w:spacing w:before="0" w:after="283"/>
              <w:ind w:left="0" w:right="0" w:hanging="284"/>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103" w:type="dxa"/>
            <w:tcBorders/>
            <w:shd w:fill="CCEEFF" w:val="clear"/>
            <w:vAlign w:val="center"/>
          </w:tcPr>
          <w:p>
            <w:pPr>
              <w:pStyle w:val="TableContents"/>
              <w:bidi w:val="0"/>
              <w:spacing w:before="0" w:after="283"/>
              <w:ind w:left="0" w:right="0" w:hanging="319"/>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ind w:left="0" w:right="0" w:hanging="284"/>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03" w:type="dxa"/>
            <w:tcBorders/>
            <w:shd w:fill="CCEEFF" w:val="clear"/>
            <w:vAlign w:val="center"/>
          </w:tcPr>
          <w:p>
            <w:pPr>
              <w:pStyle w:val="TableContents"/>
              <w:bidi w:val="0"/>
              <w:spacing w:before="0" w:after="283"/>
              <w:ind w:left="0" w:right="0" w:hanging="284"/>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03" w:type="dxa"/>
            <w:tcBorders/>
            <w:vAlign w:val="center"/>
          </w:tcPr>
          <w:p>
            <w:pPr>
              <w:pStyle w:val="TableContents"/>
              <w:bidi w:val="0"/>
              <w:spacing w:before="0" w:after="283"/>
              <w:ind w:left="0" w:right="0" w:hanging="284"/>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284"/>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issuance of shares under ATM program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6,183</w:t>
            </w:r>
          </w:p>
        </w:tc>
        <w:tc>
          <w:tcPr>
            <w:tcW w:w="103" w:type="dxa"/>
            <w:tcBorders/>
            <w:vAlign w:val="center"/>
          </w:tcPr>
          <w:p>
            <w:pPr>
              <w:pStyle w:val="TableContents"/>
              <w:bidi w:val="0"/>
              <w:spacing w:before="0" w:after="283"/>
              <w:ind w:left="0" w:right="0" w:hanging="284"/>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103" w:type="dxa"/>
            <w:tcBorders/>
            <w:shd w:fill="CCEEFF" w:val="clear"/>
            <w:vAlign w:val="center"/>
          </w:tcPr>
          <w:p>
            <w:pPr>
              <w:pStyle w:val="TableContents"/>
              <w:bidi w:val="0"/>
              <w:spacing w:before="0" w:after="283"/>
              <w:ind w:left="0" w:right="0" w:hanging="284"/>
              <w:jc w:val="left"/>
              <w:rPr>
                <w:rFonts w:ascii="Times New Roman;Times;serif" w:hAnsi="Times New Roman;Times;serif"/>
                <w:sz w:val="20"/>
              </w:rPr>
            </w:pPr>
            <w:r>
              <w:rPr>
                <w:rFonts w:ascii="Times New Roman;Times;serif" w:hAnsi="Times New Roman;Times;serif"/>
                <w:sz w:val="20"/>
              </w:rPr>
              <w:t>)</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 under collaboration agreement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7,190</w:t>
            </w:r>
          </w:p>
        </w:tc>
        <w:tc>
          <w:tcPr>
            <w:tcW w:w="103" w:type="dxa"/>
            <w:tcBorders/>
            <w:vAlign w:val="center"/>
          </w:tcPr>
          <w:p>
            <w:pPr>
              <w:pStyle w:val="TableContents"/>
              <w:bidi w:val="0"/>
              <w:spacing w:before="0" w:after="283"/>
              <w:ind w:left="0" w:right="0" w:hanging="284"/>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Options 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284"/>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 to ordinary shares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p>
        </w:tc>
        <w:tc>
          <w:tcPr>
            <w:tcW w:w="103" w:type="dxa"/>
            <w:tcBorders/>
            <w:vAlign w:val="center"/>
          </w:tcPr>
          <w:p>
            <w:pPr>
              <w:pStyle w:val="TableContents"/>
              <w:bidi w:val="0"/>
              <w:spacing w:before="0" w:after="283"/>
              <w:ind w:left="0" w:right="0" w:hanging="284"/>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EXCHANGE RATE CHANGE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INCREASE (DECREASE) IN CASH, CASH EQUIVALENTS AND RESTRICTED 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(2,960</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11,925</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DEPOSITS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8,740</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DEPOSITS AT END OF THE PERIOD</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20,665</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Reconciliation in amounts on consolidated balance sheets: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12,573</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 and deposits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8,092</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and cash equivalents and restricted cash and deposits</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20,665</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3" w:type="dxa"/>
            <w:tcBorders/>
            <w:vAlign w:val="center"/>
          </w:tcPr>
          <w:p>
            <w:pPr>
              <w:pStyle w:val="TableContents"/>
              <w:bidi w:val="0"/>
              <w:spacing w:before="0" w:after="283"/>
              <w:ind w:left="0" w:right="0" w:hanging="319"/>
              <w:jc w:val="left"/>
              <w:rPr/>
            </w:pPr>
            <w:r>
              <w:rPr/>
              <w:t> </w:t>
            </w:r>
          </w:p>
        </w:tc>
      </w:tr>
      <w:tr>
        <w:trPr/>
        <w:tc>
          <w:tcPr>
            <w:tcW w:w="86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SUPPLEMENTARY INFORMATION ON INVESTING AND FINANCING ACTIVITIES NOT INVOLVING CASH FLOWS: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ind w:left="0" w:right="0" w:hanging="319"/>
              <w:jc w:val="left"/>
              <w:rPr/>
            </w:pPr>
            <w:r>
              <w:rPr/>
              <w:t> </w:t>
            </w:r>
          </w:p>
        </w:tc>
      </w:tr>
      <w:tr>
        <w:trPr/>
        <w:tc>
          <w:tcPr>
            <w:tcW w:w="8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costs</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103" w:type="dxa"/>
            <w:tcBorders/>
            <w:vAlign w:val="center"/>
          </w:tcPr>
          <w:p>
            <w:pPr>
              <w:pStyle w:val="TableContents"/>
              <w:bidi w:val="0"/>
              <w:spacing w:before="0" w:after="283"/>
              <w:jc w:val="left"/>
              <w:rPr/>
            </w:pPr>
            <w:r>
              <w:rPr/>
              <w:t> </w:t>
            </w:r>
          </w:p>
        </w:tc>
      </w:tr>
    </w:tbl>
    <w:p>
      <w:pPr>
        <w:pStyle w:val="TextBody"/>
        <w:bidi w:val="0"/>
        <w:spacing w:lineRule="auto" w:line="256"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ENTERA BIO LTD.</w:t>
      </w:r>
    </w:p>
    <w:p>
      <w:pPr>
        <w:pStyle w:val="TextBody"/>
        <w:bidi w:val="0"/>
        <w:spacing w:lineRule="auto" w:line="300" w:before="0" w:after="0"/>
        <w:jc w:val="center"/>
        <w:rPr>
          <w:rFonts w:ascii="Times New Roman;Times;serif" w:hAnsi="Times New Roman;Times;serif"/>
          <w:b/>
          <w:sz w:val="20"/>
        </w:rPr>
      </w:pPr>
      <w:bookmarkStart w:id="9" w:name="NOTES"/>
      <w:bookmarkStart w:id="10" w:name="NOTESTOCONDENSEDCONSOLIDATEDFINANCIALSTA"/>
      <w:bookmarkEnd w:id="9"/>
      <w:bookmarkEnd w:id="10"/>
      <w:r>
        <w:rPr>
          <w:rFonts w:ascii="Times New Roman;Times;serif" w:hAnsi="Times New Roman;Times;serif"/>
          <w:b/>
          <w:sz w:val="20"/>
        </w:rPr>
        <w:t>NOTES TO CONDENSED CONSOLIDATED FINANCIAL STATEMENTS</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300" w:before="0" w:after="0"/>
        <w:jc w:val="left"/>
        <w:rPr/>
      </w:pPr>
      <w:r>
        <w:rPr/>
        <w:t> </w:t>
      </w:r>
    </w:p>
    <w:p>
      <w:pPr>
        <w:pStyle w:val="TextBody"/>
        <w:bidi w:val="0"/>
        <w:spacing w:lineRule="auto" w:line="300"/>
        <w:jc w:val="left"/>
        <w:rPr/>
      </w:pPr>
      <w:r>
        <w:rPr>
          <w:rStyle w:val="StrongEmphasis"/>
          <w:rFonts w:ascii="Times New Roman;Times;serif" w:hAnsi="Times New Roman;Times;serif"/>
          <w:b/>
          <w:sz w:val="20"/>
        </w:rPr>
        <w:t>NOTE 1 - DESCRIPTION OF BUSINESS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Entera Bio Ltd. (collectively with its subsidiary, the "Company") was incorporated on September 30, 2009 and commenced operation on June 1, 2010. On January 8, 2018, the Company incorporated its wholly owned subsidiary, Entera Bio Inc., in Delaware,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focused on developing first-in-class oral tablet formats of peptides or protein replacement therapies. The Company focuses on underserved, chronic medical conditions for which oral administration of a protein therapy has the potential to significantly shift a treatment paradigm.</w:t>
      </w:r>
    </w:p>
    <w:p>
      <w:pPr>
        <w:pStyle w:val="TextBody"/>
        <w:bidi w:val="0"/>
        <w:spacing w:lineRule="auto" w:line="276" w:before="0" w:after="0"/>
        <w:ind w:left="851" w:right="0" w:hanging="0"/>
        <w:jc w:val="left"/>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most advanced product candidate, EB613, oral PTH(1-34), is being developed as the first oral, osteoanabolic (bone building) once-daily tablet treatment for post-menopausal women with osteoporosis. In February 2026, the Company submitted to the FDA a clinical amendment which included the EB613 Phase 3 protocol, statistical analysis plan and open-label extension synopsis.</w:t>
      </w:r>
    </w:p>
    <w:p>
      <w:pPr>
        <w:pStyle w:val="TextBody"/>
        <w:bidi w:val="0"/>
        <w:spacing w:lineRule="auto" w:line="276" w:before="0" w:after="0"/>
        <w:ind w:left="851" w:right="0" w:hanging="0"/>
        <w:jc w:val="left"/>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product candidate, EB612, is being developed as the first oral PTH(1-34) tablet peptide replacement therapy for hypoparathyroidism. In February 2026, the Company amended and restated the 2025 Collaboration Agreement (as defined in Note 5) with OPKO Biologics, Inc., a subsidiary of OPKO Health, Inc. (“OPKO”), to advance the first oral long-acting PTH analog (“LA-PTH”) as a once-daily tablet for patients with hypoparathyroidism.</w:t>
      </w:r>
    </w:p>
    <w:p>
      <w:pPr>
        <w:pStyle w:val="TextBody"/>
        <w:bidi w:val="0"/>
        <w:spacing w:lineRule="auto" w:line="276" w:before="0" w:after="0"/>
        <w:ind w:left="851" w:right="0" w:hanging="0"/>
        <w:jc w:val="both"/>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EB618 is being developed pursuant to the Company’s collaboration with OPKO, pursuant to which the companies are advancing a proprietary novel dual agonist GLP-1/glucagon peptide as a once-daily tablet treatment for patients with obesity, metabolic and fibrotic disorders.</w:t>
      </w:r>
    </w:p>
    <w:p>
      <w:pPr>
        <w:pStyle w:val="TextBody"/>
        <w:bidi w:val="0"/>
        <w:spacing w:lineRule="auto" w:line="276" w:before="0" w:after="0"/>
        <w:ind w:left="851" w:right="0" w:hanging="0"/>
        <w:jc w:val="both"/>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internal product development programs, the Company intends to license its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platform to biopharmaceutical companies for use with their proprietary compounds.</w:t>
      </w:r>
    </w:p>
    <w:p>
      <w:pPr>
        <w:pStyle w:val="TextBody"/>
        <w:bidi w:val="0"/>
        <w:spacing w:lineRule="auto" w:line="276"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ordinary shares, NIS 0.0000769 par value per share (“ordinary shares”), are listed on the Nasdaq Capital Market under the symbol “ENTX”.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the Company is engaged in research and development activities, it has not derived significant income from its activities and has incurred negative cash flows from operating activities. The Company has incurred an accumulated deficit in the amount of $128.9 million as of March 31, 2026.</w:t>
            </w:r>
          </w:p>
        </w:tc>
      </w:tr>
      <w:tr>
        <w:trPr/>
        <w:tc>
          <w:tcPr>
            <w:tcW w:w="169" w:type="dxa"/>
            <w:tcBorders/>
            <w:vAlign w:val="center"/>
          </w:tcPr>
          <w:p>
            <w:pPr>
              <w:pStyle w:val="TableContents"/>
              <w:bidi w:val="0"/>
              <w:spacing w:before="0" w:after="283"/>
              <w:jc w:val="left"/>
              <w:rPr>
                <w:sz w:val="4"/>
                <w:szCs w:val="4"/>
              </w:rPr>
            </w:pPr>
            <w:r>
              <w:rPr>
                <w:sz w:val="4"/>
                <w:szCs w:val="4"/>
              </w:rPr>
            </w:r>
          </w:p>
        </w:tc>
        <w:tc>
          <w:tcPr>
            <w:tcW w:w="10036" w:type="dxa"/>
            <w:tcBorders/>
            <w:vAlign w:val="center"/>
          </w:tcPr>
          <w:p>
            <w:pPr>
              <w:pStyle w:val="TableContents"/>
              <w:bidi w:val="0"/>
              <w:spacing w:before="0" w:after="283"/>
              <w:jc w:val="both"/>
              <w:rPr/>
            </w:pPr>
            <w:r>
              <w:rPr/>
              <w:t> </w:t>
            </w:r>
          </w:p>
        </w:tc>
      </w:tr>
    </w:tbl>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1 - DESCRIPTION OF BUSINESS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7, in April 2026, the Company completed a private placement financing resulting in gross proceeds of approximately $10.0 million. The Company expects to use the net proceeds, in part, to support activities related to the preparation and initiation of its Phase 3 registrational study of EB613, as well as for general working capital and corporate purposes. The Company's management is of the opinion that its available funds as of March 31, 2026, including the proceed from the private placement disclosed in note 7, will be sufficient to support the Company’s ongoing operations under its current plans through the first quarter of 2027, including activities related to the preparation for its planned Phase 3 registrational study of EB613. The Company’s current capital resources do not include the capital required to fully fund the Company's proposed Phase 3 program for EB613 in osteoporosis. These factors raise substantial doubt as to the Company's ability to continue as a going concern. Management continually evaluates various financing alternatives and strategic collaborations, as the Company will need to finance future research and clinical development with additional capital. However, there is no certainty that the Company will be able to obtain such funding. These condensed consolidated financial statements do not include any adjustments that may be necessary should the Company be unable to continue as a going concern.</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the United States and Israel conducted preemptive strikes targeting Iranian military infrastructure. Iran retaliated with extensive ballistic missile and drone attacks against Israel. On March 2, 2026, Hezbollah resumed hostilities by launching projectiles into northern Israel, ending the November 2024 ceasefire. Israel responded with airstrikes on Lebanon and ground operations in Southern Lebanon, marking a significant escalation in the regional conflict. In early April 2026, a two-week ceasefire between the United States and Iran was agreed and on April 21, 2026, U.S. President Donald Trump announced that the United States would extend the ceasefire with Iran, to allow Iran's leadership to present a unified proposal for negotiations.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 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The Company’s research personnel and certain management personnel are located in Israel, however other core activities including clinical, regulatory and supply chain are located outside of Israel.</w:t>
            </w:r>
          </w:p>
        </w:tc>
      </w:tr>
    </w:tbl>
    <w:p>
      <w:pPr>
        <w:pStyle w:val="TextBody"/>
        <w:bidi w:val="0"/>
        <w:spacing w:before="0" w:after="0"/>
        <w:jc w:val="left"/>
        <w:rPr>
          <w:caps w:val="false"/>
          <w:smallCaps w:val="false"/>
        </w:rPr>
      </w:pPr>
      <w:r>
        <w:rPr>
          <w:caps w:val="false"/>
          <w:smallCaps w:val="false"/>
        </w:rPr>
        <w:t> </w:t>
      </w:r>
    </w:p>
    <w:p>
      <w:pPr>
        <w:pStyle w:val="TextBody"/>
        <w:bidi w:val="0"/>
        <w:spacing w:lineRule="auto" w:line="276"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Company’s activities in Israel remain largely unaffected by the foregoing events. For the three months ended March 31, 2026 and 2025 and the year ended December 31, 2025, the impact of such events on the Company’s results of operations and financial condition was immaterial.</w:t>
      </w:r>
    </w:p>
    <w:p>
      <w:pPr>
        <w:pStyle w:val="TextBody"/>
        <w:bidi w:val="0"/>
        <w:spacing w:before="0" w:after="0"/>
        <w:jc w:val="left"/>
        <w:rPr/>
      </w:pPr>
      <w:r>
        <w:rPr/>
        <w:t> </w:t>
      </w:r>
    </w:p>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lineRule="auto" w:line="300"/>
        <w:jc w:val="left"/>
        <w:rPr/>
      </w:pPr>
      <w:r>
        <w:rPr>
          <w:rStyle w:val="StrongEmphasis"/>
          <w:rFonts w:ascii="Times New Roman;Times;serif" w:hAnsi="Times New Roman;Times;serif"/>
          <w:b/>
          <w:sz w:val="20"/>
        </w:rPr>
        <w:t>NOTE 2 - SIGNIFICANT ACCOUNTING POLICIES</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5"/>
        <w:gridCol w:w="4025"/>
      </w:tblGrid>
      <w:tr>
        <w:trPr/>
        <w:tc>
          <w:tcPr>
            <w:tcW w:w="185" w:type="dxa"/>
            <w:tcBorders/>
            <w:vAlign w:val="center"/>
          </w:tcPr>
          <w:p>
            <w:pPr>
              <w:pStyle w:val="TableContents"/>
              <w:bidi w:val="0"/>
              <w:spacing w:before="0" w:after="283"/>
              <w:jc w:val="left"/>
              <w:rPr/>
            </w:pPr>
            <w:r>
              <w:rPr>
                <w:rStyle w:val="StrongEmphasis"/>
                <w:rFonts w:ascii="Times New Roman;Times;serif" w:hAnsi="Times New Roman;Times;serif"/>
                <w:sz w:val="20"/>
              </w:rPr>
              <w:t>a.</w:t>
            </w:r>
          </w:p>
        </w:tc>
        <w:tc>
          <w:tcPr>
            <w:tcW w:w="4025" w:type="dxa"/>
            <w:tcBorders/>
            <w:vAlign w:val="center"/>
          </w:tcPr>
          <w:p>
            <w:pPr>
              <w:pStyle w:val="TableContents"/>
              <w:bidi w:val="0"/>
              <w:spacing w:before="0" w:after="283"/>
              <w:jc w:val="left"/>
              <w:rPr/>
            </w:pPr>
            <w:r>
              <w:rPr>
                <w:rStyle w:val="StrongEmphasis"/>
                <w:rFonts w:ascii="Times New Roman;Times;serif" w:hAnsi="Times New Roman;Times;serif"/>
                <w:sz w:val="20"/>
              </w:rPr>
              <w:t>Basis of presentation of the financial statements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have been prepared in accordance with generally accepted accounting principles in the United States of America ("U.S. GAAP") for interim financial statements. Accordingly, they do not include all of the information and notes required by U.S. GAAP for annual financial statements. In the opinion of management, these unaudited condensed consolidated financial statements reflect all adjustments, which include normal recurring adjustments, necessary for a fair statement of the Company’s consolidated financial position as of March 31, 2026, the consolidated results of operations and statements of changes in shareholders' equity for the three months ended March 31, 2026 and 2025, and cash flows for the three months ended March 31, 2026 and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results of operations for the three months ended March 31, 2026 are not necessarily indicative of the results to be expected for the year ending December 31, 2026.</w:t>
        <w:br/>
        <w:t> </w:t>
        <w:br/>
        <w:t>These unaudited interim condensed consolidated financial statements should be read in conjunction with the audited consolidated financial statements of the Company as of and for the year ended December 31, 2025, as filed with the Company’s Annual Report on Form 10-K filed with the U.S. Securities and Exchange Commission on March 27, 2026.</w:t>
      </w:r>
    </w:p>
    <w:p>
      <w:pPr>
        <w:pStyle w:val="TextBody"/>
        <w:bidi w:val="0"/>
        <w:spacing w:before="0" w:after="0"/>
        <w:ind w:left="1440" w:right="0" w:hanging="0"/>
        <w:jc w:val="both"/>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pPr>
            <w:r>
              <w:rPr>
                <w:rStyle w:val="StrongEmphasis"/>
                <w:rFonts w:ascii="Times New Roman;Times;serif" w:hAnsi="Times New Roman;Times;serif"/>
                <w:sz w:val="20"/>
              </w:rPr>
              <w:t>b.</w:t>
            </w:r>
          </w:p>
        </w:tc>
        <w:tc>
          <w:tcPr>
            <w:tcW w:w="1310" w:type="dxa"/>
            <w:tcBorders/>
            <w:vAlign w:val="center"/>
          </w:tcPr>
          <w:p>
            <w:pPr>
              <w:pStyle w:val="TableContents"/>
              <w:bidi w:val="0"/>
              <w:spacing w:before="0" w:after="283"/>
              <w:jc w:val="left"/>
              <w:rPr/>
            </w:pPr>
            <w:r>
              <w:rPr>
                <w:rStyle w:val="StrongEmphasis"/>
                <w:rFonts w:ascii="Times New Roman;Times;serif" w:hAnsi="Times New Roman;Times;serif"/>
                <w:sz w:val="20"/>
              </w:rPr>
              <w:t xml:space="preserve">Loss per share </w:t>
            </w:r>
          </w:p>
        </w:tc>
      </w:tr>
    </w:tbl>
    <w:p>
      <w:pPr>
        <w:pStyle w:val="TextBody"/>
        <w:bidi w:val="0"/>
        <w:spacing w:before="0" w:after="0"/>
        <w:ind w:left="1429"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on the basis of net loss for the period divided by the weighted average number of outstanding ordinary shares, pre-funded warrants and vested restricted share units (“RSUs”) during the period. Each outstanding pre-funded warrant has no expiration and is exercisable at a price of NIS 0.0000769 per ordinary share.</w:t>
      </w:r>
    </w:p>
    <w:p>
      <w:pPr>
        <w:pStyle w:val="TextBody"/>
        <w:bidi w:val="0"/>
        <w:spacing w:before="0" w:after="0"/>
        <w:ind w:left="1429"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based upon the weighted average number of ordinary shares and ordinary share equivalents outstanding when dilutive. Ordinary share equivalents include outstanding stock options, warrants and “RSUs”, which are included under the treasury stock method when dilutive. The calculation of diluted loss per share does not include options, RSUs and warrants exercisable into 17,323,164 ordinary shares and 16,186,270 ordinary shares for the three months ended March 31, 2026 and 2025, respectively, because the effect would have been anti-dilutive.</w:t>
      </w:r>
    </w:p>
    <w:p>
      <w:pPr>
        <w:pStyle w:val="TextBody"/>
        <w:bidi w:val="0"/>
        <w:spacing w:before="0" w:after="0"/>
        <w:ind w:left="144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70"/>
        <w:gridCol w:w="5405"/>
      </w:tblGrid>
      <w:tr>
        <w:trPr/>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c.</w:t>
            </w:r>
          </w:p>
        </w:tc>
        <w:tc>
          <w:tcPr>
            <w:tcW w:w="5405" w:type="dxa"/>
            <w:tcBorders/>
            <w:vAlign w:val="center"/>
          </w:tcPr>
          <w:p>
            <w:pPr>
              <w:pStyle w:val="TableContents"/>
              <w:bidi w:val="0"/>
              <w:spacing w:before="0" w:after="283"/>
              <w:jc w:val="left"/>
              <w:rPr/>
            </w:pPr>
            <w:r>
              <w:rPr>
                <w:rStyle w:val="StrongEmphasis"/>
                <w:rFonts w:ascii="Times New Roman;Times;serif" w:hAnsi="Times New Roman;Times;serif"/>
                <w:sz w:val="20"/>
              </w:rPr>
              <w:t>Newly issued and recently adopted accounting pronouncements:</w:t>
            </w:r>
          </w:p>
        </w:tc>
      </w:tr>
    </w:tbl>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851" w:right="0" w:hanging="0"/>
        <w:jc w:val="both"/>
        <w:rPr/>
      </w:pPr>
      <w:r>
        <w:rPr>
          <w:rStyle w:val="StrongEmphasis"/>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1080" w:right="0" w:firstLine="36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2 - SIGNIFICANT ACCOUNTING POLICIES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to establish authoritative guidance on the accounting for government grants received by business entities. This update is effective beginning with the Company’s 2029 fiscal year annual reporting period, with early adoption permitted. The Company is currently evaluating the impact that the adoption of this standard will have on its consolidated financial statements.</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does not expect ASU 2025-11 to have a material impact on its consolidated financial statements disclosures.</w:t>
      </w:r>
    </w:p>
    <w:p>
      <w:pPr>
        <w:pStyle w:val="TextBody"/>
        <w:bidi w:val="0"/>
        <w:spacing w:before="0" w:after="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NOTE 3 - EQUITY AND 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Share Capital:</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pPr>
            <w:r>
              <w:rPr>
                <w:rFonts w:ascii="Times New Roman;Times;serif" w:hAnsi="Times New Roman;Times;serif"/>
                <w:sz w:val="20"/>
              </w:rPr>
              <w:t>On January 1, 2026, the Company issued 148,872 ordinary shares to five non-executive members of the board of directors in lieu of cash board fees for fiscal year 2025, which was approved by the Company’s shareholders at a meeting of the Company’s shareholders held on July 31, 2024. The fair value of the ordinary shares on the grant date was $289 </w:t>
            </w:r>
            <w:r>
              <w:rPr/>
              <w:t>thousand.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pPr>
            <w:r>
              <w:rPr>
                <w:rFonts w:ascii="Times New Roman;Times;serif" w:hAnsi="Times New Roman;Times;serif"/>
                <w:sz w:val="20"/>
              </w:rPr>
              <w:t>In February 2026, two former non-executive board members exercised options for an aggregate of 216,666 ordinary shares for total consideration of $130 </w:t>
            </w:r>
            <w:r>
              <w:rPr/>
              <w:t>thousand.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pPr>
            <w:r>
              <w:rPr>
                <w:rFonts w:ascii="Times New Roman;Times;serif" w:hAnsi="Times New Roman;Times;serif"/>
                <w:sz w:val="20"/>
              </w:rPr>
              <w:t>On January 1, 2026, an aggregate of 167,525 options to purchase ordinary shares was granted to five non-executive board members with an exercise price of $1.94 per share. The options vest over one year in four equal quarterly installments, starting on January 1, 2026. This grant was approved by the shareholders of the Company on October 4, 2021. The fair value of the options at the date of grant was $227 </w:t>
            </w:r>
            <w:r>
              <w:rPr/>
              <w:t>thousand.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option granted was estimated as of the date of grant using the Black-Scholes option-pricing model, using the following assumptions:</w:t>
      </w:r>
    </w:p>
    <w:p>
      <w:pPr>
        <w:pStyle w:val="TextBody"/>
        <w:bidi w:val="0"/>
        <w:spacing w:before="0" w:after="0"/>
        <w:ind w:left="1800" w:right="0" w:hanging="0"/>
        <w:jc w:val="both"/>
        <w:rPr>
          <w:caps w:val="false"/>
          <w:smallCaps w:val="false"/>
        </w:rPr>
      </w:pPr>
      <w:r>
        <w:rPr>
          <w:caps w:val="false"/>
          <w:smallCaps w:val="false"/>
        </w:rPr>
        <w:t> </w:t>
      </w:r>
    </w:p>
    <w:tbl>
      <w:tblPr>
        <w:tblW w:w="3863" w:type="dxa"/>
        <w:jc w:val="left"/>
        <w:tblInd w:w="851" w:type="dxa"/>
        <w:tblLayout w:type="fixed"/>
        <w:tblCellMar>
          <w:top w:w="0" w:type="dxa"/>
          <w:left w:w="0" w:type="dxa"/>
          <w:bottom w:w="0" w:type="dxa"/>
          <w:right w:w="0" w:type="dxa"/>
        </w:tblCellMar>
      </w:tblPr>
      <w:tblGrid>
        <w:gridCol w:w="1895"/>
        <w:gridCol w:w="60"/>
        <w:gridCol w:w="338"/>
        <w:gridCol w:w="1029"/>
        <w:gridCol w:w="541"/>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w:t>
              <w:br/>
              <w:t>ended March 31, 2026</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p>
        </w:tc>
        <w:tc>
          <w:tcPr>
            <w:tcW w:w="541" w:type="dxa"/>
            <w:tcBorders/>
            <w:shd w:fill="CCEEFF"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vAlign w:val="center"/>
          </w:tcPr>
          <w:p>
            <w:pPr>
              <w:pStyle w:val="TableContents"/>
              <w:bidi w:val="0"/>
              <w:spacing w:before="0" w:after="283"/>
              <w:jc w:val="left"/>
              <w:rPr/>
            </w:pPr>
            <w:r>
              <w:rPr/>
              <w:t> </w:t>
            </w:r>
          </w:p>
        </w:tc>
        <w:tc>
          <w:tcPr>
            <w:tcW w:w="338" w:type="dxa"/>
            <w:tcBorders>
              <w:bottom w:val="double" w:sz="6" w:space="0" w:color="000000"/>
            </w:tcBorders>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84.2</w:t>
            </w:r>
          </w:p>
        </w:tc>
        <w:tc>
          <w:tcPr>
            <w:tcW w:w="5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vAlign w:val="center"/>
          </w:tcPr>
          <w:p>
            <w:pPr>
              <w:pStyle w:val="TableContents"/>
              <w:bidi w:val="0"/>
              <w:spacing w:before="0" w:after="283"/>
              <w:jc w:val="left"/>
              <w:rPr/>
            </w:pPr>
            <w:r>
              <w:rPr/>
              <w:t> </w:t>
            </w:r>
          </w:p>
        </w:tc>
        <w:tc>
          <w:tcPr>
            <w:tcW w:w="338" w:type="dxa"/>
            <w:tcBorders>
              <w:bottom w:val="double" w:sz="6" w:space="0" w:color="000000"/>
            </w:tcBorders>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w:t>
            </w:r>
          </w:p>
        </w:tc>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life - in years</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541" w:type="dxa"/>
            <w:tcBorders/>
            <w:shd w:fill="CCEEFF" w:val="clear"/>
            <w:vAlign w:val="center"/>
          </w:tcPr>
          <w:p>
            <w:pPr>
              <w:pStyle w:val="TableContents"/>
              <w:bidi w:val="0"/>
              <w:spacing w:before="0" w:after="283"/>
              <w:jc w:val="left"/>
              <w:rPr/>
            </w:pPr>
            <w:r>
              <w:rPr/>
              <w:t> </w:t>
            </w:r>
          </w:p>
        </w:tc>
      </w:tr>
    </w:tbl>
    <w:p>
      <w:pPr>
        <w:pStyle w:val="TextBody"/>
        <w:bidi w:val="0"/>
        <w:spacing w:lineRule="auto" w:line="256" w:before="0" w:after="0"/>
        <w:ind w:left="0" w:right="0" w:hanging="0"/>
        <w:jc w:val="left"/>
        <w:rPr/>
      </w:pPr>
      <w:r>
        <w:rPr>
          <w:rStyle w:val="StrongEmphasis"/>
          <w:caps w:val="false"/>
          <w:smallCaps w:val="false"/>
        </w:rPr>
        <w:t> </w:t>
      </w:r>
    </w:p>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 4 - SUPPLEMENTARY FINANCIAL STATEMENT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left"/>
        <w:rPr>
          <w:caps w:val="false"/>
          <w:smallCaps w:val="false"/>
        </w:rPr>
      </w:pPr>
      <w:r>
        <w:rPr>
          <w:caps w:val="false"/>
          <w:smallCaps w:val="false"/>
        </w:rPr>
        <w:t> </w:t>
      </w:r>
    </w:p>
    <w:tbl>
      <w:tblPr>
        <w:tblW w:w="6358" w:type="dxa"/>
        <w:jc w:val="left"/>
        <w:tblInd w:w="851" w:type="dxa"/>
        <w:tblLayout w:type="fixed"/>
        <w:tblCellMar>
          <w:top w:w="0" w:type="dxa"/>
          <w:left w:w="0" w:type="dxa"/>
          <w:bottom w:w="0" w:type="dxa"/>
          <w:right w:w="0" w:type="dxa"/>
        </w:tblCellMar>
      </w:tblPr>
      <w:tblGrid>
        <w:gridCol w:w="4160"/>
        <w:gridCol w:w="60"/>
        <w:gridCol w:w="116"/>
        <w:gridCol w:w="654"/>
        <w:gridCol w:w="119"/>
        <w:gridCol w:w="60"/>
        <w:gridCol w:w="105"/>
        <w:gridCol w:w="595"/>
        <w:gridCol w:w="489"/>
      </w:tblGrid>
      <w:tr>
        <w:trPr/>
        <w:tc>
          <w:tcPr>
            <w:tcW w:w="416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1189"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41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1189"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160" w:type="dxa"/>
            <w:tcBorders/>
            <w:shd w:fill="CCEEFF" w:val="clear"/>
            <w:vAlign w:val="center"/>
          </w:tcPr>
          <w:p>
            <w:pPr>
              <w:pStyle w:val="TableContents"/>
              <w:bidi w:val="0"/>
              <w:spacing w:before="0" w:after="0"/>
              <w:jc w:val="both"/>
              <w:rPr/>
            </w:pPr>
            <w:r>
              <w:rPr>
                <w:rStyle w:val="StrongEmphasis"/>
                <w:rFonts w:ascii="Times New Roman;Times;serif" w:hAnsi="Times New Roman;Times;serif"/>
                <w:spacing w:val="-2"/>
                <w:sz w:val="20"/>
              </w:rPr>
              <w:t>Other current assets</w:t>
            </w:r>
            <w:r>
              <w:rPr>
                <w:rStyle w:val="StrongEmphasis"/>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489" w:type="dxa"/>
            <w:tcBorders/>
            <w:shd w:fill="CCEEFF" w:val="clear"/>
            <w:vAlign w:val="center"/>
          </w:tcPr>
          <w:p>
            <w:pPr>
              <w:pStyle w:val="TableContents"/>
              <w:bidi w:val="0"/>
              <w:spacing w:before="0" w:after="283"/>
              <w:ind w:left="0" w:right="0" w:firstLine="200"/>
              <w:jc w:val="left"/>
              <w:rPr/>
            </w:pPr>
            <w:r>
              <w:rPr/>
              <w:t> </w:t>
            </w:r>
          </w:p>
        </w:tc>
      </w:tr>
      <w:tr>
        <w:trPr/>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w:t>
            </w:r>
          </w:p>
        </w:tc>
        <w:tc>
          <w:tcPr>
            <w:tcW w:w="1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489" w:type="dxa"/>
            <w:tcBorders/>
            <w:vAlign w:val="center"/>
          </w:tcPr>
          <w:p>
            <w:pPr>
              <w:pStyle w:val="TableContents"/>
              <w:bidi w:val="0"/>
              <w:spacing w:before="0" w:after="283"/>
              <w:ind w:left="0" w:right="0" w:firstLine="200"/>
              <w:jc w:val="left"/>
              <w:rPr/>
            </w:pPr>
            <w:r>
              <w:rPr/>
              <w:t> </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Receivable in respect of collaborative arrangement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w:t>
            </w:r>
          </w:p>
        </w:tc>
        <w:tc>
          <w:tcPr>
            <w:tcW w:w="489" w:type="dxa"/>
            <w:tcBorders/>
            <w:shd w:fill="CCEEFF" w:val="clear"/>
            <w:vAlign w:val="center"/>
          </w:tcPr>
          <w:p>
            <w:pPr>
              <w:pStyle w:val="TableContents"/>
              <w:bidi w:val="0"/>
              <w:spacing w:before="0" w:after="283"/>
              <w:ind w:left="0" w:right="0" w:firstLine="200"/>
              <w:jc w:val="left"/>
              <w:rPr/>
            </w:pPr>
            <w:r>
              <w:rPr/>
              <w:t> </w:t>
            </w:r>
          </w:p>
        </w:tc>
      </w:tr>
      <w:tr>
        <w:trPr/>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center"/>
          </w:tcPr>
          <w:p>
            <w:pPr>
              <w:pStyle w:val="TableContents"/>
              <w:bidi w:val="0"/>
              <w:spacing w:before="0" w:after="283"/>
              <w:jc w:val="left"/>
              <w:rPr/>
            </w:pPr>
            <w:r>
              <w:rPr/>
              <w:t> </w:t>
            </w:r>
          </w:p>
        </w:tc>
        <w:tc>
          <w:tcPr>
            <w:tcW w:w="116" w:type="dxa"/>
            <w:tcBorders>
              <w:bottom w:val="single" w:sz="8" w:space="0" w:color="000000"/>
            </w:tcBorders>
            <w:tcMar>
              <w:bottom w:w="28" w:type="dxa"/>
            </w:tcMar>
            <w:vAlign w:val="center"/>
          </w:tcPr>
          <w:p>
            <w:pPr>
              <w:pStyle w:val="TableContents"/>
              <w:bidi w:val="0"/>
              <w:spacing w:before="0" w:after="283"/>
              <w:jc w:val="left"/>
              <w:rPr/>
            </w:pPr>
            <w:r>
              <w:rPr/>
              <w:t> </w:t>
            </w:r>
          </w:p>
        </w:tc>
        <w:tc>
          <w:tcPr>
            <w:tcW w:w="654"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w:t>
            </w:r>
          </w:p>
        </w:tc>
        <w:tc>
          <w:tcPr>
            <w:tcW w:w="1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bottom w:val="single" w:sz="8" w:space="0" w:color="000000"/>
            </w:tcBorders>
            <w:tcMar>
              <w:bottom w:w="28" w:type="dxa"/>
            </w:tcMar>
            <w:vAlign w:val="center"/>
          </w:tcPr>
          <w:p>
            <w:pPr>
              <w:pStyle w:val="TableContents"/>
              <w:bidi w:val="0"/>
              <w:spacing w:before="0" w:after="283"/>
              <w:jc w:val="left"/>
              <w:rPr/>
            </w:pPr>
            <w:r>
              <w:rPr/>
              <w:t> </w:t>
            </w:r>
          </w:p>
        </w:tc>
        <w:tc>
          <w:tcPr>
            <w:tcW w:w="59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c>
          <w:tcPr>
            <w:tcW w:w="489" w:type="dxa"/>
            <w:tcBorders/>
            <w:vAlign w:val="center"/>
          </w:tcPr>
          <w:p>
            <w:pPr>
              <w:pStyle w:val="TableContents"/>
              <w:bidi w:val="0"/>
              <w:spacing w:before="0" w:after="283"/>
              <w:ind w:left="0" w:right="0" w:hanging="0"/>
              <w:jc w:val="left"/>
              <w:rPr/>
            </w:pPr>
            <w:r>
              <w:rPr/>
              <w:t> </w:t>
            </w:r>
          </w:p>
        </w:tc>
      </w:tr>
      <w:tr>
        <w:trPr/>
        <w:tc>
          <w:tcPr>
            <w:tcW w:w="41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566</w:t>
            </w:r>
          </w:p>
        </w:tc>
        <w:tc>
          <w:tcPr>
            <w:tcW w:w="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w:t>
            </w:r>
          </w:p>
        </w:tc>
        <w:tc>
          <w:tcPr>
            <w:tcW w:w="489"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087" w:type="dxa"/>
        <w:jc w:val="left"/>
        <w:tblInd w:w="851" w:type="dxa"/>
        <w:tblLayout w:type="fixed"/>
        <w:tblCellMar>
          <w:top w:w="0" w:type="dxa"/>
          <w:left w:w="0" w:type="dxa"/>
          <w:bottom w:w="0" w:type="dxa"/>
          <w:right w:w="0" w:type="dxa"/>
        </w:tblCellMar>
      </w:tblPr>
      <w:tblGrid>
        <w:gridCol w:w="3890"/>
        <w:gridCol w:w="60"/>
        <w:gridCol w:w="88"/>
        <w:gridCol w:w="713"/>
        <w:gridCol w:w="88"/>
        <w:gridCol w:w="60"/>
        <w:gridCol w:w="86"/>
        <w:gridCol w:w="703"/>
        <w:gridCol w:w="399"/>
      </w:tblGrid>
      <w:tr>
        <w:trPr/>
        <w:tc>
          <w:tcPr>
            <w:tcW w:w="389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1188"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890" w:type="dxa"/>
            <w:tcBorders/>
            <w:shd w:fill="CCEEFF" w:val="clear"/>
            <w:vAlign w:val="center"/>
          </w:tcPr>
          <w:p>
            <w:pPr>
              <w:pStyle w:val="TableContents"/>
              <w:bidi w:val="0"/>
              <w:spacing w:before="0" w:after="0"/>
              <w:jc w:val="both"/>
              <w:rPr/>
            </w:pPr>
            <w:r>
              <w:rPr>
                <w:rStyle w:val="StrongEmphasis"/>
                <w:rFonts w:ascii="Times New Roman;Times;serif" w:hAnsi="Times New Roman;Times;serif"/>
                <w:sz w:val="20"/>
              </w:rPr>
              <w:t>Accrued expenses and other payables: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399" w:type="dxa"/>
            <w:tcBorders/>
            <w:shd w:fill="CCEEFF" w:val="clear"/>
            <w:vAlign w:val="center"/>
          </w:tcPr>
          <w:p>
            <w:pPr>
              <w:pStyle w:val="TableContents"/>
              <w:bidi w:val="0"/>
              <w:spacing w:before="0" w:after="283"/>
              <w:ind w:left="0" w:right="0" w:firstLine="200"/>
              <w:jc w:val="left"/>
              <w:rPr/>
            </w:pPr>
            <w:r>
              <w:rPr/>
              <w:t> </w:t>
            </w:r>
          </w:p>
        </w:tc>
      </w:tr>
      <w:tr>
        <w:trPr/>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Employees and employees related</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399" w:type="dxa"/>
            <w:tcBorders/>
            <w:vAlign w:val="center"/>
          </w:tcPr>
          <w:p>
            <w:pPr>
              <w:pStyle w:val="TableContents"/>
              <w:bidi w:val="0"/>
              <w:spacing w:before="0" w:after="283"/>
              <w:ind w:left="0" w:right="0" w:firstLine="200"/>
              <w:jc w:val="left"/>
              <w:rPr/>
            </w:pPr>
            <w:r>
              <w:rPr/>
              <w:t> </w:t>
            </w:r>
          </w:p>
        </w:tc>
      </w:tr>
      <w:tr>
        <w:trPr/>
        <w:tc>
          <w:tcPr>
            <w:tcW w:w="38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for vacation</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99" w:type="dxa"/>
            <w:tcBorders/>
            <w:shd w:fill="CCEEFF" w:val="clear"/>
            <w:vAlign w:val="center"/>
          </w:tcPr>
          <w:p>
            <w:pPr>
              <w:pStyle w:val="TableContents"/>
              <w:bidi w:val="0"/>
              <w:spacing w:before="0" w:after="283"/>
              <w:ind w:left="0" w:right="0" w:firstLine="200"/>
              <w:jc w:val="left"/>
              <w:rPr/>
            </w:pPr>
            <w:r>
              <w:rPr/>
              <w:t> </w:t>
            </w:r>
          </w:p>
        </w:tc>
      </w:tr>
      <w:tr>
        <w:trPr/>
        <w:tc>
          <w:tcPr>
            <w:tcW w:w="3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Payable in respect of collaborative arrangement</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99" w:type="dxa"/>
            <w:tcBorders/>
            <w:vAlign w:val="center"/>
          </w:tcPr>
          <w:p>
            <w:pPr>
              <w:pStyle w:val="TableContents"/>
              <w:bidi w:val="0"/>
              <w:spacing w:before="0" w:after="283"/>
              <w:ind w:left="0" w:right="0" w:firstLine="200"/>
              <w:jc w:val="left"/>
              <w:rPr/>
            </w:pPr>
            <w:r>
              <w:rPr/>
              <w:t> </w:t>
            </w:r>
          </w:p>
        </w:tc>
      </w:tr>
      <w:tr>
        <w:trPr/>
        <w:tc>
          <w:tcPr>
            <w:tcW w:w="38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w:t>
            </w:r>
          </w:p>
        </w:tc>
        <w:tc>
          <w:tcPr>
            <w:tcW w:w="399" w:type="dxa"/>
            <w:tcBorders/>
            <w:shd w:fill="CCEEFF" w:val="clear"/>
            <w:vAlign w:val="center"/>
          </w:tcPr>
          <w:p>
            <w:pPr>
              <w:pStyle w:val="TableContents"/>
              <w:bidi w:val="0"/>
              <w:spacing w:before="0" w:after="283"/>
              <w:ind w:left="0" w:right="0" w:firstLine="200"/>
              <w:jc w:val="left"/>
              <w:rPr/>
            </w:pPr>
            <w:r>
              <w:rPr/>
              <w:t> </w:t>
            </w:r>
          </w:p>
        </w:tc>
      </w:tr>
      <w:tr>
        <w:trPr/>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payables</w:t>
            </w:r>
          </w:p>
        </w:tc>
        <w:tc>
          <w:tcPr>
            <w:tcW w:w="60" w:type="dxa"/>
            <w:tcBorders/>
            <w:vAlign w:val="center"/>
          </w:tcPr>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71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w:t>
            </w:r>
          </w:p>
        </w:tc>
        <w:tc>
          <w:tcPr>
            <w:tcW w:w="399" w:type="dxa"/>
            <w:tcBorders/>
            <w:vAlign w:val="center"/>
          </w:tcPr>
          <w:p>
            <w:pPr>
              <w:pStyle w:val="TableContents"/>
              <w:bidi w:val="0"/>
              <w:spacing w:before="0" w:after="283"/>
              <w:ind w:left="0" w:right="0" w:hanging="0"/>
              <w:jc w:val="left"/>
              <w:rPr/>
            </w:pPr>
            <w:r>
              <w:rPr/>
              <w:t> </w:t>
            </w:r>
          </w:p>
        </w:tc>
      </w:tr>
      <w:tr>
        <w:trPr/>
        <w:tc>
          <w:tcPr>
            <w:tcW w:w="38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1,117</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1,525</w:t>
            </w:r>
          </w:p>
        </w:tc>
        <w:tc>
          <w:tcPr>
            <w:tcW w:w="3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COLLABORATION AND RESEARCH AGREEMENTS</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2025, the Company entered into a collaboration agreement with OPKO (the “2025 Collaboration Agreement”), which is accounted for as a collaboration arrangement within the scope of ASC 808.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2025 Collaboration Agreement, the Company and OPKO have agreed to collaborate with respect to the preclinical and clinical development and decision making related to the oral delivery of a dual agonist GLP-1/glucagon peptide in an oral dosage form using Entera’s N-Tab™ technology platform for the treatment of obesity, metabolic and fibrotic disorders in humans. The Company and OPKO share in the economics and development costs of such program at 40% and 60%, respectively, subject to certain opt-out provisions. In connection with the agreement, the Company issued 3,685,226 ordinary shares to OPKO for aggregate gross proceeds of $8.0 million, which were allocated between equity and the collaboration components of the arrangement. Amounts allocated to the collaboration component are recognized over the period of performance and presented within other liabilities in the consolidated balance sheet.</w:t>
      </w:r>
    </w:p>
    <w:p>
      <w:pPr>
        <w:pStyle w:val="TextBody"/>
        <w:bidi w:val="0"/>
        <w:spacing w:before="0" w:after="0"/>
        <w:ind w:left="851" w:right="0" w:hanging="0"/>
        <w:jc w:val="both"/>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the Company and OPKO amended and restated the 2025 Collaboration Agreement (the “A&amp;R Collaboration Agreement”) to expand the scope of the collaboration to include the preclinical and clinical development of a daily LA-PTH tablet for the treatment of hypoparathyroidism (EB612) and additional indications. Development costs related to the LA-PTH program are shared equally between the parties. Except for the foregoing expansion, the material terms of the 2025 Collaboration Agreement remain unchanged.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recognized net expenses of $523 thousand relating to the A&amp;R Collaboration Agreement.</w:t>
      </w:r>
    </w:p>
    <w:p>
      <w:pPr>
        <w:pStyle w:val="TextBody"/>
        <w:bidi w:val="0"/>
        <w:spacing w:before="0" w:after="0"/>
        <w:ind w:left="0" w:right="0" w:hanging="0"/>
        <w:jc w:val="left"/>
        <w:rPr/>
      </w:pPr>
      <w:r>
        <w:rPr/>
        <w:t> </w:t>
      </w:r>
    </w:p>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lineRule="auto" w:line="256" w:before="0" w:after="0"/>
        <w:ind w:left="0" w:right="0" w:hanging="0"/>
        <w:jc w:val="left"/>
        <w:rPr/>
      </w:pPr>
      <w:r>
        <w:rPr>
          <w:rStyle w:val="StrongEmphasis"/>
          <w:rFonts w:ascii="Times New Roman;Times;serif" w:hAnsi="Times New Roman;Times;serif"/>
          <w:b w:val="false"/>
          <w:i w:val="false"/>
          <w:caps w:val="false"/>
          <w:smallCaps w:val="false"/>
          <w:sz w:val="20"/>
        </w:rPr>
        <w:t>NOTE 6 - SEGMENT INFORMATION</w:t>
      </w:r>
    </w:p>
    <w:p>
      <w:pPr>
        <w:pStyle w:val="TextBody"/>
        <w:bidi w:val="0"/>
        <w:spacing w:lineRule="auto" w:line="256"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left"/>
              <w:rPr/>
            </w:pPr>
            <w:r>
              <w:rPr>
                <w:rFonts w:ascii="Times New Roman;Times;serif" w:hAnsi="Times New Roman;Times;serif"/>
                <w:sz w:val="20"/>
              </w:rPr>
              <w:t>The Company operates in Israel as a single operating segment. The Company’s Chief Executive Officer is the chief operating decision marker (the “CODM”). The CODM makes decisions on resource allocation, assesses performance of the business and monitors budget versus actual results on a consolidated basis </w:t>
            </w:r>
            <w:r>
              <w:rPr/>
              <w:t>based on net losses.</w:t>
            </w:r>
          </w:p>
        </w:tc>
      </w:tr>
    </w:tbl>
    <w:p>
      <w:pPr>
        <w:pStyle w:val="TextBody"/>
        <w:bidi w:val="0"/>
        <w:spacing w:before="0" w:after="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Segment information:</w:t>
            </w:r>
          </w:p>
        </w:tc>
      </w:tr>
    </w:tbl>
    <w:p>
      <w:pPr>
        <w:pStyle w:val="TextBody"/>
        <w:bidi w:val="0"/>
        <w:spacing w:before="0" w:after="0"/>
        <w:jc w:val="left"/>
        <w:rPr/>
      </w:pPr>
      <w:r>
        <w:rPr/>
        <w:t> </w:t>
      </w:r>
    </w:p>
    <w:tbl>
      <w:tblPr>
        <w:tblW w:w="6492" w:type="dxa"/>
        <w:jc w:val="left"/>
        <w:tblInd w:w="1200" w:type="dxa"/>
        <w:tblLayout w:type="fixed"/>
        <w:tblCellMar>
          <w:top w:w="0" w:type="dxa"/>
          <w:left w:w="0" w:type="dxa"/>
          <w:bottom w:w="0" w:type="dxa"/>
          <w:right w:w="0" w:type="dxa"/>
        </w:tblCellMar>
      </w:tblPr>
      <w:tblGrid>
        <w:gridCol w:w="4580"/>
        <w:gridCol w:w="60"/>
        <w:gridCol w:w="88"/>
        <w:gridCol w:w="713"/>
        <w:gridCol w:w="88"/>
        <w:gridCol w:w="60"/>
        <w:gridCol w:w="87"/>
        <w:gridCol w:w="707"/>
        <w:gridCol w:w="109"/>
      </w:tblGrid>
      <w:tr>
        <w:trPr/>
        <w:tc>
          <w:tcPr>
            <w:tcW w:w="458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p>
        </w:tc>
        <w:tc>
          <w:tcPr>
            <w:tcW w:w="903"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March 31,</w:t>
            </w:r>
          </w:p>
        </w:tc>
      </w:tr>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903" w:type="dxa"/>
            <w:gridSpan w:val="3"/>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5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0"/>
              <w:jc w:val="left"/>
              <w:rPr/>
            </w:pPr>
            <w:r>
              <w:rPr/>
              <w:t> </w:t>
            </w:r>
          </w:p>
        </w:tc>
      </w:tr>
      <w:tr>
        <w:trPr/>
        <w:tc>
          <w:tcPr>
            <w:tcW w:w="4580" w:type="dxa"/>
            <w:tcBorders/>
            <w:shd w:fill="CCEEFF" w:val="cle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Sub-contractors and consulting expense (EB613)</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109" w:type="dxa"/>
            <w:tcBorders/>
            <w:vAlign w:val="center"/>
          </w:tcPr>
          <w:p>
            <w:pPr>
              <w:pStyle w:val="TableContents"/>
              <w:bidi w:val="0"/>
              <w:spacing w:before="0" w:after="283"/>
              <w:ind w:left="0" w:right="0" w:hanging="0"/>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expenses related to OPKO Collaboration Agreement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expenses</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109" w:type="dxa"/>
            <w:tcBorders/>
            <w:vAlign w:val="center"/>
          </w:tcPr>
          <w:p>
            <w:pPr>
              <w:pStyle w:val="TableContents"/>
              <w:bidi w:val="0"/>
              <w:spacing w:before="0" w:after="283"/>
              <w:ind w:left="0" w:right="0" w:hanging="0"/>
              <w:jc w:val="left"/>
              <w:rPr/>
            </w:pPr>
            <w:r>
              <w:rPr/>
              <w:t> </w:t>
            </w:r>
          </w:p>
        </w:tc>
      </w:tr>
      <w:tr>
        <w:trPr/>
        <w:tc>
          <w:tcPr>
            <w:tcW w:w="45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and related expenses</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283"/>
              <w:ind w:left="0" w:right="0" w:hanging="0"/>
              <w:jc w:val="left"/>
              <w:rPr/>
            </w:pPr>
            <w:r>
              <w:rPr/>
              <w:t> </w:t>
            </w:r>
          </w:p>
        </w:tc>
      </w:tr>
      <w:tr>
        <w:trPr/>
        <w:tc>
          <w:tcPr>
            <w:tcW w:w="45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development expenses*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w:t>
            </w:r>
          </w:p>
        </w:tc>
        <w:tc>
          <w:tcPr>
            <w:tcW w:w="60" w:type="dxa"/>
            <w:tcBorders/>
            <w:vAlign w:val="center"/>
          </w:tcPr>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left"/>
              <w:rPr/>
            </w:pPr>
            <w:r>
              <w:rPr/>
              <w:t> </w:t>
            </w:r>
          </w:p>
        </w:tc>
        <w:tc>
          <w:tcPr>
            <w:tcW w:w="71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bottom w:val="single" w:sz="8" w:space="0" w:color="000000"/>
            </w:tcBorders>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w:t>
            </w:r>
          </w:p>
        </w:tc>
        <w:tc>
          <w:tcPr>
            <w:tcW w:w="109" w:type="dxa"/>
            <w:tcBorders/>
            <w:vAlign w:val="center"/>
          </w:tcPr>
          <w:p>
            <w:pPr>
              <w:pStyle w:val="TableContents"/>
              <w:bidi w:val="0"/>
              <w:spacing w:before="0" w:after="283"/>
              <w:ind w:left="0" w:right="0" w:hanging="0"/>
              <w:jc w:val="left"/>
              <w:rPr/>
            </w:pPr>
            <w:r>
              <w:rPr/>
              <w:t> </w:t>
            </w:r>
          </w:p>
        </w:tc>
      </w:tr>
      <w:tr>
        <w:trPr/>
        <w:tc>
          <w:tcPr>
            <w:tcW w:w="45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r>
      <w:tr>
        <w:trPr/>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Segment net loss</w:t>
            </w:r>
          </w:p>
        </w:tc>
        <w:tc>
          <w:tcPr>
            <w:tcW w:w="60" w:type="dxa"/>
            <w:tcBorders/>
            <w:vAlign w:val="center"/>
          </w:tcPr>
          <w:p>
            <w:pPr>
              <w:pStyle w:val="TableContents"/>
              <w:bidi w:val="0"/>
              <w:spacing w:before="0" w:after="283"/>
              <w:jc w:val="left"/>
              <w:rPr/>
            </w:pPr>
            <w:r>
              <w:rPr/>
              <w:t> </w:t>
            </w:r>
          </w:p>
        </w:tc>
        <w:tc>
          <w:tcPr>
            <w:tcW w:w="88" w:type="dxa"/>
            <w:tcBorders>
              <w:bottom w:val="double" w:sz="6" w:space="0" w:color="000000"/>
            </w:tcBorders>
            <w:tcMar>
              <w:bottom w:w="28" w:type="dxa"/>
            </w:tcMar>
            <w:vAlign w:val="center"/>
          </w:tcPr>
          <w:p>
            <w:pPr>
              <w:pStyle w:val="TableContents"/>
              <w:bidi w:val="0"/>
              <w:spacing w:before="0" w:after="283"/>
              <w:jc w:val="left"/>
              <w:rPr/>
            </w:pPr>
            <w:r>
              <w:rPr/>
              <w:t> </w:t>
            </w:r>
          </w:p>
        </w:tc>
        <w:tc>
          <w:tcPr>
            <w:tcW w:w="71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c>
          <w:tcPr>
            <w:tcW w:w="707"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109"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Other development expenses include materials and productions and others.</w:t>
      </w:r>
    </w:p>
    <w:p>
      <w:pPr>
        <w:pStyle w:val="TextBody"/>
        <w:bidi w:val="0"/>
        <w:spacing w:lineRule="auto" w:line="256" w:before="0" w:after="0"/>
        <w:ind w:left="720" w:right="0" w:hanging="0"/>
        <w:jc w:val="left"/>
        <w:rPr>
          <w:caps w:val="false"/>
          <w:smallCaps w:val="false"/>
        </w:rPr>
      </w:pPr>
      <w:r>
        <w:rPr>
          <w:caps w:val="false"/>
          <w:smallCaps w:val="false"/>
        </w:rPr>
        <w:t> </w:t>
      </w:r>
    </w:p>
    <w:p>
      <w:pPr>
        <w:pStyle w:val="TextBody"/>
        <w:bidi w:val="0"/>
        <w:spacing w:before="0" w:after="0"/>
        <w:ind w:left="8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Other segment expenses mainly related to general and administrative expenses, including payroll and related expenses, share-based compensation, legal and audit fees and others.</w:t>
      </w:r>
    </w:p>
    <w:p>
      <w:pPr>
        <w:pStyle w:val="TextBody"/>
        <w:bidi w:val="0"/>
        <w:spacing w:before="0" w:after="0"/>
        <w:ind w:left="0" w:right="0" w:hanging="0"/>
        <w:jc w:val="left"/>
        <w:rPr/>
      </w:pPr>
      <w:r>
        <w:rPr/>
        <w:t> </w:t>
      </w:r>
    </w:p>
    <w:p>
      <w:pPr>
        <w:pStyle w:val="TextBody"/>
        <w:bidi w:val="0"/>
        <w:spacing w:before="0" w:after="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Times;serif" w:hAnsi="Times New Roman;Times;serif"/>
          <w:sz w:val="20"/>
        </w:rPr>
        <w:t>ENTERA BIO LTD.</w:t>
      </w:r>
    </w:p>
    <w:p>
      <w:pPr>
        <w:pStyle w:val="TextBody"/>
        <w:bidi w:val="0"/>
        <w:spacing w:before="0" w:after="0"/>
        <w:jc w:val="center"/>
        <w:rPr/>
      </w:pPr>
      <w:r>
        <w:rPr>
          <w:rStyle w:val="StrongEmphasis"/>
          <w:rFonts w:ascii="Times New Roman;Times;serif" w:hAnsi="Times New Roman;Times;serif"/>
          <w:sz w:val="20"/>
        </w:rPr>
        <w:t>NOTES TO CONDENSED CONSOLIDATED FINANCIAL STATEMENTS</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jc w:val="left"/>
        <w:rPr/>
      </w:pPr>
      <w:r>
        <w:rPr/>
        <w:t> </w:t>
      </w:r>
    </w:p>
    <w:p>
      <w:pPr>
        <w:pStyle w:val="TextBody"/>
        <w:bidi w:val="0"/>
        <w:spacing w:before="0" w:after="0"/>
        <w:ind w:left="720" w:right="72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SUBSEQUENT EVENTS</w:t>
      </w:r>
    </w:p>
    <w:p>
      <w:pPr>
        <w:pStyle w:val="TextBody"/>
        <w:bidi w:val="0"/>
        <w:spacing w:before="0" w:after="0"/>
        <w:ind w:left="720" w:right="7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 2026, the Company entered into a securities purchase agreement with certain funds affiliated with BVF Partners LP (collectively, the "Purchaser"), providing for the private placement to the Purchaser of an aggregate of 7,916,879 units (the "2026 Units"), each 2026 Unit consisting of (i) one ordinary share (or, in lieu thereof, one pre-funded warrant to purchase one ordinary share (the "2026 Pre-Funded Warrants")) and (ii) one warrant to purchase one and one-half ordinary shares (the "2026 Ordinary Share Warrants"), for aggregate proceeds of approximately $10.0 million (or $1.2775 per 2026 Unit), the issuance costs was $57. On April 2, 2026 (the "Closing Date"), the Company issued 2,425,000 ordinary shares, 5,402,789 2026 Pre-Funded Warrants, and 11,741,683 2026 Ordinary Share Warrants in connection with this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5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2026 Ordinary Share Warrant has an exercise price of $1.24 per share, becomes exercisable six months following the Closing Date, expires five years from the date of issuance, and is subject to customary adjustments. The 2026 Ordinary Share Warrants are exercisable only for cash so long as the Company has an effective registration statement registering the shares underlying the 2026 Ordinary Share Warrants. The 2026 Pre-Funded Warrants have an exercise price of NIS 0.0000769 per share, are immediately exercisable and may be exercised at any time and have no expiration date.</w:t>
      </w:r>
    </w:p>
    <w:p>
      <w:pPr>
        <w:pStyle w:val="TextBody"/>
        <w:bidi w:val="0"/>
        <w:spacing w:before="0" w:after="0"/>
        <w:ind w:left="5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April 2026, two former non-executive board members exercised options for an aggregate of 178,082 ordinary shares for a total consideration of $130 thousand.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board of directors approved the following options grants: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rPr>
              <w:t>options to purchase an aggregate of 1,772,000 ordinary shares were granted to employees, executive officers and a key consultant with an exercise price of $1.37 per share, which was the closing share price on the grant date. 1,120,000 of the options grants are subject to the filing of an S-8 registrational statement registering the shares underlying such option grants.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rPr>
              <w:t>options to purchase an aggregate of 500,000 ordinary shares were granted to the Company’s Chief Executive Officer with an exercise price of $1.37 per share, which was the closing share price on the grant date. This grant is subject to shareholder approval and the filing of an S-8 registrational statement registering the shares underlying such grant.</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vest over three years from the date of grant; 33.33% vest on the first anniversary of the date of grant and the remaining 66.67% of the options will vest in eight equal quarterly installments over the remaining two year period.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rPr>
              <w:t>options to purchase an aggregate of 40,000 ordinary shares were granted to a board member with an exercise price of $1.37 per share, which was the closing share price on the grant date. These options vest immediately at the date of grant. This grant is subject to shareholder approval and the filing of an S-8 registration statement registering the shares underlying such grant.</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rPr>
              <w:t>options to purchase an aggregate of 83,367 ordinary shares were granted to certain board members with an exercise price of $1.37 per share, which was the closing share price on the grant date. These options vest over three years from the date of grant in twelve equal quarterly installments following the vesting commencement date. These grants are subject to shareholder approval and the filing of an S-8 registrational statement registering the shares underlying such option grants.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rPr>
              <w:t>options to purchase an aggregate of 86,418 ordinary shares were granted to certain board members with an exercise price of $1.37 per share, which was the closing share price on the grant date. These options vest over one year ended December 31, 2026 in quarterly installments. This grant is subject to shareholder approval and the filing of an S-8 registrational statement registering the shares underlying such option grants.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of directors approved the grant of 734,428 RSUs to executive officers and key consultants in lieu of a cash bonus and partial salary raise. The grant of 420,559 of these RSUs is subject to shareholder approval.</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140" w:after="0"/>
        <w:ind w:left="0" w:right="0" w:hanging="0"/>
        <w:jc w:val="both"/>
        <w:rPr/>
      </w:pPr>
      <w:bookmarkStart w:id="11" w:name="i2"/>
      <w:bookmarkEnd w:id="11"/>
      <w:r>
        <w:rPr>
          <w:rStyle w:val="StrongEmphasis"/>
          <w:rFonts w:ascii="Times New Roman;Times;serif" w:hAnsi="Times New Roman;Times;serif"/>
          <w:b w:val="false"/>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we believe is relevant to an assessment and understanding of our results of operations, financial condition, liquidity and cash flows for the periods presented below. This discussion should be read in conjunction with the interim unaudited condensed consolidated financial statements and related notes contained elsewhere in this Quarterly Report, Part II, Item 1A-Risk Factors in this Quarterly Report, and Part I, Item 1A-Risk Factors in our 2025 Annual Report. As discussed in the section above titled “Cautionary Note Regarding Forward-Looking Statements,” the following discussion contains forward-looking statements that are based upon our current expectations, including with respect to our future operations, revenues and operating results. Our actual results may differ materially from those anticipated in such forward-looking statements as a result of various factors. Factors that could cause or contribute to such differences include, but are not limited to, those identified below, and those discussed in the section titled “Risk Factors” included under Part II, Item 1A below, as well as in Part I, Item 1A-Risk Factors in our 2025 Annual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Unless otherwise provided, references to the “Company,” “we,” “us” and “our” refer to Entera Bio Ltd. and its consolidated subsidiary.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 xml:space="preserve">Business Overview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which is designed to simultaneously stabilize large (4kD+) hydrophilic peptides in the gastrointestinal tract and promote their absorption into the bloodstream.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EB613 Program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EB613, oral PTH(1-34), is being developed as the first oral, osteoanabolic (bone building) once-daily tablet treatment for osteoporosis. EB613 is intended to provide an oral anabolic treatment earlier in an osteoporosis patient’s journey to increase skeletal mass, reduce the risk of fracture and limit the disease progression, and decrease disability and mortality. A placebo controlled, dose ranging Phase 2 study of EB613 tablets (n= 161) met primary (pharmacodynamic/bone turnover biomarker) and secondary endpoints (bone mineral density (“BMD”)). In April 2024, the Phase 2 data was published in the Journal of Bone and Mineral Research (JBMR).</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announced that in a written response to a Type A meeting request, the FDA agreed that a new drug application (“NDA”)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FDA released the Determination for Qualification of BMD qualifying total hip BMD as a surrogate efficacy endpoint for fracture that could be used in future studies of new anti-osteoporosis therapies. The FDA’s suggested a context of use (COU): “The percentage change from baseline at 24 months in total hip bone mineral density (BMD) assessed by dual-energy X-ray absorptiometry (DXA) can be used as a validated surrogate endpoint for the assessment of investigational therapies for postmenopausal women with osteoporosis at risk for fracture.”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submitted to the FDA a clinical amendment that included the EB613 Phase 3 protocol, statistical analysis plan and open-label extension synopsis. Subject to regulatory feedback, we are planning to initiate the Phase 3 study in the second half of 2026.</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EB612 Program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EB612, is being developed as the first oral PTH(1-34) tablet peptide replacement therapy for patients with hypoparathyroidism.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announced new in vivo PK/PD data supporting the development of a proprietary long-acting PTH (“LA-PTH”) analog utilizing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 We intend to accelerate development and currently expect to submit an IND application to the FDA in late 2026.</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EB618 Program (Oral GLP-1/Glucagon)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EB618 program focuses on developing the first oral dual agonist GLP-1/Glucagon (OXM) peptide as a potential once-daily tablet treatment for patients with obesity and metabolic disorders using the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Currently, there are no approved dual GLP-1/Glucagon agonists available. Currently, there are no approved dual GLP-1/Glucagon agonists available.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and OPKO jointly announced topline PK/PD results for the OXM program.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amended and restated the 2025 Collaboration Agreement (the “A&amp;R Collaboration Agreement”) to expand the scope of the agreement to include the collaboration with respect to the preclinical and clinical development of a daily LA-PTH tablet for the treatment of hypoparathyroidism.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OPKO is planning to initiate a single ascending dose (SAD) and multiple ascending dose (MAD) Phase 1 clinical study with the subcutaneous injection formulation in 2027. We plan to file an IND for the oral OXM tablet formulation thereafter.</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our collaboration agreements with OPKO, see Item 2. Management’s Discussion and Analysis of Financial Condition and Results of Operations—Patent Transfer, Licensing Agreements and Grant Funding—OPKO Collaboration and License Agreements, contained in this Quarterly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Oral GLP-2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focuses on developing the first GLP-2 peptide tablet alternative for patients suffering from short bowel syndrome and additional disorders involving mucosal inflammation and nutrient malabsorption.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Patent Transfer, Licensing Agreements and Grant Funding</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OPKO Collaboration and License Agreements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2023 Collaboration Agreement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the 2023 Collaboration Agreement with OPKO Biologics. Under the terms of this agreement, OPKO has agreed to supply its proprietary long-acting GLP-2 peptide and certain OXM analogs for the development of oral tablet candidates using our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Under this agreement, we and OPKO have each agreed to be responsible for specific phases of development of the two oral peptides to the point of demonstrated in vivo feasibility</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2025 Collaboration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the 2025 Collaboration Agreement with OPKO and OPKO Biologics to collaborate with respect to the preclinical and clinical development and decision making related to the Oral OXM program for the treatment of obesity, metabolic and fibrotic disorders in humans (the “Program”).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2025 Collaboration Agreement, we granted to OPKO an exclusive, sublicensable and non-transferable, worldwide license to certain of our intellectual property and technology solely to develop, manufacture, and commercialize any GLP-1/Glucagon  dual agonist as an oral treatment form for the treatment of obesity, metabolic, cardiovascular, and fibrotic disorders in humans, and OPKO has granted to us a non-exclusive, non-sublicensable and non-transferable license to certain of its intellectual property and technology to the extent necessary for us to perform our obligations in relation to the Program, in each case subject to the exceptions contained therein.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2025 Collaboration Agreement, we and OPKO will retain 40% and 60%, respectively, of all proceeds deriving from the EB618 Program, and will be responsible for 40% and 60% of the Program’s development costs, respectively. Following the completion of the Phase 1 stage, we may continue to fund our 40% share of the Program to maintain our right to proceeds or to opt-out (the “Opt-Out”). If we Opt-Out, then we and OPKO will retain 15% and 85%, respectively, of all proceeds deriving from the Program, while OPKO will be solely responsible for ongoing development and commercialization funding of the Program.</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2025 Collaboration Agreement, we issued and sold to OPKO an aggregate of 3,685,226 Ordinary Shares for a purchase price of $8.0 million, the proceeds of which we have agreed to use solely to fund our development cost obligations under the 2025 Collaboration Agreement, subject to the expiration or termination of the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Amended And Restated Collaboration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the A&amp;R Collaboration Agreement with OPKO which amends and restates the 2025 Collaboration Agreement to expand the scope of the agreement to include the collaboration with respect to the preclinical and clinical development of a daily LA-PTH for the treatment of hypoparathyroidism (EB612 Program) and other indications in addition to the original oral dual agonist GLP-1/glucagon peptide program. Development costs incurred by the parties with respect to the development of the LA-PTH EB612 program will be shared equally between the Company and OPKO.</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Oramed Patent Transfer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2011, we entered into a patent transfer agreement with Oramed Ltd. (“Oramed”), which we refer to as the Patent Transfer Agreement, pursuant to which Oramed assigned to us all of its rights, title and interest in the patent rights Oramed licensed to us when we were originally organized,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that involve the use of, or utilize, the patents underlying the Patent Transfer Agreement. Under the terms of the Patent Transfer Agreement, we agreed to pay Oramed royalties equal to 3% of our net revenues generated, directly or indirectly, from our exploitation of the assigned patent rights, including the sale, lease or transfer of the assigned patent rights or sales of products or services covered by the assigned patent rights. On March 27, 2025, we entered into a Novation Agreement with Oramed, and Oramed NewCo Inc. ("Oramed NewCo") pursuant to which Oramed NewCo replaced Oramed as a party to the Patent Transfer Agreement. Under the Novation Agreement, Oramed NewCo assumed all of Oramed's rights and obligations under the Patent Transfer Agreement accruing on or after the effective date, Oramed was released from any obligations and liabilities owed to us under the Patent Transfer Agreement accruing or arising after such date, and we were released from any obligations and liabilities owed to Oramed accruing or arising after such date. All other provisions of the Patent Transfer Agreement remain in full force and effect.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Israeli Innovation Authority Grants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grants of approximately $0.5 million from the Israeli Innovation Authority (“IIA”) to partially fund our PTH research and development for Osteoporosis.  The grants are subject to certain requirements and restrictions under the Israeli Encouragement of Research, Development and Technological Innovation in Industry Law 5477 1984 (the “Research Law”). In general, until the grants are repaid with interest, royalties are payable to the Israeli government in the amount of 3% on revenues derived from sales of products or services developed in whole or in part using the IIA grants. The royalty rate may increase to 5%, with respect to approved applications filed following any year in which we achieve sales of over $70 million.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that must be repaid may be increased up to six times the amount of the grant received and the interest. The rate of royalties may be accelerated and the royalty liability may increase (up to three times the amount of the grant amount and the interest), if manufacturing of the products developed with the grant money is transferred outside of the State of Israel. Moreover, a payment of up to 600% of the grant received may be required upon the transfer of any IIA-related know-how to a non-Israeli entity.  We signed a contract with a U.K.-based contract manufacturing organization to produce and supply pills for trials performed worldwide. We believe that, because this production is not for commercial purposes, it will not affect the royalty rates to be paid to the IIA. Should the IIA successfully take a contrary position, the maximum royalties to be paid to the IIA will be approximately $1.5 million, which is three times the amount of the original grant (plus interest on the entire increased amount). Under a collaboration agreement that was previously mutually terminated in May 2023, from 2019 through March 31, 2023, we recognized an aggregate amount of $1.7 million of revenue in accordance with ASC 606, “Revenues from Contracts with Customers” with respect to revenue generated from the collaboration agreement. Prior to its termination, we had been required to pay to the IIA 5.38% of each payment made to us under such collaboration agreement with an ultimately liability of up to 600% of the grant received plus interest. As of March 31, 2026, we had paid royalties to the IIA in the amount of $96 thousand.</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paying any royalties due, we must abide by other restrictions associated with receiving such grants under the Research Law that continue to apply following repayment to the IIA.</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 xml:space="preserve">Recent Developments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April 2026 Private Placement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we entered into a securities purchase agreement with certain funds affiliated with BVF Partners LP (collectively, the “Purchaser”), providing for the private placement (the “April 2026 Private Placement”) to the Purchaser of an aggregate of 7,916,879 units (the “2026 Units”), each 2026 Unit consisting of (i) one Ordinary Share (or, in lieu thereof, one pre-funded warrant to purchase one Ordinary Share (the “2026 Pre-Funded Warrants”)) and (ii) one warrant to purchase one and one-half Ordinary Shares (the “2026 Ordinary Share Warrants”), for aggregate proceeds of approximately $10.0 million (or $1.2775 per 2026 Unit). On April 2, 2026 (the “Closing Date”), the Company issued 2,425,000 Ordinary Shares, 5,402,789 2026 Pre-Funded Warrants, and 11,741,683 2026 Ordinary Share Warrants in connection with the April 2026 Private Placement.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2026 Ordinary Share Warrant has an exercise price of $1.24 per share, becomes exercisable six months following the Closing Date, expires five years from the date of issuance, and is subject to customary adjustments. The 2026 Ordinary Share Warrants are exercisable only for cash so long as we have an effective registration statement registering the shares underlying the 2026 Ordinary Share Warrants. The 2026 Pre-Funded Warrants have an exercise price of NIS 0.0000769 per share, are immediately exercisable and may be exercised at any time and have no expiration date.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Israel-Hamas War and Regional Conflicts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 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and on April 21, 2026, U.S. President Donald Trump announced that the United States would extend the ceasefire with Iran, to allow Iran's leadership to present a unified proposal for negotiations.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 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research personnel and management personnel are located in Israel, however other core activities including clinical, regulatory and supply chain are located outside of Israel. Currently, such activities in Israel remain largely unaffected. During the three months ended March 31, 2026 and March 31, 2025, the impact of this war on the Company’s results of operations and financial condition was immaterial. See Item 1.A. “Risk Factors—Security, political and economic instability in the Middle East may harm our business.”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 xml:space="preserve">Financial Overview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inception through March 31, 2026, we have raised a total of $111.8 million from a combination of public and private equity offerings, IIA grants and the issuance of Ordinary Shares upon the exercise of options and warrants. Since inception, we have incurred significant losses. For the three months ended March 31, 2026 and 2025, our operating losses were $3.5 million and $2.6 million, respectively, and we expect to continue to incur significant expenses and losses for the foreseeable future.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an accumulated deficit of $128.9 million. Our losses may fluctuate significantly from quarter to quarter and year to year, depending on the timing of our clinical trials, our expenditures on research and development activities and any third-party collaborations into which we may enter.</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in research and development activities, and it has not derived significant income from its activities and has incurred an accumulated deficit and negative cash flows from operating activities since inception. These factors raise substantial doubt as to the Company's ability to continue as a going concern. The unaudited condensed consolidated financial statements included herein have been prepared assuming that we will continue as a going concern and do not include adjustments that might result from the outcome of this uncertainty. See Part I, Item 1A-Risk Factors—Risks Related to Our Financial Position and Need for Additional Capital contained in our 2025 Annual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2026, we had cash and cash equivalents and restricted cash of $11.9 million, of which $7.8 million has been designated to fund the collaboration activity with OPKO under the A&amp;R Collaboration Agreement. In April 2026, we consummated the April 2026 Private Placement and received gross proceeds of approximately $10.0 million. Based on our current cash position and operating plan, we believe that our existing cash resources will be sufficient to fund our projected operating requirements through the first quarter of 2027, including activities related to the preparation for our planned Phase 3 registrational study of EB613. However, the Company’s ability to commence and complete the Phase 3 clinical study of EB613 in osteoporosis is dependent on its ability to obtain additional funding, which may not be available on acceptable terms, or at all. Any delay or our inability to secure such funding will delay or prevent the commencement of these studies. These factors raise substantial doubt as to our ability to continue as a going concern.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fund further operations, we will need to raise additional capital. We may raise these funds through a variety of means, including private or public equity offerings, debt financings, strategic collaborations and licensing arrangements. Additional financing may not be available when we need it or may not be available on terms that are favorable to us.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a total of 22 employees, of whom 20 are full-time employees, and all are based in Israel. In addition, we employ a number of specialized clinical, non-clinical, statistical, regulatory and development advisors based in the United States, the United Kingdom and Europe. Our operations are located in Jerusalem, Israel.</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Revenue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sales of our products, and we do not expect to receive any revenue from any product candidates that we develop unless and until we obtain regulatory approval and successfully commercialize our products.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Research and Development Expenses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for the development of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and our product candidates. We expense both internal and external research and development expenses to operations for the periods in which they are incurred. We mapped the majority of external research and development costs incurred for our product candidates and development programs.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and certain general external research and development expenses that support multiple programs include:</w:t>
      </w:r>
    </w:p>
    <w:p>
      <w:pPr>
        <w:pStyle w:val="TextBody"/>
        <w:bidi w:val="0"/>
        <w:spacing w:lineRule="atLeast" w:line="220"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employee-related expenses, including salaries, bonuses and share-based compensation expenses for employees and service providers in the research and development function;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costs associated with our research and development platform used across programs, process development, manufacturing, consulting fees and preclinical development for earlier stage programs and new technologies;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4"/>
        <w:gridCol w:w="10025"/>
      </w:tblGrid>
      <w:tr>
        <w:trPr/>
        <w:tc>
          <w:tcPr>
            <w:tcW w:w="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0"/>
              <w:jc w:val="left"/>
              <w:rPr/>
            </w:pPr>
            <w:r>
              <w:rPr/>
              <w:t>•</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in operating our laboratories including our small-scale manufacturing facility;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0"/>
              <w:jc w:val="left"/>
              <w:rPr/>
            </w:pPr>
            <w:r>
              <w:rPr/>
              <w:t>•</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of research and development equipment, allocated overhead, rent and facilities-related expenses.</w:t>
            </w:r>
          </w:p>
        </w:tc>
      </w:tr>
    </w:tbl>
    <w:p>
      <w:pPr>
        <w:pStyle w:val="TextBody"/>
        <w:bidi w:val="0"/>
        <w:spacing w:before="0" w:after="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for our main clinical development programs include:</w:t>
      </w:r>
    </w:p>
    <w:p>
      <w:pPr>
        <w:pStyle w:val="TextBody"/>
        <w:bidi w:val="0"/>
        <w:spacing w:lineRule="atLeast" w:line="220"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0"/>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under agreements with CROs and investigative sites that conduct our clinical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7"/>
        <w:gridCol w:w="9914"/>
      </w:tblGrid>
      <w:tr>
        <w:trPr/>
        <w:tc>
          <w:tcPr>
            <w:tcW w:w="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0"/>
              <w:jc w:val="left"/>
              <w:rPr/>
            </w:pPr>
            <w:r>
              <w:rPr/>
              <w:t>•</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costs associated with pre-clinical and clinical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59"/>
        <w:gridCol w:w="9991"/>
      </w:tblGrid>
      <w:tr>
        <w:trPr/>
        <w:tc>
          <w:tcPr>
            <w:tcW w:w="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0"/>
              <w:jc w:val="left"/>
              <w:rPr/>
            </w:pPr>
            <w:r>
              <w:rPr/>
              <w:t>•</w:t>
            </w:r>
          </w:p>
        </w:tc>
        <w:tc>
          <w:tcPr>
            <w:tcW w:w="99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supply, development and manufacturing costs relating to clinical trial materials;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0"/>
              <w:jc w:val="left"/>
              <w:rPr/>
            </w:pPr>
            <w:r>
              <w:rPr/>
              <w:t>•</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consulting and advisory services related to the program.</w:t>
            </w:r>
          </w:p>
        </w:tc>
      </w:tr>
    </w:tbl>
    <w:p>
      <w:pPr>
        <w:pStyle w:val="TextBody"/>
        <w:bidi w:val="0"/>
        <w:spacing w:before="0" w:after="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our primary focus.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significantly in future periods as we advance our clinical candidates into later stages of clinical development and invest in additional preclinical candidates.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may vary substantially from period to period based on the timing of our research and development activities, including due to the timing of initiation of clinical trials and the enrolment of patients in clinical trials. For the three months ended March 31, 2026 and 2025, our research and development expenses were $2.3 million and $1.1 million, respectively. Research and development expenses for the three months ended March 31, 2026 were primarily for the development of EB613 and the next-generation of EB613 and our collaboration with OPKO related to the EB618 (OXM) and EB612 (LA-PTH) programs.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w:t>
      </w:r>
    </w:p>
    <w:p>
      <w:pPr>
        <w:pStyle w:val="TextBody"/>
        <w:bidi w:val="0"/>
        <w:spacing w:lineRule="atLeast" w:line="220"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uncertainty of the scope, rate of progress, results and cost of our clinical trials, nonclinical testing and other related activities;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manufacturing clinical supplies and establishing commercial supplies of our product candidates and any products that we may develop;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6"/>
        <w:gridCol w:w="9942"/>
      </w:tblGrid>
      <w:tr>
        <w:trPr/>
        <w:tc>
          <w:tcPr>
            <w:tcW w:w="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product candidates that we pursue;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3"/>
        <w:gridCol w:w="9878"/>
      </w:tblGrid>
      <w:tr>
        <w:trPr/>
        <w:tc>
          <w:tcPr>
            <w:tcW w:w="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0"/>
              <w:jc w:val="left"/>
              <w:rPr/>
            </w:pPr>
            <w:r>
              <w:rPr/>
              <w:t>•</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timing and outcomes of regulatory approvals;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
        <w:gridCol w:w="150"/>
        <w:gridCol w:w="10004"/>
      </w:tblGrid>
      <w:tr>
        <w:trPr/>
        <w:tc>
          <w:tcPr>
            <w:tcW w:w="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0"/>
              <w:jc w:val="left"/>
              <w:rPr/>
            </w:pPr>
            <w:r>
              <w:rPr/>
              <w:t>•</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establishing any sales, marketing, and distribution capabilities;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timing of any collaborative, licensing and other arrangements that we may establish, including any milestone and royalty payments thereunder.</w:t>
            </w:r>
          </w:p>
        </w:tc>
      </w:tr>
    </w:tbl>
    <w:p>
      <w:pPr>
        <w:pStyle w:val="TextBody"/>
        <w:bidi w:val="0"/>
        <w:spacing w:before="0" w:after="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EB613, EB612 and EB618 or any other product candidate that we may develop could significantly change the costs and timing associated with the development of any such product candidate. For example, if the FDA or other regulatory authority were to require us to conduct preclinical or clinical studies beyond those that we currently anticipate will be required for the completion of clinical development, if we experience significant delays in enrolment in any clinical trials or if we encounter difficulties in manufacturing our clinical supplies, then we could be required to expend significant additional financial resources and time on the completion of the clinical development.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for the three months ended March 31, 2026 and March 31, 2025 are summarized as follows:</w:t>
      </w:r>
    </w:p>
    <w:p>
      <w:pPr>
        <w:pStyle w:val="TextBody"/>
        <w:bidi w:val="0"/>
        <w:spacing w:lineRule="atLeast" w:line="220" w:before="0" w:after="0"/>
        <w:ind w:left="0" w:right="0" w:hanging="0"/>
        <w:jc w:val="both"/>
        <w:rPr>
          <w:caps w:val="false"/>
          <w:smallCaps w:val="false"/>
        </w:rPr>
      </w:pPr>
      <w:r>
        <w:rPr>
          <w:caps w:val="false"/>
          <w:smallCaps w:val="false"/>
        </w:rPr>
        <w:t> </w:t>
      </w:r>
    </w:p>
    <w:tbl>
      <w:tblPr>
        <w:tblW w:w="8451" w:type="dxa"/>
        <w:jc w:val="left"/>
        <w:tblInd w:w="0" w:type="dxa"/>
        <w:tblLayout w:type="fixed"/>
        <w:tblCellMar>
          <w:top w:w="0" w:type="dxa"/>
          <w:left w:w="0" w:type="dxa"/>
          <w:bottom w:w="0" w:type="dxa"/>
          <w:right w:w="0" w:type="dxa"/>
        </w:tblCellMar>
      </w:tblPr>
      <w:tblGrid>
        <w:gridCol w:w="5690"/>
        <w:gridCol w:w="60"/>
        <w:gridCol w:w="126"/>
        <w:gridCol w:w="1020"/>
        <w:gridCol w:w="126"/>
        <w:gridCol w:w="126"/>
        <w:gridCol w:w="126"/>
        <w:gridCol w:w="1020"/>
        <w:gridCol w:w="157"/>
      </w:tblGrid>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1"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Month 31,</w:t>
              <w:br/>
              <w:t>(unaudited)</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26" w:type="dxa"/>
            <w:tcBorders/>
            <w:vAlign w:val="center"/>
          </w:tcPr>
          <w:p>
            <w:pPr>
              <w:pStyle w:val="TableContents"/>
              <w:bidi w:val="0"/>
              <w:spacing w:before="0" w:after="283"/>
              <w:jc w:val="left"/>
              <w:rPr/>
            </w:pPr>
            <w:r>
              <w:rPr/>
              <w:t> </w:t>
            </w:r>
          </w:p>
        </w:tc>
        <w:tc>
          <w:tcPr>
            <w:tcW w:w="1303"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1" w:type="dxa"/>
            <w:gridSpan w:val="7"/>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External Expenses related to EB613</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157"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 and External expenses related to collaboration with OPKO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 and External expenses related to other development program:</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Payroll and related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w:t>
            </w:r>
          </w:p>
        </w:tc>
        <w:tc>
          <w:tcPr>
            <w:tcW w:w="157"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w:t>
            </w:r>
          </w:p>
        </w:tc>
        <w:tc>
          <w:tcPr>
            <w:tcW w:w="157"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Rent and related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157"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Other development expenses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57"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1,123</w:t>
            </w:r>
          </w:p>
        </w:tc>
        <w:tc>
          <w:tcPr>
            <w:tcW w:w="157" w:type="dxa"/>
            <w:tcBorders/>
            <w:shd w:fill="FFFFFF" w:val="clear"/>
            <w:vAlign w:val="center"/>
          </w:tcPr>
          <w:p>
            <w:pPr>
              <w:pStyle w:val="TableContents"/>
              <w:bidi w:val="0"/>
              <w:spacing w:before="0" w:after="283"/>
              <w:jc w:val="left"/>
              <w:rPr/>
            </w:pPr>
            <w:r>
              <w:rPr/>
              <w:t> </w:t>
            </w:r>
          </w:p>
        </w:tc>
      </w:tr>
    </w:tbl>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General and Administrative Expenses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principally of salaries and related expenses, share-based compensation and related costs for directors and personnel in executive and finance functions. Other general and administrative expenses include D&amp;O insurance and other insurance, communication expenses, professional fees for legal and accounting services, costs associated with maintaining and prosecuting our intellectual property portfolio and business development expenses.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Financial Income, Net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 is composed primarily of interest income from bank deposits and exchange rate differences of certain currencies against our functional currency, which is the U.S. Dollar.</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Taxes on Income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taxable income since our inception, and, as of March 31, 2026, we had carryforward tax losses of $93.9 million.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be able to carry forward these tax losses indefinitely to future tax years. Accordingly, we do not expect to pay taxes in Israel until we have taxable income after the full utilization of our carryforward tax losses. We provided a full valuation allowance with respect to the deferred tax assets related to these carryforward losses.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Entera Bio, Inc., is taxed separately under U.S. tax laws. As of March 31, 2026, Entera Bio Inc. had tax loss carryforwards of $0.2 million.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 xml:space="preserve">Results of Operations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left"/>
        <w:rPr/>
      </w:pPr>
      <w:r>
        <w:rPr>
          <w:rStyle w:val="StrongEmphasis"/>
          <w:rFonts w:ascii="Times New Roman;Times;serif" w:hAnsi="Times New Roman;Times;serif"/>
          <w:b w:val="false"/>
          <w:i/>
          <w:caps w:val="false"/>
          <w:smallCaps w:val="false"/>
          <w:sz w:val="20"/>
        </w:rPr>
        <w:t>Comparison of Three Months Ended March 31, 2026 and 2025</w:t>
      </w:r>
    </w:p>
    <w:p>
      <w:pPr>
        <w:pStyle w:val="TextBody"/>
        <w:bidi w:val="0"/>
        <w:spacing w:lineRule="atLeast" w:line="220"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005"/>
        <w:gridCol w:w="60"/>
        <w:gridCol w:w="179"/>
        <w:gridCol w:w="696"/>
        <w:gridCol w:w="114"/>
        <w:gridCol w:w="85"/>
        <w:gridCol w:w="179"/>
        <w:gridCol w:w="696"/>
        <w:gridCol w:w="85"/>
        <w:gridCol w:w="68"/>
        <w:gridCol w:w="163"/>
        <w:gridCol w:w="635"/>
        <w:gridCol w:w="104"/>
        <w:gridCol w:w="78"/>
        <w:gridCol w:w="78"/>
        <w:gridCol w:w="517"/>
        <w:gridCol w:w="341"/>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4"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March 31,</w:t>
            </w:r>
          </w:p>
        </w:tc>
        <w:tc>
          <w:tcPr>
            <w:tcW w:w="68" w:type="dxa"/>
            <w:tcBorders/>
            <w:vAlign w:val="center"/>
          </w:tcPr>
          <w:p>
            <w:pPr>
              <w:pStyle w:val="TableContents"/>
              <w:bidi w:val="0"/>
              <w:spacing w:before="0" w:after="283"/>
              <w:jc w:val="left"/>
              <w:rPr/>
            </w:pPr>
            <w:r>
              <w:rPr/>
              <w:t> </w:t>
            </w:r>
          </w:p>
        </w:tc>
        <w:tc>
          <w:tcPr>
            <w:tcW w:w="191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 (Decrease)</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5" w:type="dxa"/>
            <w:tcBorders/>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8" w:type="dxa"/>
            <w:tcBorders/>
            <w:vAlign w:val="center"/>
          </w:tcPr>
          <w:p>
            <w:pPr>
              <w:pStyle w:val="TableContents"/>
              <w:bidi w:val="0"/>
              <w:spacing w:before="0" w:after="283"/>
              <w:jc w:val="left"/>
              <w:rPr/>
            </w:pPr>
            <w:r>
              <w:rPr/>
              <w:t> </w:t>
            </w:r>
          </w:p>
        </w:tc>
        <w:tc>
          <w:tcPr>
            <w:tcW w:w="90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8" w:type="dxa"/>
            <w:tcBorders/>
            <w:vAlign w:val="center"/>
          </w:tcPr>
          <w:p>
            <w:pPr>
              <w:pStyle w:val="TableContents"/>
              <w:bidi w:val="0"/>
              <w:spacing w:before="0" w:after="283"/>
              <w:jc w:val="left"/>
              <w:rPr/>
            </w:pPr>
            <w:r>
              <w:rPr/>
              <w:t> </w:t>
            </w:r>
          </w:p>
        </w:tc>
        <w:tc>
          <w:tcPr>
            <w:tcW w:w="93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8" w:type="dxa"/>
            <w:gridSpan w:val="15"/>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 except for percentage information)</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5"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3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3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341"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341"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1,123</w:t>
            </w:r>
          </w:p>
        </w:tc>
        <w:tc>
          <w:tcPr>
            <w:tcW w:w="85"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3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w:t>
            </w:r>
          </w:p>
        </w:tc>
        <w:tc>
          <w:tcPr>
            <w:tcW w:w="8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3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85"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spacing w:val="-2"/>
                <w:sz w:val="20"/>
              </w:rPr>
            </w:pPr>
            <w:r>
              <w:rPr>
                <w:rFonts w:ascii="Times New Roman;Times;serif" w:hAnsi="Times New Roman;Times;serif"/>
                <w:spacing w:val="-2"/>
                <w:sz w:val="20"/>
              </w:rPr>
              <w:t>38</w:t>
            </w:r>
          </w:p>
        </w:tc>
        <w:tc>
          <w:tcPr>
            <w:tcW w:w="34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expenses (income), net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5"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w:t>
            </w:r>
          </w:p>
        </w:tc>
        <w:tc>
          <w:tcPr>
            <w:tcW w:w="3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3,505</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w:t>
            </w:r>
          </w:p>
        </w:tc>
        <w:tc>
          <w:tcPr>
            <w:tcW w:w="85"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3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Revenues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March 31, 2025 were $42 thousand, which were attributable to research services we provided pursuant to a research services agreement with an external party. The Company completed its obligations under the research services agreement in the first quarter of 2025. We did not recognize any revenue for the three months ended March 31, 2026.</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Cost of Revenues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March 31, 2025 were $42 thousand, which was attributable to research services we provided pursuant to a research services agreement with an external party. For the three months ended March 31, 2026, we did not recognize any cost of revenues.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Research and Development Expenses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March 31, 2026 were $2.3 million, as compared to $1.1 million for the three months ended March 31, 2025. The increase in expenses of $1.2 million was mainly attributable to an increase of $0.5 million related to our Phase 1 safety and PK bridging study for the Next Generation of EB613, an increase of $0.5 million in connection with our collaboration programs with OPKO for EB618 and EB612 and an increase of $0.2 million in compensation mainly due to unfavorable foreign exchange rate changes.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General and Administrative Expenses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March 31, 2026 were $1.3 million, as compared to $1.4 million for the three months ended March 31, 2025. The decrease of $0.1 million was mainly attributable to a decrease in consultants and legal fees.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Financial Income, Net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 for the three months ended March 31, 2026 was $34 thousand as compared to financial expenses, net of $4 thousand for the three months ended March 31, 2025. Our financial income mainly included interest income from bank deposits and exchange rate differences of certain currencies against our functional currency, which is the U.S. Dollar.</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Liquidity and Capital Resources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losses from operations and negative cash flows from operating activities. For the three months ended March 31, 2026 and 2025, our operating losses were $3.5 million and $2.6 million, respectively. As of March 31, 2026, we had an accumulated deficit of $128.9 million. We expect to continue to incur significant expenses and losses for the next several years as we advance our products through development and provide administrative support for our operations. These factors raise substantial doubt about our ability to continue as a going concern. The unaudited condensed consolidated financial statements contained in this Quarterly Report have been prepared on a going concern basis and do not include any adjustments that may be necessary should we be unable to continue as a going concern.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and through March 31, 2026, we have raised a total of $111.8 million from a combination of public and private equity offerings, IIA grants, the issuance of Ordinary Shares upon the exercise of options and warrants, and the issuance of $36.4 million of Ordinary Shares through at-the-market-offering (“ATM”) programs.</w:t>
        <w:br/>
        <w:t> </w:t>
        <w:br/>
        <w:t>As of March 31, 2026, we had cash and cash equivalents and restricted cash of $11.9 million, of which $7.8 million has been designated to fund our obligations under the A&amp;R Collaboration Agreement. In April 2026, we consummated the April 2026 Private Placement and received gross proceeds of approximately $10.0 million. Our primary uses of cash have been to fund research and development, general and administrative and working capital requirements, including activities related to the preparation for and initiation of its Phase 3 registrational study of EB613 and our collaboration programs with OPKO (EB612 and EB618) and we expect these will continue to be our primary uses of cash.</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Equity Offerings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2022, we entered into a Sales Agreement with Leerink Partners LLC (f/k/a SVB Securities LLC), as sales agent, to implement an ATM program (the “Leerink ATM Program”) under which we were originally able to sell up to 5,000,000 Ordinary Shares in an at-the-market offering registered under the Securities Act. The sales agent is entitled to a fixed commission of 3% of the aggregate gross proceeds as well as and reimbursement of expenses. As of March 31, 2026, we had sold 4,940,156 Ordinary Shares under the Leerink ATM Program for aggregate proceeds of $9.8 million, net of issuance costs. We currently have the ability, but not the obligation, to sell up to an additional 30,000,000 Ordinary Shares under the Leerink ATM Program under our currently effective Registration Statement on Form S-3.</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we entered into a securities purchase agreement with certain investors, providing for the private placement (the “December 2023 Private Placement”) of an aggregate of 7,916,879 units, each consisting of (i) one Ordinary Share (or, in lieu thereof, one pre-funded warrant to purchase one Ordinary Share (the “2023 Pre-Funded Warrants”)) and (ii) one warrant to purchase one Ordinary Share (the “2023 Ordinary Share Warrant”), for aggregate proceeds of approximately $6.6 million. The December 2023 Private Placement was priced at the market under applicable Nasdaq rules and closed on December 22, 2023.</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2023 Ordinary Share Warrant has an exercise price of $1.00 per share and expires five years from the date of issuance.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entering into the 2025 Collaboration Agreement with OPKO, we issued to OPKO an aggregate of 3,685,226 Ordinary Shares for a purchase price of $8.0 million, representing a purchase price per share equal to approximately $2.17, which was the volume weighted average price per share for the 30 trading days immediately preceding the date of such agreement. We have agreed to use the proceeds from the issuance of such Ordinary Shares solely to fund our development cost obligations under the A&amp;R Collaboration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we consummated the April 2026 Private Placement. See “—Recent Developments—April 2026 Private Placement.”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received approximately $0.6 million of net proceeds from the exercise of outstanding 2023 Ordinary Share Warrants. If all remaining 2023 Ordinary Share Warrants and all 2026 Ordinary Share Warrants were exercised for cash, then the Company would receive additional proceeds of approximately $22.3 million. There can be no assurance that the holders will exercise any of such warrants.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Funding Requirements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current plans, we believe that our existing cash resources will be sufficient to support our operations through the first quarter of 2027, including activities related to the preparation for our planned Phase 3 registrational study of EB613. However, our ability to commence and complete the Phase 3 clinical study of EB613 in osteoporosis is dependent on our ability to obtain additional funding, which may not be available on acceptable terms, or at all. Any delay or our inability to secure such funding will delay or prevent the commencement of these studies. Our expectations are based on management’s current assumptions, clinical development plans and regulatory submission timelines, which may prove to be wrong, and we could spend our available financial resources much faster than we currently expect.</w:t>
      </w:r>
    </w:p>
    <w:p>
      <w:pPr>
        <w:pStyle w:val="TextBody"/>
        <w:bidi w:val="0"/>
        <w:spacing w:before="0" w:after="0"/>
        <w:jc w:val="left"/>
        <w:rPr/>
      </w:pPr>
      <w:r>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additional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pStyle w:val="TextBody"/>
        <w:bidi w:val="0"/>
        <w:spacing w:lineRule="atLeast" w:line="220"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timing and outcome of clinical trials for, and regulatory review of our oral peptide programs, including EB613 for osteoporosis and collaborations with OPKO related to EB612 for hypoparathyroidism and EB618 for obesity and metabolic disorders or other oral peptides for obesity, metabolic disorders and gastrointestinal rare diseases and any other product candidates we may develop;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1"/>
        <w:gridCol w:w="9989"/>
      </w:tblGrid>
      <w:tr>
        <w:trPr/>
        <w:tc>
          <w:tcPr>
            <w:tcW w:w="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0"/>
              <w:jc w:val="left"/>
              <w:rPr/>
            </w:pPr>
            <w:r>
              <w:rPr/>
              <w:t>•</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development activities for any other product candidates we may pursue;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0"/>
              <w:jc w:val="left"/>
              <w:rPr/>
            </w:pPr>
            <w:r>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5"/>
        <w:gridCol w:w="9930"/>
      </w:tblGrid>
      <w:tr>
        <w:trPr/>
        <w:tc>
          <w:tcPr>
            <w:tcW w:w="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0"/>
              <w:jc w:val="left"/>
              <w:rPr/>
            </w:pPr>
            <w:r>
              <w:rPr/>
              <w:t>•</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collaborations on favorable terms, if at all.</w:t>
            </w:r>
          </w:p>
        </w:tc>
      </w:tr>
    </w:tbl>
    <w:p>
      <w:pPr>
        <w:pStyle w:val="TextBody"/>
        <w:bidi w:val="0"/>
        <w:spacing w:before="0" w:after="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evaluate various financing alternatives in the public or private equity markets or through license of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to additional external parties through partnerships or research collaborations as we will need to finance future research and development activities, general and administrative expenses and working capital through fund raising. However, there is no certainty about our ability to obtain such funding.</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Leerink ATM Program,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our existing shareholders’ rights as shareholders. Debt financing, if available, may involve agreements that include covenants limiting or restricting our ability to take specific actions, such as incurring additional debt, making capital expenditures or declaring dividends and may include requirements to hold minimum levels of funding.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 or collaborations, when needed, we may be required to delay, limit, reduce or terminate our product development or future commercialization efforts.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Cash Flows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Three Months Ended March 31, 2026 compared to Three Months Ended March 31, 2025</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primary sources and uses of cash for each of the periods set forth below:</w:t>
      </w:r>
    </w:p>
    <w:p>
      <w:pPr>
        <w:pStyle w:val="TextBody"/>
        <w:bidi w:val="0"/>
        <w:spacing w:lineRule="atLeast" w:line="220" w:before="0" w:after="0"/>
        <w:ind w:left="0" w:right="0" w:hanging="0"/>
        <w:jc w:val="both"/>
        <w:rPr>
          <w:caps w:val="false"/>
          <w:smallCaps w:val="false"/>
        </w:rPr>
      </w:pPr>
      <w:r>
        <w:rPr>
          <w:caps w:val="false"/>
          <w:smallCaps w:val="false"/>
        </w:rPr>
        <w:t> </w:t>
      </w:r>
    </w:p>
    <w:tbl>
      <w:tblPr>
        <w:tblW w:w="7762" w:type="dxa"/>
        <w:jc w:val="left"/>
        <w:tblInd w:w="0" w:type="dxa"/>
        <w:tblLayout w:type="fixed"/>
        <w:tblCellMar>
          <w:top w:w="0" w:type="dxa"/>
          <w:left w:w="0" w:type="dxa"/>
          <w:bottom w:w="0" w:type="dxa"/>
          <w:right w:w="0" w:type="dxa"/>
        </w:tblCellMar>
      </w:tblPr>
      <w:tblGrid>
        <w:gridCol w:w="5030"/>
        <w:gridCol w:w="60"/>
        <w:gridCol w:w="206"/>
        <w:gridCol w:w="899"/>
        <w:gridCol w:w="132"/>
        <w:gridCol w:w="99"/>
        <w:gridCol w:w="206"/>
        <w:gridCol w:w="974"/>
        <w:gridCol w:w="156"/>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Three Months Ended March 31,</w:t>
              <w:br/>
              <w:t>(unaudited)</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9" w:type="dxa"/>
            <w:tcBorders/>
            <w:vAlign w:val="center"/>
          </w:tcPr>
          <w:p>
            <w:pPr>
              <w:pStyle w:val="TableContents"/>
              <w:bidi w:val="0"/>
              <w:spacing w:before="0" w:after="283"/>
              <w:jc w:val="left"/>
              <w:rPr/>
            </w:pPr>
            <w:r>
              <w:rPr/>
              <w:t> </w:t>
            </w:r>
          </w:p>
        </w:tc>
        <w:tc>
          <w:tcPr>
            <w:tcW w:w="133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2" w:type="dxa"/>
            <w:gridSpan w:val="7"/>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(3,090</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jc w:val="right"/>
              <w:rPr/>
            </w:pPr>
            <w:r>
              <w:rPr/>
              <w:t>—  </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132"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156"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Exchange Rate change on cash and cash equivalents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32"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(2,956</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11,925</w:t>
            </w:r>
          </w:p>
        </w:tc>
        <w:tc>
          <w:tcPr>
            <w:tcW w:w="156"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 xml:space="preserve">Net Cash Used in Operating Activities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 2026 was $3.1 million, consisting primarily of our operating expenses of $3.5 million, which was partially offset by approximately $0.7 million of share-based compensation and depreciation expenses and a decrease of approximately $0.3 million in our net operating assets and liabilities.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4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 2025 was $1.4 million, consisting primarily of our operating expenses of $2.6 million, which was partially offset by approximately $0.6 million of share-based compensation and depreciation expenses and a decrease of $0.6 million in our operating assets and liabilities.</w:t>
      </w:r>
    </w:p>
    <w:p>
      <w:pPr>
        <w:pStyle w:val="TextBody"/>
        <w:bidi w:val="0"/>
        <w:spacing w:lineRule="atLeast" w:line="24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used in operating activities for three months ended March 31, 2026 compared to the same period in 2025 was mainly attributed to an increase of $0.9 million in our net loss, an increase of $0.9 million in our net operating assets and liabilities and an increase of $0.1 million of share-based compensation and depreciation expense.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Net Cash Used in Investing Activities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or provided by investing activities for the three months ended March 31, 2026.</w:t>
      </w:r>
    </w:p>
    <w:p>
      <w:pPr>
        <w:pStyle w:val="TextBody"/>
        <w:bidi w:val="0"/>
        <w:spacing w:lineRule="atLeast" w:line="220" w:before="0" w:after="0"/>
        <w:ind w:left="0" w:right="0" w:hanging="0"/>
        <w:jc w:val="left"/>
        <w:rPr>
          <w:caps w:val="false"/>
          <w:smallCaps w:val="false"/>
        </w:rPr>
      </w:pPr>
      <w:r>
        <w:rPr>
          <w:caps w:val="false"/>
          <w:smallCaps w:val="false"/>
        </w:rPr>
        <w:t> </w:t>
      </w:r>
    </w:p>
    <w:p>
      <w:pPr>
        <w:pStyle w:val="TextBody"/>
        <w:bidi w:val="0"/>
        <w:spacing w:lineRule="atLeast" w:line="22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three months ended March 31, 2025 consisted primarily of the purchase of property and equipment.</w:t>
      </w:r>
    </w:p>
    <w:p>
      <w:pPr>
        <w:pStyle w:val="TextBody"/>
        <w:bidi w:val="0"/>
        <w:spacing w:lineRule="atLeast" w:line="220" w:before="0" w:after="0"/>
        <w:ind w:left="0" w:right="0" w:hanging="0"/>
        <w:jc w:val="left"/>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Net Cash Provided by Financing Activities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March 31, 2026 consisted of the net proceeds of $0.1 million from the issuance of Ordinary Shares upon the exercise of options.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March 31, 2025 consisted of the net proceeds of $6.0 million from the issuance of Ordinary Shares under the Leerink ATM Program, $0.2 million from the issuance of Ordinary Shares upon the exercise of warrants and $7.2 million from issuance of Ordinary Shares under the 2025 Collaboration Agreement.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Contractual Obligations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not been any material changes in our assessment of material contractual obligations and commitments as set forth in Part II, Item 7 “Management’s Discussion and Analysis of Financial Condition and Results of Operations” of our 2025 Annual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Critical Accounting Policies and Estimates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Part II, Item 7 “Management’s Discussion and Analysis of Financial Condition and Results of Operations – Critical Accounting Policies” and our consolidated financial statements and related notes included in the 2025 Annual Report for accounting policies and related estimates we believe are the most critical to understanding our consolidated financial statements, financial condition and results of operations and which require complex management judgment and assumptions, or involve uncertainties. The preparation of consolidated financial statements also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There have been no changes to our critical accounting policies or their application since the date of the 2025 Annual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Recently Issued Accounting Pronouncements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recently issued accounting pronouncements are discussed in Note 2 to the unaudited condensed consolidated financial statements included elsewhere in this Quarterly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12" w:name="i3"/>
      <w:bookmarkEnd w:id="12"/>
      <w:r>
        <w:rPr>
          <w:rStyle w:val="StrongEmphasis"/>
          <w:rFonts w:ascii="Times New Roman;Times;serif" w:hAnsi="Times New Roman;Times;serif"/>
          <w:b w:val="false"/>
          <w:i w:val="false"/>
          <w:caps w:val="false"/>
          <w:smallCaps w:val="false"/>
          <w:sz w:val="20"/>
        </w:rPr>
        <w:t xml:space="preserve">ITEM 3. QUANTITATIVE AND QUALITATIVE DISCLOSURES ABOUT MARKET RISK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smaller reporting companies.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13" w:name="i4"/>
      <w:bookmarkEnd w:id="13"/>
      <w:r>
        <w:rPr>
          <w:rStyle w:val="StrongEmphasis"/>
          <w:rFonts w:ascii="Times New Roman;Times;serif" w:hAnsi="Times New Roman;Times;serif"/>
          <w:b w:val="false"/>
          <w:i w:val="false"/>
          <w:caps w:val="false"/>
          <w:smallCaps w:val="false"/>
          <w:sz w:val="20"/>
        </w:rPr>
        <w:t>ITEM 4. CONTROLS AND PROCEDURES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Evaluation of Disclosure Controls and Procedures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evaluated the effectiveness of our disclosure controls and procedures (as such term is defined in Rules 13a-15(e) and 15d-15(e) under the Exchange Act) as of March 31, 2026, which we refer to as the Evaluation Date. Based on such evaluation, our Chief Executive Officer and Chief Financial Officer have concluded that, as of the Evaluation Date, our disclosure controls and procedures were effective.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val="false"/>
          <w:caps w:val="false"/>
          <w:smallCaps w:val="false"/>
          <w:sz w:val="20"/>
        </w:rPr>
        <w:t>Changes in Internal Control over Financial Reporting</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that occurred during the last fiscal quarter that have materially affected, or are reasonably likely to materially affect, our internal control over financial reporting.</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4" w:name="p2"/>
      <w:bookmarkEnd w:id="14"/>
      <w:r>
        <w:rPr>
          <w:rStyle w:val="StrongEmphasis"/>
          <w:rFonts w:ascii="Times New Roman;Times;serif" w:hAnsi="Times New Roman;Times;serif"/>
          <w:b w:val="false"/>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15" w:name="p2i1"/>
      <w:bookmarkEnd w:id="15"/>
      <w:r>
        <w:rPr>
          <w:rStyle w:val="StrongEmphasis"/>
          <w:rFonts w:ascii="Times New Roman;Times;serif" w:hAnsi="Times New Roman;Times;serif"/>
          <w:b w:val="false"/>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any material legal proceedings.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bookmarkStart w:id="16" w:name="p2i1a"/>
      <w:bookmarkEnd w:id="16"/>
      <w:r>
        <w:rPr>
          <w:rStyle w:val="StrongEmphasis"/>
          <w:rFonts w:ascii="Times New Roman;Times;serif" w:hAnsi="Times New Roman;Times;serif"/>
          <w:b w:val="false"/>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there have been no material changes with respect to the risk factors disclosed in Part I, Item 1A. of our 2025 Annual Report.</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r>
        <w:rPr>
          <w:rStyle w:val="StrongEmphasis"/>
          <w:rFonts w:ascii="Times New Roman;Times;serif" w:hAnsi="Times New Roman;Times;serif"/>
          <w:b w:val="false"/>
          <w:i/>
          <w:caps w:val="false"/>
          <w:smallCaps w:val="false"/>
          <w:sz w:val="20"/>
        </w:rPr>
        <w:t>Security, political and economic instability in the Middle East may harm our business.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left"/>
        <w:rPr/>
      </w:pPr>
      <w:r>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These developments have increased regional instability and may further escalate into more severe and prolonged hostilities, which could affect Israel and us.</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uto" w:line="256"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pStyle w:val="TextBody"/>
        <w:bidi w:val="0"/>
        <w:spacing w:lineRule="auto" w:line="256" w:before="0" w:after="0"/>
        <w:ind w:left="2" w:right="2" w:firstLine="72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17" w:name="p2i2"/>
      <w:bookmarkEnd w:id="17"/>
      <w:r>
        <w:rPr>
          <w:rStyle w:val="StrongEmphasis"/>
          <w:rFonts w:ascii="Times New Roman;Times;serif" w:hAnsi="Times New Roman;Times;serif"/>
          <w:b w:val="false"/>
          <w:i w:val="false"/>
          <w:caps w:val="false"/>
          <w:smallCaps w:val="false"/>
          <w:sz w:val="20"/>
        </w:rPr>
        <w:t>ITEM 2. UNREGISTERED SALES OF EQUITY SECURITIES AND USE OF PROCEEDS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18" w:name="p2i3"/>
      <w:bookmarkEnd w:id="18"/>
      <w:r>
        <w:rPr>
          <w:rStyle w:val="StrongEmphasis"/>
          <w:rFonts w:ascii="Times New Roman;Times;serif" w:hAnsi="Times New Roman;Times;serif"/>
          <w:b w:val="false"/>
          <w:i w:val="false"/>
          <w:caps w:val="false"/>
          <w:smallCaps w:val="false"/>
          <w:sz w:val="20"/>
        </w:rPr>
        <w:t xml:space="preserve">ITEM 3. DEFAULTS UPON SENIOR SECURITIES </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19" w:name="p2i4"/>
      <w:bookmarkEnd w:id="19"/>
      <w:r>
        <w:rPr>
          <w:rStyle w:val="StrongEmphasis"/>
          <w:rFonts w:ascii="Times New Roman;Times;serif" w:hAnsi="Times New Roman;Times;serif"/>
          <w:b w:val="false"/>
          <w:i w:val="false"/>
          <w:caps w:val="false"/>
          <w:smallCaps w:val="false"/>
          <w:sz w:val="20"/>
        </w:rPr>
        <w:t>ITEM 4. MINE SAFETY DISCLOSURES</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pPr>
      <w:bookmarkStart w:id="20" w:name="p2i5"/>
      <w:bookmarkEnd w:id="20"/>
      <w:r>
        <w:rPr>
          <w:rStyle w:val="StrongEmphasis"/>
          <w:rFonts w:ascii="Times New Roman;Times;serif" w:hAnsi="Times New Roman;Times;serif"/>
          <w:b w:val="false"/>
          <w:i w:val="false"/>
          <w:caps w:val="false"/>
          <w:smallCaps w:val="false"/>
          <w:sz w:val="20"/>
        </w:rPr>
        <w:t>ITEM 5. OTHER INFORMATION</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lineRule="atLeast" w:line="220"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lineRule="atLeast" w:line="220"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left"/>
        <w:rPr/>
      </w:pPr>
      <w:r>
        <w:rPr/>
        <w:t> </w:t>
      </w:r>
    </w:p>
    <w:p>
      <w:pPr>
        <w:pStyle w:val="TextBody"/>
        <w:bidi w:val="0"/>
        <w:spacing w:lineRule="atLeast" w:line="220" w:before="0" w:after="0"/>
        <w:ind w:left="0" w:right="0" w:hanging="0"/>
        <w:jc w:val="both"/>
        <w:rPr/>
      </w:pPr>
      <w:bookmarkStart w:id="21" w:name="p2i6"/>
      <w:bookmarkEnd w:id="21"/>
      <w:r>
        <w:rPr>
          <w:rStyle w:val="StrongEmphasis"/>
          <w:rFonts w:ascii="Times New Roman;Times;serif" w:hAnsi="Times New Roman;Times;serif"/>
          <w:b w:val="false"/>
          <w:i w:val="false"/>
          <w:caps w:val="false"/>
          <w:smallCaps w:val="false"/>
          <w:sz w:val="20"/>
        </w:rPr>
        <w:t>ITEM 6. EXHIBITS</w:t>
      </w:r>
    </w:p>
    <w:p>
      <w:pPr>
        <w:pStyle w:val="TextBody"/>
        <w:bidi w:val="0"/>
        <w:spacing w:lineRule="atLeast" w:line="220"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0"/>
        <w:gridCol w:w="60"/>
        <w:gridCol w:w="9305"/>
      </w:tblGrid>
      <w:tr>
        <w:trPr/>
        <w:tc>
          <w:tcPr>
            <w:tcW w:w="840"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5" w:type="dxa"/>
            <w:tcBorders>
              <w:bottom w:val="single" w:sz="12"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Description of Exhibits</w:t>
            </w:r>
          </w:p>
        </w:tc>
      </w:tr>
      <w:tr>
        <w:trPr/>
        <w:tc>
          <w:tcPr>
            <w:tcW w:w="840" w:type="dxa"/>
            <w:tcBorders/>
            <w:shd w:fill="CCEEFF" w:val="clear"/>
            <w:tcMar>
              <w:bottom w:w="0" w:type="dxa"/>
            </w:tcMar>
            <w:vAlign w:val="center"/>
          </w:tcPr>
          <w:p>
            <w:pPr>
              <w:pStyle w:val="TableContents"/>
              <w:bidi w:val="0"/>
              <w:spacing w:before="0" w:after="283"/>
              <w:jc w:val="center"/>
              <w:rPr/>
            </w:pPr>
            <w:hyperlink w:anchor="exhibit_31-1.htm">
              <w:r>
                <w:rPr>
                  <w:rStyle w:val="InternetLink"/>
                  <w:rFonts w:ascii="Times New Roman;Times;serif" w:hAnsi="Times New Roman;Times;serif"/>
                  <w:sz w:val="20"/>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both"/>
              <w:rPr/>
            </w:pPr>
            <w:hyperlink w:anchor="exhibit_31-1.htm">
              <w:r>
                <w:rPr>
                  <w:rStyle w:val="InternetLink"/>
                  <w:rFonts w:ascii="Times New Roman;Times;serif" w:hAnsi="Times New Roman;Times;serif"/>
                  <w:sz w:val="20"/>
                </w:rPr>
                <w:t>Certification of Principal Executive Officer Pursuant to Rules 13a-14(a) and 15d-14(a) under the Securities Exchange Act of 1934, as Adopted Pursuant to Section 302 of the Sarbanes-Oxley Act of 2002.</w:t>
              </w:r>
            </w:hyperlink>
          </w:p>
        </w:tc>
      </w:tr>
      <w:tr>
        <w:trPr/>
        <w:tc>
          <w:tcPr>
            <w:tcW w:w="840" w:type="dxa"/>
            <w:tcBorders/>
            <w:shd w:fill="FFFFFF" w:val="clear"/>
            <w:tcMar>
              <w:bottom w:w="0" w:type="dxa"/>
            </w:tcMar>
            <w:vAlign w:val="center"/>
          </w:tcPr>
          <w:p>
            <w:pPr>
              <w:pStyle w:val="TableContents"/>
              <w:bidi w:val="0"/>
              <w:spacing w:before="0" w:after="283"/>
              <w:jc w:val="center"/>
              <w:rPr/>
            </w:pPr>
            <w:hyperlink w:anchor="exhibit_31-2.htm">
              <w:r>
                <w:rPr>
                  <w:rStyle w:val="InternetLink"/>
                  <w:rFonts w:ascii="Times New Roman;Times;serif" w:hAnsi="Times New Roman;Times;serif"/>
                  <w:sz w:val="20"/>
                </w:rPr>
                <w:t>31.2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w:anchor="exhibit_31-2.htm">
              <w:r>
                <w:rPr>
                  <w:rStyle w:val="InternetLink"/>
                  <w:rFonts w:ascii="Times New Roman;Times;serif" w:hAnsi="Times New Roman;Times;serif"/>
                  <w:sz w:val="20"/>
                </w:rPr>
                <w:t>Certification of Principal Financial Officer Pursuant to Rules 13a-14(a) and 15d-14(a) under the Securities Exchange Act of 1934, as Adopted Pursuant to Section 302 of the Sarbanes-Oxley Act of 2002.</w:t>
              </w:r>
            </w:hyperlink>
          </w:p>
        </w:tc>
      </w:tr>
      <w:tr>
        <w:trPr/>
        <w:tc>
          <w:tcPr>
            <w:tcW w:w="840" w:type="dxa"/>
            <w:tcBorders/>
            <w:shd w:fill="CCEEFF" w:val="clear"/>
            <w:tcMar>
              <w:bottom w:w="0" w:type="dxa"/>
            </w:tcMar>
            <w:vAlign w:val="center"/>
          </w:tcPr>
          <w:p>
            <w:pPr>
              <w:pStyle w:val="TableContents"/>
              <w:bidi w:val="0"/>
              <w:spacing w:before="0" w:after="283"/>
              <w:jc w:val="center"/>
              <w:rPr/>
            </w:pPr>
            <w:hyperlink w:anchor="exhibit_32-1.htm">
              <w:r>
                <w:rPr>
                  <w:rStyle w:val="InternetLink"/>
                  <w:rFonts w:ascii="Times New Roman;Times;serif" w:hAnsi="Times New Roman;Times;serif"/>
                  <w:sz w:val="20"/>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pPr>
            <w:hyperlink w:anchor="exhibit_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840" w:type="dxa"/>
            <w:tcBorders/>
            <w:shd w:fill="FFFFFF" w:val="clear"/>
            <w:tcMar>
              <w:bottom w:w="0" w:type="dxa"/>
            </w:tcMar>
            <w:vAlign w:val="center"/>
          </w:tcPr>
          <w:p>
            <w:pPr>
              <w:pStyle w:val="TableContents"/>
              <w:bidi w:val="0"/>
              <w:spacing w:before="0" w:after="283"/>
              <w:jc w:val="center"/>
              <w:rPr/>
            </w:pPr>
            <w:hyperlink w:anchor="exhibit_32-2.htm">
              <w:r>
                <w:rPr>
                  <w:rStyle w:val="InternetLink"/>
                  <w:rFonts w:ascii="Times New Roman;Times;serif" w:hAnsi="Times New Roman;Times;serif"/>
                  <w:sz w:val="20"/>
                </w:rPr>
                <w:t>32.2**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both"/>
              <w:rPr/>
            </w:pPr>
            <w:hyperlink w:anchor="exhibit_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8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Instance Document.</w:t>
            </w:r>
          </w:p>
        </w:tc>
      </w:tr>
      <w:tr>
        <w:trPr/>
        <w:tc>
          <w:tcPr>
            <w:tcW w:w="8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2" w:name="SIGNATURES"/>
      <w:bookmarkEnd w:id="22"/>
      <w:r>
        <w:rPr>
          <w:rStyle w:val="StrongEmphasis"/>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550"/>
        <w:gridCol w:w="3755"/>
      </w:tblGrid>
      <w:tr>
        <w:trPr/>
        <w:tc>
          <w:tcPr>
            <w:tcW w:w="15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ENTERA BIO LTD.</w:t>
            </w:r>
          </w:p>
        </w:tc>
      </w:tr>
      <w:tr>
        <w:trPr/>
        <w:tc>
          <w:tcPr>
            <w:tcW w:w="15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8, 2026</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Miranda Toledano </w:t>
            </w:r>
          </w:p>
        </w:tc>
      </w:tr>
      <w:tr>
        <w:trPr/>
        <w:tc>
          <w:tcPr>
            <w:tcW w:w="1550" w:type="dxa"/>
            <w:tcBorders/>
            <w:vAlign w:val="center"/>
          </w:tcPr>
          <w:p>
            <w:pPr>
              <w:pStyle w:val="TableContents"/>
              <w:bidi w:val="0"/>
              <w:spacing w:before="0" w:after="283"/>
              <w:jc w:val="left"/>
              <w:rPr/>
            </w:pPr>
            <w:r>
              <w:rPr/>
              <w:t> </w:t>
            </w:r>
          </w:p>
        </w:tc>
        <w:tc>
          <w:tcPr>
            <w:tcW w:w="375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br/>
              <w:t>Chief Executive Officer</w:t>
            </w:r>
          </w:p>
        </w:tc>
      </w:tr>
      <w:tr>
        <w:trPr/>
        <w:tc>
          <w:tcPr>
            <w:tcW w:w="15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5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8, 2026</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Dana Yaacov-Garbeli</w:t>
            </w:r>
          </w:p>
        </w:tc>
      </w:tr>
      <w:tr>
        <w:trPr/>
        <w:tc>
          <w:tcPr>
            <w:tcW w:w="1550" w:type="dxa"/>
            <w:tcBorders/>
            <w:vAlign w:val="center"/>
          </w:tcPr>
          <w:p>
            <w:pPr>
              <w:pStyle w:val="TableContents"/>
              <w:bidi w:val="0"/>
              <w:spacing w:before="0" w:after="283"/>
              <w:jc w:val="left"/>
              <w:rPr/>
            </w:pPr>
            <w:r>
              <w:rPr/>
              <w:t> </w:t>
            </w:r>
          </w:p>
        </w:tc>
        <w:tc>
          <w:tcPr>
            <w:tcW w:w="375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Dana Yaacov-Garbeli</w:t>
              <w:br/>
              <w:t>Chief Financial Officer</w:t>
            </w:r>
          </w:p>
        </w:tc>
      </w:tr>
      <w:tr>
        <w:trPr/>
        <w:tc>
          <w:tcPr>
            <w:tcW w:w="155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3" w:name="exhibit_31-1.htm"/>
      <w:bookmarkStart w:id="24" w:name="ksexhibit_311"/>
      <w:bookmarkEnd w:id="23"/>
      <w:bookmarkEnd w:id="24"/>
      <w:r>
        <w:rPr>
          <w:bdr w:val="single" w:sz="16" w:space="1" w:color="000000"/>
        </w:rPr>
        <w:t> </w:t>
      </w:r>
      <w:r>
        <w:br w:type="page"/>
      </w:r>
    </w:p>
    <w:p>
      <w:pPr>
        <w:pStyle w:val="TextBody"/>
        <w:bidi w:val="0"/>
        <w:jc w:val="right"/>
        <w:rPr>
          <w:b/>
          <w:u w:val="single"/>
        </w:rPr>
      </w:pPr>
      <w:r>
        <w:rPr>
          <w:b/>
          <w:u w:val="single"/>
        </w:rPr>
        <w:t>Exhibit 31.1</w:t>
      </w:r>
    </w:p>
    <w:p>
      <w:pPr>
        <w:pStyle w:val="TextBody"/>
        <w:bidi w:val="0"/>
        <w:spacing w:before="0" w:after="283"/>
        <w:jc w:val="left"/>
        <w:rPr/>
      </w:pPr>
      <w:r>
        <w:rPr/>
        <w:t> </w:t>
      </w:r>
    </w:p>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Miranda Toledano, certify that:</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I have reviewed this Quarterly Report on Form 10-Q for the fiscal quarter ended March 31, 2026 of Entera Bio Ltd.;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865"/>
        <w:gridCol w:w="2750"/>
      </w:tblGrid>
      <w:tr>
        <w:trPr/>
        <w:tc>
          <w:tcPr>
            <w:tcW w:w="1865" w:type="dxa"/>
            <w:tcBorders/>
            <w:vAlign w:val="center"/>
          </w:tcPr>
          <w:p>
            <w:pPr>
              <w:pStyle w:val="TableContents"/>
              <w:bidi w:val="0"/>
              <w:spacing w:before="0" w:after="283"/>
              <w:jc w:val="left"/>
              <w:rPr/>
            </w:pPr>
            <w:r>
              <w:rPr/>
              <w:t> </w:t>
            </w:r>
            <w:r>
              <w:rPr>
                <w:rFonts w:ascii="Times New Roman;Times;Serif" w:hAnsi="Times New Roman;Times;Serif"/>
              </w:rPr>
              <w:t>Date: May 8, 2026</w:t>
            </w:r>
          </w:p>
        </w:tc>
        <w:tc>
          <w:tcPr>
            <w:tcW w:w="2750" w:type="dxa"/>
            <w:tcBorders/>
            <w:vAlign w:val="center"/>
          </w:tcPr>
          <w:p>
            <w:pPr>
              <w:pStyle w:val="TableContents"/>
              <w:bidi w:val="0"/>
              <w:spacing w:before="0" w:after="0"/>
              <w:jc w:val="left"/>
              <w:rPr>
                <w:u w:val="single"/>
              </w:rPr>
            </w:pPr>
            <w:r>
              <w:rPr>
                <w:u w:val="single"/>
              </w:rPr>
              <w:t>/s/ Miranda Toledano</w:t>
            </w:r>
          </w:p>
          <w:p>
            <w:pPr>
              <w:pStyle w:val="TableContents"/>
              <w:bidi w:val="0"/>
              <w:spacing w:before="0" w:after="0"/>
              <w:jc w:val="left"/>
              <w:rPr/>
            </w:pPr>
            <w:r>
              <w:rPr/>
              <w:t>Miranda Toledano</w:t>
            </w:r>
          </w:p>
          <w:p>
            <w:pPr>
              <w:pStyle w:val="TableContents"/>
              <w:bidi w:val="0"/>
              <w:spacing w:before="0" w:after="0"/>
              <w:jc w:val="left"/>
              <w:rPr/>
            </w:pPr>
            <w:r>
              <w:rPr/>
              <w:t>Chief Executive Officer</w:t>
            </w:r>
          </w:p>
          <w:p>
            <w:pPr>
              <w:pStyle w:val="TableContents"/>
              <w:bidi w:val="0"/>
              <w:spacing w:before="0" w:after="0"/>
              <w:jc w:val="left"/>
              <w:rPr/>
            </w:pPr>
            <w:r>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25" w:name="exhibit_31-2.htm"/>
      <w:bookmarkStart w:id="26" w:name="ksexhibit_312"/>
      <w:bookmarkEnd w:id="25"/>
      <w:bookmarkEnd w:id="26"/>
      <w:r>
        <w:rPr>
          <w:bdr w:val="single" w:sz="16" w:space="1" w:color="000000"/>
        </w:rPr>
        <w:t> </w:t>
      </w:r>
      <w:r>
        <w:br w:type="page"/>
      </w:r>
    </w:p>
    <w:p>
      <w:pPr>
        <w:pStyle w:val="TextBody"/>
        <w:bidi w:val="0"/>
        <w:jc w:val="right"/>
        <w:rPr>
          <w:b/>
          <w:u w:val="single"/>
        </w:rPr>
      </w:pPr>
      <w:r>
        <w:rPr>
          <w:b/>
          <w:u w:val="single"/>
        </w:rPr>
        <w:t>Exhibit 31.2</w:t>
      </w:r>
    </w:p>
    <w:p>
      <w:pPr>
        <w:pStyle w:val="TextBody"/>
        <w:bidi w:val="0"/>
        <w:spacing w:before="0" w:after="283"/>
        <w:jc w:val="left"/>
        <w:rPr/>
      </w:pPr>
      <w:r>
        <w:rPr/>
        <w:t> </w:t>
      </w:r>
    </w:p>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Dana Yaacov-Garbeli, certify that:</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I have reviewed this Quarterly Report on Form 10-Q for the fiscal quarter ended March 31, 2026 of Entera Bio Ltd.;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865"/>
        <w:gridCol w:w="3515"/>
      </w:tblGrid>
      <w:tr>
        <w:trPr/>
        <w:tc>
          <w:tcPr>
            <w:tcW w:w="1865" w:type="dxa"/>
            <w:tcBorders/>
            <w:vAlign w:val="center"/>
          </w:tcPr>
          <w:p>
            <w:pPr>
              <w:pStyle w:val="TableContents"/>
              <w:bidi w:val="0"/>
              <w:spacing w:before="0" w:after="283"/>
              <w:jc w:val="left"/>
              <w:rPr/>
            </w:pPr>
            <w:r>
              <w:rPr/>
              <w:t> </w:t>
            </w:r>
            <w:r>
              <w:rPr>
                <w:rFonts w:ascii="Times New Roman;Times;Serif" w:hAnsi="Times New Roman;Times;Serif"/>
              </w:rPr>
              <w:t>Date: May 8, 2026</w:t>
            </w:r>
          </w:p>
        </w:tc>
        <w:tc>
          <w:tcPr>
            <w:tcW w:w="3515" w:type="dxa"/>
            <w:tcBorders/>
            <w:vAlign w:val="center"/>
          </w:tcPr>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Dana Yaacov Garbeli</w:t>
            </w:r>
          </w:p>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Dana Yaacov-Garbeli</w:t>
            </w:r>
          </w:p>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pPr>
            <w:r>
              <w:rPr/>
              <w:t>(Principal Financial and Accounting)</w:t>
            </w:r>
          </w:p>
        </w:tc>
      </w:tr>
    </w:tbl>
    <w:p>
      <w:pPr>
        <w:pStyle w:val="TextBody"/>
        <w:bidi w:val="0"/>
        <w:spacing w:before="60" w:after="240"/>
        <w:ind w:left="0" w:right="0" w:firstLine="50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27" w:name="exhibit_32-1.htm"/>
      <w:bookmarkStart w:id="28" w:name="ksexhibit_321"/>
      <w:bookmarkEnd w:id="27"/>
      <w:bookmarkEnd w:id="28"/>
      <w:r>
        <w:rPr>
          <w:bdr w:val="single" w:sz="16" w:space="1" w:color="000000"/>
        </w:rPr>
        <w:t> </w:t>
      </w:r>
      <w:r>
        <w:br w:type="page"/>
      </w:r>
    </w:p>
    <w:p>
      <w:pPr>
        <w:pStyle w:val="TextBody"/>
        <w:bidi w:val="0"/>
        <w:jc w:val="right"/>
        <w:rPr>
          <w:b/>
          <w:u w:val="single"/>
        </w:rPr>
      </w:pPr>
      <w:r>
        <w:rPr>
          <w:b/>
          <w:u w:val="single"/>
        </w:rPr>
        <w:t>Exhibit 32.1</w:t>
      </w:r>
    </w:p>
    <w:p>
      <w:pPr>
        <w:pStyle w:val="TextBody"/>
        <w:bidi w:val="0"/>
        <w:spacing w:before="0" w:after="283"/>
        <w:jc w:val="left"/>
        <w:rPr/>
      </w:pPr>
      <w:r>
        <w:rPr/>
        <w:t> </w:t>
      </w:r>
    </w:p>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Miranda Toledano, Chief Executive Officer of Entera Bio Ltd. (the “Company”), certify, pursuant to Section 906 of the Sarbanes-Oxley Act of 2002, 18 U.S.C. Section 1350 that, to the best of my knowledge:</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the Quarterly Report on Form 10-Q of the Company for the fiscal quarter ended March 31, 2026 (the “Report”) fully complies with the requirements of Section 13(a) or 15(d) of the Securities Exchange Act of 1934 (15 U.S.C. 78m or 78o(d));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865"/>
        <w:gridCol w:w="2750"/>
      </w:tblGrid>
      <w:tr>
        <w:trPr/>
        <w:tc>
          <w:tcPr>
            <w:tcW w:w="1865" w:type="dxa"/>
            <w:tcBorders/>
            <w:vAlign w:val="center"/>
          </w:tcPr>
          <w:p>
            <w:pPr>
              <w:pStyle w:val="TableContents"/>
              <w:bidi w:val="0"/>
              <w:spacing w:before="0" w:after="283"/>
              <w:jc w:val="left"/>
              <w:rPr/>
            </w:pPr>
            <w:r>
              <w:rPr/>
              <w:t> </w:t>
            </w:r>
            <w:r>
              <w:rPr>
                <w:rFonts w:ascii="Times New Roman;Times;Serif" w:hAnsi="Times New Roman;Times;Serif"/>
              </w:rPr>
              <w:t>Date: May 8, 2026</w:t>
            </w:r>
          </w:p>
        </w:tc>
        <w:tc>
          <w:tcPr>
            <w:tcW w:w="2750" w:type="dxa"/>
            <w:tcBorders/>
            <w:vAlign w:val="center"/>
          </w:tcPr>
          <w:p>
            <w:pPr>
              <w:pStyle w:val="TableContents"/>
              <w:bidi w:val="0"/>
              <w:spacing w:before="0" w:after="0"/>
              <w:jc w:val="left"/>
              <w:rPr>
                <w:u w:val="single"/>
              </w:rPr>
            </w:pPr>
            <w:r>
              <w:rPr>
                <w:u w:val="single"/>
              </w:rPr>
              <w:t>/s/ Miranda Toledano</w:t>
            </w:r>
          </w:p>
          <w:p>
            <w:pPr>
              <w:pStyle w:val="TableContents"/>
              <w:bidi w:val="0"/>
              <w:spacing w:before="0" w:after="0"/>
              <w:jc w:val="left"/>
              <w:rPr/>
            </w:pPr>
            <w:r>
              <w:rPr/>
              <w:t>Miranda Toledano</w:t>
            </w:r>
          </w:p>
          <w:p>
            <w:pPr>
              <w:pStyle w:val="TableContents"/>
              <w:bidi w:val="0"/>
              <w:spacing w:before="0" w:after="0"/>
              <w:jc w:val="left"/>
              <w:rPr/>
            </w:pPr>
            <w:r>
              <w:rPr/>
              <w:t>Chief Executive Officer</w:t>
            </w:r>
          </w:p>
          <w:p>
            <w:pPr>
              <w:pStyle w:val="TableContents"/>
              <w:bidi w:val="0"/>
              <w:spacing w:before="0" w:after="0"/>
              <w:jc w:val="left"/>
              <w:rPr/>
            </w:pPr>
            <w:r>
              <w:rPr/>
              <w:t>(Principal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29" w:name="exhibit_32-2.htm"/>
      <w:bookmarkStart w:id="30" w:name="ksexhibit_322"/>
      <w:bookmarkEnd w:id="29"/>
      <w:bookmarkEnd w:id="30"/>
      <w:r>
        <w:rPr>
          <w:bdr w:val="single" w:sz="16" w:space="1" w:color="000000"/>
        </w:rPr>
        <w:t> </w:t>
      </w:r>
      <w:r>
        <w:br w:type="page"/>
      </w:r>
    </w:p>
    <w:p>
      <w:pPr>
        <w:pStyle w:val="TextBody"/>
        <w:bidi w:val="0"/>
        <w:jc w:val="right"/>
        <w:rPr>
          <w:b/>
          <w:u w:val="single"/>
        </w:rPr>
      </w:pPr>
      <w:r>
        <w:rPr>
          <w:b/>
          <w:u w:val="single"/>
        </w:rPr>
        <w:t>Exhibit 32.1</w:t>
      </w:r>
    </w:p>
    <w:p>
      <w:pPr>
        <w:pStyle w:val="TextBody"/>
        <w:bidi w:val="0"/>
        <w:spacing w:before="0" w:after="283"/>
        <w:jc w:val="left"/>
        <w:rPr/>
      </w:pPr>
      <w:r>
        <w:rPr/>
        <w:t> </w:t>
      </w:r>
    </w:p>
    <w:p>
      <w:pPr>
        <w:pStyle w:val="TextBody"/>
        <w:bidi w:val="0"/>
        <w:spacing w:lineRule="auto" w:line="256"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 OF THE SARBANES OXLEY ACT OF 2002</w:t>
      </w:r>
    </w:p>
    <w:p>
      <w:pPr>
        <w:pStyle w:val="TextBody"/>
        <w:bidi w:val="0"/>
        <w:spacing w:lineRule="auto" w:line="256" w:before="0" w:after="0"/>
        <w:ind w:left="0" w:right="0" w:hanging="0"/>
        <w:jc w:val="both"/>
        <w:rPr>
          <w:caps w:val="false"/>
          <w:smallCaps w:val="false"/>
        </w:rPr>
      </w:pPr>
      <w:r>
        <w:rPr>
          <w:caps w:val="false"/>
          <w:smallCaps w:val="false"/>
        </w:rPr>
        <w:t> </w:t>
      </w:r>
    </w:p>
    <w:p>
      <w:pPr>
        <w:pStyle w:val="TextBody"/>
        <w:bidi w:val="0"/>
        <w:spacing w:lineRule="auto" w:line="25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Dana Yaacov-Garbeli, Chief Financial Officer of Entera Bio Ltd. (the “Company”), certify, pursuant to Section 906 of the Sarbanes-Oxley Act of 2002, 18 U.S.C. Section 1350 that, to the best of my knowledge:</w:t>
      </w:r>
    </w:p>
    <w:p>
      <w:pPr>
        <w:pStyle w:val="TextBody"/>
        <w:bidi w:val="0"/>
        <w:spacing w:lineRule="auto" w:line="256"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both"/>
              <w:rPr/>
            </w:pPr>
            <w:r>
              <w:rPr/>
              <w:t>the Quarterly Report on Form 10-Q of the Company for the fiscal quarter ended March 31, 2026 (the “Report”) fully complies with the requirements of Section 13(a) or 15(d) of the Securities Exchange Act of 1934 (15 U.S.C. 78m or 78o(d));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865"/>
        <w:gridCol w:w="3515"/>
      </w:tblGrid>
      <w:tr>
        <w:trPr/>
        <w:tc>
          <w:tcPr>
            <w:tcW w:w="1865" w:type="dxa"/>
            <w:tcBorders/>
            <w:vAlign w:val="center"/>
          </w:tcPr>
          <w:p>
            <w:pPr>
              <w:pStyle w:val="TableContents"/>
              <w:bidi w:val="0"/>
              <w:spacing w:before="0" w:after="283"/>
              <w:jc w:val="left"/>
              <w:rPr/>
            </w:pPr>
            <w:r>
              <w:rPr/>
              <w:t> </w:t>
            </w:r>
            <w:r>
              <w:rPr>
                <w:rFonts w:ascii="Times New Roman;Times;Serif" w:hAnsi="Times New Roman;Times;Serif"/>
              </w:rPr>
              <w:t>Date: May 8, 2026</w:t>
            </w:r>
          </w:p>
        </w:tc>
        <w:tc>
          <w:tcPr>
            <w:tcW w:w="3515" w:type="dxa"/>
            <w:tcBorders/>
            <w:vAlign w:val="center"/>
          </w:tcPr>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Dana Yaacov Garbeli</w:t>
            </w:r>
          </w:p>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Dana Yaacov-Garbeli</w:t>
            </w:r>
          </w:p>
          <w:p>
            <w:pPr>
              <w:pStyle w:val="TableContents"/>
              <w:bidi w:val="0"/>
              <w:spacing w:lineRule="auto" w:line="25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pPr>
            <w:r>
              <w:rPr/>
              <w:t>(Principal Financial and Accounting)</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16366</Words>
  <Characters>91867</Characters>
  <CharactersWithSpaces>108888</CharactersWithSpaces>
  <Paragraphs>2864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