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794.xml.htm"/>
      <w:bookmarkStart w:id="1" w:name="kszk26357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Galitzer Hillel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KIRYAT HADASH,MINRAV BUILDING,5TH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9112002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Entera Bio Ltd.</w:t>
              </w:r>
            </w:hyperlink>
            <w:r>
              <w:rPr/>
              <w:t xml:space="preserve"> [ </w:t>
            </w:r>
            <w:r>
              <w:rPr>
                <w:rFonts w:ascii="Times;serif" w:hAnsi="Times;serif"/>
                <w:color w:val="0000FF"/>
                <w:sz w:val="24"/>
                <w:shd w:fill="FFFFFF" w:val="clear"/>
              </w:rPr>
              <w:t>ENTX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1026"/>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05/07/2036</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par value NIS 0.0000769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options to purchase ordinary shares. This grant of options was approved by the Board of Directors (the "Board") of Entera Bio Ltd. (the "Company") on May 7, 2026, subject to the filing by the Company of a Registration Statement on Form S-8 registering the ordinary shares underlying the option grant, which occurred on August 7, 2026. The options vest over a three year period which began on May 7, 2026, with one third of the options vesting on May 7, 2027 and the remaining two-thirds vesting ratably on a quarterly basis over the remaining two-year period, subject to full acceleration upon a Change in Control (as defined in the Company's 2018 Equity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Dana Yaacov-Garbeli,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4740" TargetMode="External"/><Relationship Id="rId5" Type="http://schemas.openxmlformats.org/officeDocument/2006/relationships/hyperlink" Target="http://www.sec.gov/cgi-bin/browse-edgar?action=getcompany&amp;CIK=00016380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3761</Characters>
  <CharactersWithSpaces>4386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