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As filed with the Securities and Exchange Commission on July 13, 2020</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F-3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ENTERA BIO LTD.</w:t>
      </w:r>
    </w:p>
    <w:p>
      <w:pPr>
        <w:sectPr>
          <w:pgSz w:w="11900" w:h="16838" w:orient="portrait"/>
          <w:cols w:equalWidth="0" w:num="1">
            <w:col w:w="11240"/>
          </w:cols>
          <w:pgMar w:left="320" w:top="472"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jc w:val="both"/>
        <w:ind w:left="580" w:firstLine="57"/>
        <w:spacing w:after="0" w:line="290" w:lineRule="auto"/>
        <w:rPr>
          <w:sz w:val="20"/>
          <w:szCs w:val="20"/>
          <w:color w:val="auto"/>
        </w:rPr>
      </w:pPr>
      <w:r>
        <w:rPr>
          <w:rFonts w:ascii="Arial" w:cs="Arial" w:eastAsia="Arial" w:hAnsi="Arial"/>
          <w:sz w:val="17"/>
          <w:szCs w:val="17"/>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3"/>
          </w:tcPr>
          <w:p>
            <w:pPr>
              <w:jc w:val="center"/>
              <w:ind w:right="48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40" w:type="dxa"/>
            <w:vAlign w:val="bottom"/>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6"/>
        </w:trPr>
        <w:tc>
          <w:tcPr>
            <w:tcW w:w="740" w:type="dxa"/>
            <w:vAlign w:val="bottom"/>
          </w:tcPr>
          <w:p>
            <w:pPr>
              <w:spacing w:after="0"/>
              <w:rPr>
                <w:sz w:val="24"/>
                <w:szCs w:val="24"/>
                <w:color w:val="auto"/>
              </w:rPr>
            </w:pPr>
          </w:p>
        </w:tc>
        <w:tc>
          <w:tcPr>
            <w:tcW w:w="4020" w:type="dxa"/>
            <w:vAlign w:val="bottom"/>
            <w:gridSpan w:val="2"/>
          </w:tcPr>
          <w:p>
            <w:pPr>
              <w:jc w:val="center"/>
              <w:ind w:right="1200"/>
              <w:spacing w:after="0"/>
              <w:rPr>
                <w:sz w:val="20"/>
                <w:szCs w:val="20"/>
                <w:color w:val="auto"/>
              </w:rPr>
            </w:pPr>
            <w:r>
              <w:rPr>
                <w:rFonts w:ascii="Arial" w:cs="Arial" w:eastAsia="Arial" w:hAnsi="Arial"/>
                <w:sz w:val="18"/>
                <w:szCs w:val="18"/>
                <w:color w:val="auto"/>
                <w:w w:val="94"/>
              </w:rPr>
              <w:t>Not Applicable</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60" w:type="dxa"/>
            <w:vAlign w:val="bottom"/>
            <w:gridSpan w:val="3"/>
          </w:tcPr>
          <w:p>
            <w:pPr>
              <w:jc w:val="center"/>
              <w:ind w:right="480"/>
              <w:spacing w:after="0"/>
              <w:rPr>
                <w:sz w:val="20"/>
                <w:szCs w:val="20"/>
                <w:color w:val="auto"/>
              </w:rPr>
            </w:pPr>
            <w:r>
              <w:rPr>
                <w:rFonts w:ascii="Arial" w:cs="Arial" w:eastAsia="Arial" w:hAnsi="Arial"/>
                <w:sz w:val="18"/>
                <w:szCs w:val="18"/>
                <w:i w:val="1"/>
                <w:iCs w:val="1"/>
                <w:color w:val="auto"/>
                <w:w w:val="92"/>
              </w:rPr>
              <w:t>(Translation of Registrant’s name into English)</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40" w:type="dxa"/>
            <w:vAlign w:val="bottom"/>
          </w:tcPr>
          <w:p>
            <w:pPr>
              <w:spacing w:after="0"/>
              <w:rPr>
                <w:sz w:val="24"/>
                <w:szCs w:val="24"/>
                <w:color w:val="auto"/>
              </w:rPr>
            </w:pPr>
          </w:p>
        </w:tc>
        <w:tc>
          <w:tcPr>
            <w:tcW w:w="40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2"/>
              </w:rPr>
              <w:t>Kiryat Hadassah</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2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4"/>
              </w:rPr>
              <w:t>Minrav Building - Fifth Floor</w:t>
            </w:r>
          </w:p>
        </w:tc>
        <w:tc>
          <w:tcPr>
            <w:tcW w:w="2140" w:type="dxa"/>
            <w:vAlign w:val="bottom"/>
            <w:vMerge w:val="restart"/>
          </w:tcPr>
          <w:p>
            <w:pPr>
              <w:jc w:val="center"/>
              <w:ind w:left="410"/>
              <w:spacing w:after="0"/>
              <w:rPr>
                <w:sz w:val="20"/>
                <w:szCs w:val="20"/>
                <w:color w:val="auto"/>
              </w:rPr>
            </w:pPr>
            <w:r>
              <w:rPr>
                <w:rFonts w:ascii="Arial" w:cs="Arial" w:eastAsia="Arial" w:hAnsi="Arial"/>
                <w:sz w:val="18"/>
                <w:szCs w:val="18"/>
                <w:b w:val="1"/>
                <w:bCs w:val="1"/>
                <w:color w:val="auto"/>
                <w:w w:val="92"/>
              </w:rPr>
              <w:t>Not Applicable</w:t>
            </w:r>
          </w:p>
        </w:tc>
        <w:tc>
          <w:tcPr>
            <w:tcW w:w="0" w:type="dxa"/>
            <w:vAlign w:val="bottom"/>
          </w:tcPr>
          <w:p>
            <w:pPr>
              <w:spacing w:after="0"/>
              <w:rPr>
                <w:sz w:val="1"/>
                <w:szCs w:val="1"/>
                <w:color w:val="auto"/>
              </w:rPr>
            </w:pPr>
          </w:p>
        </w:tc>
      </w:tr>
      <w:tr>
        <w:trPr>
          <w:trHeight w:val="112"/>
        </w:trPr>
        <w:tc>
          <w:tcPr>
            <w:tcW w:w="740" w:type="dxa"/>
            <w:vAlign w:val="bottom"/>
          </w:tcPr>
          <w:p>
            <w:pPr>
              <w:spacing w:after="0"/>
              <w:rPr>
                <w:sz w:val="9"/>
                <w:szCs w:val="9"/>
                <w:color w:val="auto"/>
              </w:rPr>
            </w:pPr>
          </w:p>
        </w:tc>
        <w:tc>
          <w:tcPr>
            <w:tcW w:w="4020" w:type="dxa"/>
            <w:vAlign w:val="bottom"/>
            <w:gridSpan w:val="2"/>
            <w:vMerge w:val="restart"/>
          </w:tcPr>
          <w:p>
            <w:pPr>
              <w:jc w:val="center"/>
              <w:ind w:right="1180"/>
              <w:spacing w:after="0"/>
              <w:rPr>
                <w:sz w:val="20"/>
                <w:szCs w:val="20"/>
                <w:color w:val="auto"/>
              </w:rPr>
            </w:pPr>
            <w:r>
              <w:rPr>
                <w:rFonts w:ascii="Arial" w:cs="Arial" w:eastAsia="Arial" w:hAnsi="Arial"/>
                <w:sz w:val="18"/>
                <w:szCs w:val="18"/>
                <w:b w:val="1"/>
                <w:bCs w:val="1"/>
                <w:color w:val="auto"/>
                <w:w w:val="90"/>
              </w:rPr>
              <w:t>Jerusalem, Israel</w:t>
            </w: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740" w:type="dxa"/>
            <w:vAlign w:val="bottom"/>
          </w:tcPr>
          <w:p>
            <w:pPr>
              <w:spacing w:after="0"/>
              <w:rPr>
                <w:sz w:val="9"/>
                <w:szCs w:val="9"/>
                <w:color w:val="auto"/>
              </w:rPr>
            </w:pPr>
          </w:p>
        </w:tc>
        <w:tc>
          <w:tcPr>
            <w:tcW w:w="4020" w:type="dxa"/>
            <w:vAlign w:val="bottom"/>
            <w:gridSpan w:val="2"/>
            <w:vMerge w:val="continue"/>
          </w:tcPr>
          <w:p>
            <w:pPr>
              <w:spacing w:after="0"/>
              <w:rPr>
                <w:sz w:val="9"/>
                <w:szCs w:val="9"/>
                <w:color w:val="auto"/>
              </w:rPr>
            </w:pPr>
          </w:p>
        </w:tc>
        <w:tc>
          <w:tcPr>
            <w:tcW w:w="2140" w:type="dxa"/>
            <w:vAlign w:val="bottom"/>
            <w:vMerge w:val="restart"/>
          </w:tcPr>
          <w:p>
            <w:pPr>
              <w:jc w:val="center"/>
              <w:ind w:left="410"/>
              <w:spacing w:after="0"/>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112"/>
        </w:trPr>
        <w:tc>
          <w:tcPr>
            <w:tcW w:w="740" w:type="dxa"/>
            <w:vAlign w:val="bottom"/>
          </w:tcPr>
          <w:p>
            <w:pPr>
              <w:spacing w:after="0"/>
              <w:rPr>
                <w:sz w:val="9"/>
                <w:szCs w:val="9"/>
                <w:color w:val="auto"/>
              </w:rPr>
            </w:pPr>
          </w:p>
        </w:tc>
        <w:tc>
          <w:tcPr>
            <w:tcW w:w="4020" w:type="dxa"/>
            <w:vAlign w:val="bottom"/>
            <w:gridSpan w:val="2"/>
            <w:vMerge w:val="restart"/>
          </w:tcPr>
          <w:p>
            <w:pPr>
              <w:jc w:val="center"/>
              <w:ind w:right="1200"/>
              <w:spacing w:after="0"/>
              <w:rPr>
                <w:sz w:val="20"/>
                <w:szCs w:val="20"/>
                <w:color w:val="auto"/>
              </w:rPr>
            </w:pPr>
            <w:r>
              <w:rPr>
                <w:rFonts w:ascii="Arial" w:cs="Arial" w:eastAsia="Arial" w:hAnsi="Arial"/>
                <w:sz w:val="18"/>
                <w:szCs w:val="18"/>
                <w:b w:val="1"/>
                <w:bCs w:val="1"/>
                <w:color w:val="auto"/>
                <w:w w:val="92"/>
              </w:rPr>
              <w:t>Tel: +972-2-532-7151</w:t>
            </w: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4020" w:type="dxa"/>
            <w:vAlign w:val="bottom"/>
            <w:gridSpan w:val="2"/>
            <w:vMerge w:val="continue"/>
          </w:tcPr>
          <w:p>
            <w:pPr>
              <w:spacing w:after="0"/>
              <w:rPr>
                <w:sz w:val="9"/>
                <w:szCs w:val="9"/>
                <w:color w:val="auto"/>
              </w:rPr>
            </w:pPr>
          </w:p>
        </w:tc>
        <w:tc>
          <w:tcPr>
            <w:tcW w:w="2140" w:type="dxa"/>
            <w:vAlign w:val="bottom"/>
            <w:vMerge w:val="restart"/>
          </w:tcPr>
          <w:p>
            <w:pPr>
              <w:jc w:val="center"/>
              <w:ind w:left="410"/>
              <w:spacing w:after="0"/>
              <w:rPr>
                <w:sz w:val="20"/>
                <w:szCs w:val="20"/>
                <w:color w:val="auto"/>
              </w:rPr>
            </w:pPr>
            <w:r>
              <w:rPr>
                <w:rFonts w:ascii="Arial" w:cs="Arial" w:eastAsia="Arial" w:hAnsi="Arial"/>
                <w:sz w:val="18"/>
                <w:szCs w:val="18"/>
                <w:i w:val="1"/>
                <w:iCs w:val="1"/>
                <w:color w:val="auto"/>
                <w:w w:val="93"/>
              </w:rPr>
              <w:t>Identification Number)</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4020" w:type="dxa"/>
            <w:vAlign w:val="bottom"/>
            <w:gridSpan w:val="2"/>
            <w:vMerge w:val="restart"/>
          </w:tcPr>
          <w:p>
            <w:pPr>
              <w:jc w:val="center"/>
              <w:ind w:right="1200"/>
              <w:spacing w:after="0"/>
              <w:rPr>
                <w:sz w:val="20"/>
                <w:szCs w:val="20"/>
                <w:color w:val="auto"/>
              </w:rPr>
            </w:pPr>
            <w:r>
              <w:rPr>
                <w:rFonts w:ascii="Arial" w:cs="Arial" w:eastAsia="Arial" w:hAnsi="Arial"/>
                <w:sz w:val="18"/>
                <w:szCs w:val="18"/>
                <w:i w:val="1"/>
                <w:iCs w:val="1"/>
                <w:color w:val="auto"/>
                <w:w w:val="88"/>
              </w:rPr>
              <w:t>(Address and telephone number of</w:t>
            </w: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4020" w:type="dxa"/>
            <w:vAlign w:val="bottom"/>
            <w:gridSpan w:val="2"/>
            <w:vMerge w:val="continue"/>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760" w:type="dxa"/>
            <w:vAlign w:val="bottom"/>
            <w:gridSpan w:val="3"/>
          </w:tcPr>
          <w:p>
            <w:pPr>
              <w:jc w:val="center"/>
              <w:ind w:right="460"/>
              <w:spacing w:after="0"/>
              <w:rPr>
                <w:sz w:val="20"/>
                <w:szCs w:val="20"/>
                <w:color w:val="auto"/>
              </w:rPr>
            </w:pPr>
            <w:r>
              <w:rPr>
                <w:rFonts w:ascii="Arial" w:cs="Arial" w:eastAsia="Arial" w:hAnsi="Arial"/>
                <w:sz w:val="18"/>
                <w:szCs w:val="18"/>
                <w:i w:val="1"/>
                <w:iCs w:val="1"/>
                <w:color w:val="auto"/>
                <w:w w:val="91"/>
              </w:rPr>
              <w:t>Registrant’s principal executive offices)</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5"/>
        </w:trPr>
        <w:tc>
          <w:tcPr>
            <w:tcW w:w="740" w:type="dxa"/>
            <w:vAlign w:val="bottom"/>
          </w:tcPr>
          <w:p>
            <w:pPr>
              <w:spacing w:after="0"/>
              <w:rPr>
                <w:sz w:val="24"/>
                <w:szCs w:val="24"/>
                <w:color w:val="auto"/>
              </w:rPr>
            </w:pPr>
          </w:p>
        </w:tc>
        <w:tc>
          <w:tcPr>
            <w:tcW w:w="402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3"/>
              </w:rPr>
              <w:t>Entera Bio Ltd.</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2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0"/>
              </w:rPr>
              <w:t>37 Walnut Street, Suite 300</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02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1"/>
              </w:rPr>
              <w:t>Wellesley Hills, MA 02481</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 w:type="dxa"/>
            <w:vAlign w:val="bottom"/>
          </w:tcPr>
          <w:p>
            <w:pPr>
              <w:spacing w:after="0"/>
              <w:rPr>
                <w:sz w:val="19"/>
                <w:szCs w:val="19"/>
                <w:color w:val="auto"/>
              </w:rPr>
            </w:pPr>
          </w:p>
        </w:tc>
        <w:tc>
          <w:tcPr>
            <w:tcW w:w="402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Tel: +972-1-781-237-0960</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gridSpan w:val="3"/>
          </w:tcPr>
          <w:p>
            <w:pPr>
              <w:jc w:val="center"/>
              <w:ind w:right="480"/>
              <w:spacing w:after="0"/>
              <w:rPr>
                <w:sz w:val="20"/>
                <w:szCs w:val="20"/>
                <w:color w:val="auto"/>
              </w:rPr>
            </w:pPr>
            <w:r>
              <w:rPr>
                <w:rFonts w:ascii="Arial" w:cs="Arial" w:eastAsia="Arial" w:hAnsi="Arial"/>
                <w:sz w:val="18"/>
                <w:szCs w:val="18"/>
                <w:i w:val="1"/>
                <w:iCs w:val="1"/>
                <w:color w:val="auto"/>
                <w:w w:val="89"/>
              </w:rPr>
              <w:t>(Name, address and telephone number of agent for service)</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020" w:type="dxa"/>
            <w:vAlign w:val="bottom"/>
            <w:gridSpan w:val="2"/>
          </w:tcPr>
          <w:p>
            <w:pPr>
              <w:jc w:val="center"/>
              <w:ind w:right="1220"/>
              <w:spacing w:after="0"/>
              <w:rPr>
                <w:sz w:val="20"/>
                <w:szCs w:val="20"/>
                <w:color w:val="auto"/>
              </w:rPr>
            </w:pPr>
            <w:r>
              <w:rPr>
                <w:rFonts w:ascii="Arial" w:cs="Arial" w:eastAsia="Arial" w:hAnsi="Arial"/>
                <w:sz w:val="18"/>
                <w:szCs w:val="18"/>
                <w:i w:val="1"/>
                <w:iCs w:val="1"/>
                <w:color w:val="auto"/>
                <w:w w:val="91"/>
              </w:rPr>
              <w:t>With copies to:</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sectPr>
          <w:pgSz w:w="11900" w:h="16838" w:orient="portrait"/>
          <w:cols w:equalWidth="0" w:num="2">
            <w:col w:w="2800" w:space="680"/>
            <w:col w:w="7760"/>
          </w:cols>
          <w:pgMar w:left="320" w:top="472" w:right="339" w:bottom="0" w:gutter="0" w:footer="0" w:header="0"/>
          <w:type w:val="continuous"/>
        </w:sectPr>
      </w:pPr>
    </w:p>
    <w:tbl>
      <w:tblPr>
        <w:tblLayout w:type="fixed"/>
        <w:tblInd w:w="1720" w:type="dxa"/>
        <w:tblCellMar>
          <w:top w:w="0" w:type="dxa"/>
          <w:left w:w="0" w:type="dxa"/>
          <w:bottom w:w="0" w:type="dxa"/>
          <w:right w:w="0" w:type="dxa"/>
        </w:tblCellMar>
      </w:tblPr>
      <w:tr>
        <w:trPr>
          <w:trHeight w:val="216"/>
        </w:trPr>
        <w:tc>
          <w:tcPr>
            <w:tcW w:w="39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Yasin Keshvargar</w:t>
            </w:r>
          </w:p>
        </w:tc>
        <w:tc>
          <w:tcPr>
            <w:tcW w:w="388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Yair Geva, Adv.</w:t>
            </w:r>
          </w:p>
        </w:tc>
      </w:tr>
      <w:tr>
        <w:trPr>
          <w:trHeight w:val="216"/>
        </w:trPr>
        <w:tc>
          <w:tcPr>
            <w:tcW w:w="39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4"/>
              </w:rPr>
              <w:t>Davis Polk &amp; Wardwell LLP</w:t>
            </w:r>
          </w:p>
        </w:tc>
        <w:tc>
          <w:tcPr>
            <w:tcW w:w="3880" w:type="dxa"/>
            <w:vAlign w:val="bottom"/>
          </w:tcPr>
          <w:p>
            <w:pPr>
              <w:jc w:val="center"/>
              <w:ind w:left="1610"/>
              <w:spacing w:after="0"/>
              <w:rPr>
                <w:sz w:val="20"/>
                <w:szCs w:val="20"/>
                <w:color w:val="auto"/>
              </w:rPr>
            </w:pPr>
            <w:r>
              <w:rPr>
                <w:rFonts w:ascii="Arial" w:cs="Arial" w:eastAsia="Arial" w:hAnsi="Arial"/>
                <w:sz w:val="18"/>
                <w:szCs w:val="18"/>
                <w:b w:val="1"/>
                <w:bCs w:val="1"/>
                <w:color w:val="auto"/>
                <w:w w:val="90"/>
              </w:rPr>
              <w:t>Tomer Farkash, Adv.</w:t>
            </w:r>
          </w:p>
        </w:tc>
      </w:tr>
      <w:tr>
        <w:trPr>
          <w:trHeight w:val="216"/>
        </w:trPr>
        <w:tc>
          <w:tcPr>
            <w:tcW w:w="39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450 Lexington Avenue</w:t>
            </w:r>
          </w:p>
        </w:tc>
        <w:tc>
          <w:tcPr>
            <w:tcW w:w="388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Herzog Fox &amp; Neeman</w:t>
            </w:r>
          </w:p>
        </w:tc>
      </w:tr>
      <w:tr>
        <w:trPr>
          <w:trHeight w:val="216"/>
        </w:trPr>
        <w:tc>
          <w:tcPr>
            <w:tcW w:w="39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2"/>
              </w:rPr>
              <w:t>New York, NY 10017</w:t>
            </w:r>
          </w:p>
        </w:tc>
        <w:tc>
          <w:tcPr>
            <w:tcW w:w="388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Asia House, 4 Weizmann St.</w:t>
            </w:r>
          </w:p>
        </w:tc>
      </w:tr>
      <w:tr>
        <w:trPr>
          <w:trHeight w:val="216"/>
        </w:trPr>
        <w:tc>
          <w:tcPr>
            <w:tcW w:w="39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0"/>
              </w:rPr>
              <w:t>Phone: (212) 450-4000</w:t>
            </w:r>
          </w:p>
        </w:tc>
        <w:tc>
          <w:tcPr>
            <w:tcW w:w="3880" w:type="dxa"/>
            <w:vAlign w:val="bottom"/>
          </w:tcPr>
          <w:p>
            <w:pPr>
              <w:jc w:val="center"/>
              <w:ind w:left="1630"/>
              <w:spacing w:after="0"/>
              <w:rPr>
                <w:sz w:val="20"/>
                <w:szCs w:val="20"/>
                <w:color w:val="auto"/>
              </w:rPr>
            </w:pPr>
            <w:r>
              <w:rPr>
                <w:rFonts w:ascii="Arial" w:cs="Arial" w:eastAsia="Arial" w:hAnsi="Arial"/>
                <w:sz w:val="18"/>
                <w:szCs w:val="18"/>
                <w:b w:val="1"/>
                <w:bCs w:val="1"/>
                <w:color w:val="auto"/>
                <w:w w:val="91"/>
              </w:rPr>
              <w:t>Tel-Aviv 6423904, Israel</w:t>
            </w:r>
          </w:p>
        </w:tc>
      </w:tr>
      <w:tr>
        <w:trPr>
          <w:trHeight w:val="216"/>
        </w:trPr>
        <w:tc>
          <w:tcPr>
            <w:tcW w:w="39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2"/>
              </w:rPr>
              <w:t>Fax: (212) 701-5800</w:t>
            </w:r>
          </w:p>
        </w:tc>
        <w:tc>
          <w:tcPr>
            <w:tcW w:w="388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Tel: +972-3-692-2020</w:t>
            </w:r>
          </w:p>
        </w:tc>
      </w:tr>
      <w:tr>
        <w:trPr>
          <w:trHeight w:val="234"/>
        </w:trPr>
        <w:tc>
          <w:tcPr>
            <w:tcW w:w="3920" w:type="dxa"/>
            <w:vAlign w:val="bottom"/>
          </w:tcPr>
          <w:p>
            <w:pPr>
              <w:spacing w:after="0"/>
              <w:rPr>
                <w:sz w:val="20"/>
                <w:szCs w:val="20"/>
                <w:color w:val="auto"/>
              </w:rPr>
            </w:pPr>
          </w:p>
        </w:tc>
        <w:tc>
          <w:tcPr>
            <w:tcW w:w="3880" w:type="dxa"/>
            <w:vAlign w:val="bottom"/>
          </w:tcPr>
          <w:p>
            <w:pPr>
              <w:jc w:val="center"/>
              <w:ind w:left="1610"/>
              <w:spacing w:after="0"/>
              <w:rPr>
                <w:sz w:val="20"/>
                <w:szCs w:val="20"/>
                <w:color w:val="auto"/>
              </w:rPr>
            </w:pPr>
            <w:r>
              <w:rPr>
                <w:rFonts w:ascii="Arial" w:cs="Arial" w:eastAsia="Arial" w:hAnsi="Arial"/>
                <w:sz w:val="18"/>
                <w:szCs w:val="18"/>
                <w:b w:val="1"/>
                <w:bCs w:val="1"/>
                <w:color w:val="auto"/>
                <w:w w:val="91"/>
              </w:rPr>
              <w:t>Fax: +972-3-696-6464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2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472" w:right="339" w:bottom="0" w:gutter="0" w:footer="0" w:header="0"/>
          <w:type w:val="continuous"/>
        </w:sectPr>
      </w:pPr>
    </w:p>
    <w:bookmarkStart w:id="1" w:name="page2"/>
    <w:bookmarkEnd w:id="1"/>
    <w:p>
      <w:pPr>
        <w:ind w:right="4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4980" w:type="dxa"/>
            <w:vAlign w:val="bottom"/>
            <w:tcBorders>
              <w:top w:val="single" w:sz="8" w:color="auto"/>
              <w:right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spacing w:after="0"/>
              <w:rPr>
                <w:sz w:val="24"/>
                <w:szCs w:val="24"/>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49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260"/>
              <w:spacing w:after="0"/>
              <w:rPr>
                <w:sz w:val="20"/>
                <w:szCs w:val="20"/>
                <w:color w:val="auto"/>
              </w:rPr>
            </w:pPr>
            <w:r>
              <w:rPr>
                <w:rFonts w:ascii="Arial" w:cs="Arial" w:eastAsia="Arial" w:hAnsi="Arial"/>
                <w:sz w:val="18"/>
                <w:szCs w:val="18"/>
                <w:b w:val="1"/>
                <w:bCs w:val="1"/>
                <w:color w:val="auto"/>
              </w:rPr>
              <w:t>Amount to be</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 price per</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registration</w:t>
            </w:r>
          </w:p>
        </w:tc>
      </w:tr>
      <w:tr>
        <w:trPr>
          <w:trHeight w:val="241"/>
        </w:trPr>
        <w:tc>
          <w:tcPr>
            <w:tcW w:w="498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registered(1)</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unit(2)</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fee(3)</w:t>
            </w:r>
          </w:p>
        </w:tc>
      </w:tr>
      <w:tr>
        <w:trPr>
          <w:trHeight w:val="216"/>
        </w:trPr>
        <w:tc>
          <w:tcPr>
            <w:tcW w:w="4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par value NIS 0.0000769 per share</w:t>
            </w:r>
          </w:p>
        </w:tc>
        <w:tc>
          <w:tcPr>
            <w:tcW w:w="15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5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Warrants</w:t>
            </w:r>
          </w:p>
        </w:tc>
        <w:tc>
          <w:tcPr>
            <w:tcW w:w="15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10"/>
        </w:trPr>
        <w:tc>
          <w:tcPr>
            <w:tcW w:w="4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Rights</w:t>
            </w:r>
          </w:p>
        </w:tc>
        <w:tc>
          <w:tcPr>
            <w:tcW w:w="15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Units</w:t>
            </w:r>
          </w:p>
        </w:tc>
        <w:tc>
          <w:tcPr>
            <w:tcW w:w="15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w:t>
            </w:r>
          </w:p>
        </w:tc>
      </w:tr>
      <w:tr>
        <w:trPr>
          <w:trHeight w:val="209"/>
        </w:trPr>
        <w:tc>
          <w:tcPr>
            <w:tcW w:w="4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Totals:</w:t>
            </w:r>
          </w:p>
        </w:tc>
        <w:tc>
          <w:tcPr>
            <w:tcW w:w="158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$100,000,000</w:t>
            </w:r>
          </w:p>
        </w:tc>
        <w:tc>
          <w:tcPr>
            <w:tcW w:w="168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$100,000,000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$12,980</w:t>
            </w:r>
          </w:p>
        </w:tc>
      </w:tr>
    </w:tbl>
    <w:p>
      <w:pPr>
        <w:spacing w:after="0" w:line="202" w:lineRule="exact"/>
        <w:rPr>
          <w:sz w:val="20"/>
          <w:szCs w:val="20"/>
          <w:color w:val="auto"/>
        </w:rPr>
      </w:pPr>
    </w:p>
    <w:p>
      <w:pPr>
        <w:ind w:left="340" w:right="60" w:hanging="332"/>
        <w:spacing w:after="0" w:line="273"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There are being registered hereunder such indeterminate number of the securities of each identified class being registered as may be sold by the registrant from time to time at indeterminate prices, with the maximum aggregate public offering price not to exceed $100,000,000. If any debt securities are issued at an original issue discount, then the offering price of such debt securities shall be in such greater principal amount as shall result in a maximum aggregate offering price not to exceed $100,000,000, less the aggregate dollar amount of all securities previously issued hereunder. In addition, the ordinary shares being registered hereunder include such indeterminate number of ordinary shares as may be issuable with respect to the shares being registered hereunder as a result of share splits, share dividends, or similar transactions.</w:t>
      </w:r>
    </w:p>
    <w:p>
      <w:pPr>
        <w:spacing w:after="0" w:line="96"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proposed maximum aggregate price per unit of each class of securities will be determined from time to time by the registrant in connection with the issuance by the registrant of the securities registered hereunder and is not specified as to each class of securities pursuant to the General Instruction II.C. of Form F-3 under the Securities Act of 1933.</w:t>
      </w:r>
    </w:p>
    <w:p>
      <w:pPr>
        <w:spacing w:after="0" w:line="102" w:lineRule="exact"/>
        <w:rPr>
          <w:rFonts w:ascii="Arial" w:cs="Arial" w:eastAsia="Arial" w:hAnsi="Arial"/>
          <w:sz w:val="18"/>
          <w:szCs w:val="18"/>
          <w:color w:val="auto"/>
        </w:rPr>
      </w:pPr>
    </w:p>
    <w:p>
      <w:pPr>
        <w:ind w:left="340" w:right="40" w:hanging="332"/>
        <w:spacing w:after="0" w:line="308"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Estimated solely for purpose of calculating the registration fee pursuant to Rule 457(o) under the Securities Act of 1933. In no event will the aggregate offering price of all securities sold by the registrant from time to time pursuant to this registration statement exceed $100,000,000.</w:t>
      </w:r>
    </w:p>
    <w:p>
      <w:pPr>
        <w:spacing w:after="0" w:line="27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registration statement contains two prospectuses:</w:t>
      </w:r>
    </w:p>
    <w:p>
      <w:pPr>
        <w:spacing w:after="0" w:line="225" w:lineRule="exact"/>
        <w:rPr>
          <w:sz w:val="20"/>
          <w:szCs w:val="20"/>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of up to $100,000,000 of the registrant’s ordinary shares, debt securities, warrants, rights and units; and</w:t>
      </w:r>
    </w:p>
    <w:p>
      <w:pPr>
        <w:spacing w:after="0" w:line="17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equity distribution agreement prospectus supplement covering the offering, issuance and sale of up to $13,900,000 of the registrant’s ordinary shares that may be issued and sold under an equity distribution agreement dated July 13, 2020 between the registrant and Canaccord Genuity LLC (the “Equity Distribution Agreement”).</w:t>
      </w:r>
    </w:p>
    <w:p>
      <w:pPr>
        <w:spacing w:after="0" w:line="18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base prospectus immediately follows this explanatory note. The specific terms of any securities to be offered pursuant to the base prospectus will be specified in a prospectus supplement to the base prospectus. The equity distribution agreement prospectus supplement immediately follows the base prospectus. The ordinary shares that may be offered, issued and sold under the equity distribution agreement prospectus supplement is included in the $100,000,000 of securities that may be offered, issued and sold by the registrant under the base prospectus. Upon termination of the Equity Distribution Agreement, any portion of the $100,000,000 included in the equity distribution agreement prospectus supplement that is not sold pursuant to the Equity Distribution Agreement will be available for sale in other offerings pursuant to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p>
      <w:pPr>
        <w:jc w:val="both"/>
        <w:ind w:right="380"/>
        <w:spacing w:after="0" w:line="263" w:lineRule="auto"/>
        <w:rPr>
          <w:sz w:val="20"/>
          <w:szCs w:val="20"/>
          <w:color w:val="auto"/>
        </w:rPr>
      </w:pPr>
      <w:r>
        <w:rPr>
          <w:rFonts w:ascii="Arial" w:cs="Arial" w:eastAsia="Arial" w:hAnsi="Arial"/>
          <w:sz w:val="18"/>
          <w:szCs w:val="18"/>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 DATED JULY 13,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$100,000,000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Ordinary Shares, Debt Securities, Warrants,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140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ENTERA BIO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may offer from time to time, in one or more offerings, ordinary shares, senior debt securities, subordinated debt securities, warrants, rights and units (collectively, the “securities”).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7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15.</w:t>
      </w:r>
    </w:p>
    <w:p>
      <w:pPr>
        <w:spacing w:after="0" w:line="184"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Our ordinary shares are listed on the Nasdaq Capital Market, or Nasdaq, under the symbol “ENTX”. On May 19, 2020, the average of the bid and asked prices for our ordinary shares on Nasdaq was $3.00 per share. As of May 19, 2020, the aggregate market value of our outstanding ordinary shares held by non-affiliates was approximately $41.7 million based on 18,234,191 outstanding ordinary shares, of which approximately 13,921,776 ordinary shares were held by non-affiliates. We have not offered any of our ordinary shares pursuant to General Instruction I.B.5 of Form F-3 during the prior 12 calendar month period that ends on, and includes,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ind w:right="40" w:firstLine="324"/>
        <w:spacing w:after="0" w:line="266" w:lineRule="auto"/>
        <w:rPr>
          <w:sz w:val="20"/>
          <w:szCs w:val="20"/>
          <w:color w:val="auto"/>
        </w:rPr>
      </w:pPr>
      <w:r>
        <w:rPr>
          <w:rFonts w:ascii="Arial" w:cs="Arial" w:eastAsia="Arial" w:hAnsi="Arial"/>
          <w:sz w:val="18"/>
          <w:szCs w:val="18"/>
          <w:b w:val="1"/>
          <w:bCs w:val="1"/>
          <w:color w:val="auto"/>
        </w:rPr>
        <w:t>Investing in the securities involves risks. You should carefully review the “Risk Factors” section set forth in our most recent annual report on Form 20-F, which is incorporated by reference herein, as well as in any other recently filed reports and, if any, in the relevant prospectus supplement.</w:t>
      </w:r>
    </w:p>
    <w:p>
      <w:pPr>
        <w:spacing w:after="0" w:line="176"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date of this prospectus is July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5" w:name="page6"/>
    <w:bookmarkEnd w:id="5"/>
    <w:p>
      <w:pPr>
        <w:ind w:right="120" w:firstLine="324"/>
        <w:spacing w:after="0" w:line="311" w:lineRule="auto"/>
        <w:rPr>
          <w:sz w:val="20"/>
          <w:szCs w:val="20"/>
          <w:color w:val="auto"/>
        </w:rPr>
      </w:pPr>
      <w:r>
        <w:rPr>
          <w:rFonts w:ascii="Arial" w:cs="Arial" w:eastAsia="Arial" w:hAnsi="Arial"/>
          <w:sz w:val="16"/>
          <w:szCs w:val="16"/>
          <w:color w:val="auto"/>
        </w:rPr>
        <w:t>We have not authorized any other person to provide you with information different from or in addition to that included in this prospectus and any prospectus supplement. We are not making an offer to sell the securities in any jurisdiction where the offer or sale is not permitted. You should not assume that the information in this prospectus or any prospectus supplement is accurate as of any date other than the date on the front of those documents.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prospectus, the terms “Entera,” “we,” “us,” “our,” “the Company” and “our company” refer to Entera Bio Ltd.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7040" w:type="dxa"/>
            <w:vAlign w:val="bottom"/>
            <w:gridSpan w:val="3"/>
          </w:tcPr>
          <w:p>
            <w:pPr>
              <w:ind w:left="4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4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4220" w:type="dxa"/>
            <w:vAlign w:val="bottom"/>
          </w:tcPr>
          <w:p>
            <w:pPr>
              <w:spacing w:after="0"/>
              <w:rPr>
                <w:sz w:val="24"/>
                <w:szCs w:val="24"/>
                <w:color w:val="auto"/>
              </w:rPr>
            </w:pPr>
          </w:p>
        </w:tc>
        <w:tc>
          <w:tcPr>
            <w:tcW w:w="7020" w:type="dxa"/>
            <w:vAlign w:val="bottom"/>
            <w:gridSpan w:val="2"/>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About This Prospectus</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Where You Can Find More Information</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w w:val="98"/>
              </w:rPr>
            </w:pPr>
            <w:hyperlink w:anchor="page8">
              <w:r>
                <w:rPr>
                  <w:rFonts w:ascii="Arial" w:cs="Arial" w:eastAsia="Arial" w:hAnsi="Arial"/>
                  <w:sz w:val="18"/>
                  <w:szCs w:val="18"/>
                  <w:u w:val="single" w:color="auto"/>
                  <w:color w:val="0000EE"/>
                  <w:w w:val="98"/>
                </w:rPr>
                <w:t>Special Note Regarding Forward-Looking Statements</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2</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Entera Bio Ltd.</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Securities</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Plan of Distribution</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Incorporation of Certain Documents by Reference</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Service of Process and Enforcement of Judgments</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18</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Expenses</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19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Matters</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19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7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Experts</w:t>
              </w:r>
            </w:hyperlink>
          </w:p>
        </w:tc>
        <w:tc>
          <w:tcPr>
            <w:tcW w:w="70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19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This prospectus is part of a registration statement on Form F-3 that we filed with the U.S. Securities and Exchange Commission (the “SEC”), using a “shelf” registration process. Under this shelf process, we may, from time to time, sell the securities described in this prospectus in one or more offerings. This prospectus only provides you with a general description of the securities we may offer. We may also provide a prospectus supplement that will contain additional or more specific information about the terms of any offering. The prospectus supplement may also add, update or change information contained in this prospectus. You should carefully read both this prospectus and an applicable prospectus supplement, if any, together with additional information described under the heading “Where You Can Find More Information” before deciding to invest in any of the securities being offered.</w:t>
      </w:r>
    </w:p>
    <w:p>
      <w:pPr>
        <w:spacing w:after="0" w:line="164"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This prospectus does not contain all of the information included in the registration statement. For a more complete understanding of the offering of the securities, you should refer to the registration statement, including the exhibits thereto. To the extent there is a conflict between the information contained in this prospectus and the prospectus supplement, if any, you should rely on the information in the prospectus supplement, provided that if any statement in one of these documents is inconsistent with a statement in another document having a later date</w:t>
      </w:r>
      <w:r>
        <w:rPr>
          <w:rFonts w:ascii="Arial" w:cs="Arial" w:eastAsia="Arial" w:hAnsi="Arial"/>
          <w:sz w:val="16"/>
          <w:szCs w:val="16"/>
          <w:b w:val="1"/>
          <w:bCs w:val="1"/>
          <w:color w:val="auto"/>
        </w:rPr>
        <w:t>—</w:t>
      </w:r>
      <w:r>
        <w:rPr>
          <w:rFonts w:ascii="Arial" w:cs="Arial" w:eastAsia="Arial" w:hAnsi="Arial"/>
          <w:sz w:val="16"/>
          <w:szCs w:val="16"/>
          <w:color w:val="auto"/>
        </w:rPr>
        <w:t>for example, a document incorporated by reference in this prospectus or any prospectus supplement</w:t>
      </w:r>
      <w:r>
        <w:rPr>
          <w:rFonts w:ascii="Arial" w:cs="Arial" w:eastAsia="Arial" w:hAnsi="Arial"/>
          <w:sz w:val="16"/>
          <w:szCs w:val="16"/>
          <w:b w:val="1"/>
          <w:bCs w:val="1"/>
          <w:color w:val="auto"/>
        </w:rPr>
        <w:t>—</w:t>
      </w:r>
      <w:r>
        <w:rPr>
          <w:rFonts w:ascii="Arial" w:cs="Arial" w:eastAsia="Arial" w:hAnsi="Arial"/>
          <w:sz w:val="16"/>
          <w:szCs w:val="16"/>
          <w:color w:val="auto"/>
        </w:rPr>
        <w:t>the statement in the document having the later date modifies or supersedes the earlier statement.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have filed with the U.S. Securities and Exchange Commission a registration statement (including amendments and exhibits to the registration statement) on Form F-3 under the Securities Act of 1933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2"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8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277"/>
        <w:spacing w:after="0" w:line="286" w:lineRule="auto"/>
        <w:rPr>
          <w:sz w:val="20"/>
          <w:szCs w:val="20"/>
          <w:color w:val="auto"/>
        </w:rPr>
      </w:pPr>
      <w:r>
        <w:rPr>
          <w:rFonts w:ascii="Arial" w:cs="Arial" w:eastAsia="Arial" w:hAnsi="Arial"/>
          <w:sz w:val="16"/>
          <w:szCs w:val="16"/>
          <w:color w:val="auto"/>
        </w:rPr>
        <w:t>Various statements in this prospectus are “forward-looking statements” within the meaning of the Private Securities Litigation Reform Act of 1995 and other U.S. Federal securities laws. In addition, historic results of scientific research and clinical and preclinical trials do not guarantee that the conclusions of future research or trials would not be different, and historic results referred to in this prospectus may be interpreted differently in light of additional research and clinical and preclinical trials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prospectus and any documents incorporated by reference herein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such as, but not limited to, “anticipate,” “believe,” “contemplates,” “continue,” “could,” “design,” “estimate,” “expect,” “intend,” “likely,” “may,” “ongoing,” “plan,” “potential,” “predict,” “project,” “will,” “would,” “seek,” “should,” “target,” or the negative of these terms and similar expressions or words, identify forward-looking statements. The events and circumstances reflected in our forward-looking statements may not occur and actual results could differ materially from those projected in our forward-looking statements. Meaningful factors which could cause actual results to differ include, but are not limited to:</w:t>
      </w:r>
    </w:p>
    <w:p>
      <w:pPr>
        <w:spacing w:after="0" w:line="174" w:lineRule="exact"/>
        <w:rPr>
          <w:sz w:val="20"/>
          <w:szCs w:val="20"/>
          <w:color w:val="auto"/>
        </w:rPr>
      </w:pPr>
    </w:p>
    <w:p>
      <w:pPr>
        <w:ind w:left="600" w:hanging="32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scope, progress and costs of developing our product candidates such as EB613 for Osteoporosis and EB 612 for Hypoparathyroidism;</w:t>
      </w:r>
    </w:p>
    <w:p>
      <w:pPr>
        <w:spacing w:after="0" w:line="236" w:lineRule="exact"/>
        <w:rPr>
          <w:rFonts w:ascii="Arial" w:cs="Arial" w:eastAsia="Arial" w:hAnsi="Arial"/>
          <w:sz w:val="17"/>
          <w:szCs w:val="17"/>
          <w:color w:val="auto"/>
        </w:rPr>
      </w:pPr>
    </w:p>
    <w:p>
      <w:pPr>
        <w:ind w:left="600" w:hanging="322"/>
        <w:spacing w:after="0"/>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accuracy of our estimates regarding expenses, capital requirements, the sufficiency of our cash resources and the need for additional financing;</w:t>
      </w:r>
    </w:p>
    <w:p>
      <w:pPr>
        <w:spacing w:after="0" w:line="248" w:lineRule="exact"/>
        <w:rPr>
          <w:rFonts w:ascii="Arial" w:cs="Arial" w:eastAsia="Arial" w:hAnsi="Arial"/>
          <w:sz w:val="16"/>
          <w:szCs w:val="16"/>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funds on commercially reasonable terms;</w:t>
      </w:r>
    </w:p>
    <w:p>
      <w:pPr>
        <w:spacing w:after="0" w:line="225" w:lineRule="exact"/>
        <w:rPr>
          <w:rFonts w:ascii="Arial" w:cs="Arial" w:eastAsia="Arial" w:hAnsi="Arial"/>
          <w:sz w:val="18"/>
          <w:szCs w:val="18"/>
          <w:color w:val="auto"/>
        </w:rPr>
      </w:pPr>
    </w:p>
    <w:p>
      <w:pPr>
        <w:ind w:left="600" w:right="34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advance product candidates into, and successfully complete, clinical studies such as our ongoing Phase 2 clinical trial of EB613 in osteoporosis;</w:t>
      </w:r>
    </w:p>
    <w:p>
      <w:pPr>
        <w:spacing w:after="0" w:line="170"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licensing, business transactions and strategic collaborations;</w:t>
      </w:r>
    </w:p>
    <w:p>
      <w:pPr>
        <w:spacing w:after="0" w:line="225"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operation as a development stage company with limited operating history and a prior record of operating losses as well as our ability to fund our operations going forward;</w:t>
      </w:r>
    </w:p>
    <w:p>
      <w:pPr>
        <w:spacing w:after="0" w:line="170"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 absent access to sources of liquidity;</w:t>
      </w:r>
    </w:p>
    <w:p>
      <w:pPr>
        <w:spacing w:after="0" w:line="225" w:lineRule="exact"/>
        <w:rPr>
          <w:rFonts w:ascii="Arial" w:cs="Arial" w:eastAsia="Arial" w:hAnsi="Arial"/>
          <w:sz w:val="18"/>
          <w:szCs w:val="18"/>
          <w:color w:val="auto"/>
        </w:rPr>
      </w:pPr>
    </w:p>
    <w:p>
      <w:pPr>
        <w:ind w:left="600" w:right="300" w:hanging="322"/>
        <w:spacing w:after="0" w:line="342"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interpretation of FDA feedback and guidance and how such guidance may impact our clinical development plans, specifically our ability to utilize the 505(b)(2) pathway for the development and potential approval of EB613 and any other product candidates we may develop;</w:t>
      </w:r>
    </w:p>
    <w:p>
      <w:pPr>
        <w:spacing w:after="0" w:line="123" w:lineRule="exact"/>
        <w:rPr>
          <w:rFonts w:ascii="Arial" w:cs="Arial" w:eastAsia="Arial" w:hAnsi="Arial"/>
          <w:sz w:val="16"/>
          <w:szCs w:val="16"/>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any of our product candidates;</w:t>
      </w:r>
    </w:p>
    <w:p>
      <w:pPr>
        <w:spacing w:after="0" w:line="228"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32"/>
          <w:szCs w:val="32"/>
          <w:color w:val="auto"/>
          <w:vertAlign w:val="superscript"/>
        </w:rPr>
      </w:pPr>
      <w:r>
        <w:rPr>
          <w:rFonts w:ascii="Arial" w:cs="Arial" w:eastAsia="Arial" w:hAnsi="Arial"/>
          <w:sz w:val="16"/>
          <w:szCs w:val="16"/>
          <w:color w:val="auto"/>
        </w:rPr>
        <w:t>our competitive position, especially with respect to Forteo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other products on the market or in development for the treatment of osteoporosis;</w:t>
      </w:r>
    </w:p>
    <w:p>
      <w:pPr>
        <w:spacing w:after="0" w:line="100" w:lineRule="exact"/>
        <w:rPr>
          <w:rFonts w:ascii="Arial" w:cs="Arial" w:eastAsia="Arial" w:hAnsi="Arial"/>
          <w:sz w:val="32"/>
          <w:szCs w:val="32"/>
          <w:color w:val="auto"/>
          <w:vertAlign w:val="superscript"/>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development and commercialization collaborations;</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potential commercial launch of current or future product candidates, and the timing, cost or other aspects of such commercialization;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left="600" w:hanging="322"/>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manufacture and supply sufficient amounts of material to support our clinical trials and any potential future commercial requirements;</w:t>
      </w:r>
    </w:p>
    <w:p>
      <w:pPr>
        <w:spacing w:after="0" w:line="248" w:lineRule="exact"/>
        <w:rPr>
          <w:rFonts w:ascii="Arial" w:cs="Arial" w:eastAsia="Arial" w:hAnsi="Arial"/>
          <w:sz w:val="16"/>
          <w:szCs w:val="16"/>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use and expand our drug delivery technology to additional product candidates;</w:t>
      </w:r>
    </w:p>
    <w:p>
      <w:pPr>
        <w:spacing w:after="0" w:line="225" w:lineRule="exact"/>
        <w:rPr>
          <w:rFonts w:ascii="Arial" w:cs="Arial" w:eastAsia="Arial" w:hAnsi="Arial"/>
          <w:sz w:val="18"/>
          <w:szCs w:val="18"/>
          <w:color w:val="auto"/>
        </w:rPr>
      </w:pPr>
    </w:p>
    <w:p>
      <w:pPr>
        <w:ind w:left="600" w:right="800"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safety and efficacy of therapeutics marketed by competitors that are targeted toward indications for which we are developing product candidates;</w:t>
      </w:r>
    </w:p>
    <w:p>
      <w:pPr>
        <w:spacing w:after="0" w:line="170"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of any market we may target and the adoption of our product candidates, if approved, by physicians and patients;</w:t>
      </w:r>
    </w:p>
    <w:p>
      <w:pPr>
        <w:spacing w:after="0" w:line="225" w:lineRule="exact"/>
        <w:rPr>
          <w:rFonts w:ascii="Arial" w:cs="Arial" w:eastAsia="Arial" w:hAnsi="Arial"/>
          <w:sz w:val="18"/>
          <w:szCs w:val="18"/>
          <w:color w:val="auto"/>
        </w:rPr>
      </w:pPr>
    </w:p>
    <w:p>
      <w:pPr>
        <w:ind w:left="600" w:right="460"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maintain and protect our intellectual property and operate our business without infringing misappropriating or otherwise violating any intellectual property rights of others;</w:t>
      </w:r>
    </w:p>
    <w:p>
      <w:pPr>
        <w:spacing w:after="0" w:line="170"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225" w:lineRule="exact"/>
        <w:rPr>
          <w:rFonts w:ascii="Arial" w:cs="Arial" w:eastAsia="Arial" w:hAnsi="Arial"/>
          <w:sz w:val="18"/>
          <w:szCs w:val="18"/>
          <w:color w:val="auto"/>
        </w:rPr>
      </w:pPr>
    </w:p>
    <w:p>
      <w:pPr>
        <w:ind w:left="600" w:right="120"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competing products or technologies may make any product candidates we may develop and commercialize or our oral delivery technology obsolete;</w:t>
      </w:r>
    </w:p>
    <w:p>
      <w:pPr>
        <w:spacing w:after="0" w:line="170"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 sales, marketing and distribution infrastructure, if any;</w:t>
      </w:r>
    </w:p>
    <w:p>
      <w:pPr>
        <w:spacing w:after="0" w:line="225"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growth; and</w:t>
      </w:r>
    </w:p>
    <w:p>
      <w:pPr>
        <w:spacing w:after="0" w:line="225" w:lineRule="exact"/>
        <w:rPr>
          <w:rFonts w:ascii="Arial" w:cs="Arial" w:eastAsia="Arial" w:hAnsi="Arial"/>
          <w:sz w:val="18"/>
          <w:szCs w:val="18"/>
          <w:color w:val="auto"/>
        </w:rPr>
      </w:pPr>
    </w:p>
    <w:p>
      <w:pPr>
        <w:ind w:left="600"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and severity of the recent coronavirus (COVID-19) outbreak, the actions that may be required to contain COVID-19 or treat its impact, and its effect on our operations and workforce, including our research and development and clinical trials.</w:t>
      </w:r>
    </w:p>
    <w:p>
      <w:pPr>
        <w:spacing w:after="0" w:line="170" w:lineRule="exact"/>
        <w:rPr>
          <w:sz w:val="20"/>
          <w:szCs w:val="20"/>
          <w:color w:val="auto"/>
        </w:rPr>
      </w:pPr>
    </w:p>
    <w:p>
      <w:pPr>
        <w:ind w:right="260" w:firstLine="255"/>
        <w:spacing w:after="0" w:line="296" w:lineRule="auto"/>
        <w:rPr>
          <w:sz w:val="20"/>
          <w:szCs w:val="20"/>
          <w:color w:val="auto"/>
        </w:rPr>
      </w:pPr>
      <w:r>
        <w:rPr>
          <w:rFonts w:ascii="Arial" w:cs="Arial" w:eastAsia="Arial" w:hAnsi="Arial"/>
          <w:sz w:val="16"/>
          <w:szCs w:val="16"/>
          <w:color w:val="auto"/>
        </w:rPr>
        <w:t>All written and verbal forward-looking statements attributable to us or any person acting on our behalf are expressly qualified in their entirety by the cautionary statements contained or referred to in this section. We caution investors not to rely too heavily on the forward-looking statements we make or that are made on our behalf. Except as required by law, we are under no duty, and expressly disclaim any obligation, to update or revise publicly any forward-looking statements, whether as a result of new information, future events or otherwise. You are advised, however, to consult any further disclosures we make on related subjects in any annual, quarterly or current reports that we may file with the Securities and Exchange Commission.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orally delivered macromolecule therapeutics for use in areas with significant unmet medical need where adoption of injectable therapies is limited due to cost, convenience and compliance challenges for patients. Our current strategy for our lead product candidates is to use our technology to develop an oral formulation of human parathyroid hormone (1-34), or PTH, which has been approved in the United States in injectable form for over a decade. Our lead oral PTH product candidates are EB613 for the treatment of osteoporosis and EB612 for the treatment of hypoparathyroidism.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Our principal and registered office is located at Kiryat Hadassah Minrav Building - Fifth Floor, Jerusalem, Israel, and our telephone number is +972-2-532-7151. Our corporate website is located at www.enterabio.com. The information on our website shall not be deemed part of this prospectus.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Before making a decision to invest in our securities, you should carefully consider the risks described under “Risk Factors” in the applicable prospectus supplement and in our most recent Annual Report on Form 20-F, and in any updates to those risk factors in our reports on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Unless otherwise set forth in a prospectus supplement, we currently intend to use the net proceeds of any offering of securities for working capital and other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i w:val="1"/>
          <w:iCs w:val="1"/>
          <w:color w:val="auto"/>
        </w:rPr>
        <w:t>This section describes the general terms of our securities. The following description is a summary only and is qualified by reference to the relevant provisions of Israeli law and our restated certificate of incorporation and by-laws, copies of which are incorporated by reference in this prospectus.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ORDINARY SHARES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are an Israeli company incorporated with limited liability, and our affairs are governed by the provisions of our Articles, as amended and restated from time to time, and by the provisions of applicable Israeli law, including the Companies Law. Our number with the Israeli Registrar of Companies is 514330604. The purpose of our company appears in Article 3 of our Articles of Association, which is to engage in any lawful activity. In addition, our Articles of Association authorize us to donate reasonable amounts to any charitable cause. Our registered office is at Kiryat Hadassah, Minrav Building — Fifth Floor, Jerusalem 9112002, Israel.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authorized share capital consists of 140,010,000 ordinary shares, par value NIS 0.0000769 per share. All of our issued ordinary shares have been validly issued, fully paid and are non-assessable. The ordinary shares are listed on Nasdaq under the symbol “ENTX.”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Ordinary Shares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Liquidation Rights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currently have only one class of shares. Subject to the rights of holders of shares with preferential or special rights that may be authorized in the future, holders of our ordinary shares are entitled to participate in the payment of dividends pro rata in accordance with the amounts paid-up or credited as paid-up on the par value of such ordinary shares at the time of payment without taking into account any premium paid thereon. In the event that we were to go into liquidation, holders of our ordinary shares are entitled to a pro rata share of surplus assets remaining over liabilities, subject to rights conferred on any class of shares which may be issued in the future, in accordance with the amounts paid-up or credited as paid-up on the par value of such ordinary shares, without taking into account any premium paid thereon.</w:t>
      </w:r>
    </w:p>
    <w:p>
      <w:pPr>
        <w:spacing w:after="0" w:line="17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According to the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earnings generated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the court, if applicable and required by the Companies Law, determines that there is no reasonable concern that payment of the dividend will prevent us from satisfying our existing and foreseeable obligations as they become due, and does not require shareholder approval.</w:t>
      </w:r>
    </w:p>
    <w:p>
      <w:pPr>
        <w:spacing w:after="0" w:line="19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Payment of dividends and proceeds from the sale of the shares or interest or other payments to non-residents of Israel, may be subject to Israeli withholding taxes. 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Holders of our ordinary shares are entitled to one vote for each ordinary share on all matters submitted to a vote of shareholders, subject to any special rights of any class of shares that may be authorized in the future. Cumulative voting for the election of directors is not permitted.</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2" w:name="page13"/>
    <w:bookmarkEnd w:id="12"/>
    <w:p>
      <w:pPr>
        <w:ind w:left="180"/>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permitted under the Companies Law, pursuant to our amended Articles of Association, the quorum required for an ordinary meeting of shareholders consists of at least two shareholders, present in person or by proxy, holding in the aggregate at least 25% of our issued shares conferring voting rights. A shareholders’ meeting will be adjourned for lack of a quorum, after half an hour from the time set for such meeting, to the same day in the following week at the same time and place, or any time and place as the board of directors designates in a notice to the shareholders. If at such adjourned meeting a quorum as specified above is not present within half an hour from the time designated for holding the meeting, subject to certain exceptions, any two shareholders present in person or by proxy shall constitute a quorum.</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Shareholders’ Meetings and Resolutions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Chairman of our board of directors is entitled to preside as Chairman of each shareholders’ meeting. If he is absent, his deputy or another person elected by the present shareholders will preside.</w:t>
      </w:r>
    </w:p>
    <w:p>
      <w:pPr>
        <w:spacing w:after="0" w:line="170"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A simple majority is sufficient to approve most shareholders’ resolutions, including any amendment to our Articles of Association, unless otherwise required by law or by our Articles of Association. For example, resolutions with respect to certain interested party transactions, or with respect to tender offers may require a special majority.</w:t>
      </w:r>
    </w:p>
    <w:p>
      <w:pPr>
        <w:spacing w:after="0" w:line="18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are required to hold an annual meeting of our shareholders once every calendar year, but no later than 15 months after the date of the previous annual meeting. All meetings other than the annual meeting of shareholders are referred to as special meetings. Our board of directors may call special meetings whenever it sees fit, at such time and place as it may determine. In addition, the Companies Law provides that the board of directors of a public company is required to convene a special meeting upon the request of:</w:t>
      </w:r>
    </w:p>
    <w:p>
      <w:pPr>
        <w:spacing w:after="0" w:line="18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two directors of the company or one quarter of the board of directors; or</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or more shareholders holding, in the aggregate: (i) five percent of the outstanding shares of the company and one percent of the voting power in the company; or (ii) five percent of the voting power in the company.</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Companies Law enables our board of directors to fix a record date to allow us to determine the shareholders entitled to notice of, or to vote at, any meeting of our shareholders. Under current regulations, the record date may be not more than forty days and not less than four days prior to the date of the meeting and notice is required to be published at least 21 or 35 days prior to the meeting, depending on the items on the agenda. Under the Companies Law and regulations promulgated thereunder and pursuant to our amended Articles of Association, one or more shareholders holding at least 1% of the voting rights at a general meeting of shareholders may request that the board of directors include a matter in the agenda of a general meeting of shareholders to be convened in the future, provided that such matter is appropriate for discussion at the general meeting.</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Modification of Shareholders’ Rights</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We currently have only one class of shares. The rights attached to a class of shares may be altered by the approval of the shareholders of such class holding a majority of the voting rights of such class. The provisions in our Articles of Association pertaining to general meetings also apply to any special meeting of a class of shareholders. The quorum required for such special meeting is at least two persons who are the holders of at least 25% of the outstanding shares of that class represented in person or by proxy at such meeting. If such special meeting is adjourned due to a lack of quorum, the quorum required at the subsequent meeting will be at least two persons who are holders of issued shares of that class or their proxies.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Pursuant to our Articles of Association, no preemptive rights are attached to our ordinary shares. In addition, under the terms of the subscription agreement entered between the Company and several investors in connection with the private placement from December 2019 to February 2020 (the “Private Placement”), each such investor has the right to participate, pro rata based on its respective purchase amount under the Private Placement, in any future private placement offering of the Company of more than $2,500,000 that closes within one year following the final closing of the Private Placement, subject to the conditions thereto.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ind w:left="180"/>
        <w:spacing w:after="0"/>
        <w:rPr>
          <w:sz w:val="20"/>
          <w:szCs w:val="20"/>
          <w:color w:val="auto"/>
        </w:rPr>
      </w:pPr>
      <w:r>
        <w:rPr>
          <w:rFonts w:ascii="Arial" w:cs="Arial" w:eastAsia="Arial" w:hAnsi="Arial"/>
          <w:sz w:val="18"/>
          <w:szCs w:val="18"/>
          <w:b w:val="1"/>
          <w:bCs w:val="1"/>
          <w:i w:val="1"/>
          <w:iCs w:val="1"/>
          <w:color w:val="auto"/>
        </w:rPr>
        <w:t>Restrictions on Non-Residents of Israel</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ownership or voting of our ordinary shares by non-residents of Israel is not restricted in any way by our Articles of Association or the laws of Israel, except for ownership by nationals of some countries that are, or have been, in a state of war with Israel.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Currently there are no preferred shares authorized under the terms of our Articles. No preferred shares are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the ordinary shares is American Stock Transfer &amp; Trust Company, LLC.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The debt securities will be our direct general obligations. The debt securities will be either senior debt securities or subordinated debt securities and may be secured or unsecured and may be convertible into other securities, including our ordinary shares.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w:t>
      </w:r>
    </w:p>
    <w:p>
      <w:pPr>
        <w:spacing w:after="0" w:line="164"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have summarized certain terms and provisions of the indentures. The summary is not complete. The indentures are subject to and governed by the Trust Indenture Act of 1939, as amended. The senior indenture and subordinated indenture are substantially identical, except for the provisions relating to subordination.</w:t>
      </w:r>
    </w:p>
    <w:p>
      <w:pPr>
        <w:spacing w:after="0" w:line="18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classification as senior or subordinated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ranking of the specific series of debt securities relative to other outstanding indebtedness, including subsidiaries’ debt;</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debt securities are subordinated, the aggregate amount of outstanding indebtedness, as of a recent date, that is senior to the subordinated securities, and any limitation on the issuance of additional senior indebtedness;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on which the principal of the debt securities may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at which the debt securities shall bear interest, if any;</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from which such interest shall accrue, on which such interest shall be payable, and on which a record shall be taken for the determination of holders of the debt securities to whom interest is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 or places where the principal and interest shall be payable;</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right, if any, to redeem the debt securities, in whole or in part, at our option and the period or periods within which, the price or prices at which and any terms and conditions upon which such debt securities may be so redeemed, pursuant to any sinking fund or otherwise;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ind w:left="660" w:right="2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obligation, if any, of the Company to redeem, purchase or repay any debt securities pursuant to any mandatory redemption, sinking fund or other provisions or at the option of a holder of the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other than denominations of $2,000 and any higher integral multiple of $1,000, the denominations in which the debt securities will be issuable;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other than the currency of the United States, the currency or currencies, in which payment of the principal and interest shall be payable;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global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if any, for the defeasance of the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any material U.S. federal income tax or Israeli tax consequences;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specific terms, rights or limitations of, or restrictions on the debt securities, including any deletions from, modifications of or additions to the events of default or covenants described below or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may issue under the senior indenture the debt securities that will constitute part of our senior debt. These senior debt securities will rank equally and pari passu with all our other unsecured and unsubordinated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is defined in the subordinated indenture and generally includes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are first entitled to receive payment in full of such senior indebtedness before the holders of any of the subordinated debt securities are entitled to receive a payment on account of the principal or interest on the indebtedness evidenced by the subordinated debt securities in certain events. These events include:</w:t>
      </w:r>
    </w:p>
    <w:p>
      <w:pPr>
        <w:spacing w:after="0" w:line="166" w:lineRule="exact"/>
        <w:rPr>
          <w:sz w:val="20"/>
          <w:szCs w:val="20"/>
          <w:color w:val="auto"/>
        </w:rPr>
      </w:pPr>
    </w:p>
    <w:p>
      <w:pPr>
        <w:ind w:left="660" w:right="72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subject to Israeli law, any insolvency or bankruptcy proceedings, or any receivership, dissolution, winding up, total or partial liquidation, reorganization or other similar proceedings in respect of us or a substantial part of our property, whether voluntary or involuntary;</w:t>
      </w:r>
    </w:p>
    <w:p>
      <w:pPr>
        <w:spacing w:after="0" w:line="123"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w:t>
      </w:r>
    </w:p>
    <w:p>
      <w:pPr>
        <w:spacing w:after="0" w:line="176" w:lineRule="exact"/>
        <w:rPr>
          <w:rFonts w:ascii="Arial" w:cs="Arial" w:eastAsia="Arial" w:hAnsi="Arial"/>
          <w:sz w:val="17"/>
          <w:szCs w:val="17"/>
          <w:color w:val="auto"/>
        </w:rPr>
      </w:pPr>
    </w:p>
    <w:p>
      <w:pPr>
        <w:ind w:left="660" w:right="3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Authentication and Delivery</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will deliver the debt securities to the trustee for authentication, and the trustee will authenticate and deliver the debt securities upon our written order.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Event of Default</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When we use the term “Event of Default” in the indentures with respect to the debt securities of any series, set forth below are some examples of what we mean:</w:t>
      </w:r>
    </w:p>
    <w:p>
      <w:pPr>
        <w:spacing w:after="0" w:line="17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the payment of the principal on the debt securities when it becomes due and payable at maturity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default in the payment of interest on the debt securities when it becomes due and payable, and such default continues for a period of 30 days;</w:t>
      </w:r>
    </w:p>
    <w:p>
      <w:pPr>
        <w:spacing w:after="0" w:line="248" w:lineRule="exact"/>
        <w:rPr>
          <w:rFonts w:ascii="Arial" w:cs="Arial" w:eastAsia="Arial" w:hAnsi="Arial"/>
          <w:sz w:val="16"/>
          <w:szCs w:val="16"/>
          <w:color w:val="auto"/>
        </w:rPr>
      </w:pPr>
    </w:p>
    <w:p>
      <w:pPr>
        <w:ind w:left="980" w:right="120" w:hanging="324"/>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occurrence of certain events of bankruptcy, insolvency, or similar proceedings with respect to us or any substantial part of our property; or</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Events of Default that may be set forth in the applicable prospectus supplement.</w:t>
      </w:r>
    </w:p>
    <w:p>
      <w:pPr>
        <w:spacing w:after="0" w:line="225" w:lineRule="exact"/>
        <w:rPr>
          <w:sz w:val="20"/>
          <w:szCs w:val="20"/>
          <w:color w:val="auto"/>
        </w:rPr>
      </w:pPr>
    </w:p>
    <w:p>
      <w:pPr>
        <w:jc w:val="both"/>
        <w:ind w:right="40" w:firstLine="324"/>
        <w:spacing w:after="0" w:line="301" w:lineRule="auto"/>
        <w:rPr>
          <w:sz w:val="20"/>
          <w:szCs w:val="20"/>
          <w:color w:val="auto"/>
        </w:rPr>
      </w:pPr>
      <w:r>
        <w:rPr>
          <w:rFonts w:ascii="Arial" w:cs="Arial" w:eastAsia="Arial" w:hAnsi="Arial"/>
          <w:sz w:val="16"/>
          <w:szCs w:val="16"/>
          <w:color w:val="auto"/>
        </w:rPr>
        <w:t>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w:t>
      </w:r>
    </w:p>
    <w:p>
      <w:pPr>
        <w:spacing w:after="0" w:line="15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w:t>
      </w:r>
    </w:p>
    <w:p>
      <w:pPr>
        <w:spacing w:after="0" w:line="184"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Defeasance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discharge our obligations under each indenture, except as to:</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rights of registration of transfer and exchange of debt securities, and our right of optional redemption,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substitution of mutilated, defaced, destroyed, lost or stolen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rights of holders of the debt securities to receive payments of principal and interest;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rights, obligations and immunities of the trustee;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rights of the holders of the debt securities as beneficiaries with respect to the property deposited with the trustee payable to them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when:</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ind w:left="1300" w:hanging="320"/>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debt securities of any series issued that have been authenticated and delivered have been delivered by us to the trustee for cancellation; 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6" w:name="page17"/>
    <w:bookmarkEnd w:id="16"/>
    <w:p>
      <w:pPr>
        <w:ind w:left="1300" w:right="20" w:hanging="320"/>
        <w:spacing w:after="0" w:line="25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 sufficient to pay at maturity or upon redemption all debt securities of such series not delivered to the trustee for cancellation, including principal and interest due or to become due on or prior to such date of maturity or redemption;</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such indenture; and</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each stating that all conditions precedent under such indenture relating to the satisfaction and discharge of such indenture have been complied with.</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unless the applicable prospectus supplement and supplemental indenture otherwise provide, we may elect either (i) to have our obligations under each indenture discharged with respect to the outstanding debt securities of any series (“legal defeasance”) or (ii) to be released from our obligations under each indenture with respect to certain covenants applicable to the outstanding debt securities of any series (“covenant defeasance”).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order to exercise legal defeasance or covenant defeasance with respect to outstanding debt securities of any series:</w:t>
      </w:r>
    </w:p>
    <w:p>
      <w:pPr>
        <w:spacing w:after="0" w:line="225" w:lineRule="exact"/>
        <w:rPr>
          <w:sz w:val="20"/>
          <w:szCs w:val="20"/>
          <w:color w:val="auto"/>
        </w:rPr>
      </w:pPr>
    </w:p>
    <w:p>
      <w:pPr>
        <w:ind w:left="660" w:right="48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in trust for the purpose of making the following payments, specifically pledged as security for, and dedicated solely to the benefits of the holders of the debt securities of a series: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money in an amount;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government obligations;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combination of money and U.S. government obligations,</w:t>
      </w:r>
    </w:p>
    <w:p>
      <w:pPr>
        <w:spacing w:after="0" w:line="225" w:lineRule="exact"/>
        <w:rPr>
          <w:sz w:val="20"/>
          <w:szCs w:val="20"/>
          <w:color w:val="auto"/>
        </w:rPr>
      </w:pPr>
    </w:p>
    <w:p>
      <w:pPr>
        <w:ind w:right="460" w:firstLine="324"/>
        <w:spacing w:after="0" w:line="286" w:lineRule="auto"/>
        <w:rPr>
          <w:sz w:val="20"/>
          <w:szCs w:val="20"/>
          <w:color w:val="auto"/>
        </w:rPr>
      </w:pPr>
      <w:r>
        <w:rPr>
          <w:rFonts w:ascii="Arial" w:cs="Arial" w:eastAsia="Arial" w:hAnsi="Arial"/>
          <w:sz w:val="17"/>
          <w:szCs w:val="17"/>
          <w:color w:val="auto"/>
        </w:rPr>
        <w:t>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w:t>
      </w:r>
    </w:p>
    <w:p>
      <w:pPr>
        <w:spacing w:after="0" w:line="165" w:lineRule="exact"/>
        <w:rPr>
          <w:sz w:val="20"/>
          <w:szCs w:val="20"/>
          <w:color w:val="auto"/>
        </w:rPr>
      </w:pPr>
    </w:p>
    <w:p>
      <w:pPr>
        <w:jc w:val="both"/>
        <w:ind w:left="660" w:right="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stating that, under then applicable U.S. federal income tax law, the beneficial owners of the debt securities of that series will not recognize gain or loss for U.S. federal income tax purposes as a result of the defeasance and will be subject to the same federal income tax as would be the case if the defeasance did not occur;</w:t>
      </w:r>
    </w:p>
    <w:p>
      <w:pPr>
        <w:spacing w:after="0" w:line="183"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default relating to bankruptcy or insolvency and, in the case of a covenant defeasance, no other default has occurred and is continuing at any time;</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at such time the debt securities of such series are listed on a national securities exchange, we have delivered to the trustee an opinion of counsel to the effect that the debt securities of such series will not be delisted as a result of such defeasance; and</w:t>
      </w:r>
    </w:p>
    <w:p>
      <w:pPr>
        <w:spacing w:after="0" w:line="170" w:lineRule="exact"/>
        <w:rPr>
          <w:rFonts w:ascii="Arial" w:cs="Arial" w:eastAsia="Arial" w:hAnsi="Arial"/>
          <w:sz w:val="18"/>
          <w:szCs w:val="18"/>
          <w:color w:val="auto"/>
        </w:rPr>
      </w:pPr>
    </w:p>
    <w:p>
      <w:pPr>
        <w:ind w:left="660" w:right="7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defeasance have been complied with.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required to furnish to each trustee an annual statement as to compliance with all conditions and covenants under the indenture.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We may issue warrants to purchase debt securities, ordinary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w:t>
      </w:r>
    </w:p>
    <w:p>
      <w:pPr>
        <w:spacing w:after="0" w:line="1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prospectus supplement relating to any warrants we offer will include specific terms relating to the offering. These terms will include some or all of the following:</w:t>
      </w:r>
    </w:p>
    <w:p>
      <w:pPr>
        <w:spacing w:after="0" w:line="170"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number and terms of the debt securities, ordinary shares or other securities purchasable upon exercise of the warrants and procedures by which those numbers may be adjusted;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225" w:lineRule="exact"/>
        <w:rPr>
          <w:rFonts w:ascii="Arial" w:cs="Arial" w:eastAsia="Arial" w:hAnsi="Arial"/>
          <w:sz w:val="18"/>
          <w:szCs w:val="18"/>
          <w:color w:val="auto"/>
        </w:rPr>
      </w:pPr>
    </w:p>
    <w:p>
      <w:pPr>
        <w:ind w:left="1300" w:right="4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terms relating to the modification of the warrants;</w:t>
      </w:r>
    </w:p>
    <w:p>
      <w:pPr>
        <w:spacing w:after="0" w:line="225" w:lineRule="exact"/>
        <w:rPr>
          <w:rFonts w:ascii="Arial" w:cs="Arial" w:eastAsia="Arial" w:hAnsi="Arial"/>
          <w:sz w:val="18"/>
          <w:szCs w:val="18"/>
          <w:color w:val="auto"/>
        </w:rPr>
      </w:pPr>
    </w:p>
    <w:p>
      <w:pPr>
        <w:ind w:left="1300" w:right="58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a discussion of the material Israeli and U.S. income tax considerations applicable to the issuance or exercise of such warrants;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of the warrants.</w:t>
      </w:r>
    </w:p>
    <w:p>
      <w:pPr>
        <w:spacing w:after="0" w:line="22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terms of any warrants to be issued and a description of the material provisions of the applicable warrant agreement will be set forth in the applicable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may issue rights to purchase any of our securities or any combination thereof. Rights may be issued independently or together with any other offered security and may or may not be transferable by the person purchasing or receiving the rights. The rights may be issued independently or together with any other security offered hereby and may or may not be transferable by the shareholder receiving the subscription rights in such offering. In connection with any rights offering to our shareholders,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shareholders, we will distribute certificates evidencing the rights and a prospectus supplement to our shareholders on the record date that we set for receiving rights in such rights offering.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The applicable prospectus supplement will describe the following terms of rights in respect of which this prospectus is being delivered:</w:t>
      </w:r>
    </w:p>
    <w:p>
      <w:pPr>
        <w:spacing w:after="0" w:line="225"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such rights;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securities for which such rights are exercisable;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price for such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such rights issued with respect to each ordinary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such rights are transferable;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applicable, a discussion of the material Israeli and U.S. income tax considerations applicable to the issuance or exercise of such rights;</w:t>
      </w:r>
    </w:p>
    <w:p>
      <w:pPr>
        <w:spacing w:after="0" w:line="32" w:lineRule="exact"/>
        <w:rPr>
          <w:rFonts w:ascii="Arial" w:cs="Arial" w:eastAsia="Arial" w:hAnsi="Arial"/>
          <w:sz w:val="16"/>
          <w:szCs w:val="16"/>
          <w:color w:val="auto"/>
        </w:rPr>
      </w:pPr>
    </w:p>
    <w:p>
      <w:pPr>
        <w:ind w:left="1300" w:right="62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such rights shall commence, and the date on which such rights shall expire (subject to any extension);</w:t>
      </w: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or any agency agreement, that we may enter into in connection with the rights offering; and</w:t>
      </w:r>
    </w:p>
    <w:p>
      <w:pPr>
        <w:ind w:left="1300" w:hanging="32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other terms of such rights, including terms, procedures and limitations relating to the exchange and exercise of such rights.</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ordinary shares, debt securities, warrants, rights or any combination of such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will describe:</w:t>
      </w:r>
    </w:p>
    <w:p>
      <w:pPr>
        <w:spacing w:after="0" w:line="188" w:lineRule="exact"/>
        <w:rPr>
          <w:sz w:val="20"/>
          <w:szCs w:val="20"/>
          <w:color w:val="auto"/>
        </w:rPr>
      </w:pPr>
    </w:p>
    <w:p>
      <w:pPr>
        <w:ind w:left="1300" w:right="4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the units and of the ordinary shares, debt securities, warrants and/ or rights comprising the units, including whether and under what circumstances the securities comprising the units may be traded separately;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Each debt security and warrant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may issue the registered debt securities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9"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Entera, its affiliates, the trustees, the warrant agents or any other agent of us, agent of the trustees or agent of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61"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ind w:right="-2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“at-the-market” offerings, within the meaning of Rule 415(a)(4) of the Securities Act, to or through a market maker or into an existing trading market on an exchange or otherwise;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the applicable prospectus supplement.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prospectus supplement will state the terms of the offering of the securities, including:</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If underwriters are used in the sale, the securities will be acquired by the underwriters for their own account and may be resold from time to time in one or more transactions, including:</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3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904" w:right="619" w:bottom="1440" w:gutter="0" w:footer="0" w:header="0"/>
        </w:sectPr>
      </w:pPr>
    </w:p>
    <w:bookmarkStart w:id="21" w:name="page22"/>
    <w:bookmarkEnd w:id="21"/>
    <w:p>
      <w:pPr>
        <w:ind w:right="100" w:firstLine="324"/>
        <w:spacing w:after="0" w:line="290" w:lineRule="auto"/>
        <w:rPr>
          <w:sz w:val="20"/>
          <w:szCs w:val="20"/>
          <w:color w:val="auto"/>
        </w:rPr>
      </w:pPr>
      <w:r>
        <w:rPr>
          <w:rFonts w:ascii="Arial" w:cs="Arial" w:eastAsia="Arial" w:hAnsi="Arial"/>
          <w:sz w:val="16"/>
          <w:szCs w:val="16"/>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common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87"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2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and our affiliates in the ordinary course of business.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Each series of securities will be a new issue of securities and will have no established trading market, other than our ordinary shares, which are listed on the Nasdaq Capital Market.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SEC allows us to “incorporate by reference” information into this prospectus. This means that we can disclose important information to you by referring you to another document filed separately with the SEC. The information incorporated by reference is considered to be a part of this prospectus, except for any information superseded by information that is included directly in this document or incorporated by reference subsequent to the date of this document.</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We incorporate by reference into this prospectus the following documents listed below, which we have already filed with or furnished to the SEC:</w:t>
      </w:r>
    </w:p>
    <w:p>
      <w:pPr>
        <w:spacing w:after="0" w:line="23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0">
        <w:r>
          <w:rPr>
            <w:rFonts w:ascii="Arial" w:cs="Arial" w:eastAsia="Arial" w:hAnsi="Arial"/>
            <w:sz w:val="18"/>
            <w:szCs w:val="18"/>
            <w:u w:val="single" w:color="auto"/>
            <w:color w:val="0000EE"/>
          </w:rPr>
          <w:t>Form 20-F for the fiscal year ended December 31, 2019 filed on March 26, 2020</w:t>
        </w:r>
      </w:hyperlink>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Report on Form 6-K filed on </w:t>
      </w:r>
      <w:hyperlink r:id="rId41">
        <w:r>
          <w:rPr>
            <w:rFonts w:ascii="Arial" w:cs="Arial" w:eastAsia="Arial" w:hAnsi="Arial"/>
            <w:sz w:val="18"/>
            <w:szCs w:val="18"/>
            <w:u w:val="single" w:color="auto"/>
            <w:color w:val="0000EE"/>
          </w:rPr>
          <w:t>February 19, 2020</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EE"/>
          </w:rPr>
          <w:t>May 21,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(with respect to the paragraphs entitled “EB613 Phase 2 Topline Results” in Exhibit 99.1 only), </w:t>
      </w:r>
      <w:hyperlink r:id="rId43">
        <w:r>
          <w:rPr>
            <w:rFonts w:ascii="Arial" w:cs="Arial" w:eastAsia="Arial" w:hAnsi="Arial"/>
            <w:sz w:val="18"/>
            <w:szCs w:val="18"/>
            <w:u w:val="single" w:color="auto"/>
            <w:color w:val="0000EE"/>
          </w:rPr>
          <w:t>June 26,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4">
        <w:r>
          <w:rPr>
            <w:rFonts w:ascii="Arial" w:cs="Arial" w:eastAsia="Arial" w:hAnsi="Arial"/>
            <w:sz w:val="18"/>
            <w:szCs w:val="18"/>
            <w:u w:val="single" w:color="auto"/>
            <w:color w:val="0000EE"/>
          </w:rPr>
          <w:t>July 7, 2020</w:t>
        </w:r>
      </w:hyperlink>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0000EE"/>
        </w:rPr>
      </w:pPr>
      <w:r>
        <w:rPr>
          <w:rFonts w:ascii="Arial" w:cs="Arial" w:eastAsia="Arial" w:hAnsi="Arial"/>
          <w:sz w:val="18"/>
          <w:szCs w:val="18"/>
          <w:color w:val="auto"/>
        </w:rPr>
        <w:t xml:space="preserve">our Unaudited Condensed Consolidated Interim Financial Statements for the three-month period ended March 31, 2020, which were included as </w:t>
      </w:r>
      <w:hyperlink r:id="rId45">
        <w:r>
          <w:rPr>
            <w:rFonts w:ascii="Arial" w:cs="Arial" w:eastAsia="Arial" w:hAnsi="Arial"/>
            <w:sz w:val="18"/>
            <w:szCs w:val="18"/>
            <w:u w:val="single" w:color="auto"/>
            <w:color w:val="0000EE"/>
          </w:rPr>
          <w:t>Exhibit 99.1</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the Form 6-K filed on May 21, 2020; and</w:t>
      </w:r>
    </w:p>
    <w:p>
      <w:pPr>
        <w:spacing w:after="0" w:line="170" w:lineRule="exact"/>
        <w:rPr>
          <w:rFonts w:ascii="Arial" w:cs="Arial" w:eastAsia="Arial" w:hAnsi="Arial"/>
          <w:sz w:val="18"/>
          <w:szCs w:val="18"/>
          <w:color w:val="0000EE"/>
        </w:rPr>
      </w:pPr>
    </w:p>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Management’s Discussion and Analysis for the three-month period ended March 31, 2020, which was included as </w:t>
      </w:r>
      <w:hyperlink r:id="rId46">
        <w:r>
          <w:rPr>
            <w:rFonts w:ascii="Arial" w:cs="Arial" w:eastAsia="Arial" w:hAnsi="Arial"/>
            <w:sz w:val="18"/>
            <w:szCs w:val="18"/>
            <w:u w:val="single" w:color="auto"/>
            <w:color w:val="0000EE"/>
          </w:rPr>
          <w:t>Exhibit 99.2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Form 6-K filed on May 21, 2020.</w:t>
      </w:r>
    </w:p>
    <w:p>
      <w:pPr>
        <w:spacing w:after="0" w:line="170" w:lineRule="exact"/>
        <w:rPr>
          <w:rFonts w:ascii="Arial" w:cs="Arial" w:eastAsia="Arial" w:hAnsi="Arial"/>
          <w:sz w:val="18"/>
          <w:szCs w:val="18"/>
          <w:color w:val="auto"/>
        </w:rPr>
      </w:pPr>
    </w:p>
    <w:p>
      <w:pPr>
        <w:ind w:right="140" w:firstLine="324"/>
        <w:spacing w:after="0" w:line="259" w:lineRule="auto"/>
        <w:rPr>
          <w:sz w:val="20"/>
          <w:szCs w:val="20"/>
          <w:color w:val="auto"/>
        </w:rPr>
      </w:pPr>
      <w:r>
        <w:rPr>
          <w:rFonts w:ascii="Arial" w:cs="Arial" w:eastAsia="Arial" w:hAnsi="Arial"/>
          <w:sz w:val="18"/>
          <w:szCs w:val="18"/>
          <w:color w:val="auto"/>
        </w:rPr>
        <w:t>All subsequent reports that we file on Form 20-F under the Exchange Act after the date of this prospectus and prior to the termination of the offering shall also be deemed to be incorporated by reference into this prospectus and to be a part hereof from the date of filing such documents. We may also incorporate by reference any other Form 6-K that we submit to the SEC after the date of this prospectus and prior to the termination of this offering by identifying in such Form 6-K that it is being incorporated by reference into this prospectus.</w:t>
      </w:r>
    </w:p>
    <w:p>
      <w:pPr>
        <w:spacing w:after="0" w:line="187" w:lineRule="exact"/>
        <w:rPr>
          <w:rFonts w:ascii="Arial" w:cs="Arial" w:eastAsia="Arial" w:hAnsi="Arial"/>
          <w:sz w:val="18"/>
          <w:szCs w:val="18"/>
          <w:color w:val="auto"/>
        </w:rPr>
      </w:pPr>
    </w:p>
    <w:p>
      <w:pPr>
        <w:ind w:right="60" w:firstLine="324"/>
        <w:spacing w:after="0" w:line="308" w:lineRule="auto"/>
        <w:rPr>
          <w:sz w:val="20"/>
          <w:szCs w:val="20"/>
          <w:color w:val="auto"/>
        </w:rPr>
      </w:pPr>
      <w:r>
        <w:rPr>
          <w:rFonts w:ascii="Arial" w:cs="Arial" w:eastAsia="Arial" w:hAnsi="Arial"/>
          <w:sz w:val="17"/>
          <w:szCs w:val="17"/>
          <w:color w:val="auto"/>
        </w:rPr>
        <w:t>As you read the above documents, you may find inconsistencies in information from one document to another. If you find inconsistencies, you should rely on the statements made in this prospectus or in the most recent document incorporated by reference herein.</w:t>
      </w:r>
    </w:p>
    <w:p>
      <w:pPr>
        <w:spacing w:after="0" w:line="146" w:lineRule="exact"/>
        <w:rPr>
          <w:rFonts w:ascii="Arial" w:cs="Arial" w:eastAsia="Arial" w:hAnsi="Arial"/>
          <w:sz w:val="18"/>
          <w:szCs w:val="18"/>
          <w:color w:val="auto"/>
        </w:rPr>
      </w:pPr>
    </w:p>
    <w:p>
      <w:pPr>
        <w:ind w:firstLine="324"/>
        <w:spacing w:after="0" w:line="263" w:lineRule="auto"/>
        <w:rPr>
          <w:sz w:val="20"/>
          <w:szCs w:val="20"/>
          <w:color w:val="auto"/>
        </w:rPr>
      </w:pPr>
      <w:r>
        <w:rPr>
          <w:rFonts w:ascii="Arial" w:cs="Arial" w:eastAsia="Arial" w:hAnsi="Arial"/>
          <w:sz w:val="18"/>
          <w:szCs w:val="18"/>
          <w:color w:val="auto"/>
        </w:rPr>
        <w:t>We will provide without charge to each person to whom this prospectus has been delivered, upon the written or oral request of any such person to us, a copy of any or all of the documents referred to above that have been or may be incorporated into this prospectus by reference, including exhibits to such documents. Requests for such copies should be directed to:</w:t>
      </w:r>
    </w:p>
    <w:p>
      <w:pPr>
        <w:spacing w:after="0" w:line="184"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Kiryat Hadassah</w:t>
      </w:r>
    </w:p>
    <w:p>
      <w:pPr>
        <w:spacing w:after="0" w:line="23"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Minrav Building - Fifth Floor</w:t>
      </w:r>
    </w:p>
    <w:p>
      <w:pPr>
        <w:spacing w:after="0" w:line="9"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Jerusalem, Israel</w:t>
      </w:r>
    </w:p>
    <w:p>
      <w:pPr>
        <w:spacing w:after="0" w:line="9"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Tel: +972-2-532-7151</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SERVICE OF PROCESS AND ENFORCEMENT OF JUDGMENTS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any Israeli experts named in this prospectus, may be difficult to obtain within the United States. Furthermore, because substantially all of our assets and a significant number of our directors and officers are located outside the United States, any judgment obtained in the United States against us or any of our directors and officers may not be collectible within the United States.</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been informed by our legal counsel in Israel, Herzog Fox &amp; Neeman, that 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 There is little case law in Israel addressing these matters.</w:t>
      </w:r>
    </w:p>
    <w:p>
      <w:pPr>
        <w:spacing w:after="0" w:line="192"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spacing w:after="0" w:line="184" w:lineRule="exact"/>
        <w:rPr>
          <w:sz w:val="20"/>
          <w:szCs w:val="20"/>
          <w:color w:val="auto"/>
        </w:rPr>
      </w:pPr>
    </w:p>
    <w:p>
      <w:pPr>
        <w:ind w:left="660" w:right="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judgment was rendered after due process by a court which was, according to the laws of the state of the court, competent jurisdiction to render the judgment;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judgment is final and is not subject to any right of appeal;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obligations imposed by the judgment are enforceable according to the laws of the State of Israel and according to the laws of the state in which the judgment was given and the substance of the judgment is not contrary to public policy;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Even if these conditions are met, an Israeli court will not declare a foreign civil judgment enforceable if:</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judgment was given in a state whose laws do not provide for the enforcement of judgments of Israeli courts (subject to exceptional cases);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enforcement of the judgment is likely to prejudice the sovereignty or security of the State of Israel;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opportunity given to the defendant to bring its arguments and evidence before the court was not reasonable in the opinion of the Israeli court;</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judgment was rendered by a court not competent to render it according to the laws of private international law as they apply in Israel;</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judgment is contradictory to another judgment that was given in the same matter between the same parties and that is still valid; or</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the time the action was brought in the foreign court, a lawsuit in the same matter and between the same parties was pending before a court or tribunal in Israel.</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FINRA filing fee</w:t>
            </w:r>
          </w:p>
        </w:tc>
        <w:tc>
          <w:tcPr>
            <w:tcW w:w="4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4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90,000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Miscellaneous*</w:t>
            </w:r>
          </w:p>
        </w:tc>
        <w:tc>
          <w:tcPr>
            <w:tcW w:w="4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7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193,480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Estimated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validity of the securities offered in respect of which this prospectus is being delivered will be passed upon by Herzog, Fox &amp; Neeman, Tel Aviv, Israel, our Israeli counsel. Certain matters of U.S. federal law will be passed upon for us by Davis Polk &amp; Wardwell LLP, New York, New York. Additional legal matters may be passed upon for us or any underwriters, dealers or agents, by counsel that we will name in the applicable prospectus supplement.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324"/>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financial statements incorporated in this Prospectus by reference to the </w:t>
      </w:r>
      <w:hyperlink r:id="rId50">
        <w:r>
          <w:rPr>
            <w:rFonts w:ascii="Arial" w:cs="Arial" w:eastAsia="Arial" w:hAnsi="Arial"/>
            <w:sz w:val="18"/>
            <w:szCs w:val="18"/>
            <w:u w:val="single" w:color="auto"/>
            <w:color w:val="0000EE"/>
          </w:rPr>
          <w:t>Annual Report on Form 20-F for the year ended December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have been so incorporated in reliance on the report (which contains an explanatory paragraph relating to the Company’s ability to continue as a going concern as described in note 1b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$100,000,000 Ordinary Shares, Debt Securities,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280035</wp:posOffset>
            </wp:positionV>
            <wp:extent cx="1783080" cy="11404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78308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677545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6" w:name="page27"/>
    <w:bookmarkEnd w:id="26"/>
    <w:p>
      <w:pPr>
        <w:ind w:right="140"/>
        <w:spacing w:after="0" w:line="261" w:lineRule="auto"/>
        <w:rPr>
          <w:sz w:val="20"/>
          <w:szCs w:val="20"/>
          <w:color w:val="auto"/>
        </w:rPr>
      </w:pPr>
      <w:r>
        <w:rPr>
          <w:rFonts w:ascii="Arial" w:cs="Arial" w:eastAsia="Arial" w:hAnsi="Arial"/>
          <w:sz w:val="18"/>
          <w:szCs w:val="18"/>
          <w:b w:val="1"/>
          <w:bCs w:val="1"/>
          <w:color w:val="C00000"/>
        </w:rPr>
        <w:t>The information in this prospectus supplement and the accompanying prospectus is not complete and may be changed. We may not sell these securities until the registration statement filed with the Securities and Exchange Commission is effective. This prospectus supplement and the accompanying prospectus are not an offer to sell these securities and are not soliciting an offer to buy these securities in any state where the offer or sale is not permitted.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Subject to completion, dated July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July 13, 2020)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$13,900,000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139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78308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have entered into an Equity Distribution Agreement with Canaccord Genuity LLC, or Canaccord, dated July 13, 2020, relating to the sale of our ordinary shares offered by this prospectus supplement. In accordance with the terms of the Equity Distribution Agreement, under this prospectus supplement we may offer and sell our ordinary shares, par value NIS 0.0000769 per share, having an aggregate offering price of up to $13,900,000 from time to time through Canaccord, acting as our sales agent.</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Sales of our ordinary shares, if any, under this prospectus supplement will be made by any method permitted that is deemed an “at the market offering” as defined in Rule 415 under the Securities Act of 1933, as amended, or the Securities Act, including sales made directly on or through The Nasdaq Capital Market, the existing trading market for our ordinary shares, sales made to or through a market maker other than on an exchange or otherwise, in negotiated transactions at market prices, and/or any other method permitted by law. Canaccord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19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Canaccord will be entitled to compensation at a commission rate equal to 3.0% of the gross sales price per share sold under the Equity Distribution Agreement. See “Plan of Distribution” beginning on page 9 for additional information regarding the compensation to be paid to Canaccord. In connection with the sale of the ordinary shares on our behalf, Canaccord may be deemed to be an “underwriter” within the meaning of the Securities Act and the compensation to Canaccord may be deemed to be underwriting commissions or discounts. We have also agreed to provide indemnification and contribution to Canaccord with respect to certain liabilities, including liabilities under the Securities Act.</w:t>
      </w:r>
    </w:p>
    <w:p>
      <w:pPr>
        <w:spacing w:after="0" w:line="17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Our ordinary shares trade on The Nasdaq Capital Market under the trading symbol “ENTX”. On May 19, 2020, the average of the bid and asked prices for our ordinary shares on The Nasdaq Capital Market was $3.00 per share. As of May 19, 2020, the aggregate market value of our outstanding ordinary shares held by non-affiliates was approximately $41.7 million based on 18,234,191 outstanding ordinary shares, of which approximately 13,921,776 ordinary shares were held by non-affiliates. We have not offered any of our ordinary shares pursuant to General Instruction I.B.5 of Form F-3 during the prior 12 calendar month period that ends on, and includes, the date of this prospectus.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in our ordinary shares involves risks. See “Risk Factors” beginning on page 3 of this prospectus supplement.</w:t>
      </w:r>
    </w:p>
    <w:p>
      <w:pPr>
        <w:spacing w:after="0" w:line="225" w:lineRule="exact"/>
        <w:rPr>
          <w:sz w:val="20"/>
          <w:szCs w:val="20"/>
          <w:color w:val="auto"/>
        </w:rPr>
      </w:pPr>
    </w:p>
    <w:p>
      <w:pPr>
        <w:ind w:right="46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119380</wp:posOffset>
            </wp:positionV>
            <wp:extent cx="17830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Canaccord Genuity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July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7020" w:type="dxa"/>
            <w:vAlign w:val="bottom"/>
            <w:gridSpan w:val="3"/>
          </w:tcPr>
          <w:p>
            <w:pPr>
              <w:jc w:val="center"/>
              <w:ind w:right="413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4220" w:type="dxa"/>
            <w:vAlign w:val="bottom"/>
            <w:gridSpan w:val="2"/>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53"/>
        </w:trPr>
        <w:tc>
          <w:tcPr>
            <w:tcW w:w="4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220" w:type="dxa"/>
            <w:vAlign w:val="bottom"/>
          </w:tcPr>
          <w:p>
            <w:pPr>
              <w:spacing w:after="0"/>
              <w:rPr>
                <w:sz w:val="24"/>
                <w:szCs w:val="24"/>
                <w:color w:val="auto"/>
              </w:rPr>
            </w:pPr>
          </w:p>
        </w:tc>
        <w:tc>
          <w:tcPr>
            <w:tcW w:w="6680" w:type="dxa"/>
            <w:vAlign w:val="bottom"/>
            <w:gridSpan w:val="2"/>
          </w:tcPr>
          <w:p>
            <w:pPr>
              <w:jc w:val="center"/>
              <w:ind w:right="3770"/>
              <w:spacing w:after="0"/>
              <w:rPr>
                <w:sz w:val="20"/>
                <w:szCs w:val="20"/>
                <w:color w:val="auto"/>
              </w:rPr>
            </w:pPr>
            <w:r>
              <w:rPr>
                <w:rFonts w:ascii="Arial" w:cs="Arial" w:eastAsia="Arial" w:hAnsi="Arial"/>
                <w:sz w:val="18"/>
                <w:szCs w:val="18"/>
                <w:b w:val="1"/>
                <w:bCs w:val="1"/>
                <w:color w:val="auto"/>
                <w:w w:val="97"/>
              </w:rPr>
              <w:t>PROSPECTUS SUPPLEMENT</w:t>
            </w: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2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About This Prospectus Supplement</w:t>
              </w:r>
            </w:hyperlink>
          </w:p>
        </w:tc>
        <w:tc>
          <w:tcPr>
            <w:tcW w:w="2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ii</w:t>
              </w:r>
            </w:hyperlink>
          </w:p>
        </w:tc>
        <w:tc>
          <w:tcPr>
            <w:tcW w:w="0" w:type="dxa"/>
            <w:vAlign w:val="bottom"/>
          </w:tcPr>
          <w:p>
            <w:pPr>
              <w:spacing w:after="0"/>
              <w:rPr>
                <w:sz w:val="1"/>
                <w:szCs w:val="1"/>
                <w:color w:val="auto"/>
              </w:rPr>
            </w:pPr>
          </w:p>
        </w:tc>
      </w:tr>
      <w:tr>
        <w:trPr>
          <w:trHeight w:val="216"/>
        </w:trPr>
        <w:tc>
          <w:tcPr>
            <w:tcW w:w="4220" w:type="dxa"/>
            <w:vAlign w:val="bottom"/>
          </w:tcPr>
          <w:p>
            <w:pPr>
              <w:spacing w:after="0"/>
              <w:rPr>
                <w:rFonts w:ascii="Arial" w:cs="Arial" w:eastAsia="Arial" w:hAnsi="Arial"/>
                <w:sz w:val="18"/>
                <w:szCs w:val="18"/>
                <w:u w:val="single" w:color="auto"/>
                <w:color w:val="0000EE"/>
                <w:w w:val="98"/>
              </w:rPr>
            </w:pPr>
            <w:hyperlink w:anchor="page30">
              <w:r>
                <w:rPr>
                  <w:rFonts w:ascii="Arial" w:cs="Arial" w:eastAsia="Arial" w:hAnsi="Arial"/>
                  <w:sz w:val="18"/>
                  <w:szCs w:val="18"/>
                  <w:u w:val="single" w:color="auto"/>
                  <w:color w:val="0000EE"/>
                  <w:w w:val="98"/>
                </w:rPr>
                <w:t>Special Note Regarding Forward-Looking Statements</w:t>
              </w:r>
            </w:hyperlink>
          </w:p>
        </w:tc>
        <w:tc>
          <w:tcPr>
            <w:tcW w:w="28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40" w:type="dxa"/>
            <w:vAlign w:val="bottom"/>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iii</w:t>
              </w:r>
            </w:hyperlink>
          </w:p>
        </w:tc>
        <w:tc>
          <w:tcPr>
            <w:tcW w:w="0" w:type="dxa"/>
            <w:vAlign w:val="bottom"/>
          </w:tcPr>
          <w:p>
            <w:pPr>
              <w:spacing w:after="0"/>
              <w:rPr>
                <w:sz w:val="1"/>
                <w:szCs w:val="1"/>
                <w:color w:val="auto"/>
              </w:rPr>
            </w:pPr>
          </w:p>
        </w:tc>
      </w:tr>
      <w:tr>
        <w:trPr>
          <w:trHeight w:val="216"/>
        </w:trPr>
        <w:tc>
          <w:tcPr>
            <w:tcW w:w="42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Prospectus Supplement Summary</w:t>
              </w:r>
            </w:hyperlink>
          </w:p>
        </w:tc>
        <w:tc>
          <w:tcPr>
            <w:tcW w:w="7020" w:type="dxa"/>
            <w:vAlign w:val="bottom"/>
            <w:gridSpan w:val="3"/>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16"/>
        </w:trPr>
        <w:tc>
          <w:tcPr>
            <w:tcW w:w="42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The Offering</w:t>
              </w:r>
            </w:hyperlink>
          </w:p>
        </w:tc>
        <w:tc>
          <w:tcPr>
            <w:tcW w:w="7020" w:type="dxa"/>
            <w:vAlign w:val="bottom"/>
            <w:gridSpan w:val="3"/>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16"/>
        </w:trPr>
        <w:tc>
          <w:tcPr>
            <w:tcW w:w="422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Risk Factors</w:t>
              </w:r>
            </w:hyperlink>
          </w:p>
        </w:tc>
        <w:tc>
          <w:tcPr>
            <w:tcW w:w="7020" w:type="dxa"/>
            <w:vAlign w:val="bottom"/>
            <w:gridSpan w:val="3"/>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216"/>
        </w:trPr>
        <w:tc>
          <w:tcPr>
            <w:tcW w:w="422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Use of Proceeds</w:t>
              </w:r>
            </w:hyperlink>
          </w:p>
        </w:tc>
        <w:tc>
          <w:tcPr>
            <w:tcW w:w="7020" w:type="dxa"/>
            <w:vAlign w:val="bottom"/>
            <w:gridSpan w:val="3"/>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422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Dividend Policy</w:t>
              </w:r>
            </w:hyperlink>
          </w:p>
        </w:tc>
        <w:tc>
          <w:tcPr>
            <w:tcW w:w="7020" w:type="dxa"/>
            <w:vAlign w:val="bottom"/>
            <w:gridSpan w:val="3"/>
          </w:tcPr>
          <w:p>
            <w:pPr>
              <w:jc w:val="right"/>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16"/>
        </w:trPr>
        <w:tc>
          <w:tcPr>
            <w:tcW w:w="422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Dilution</w:t>
              </w:r>
            </w:hyperlink>
          </w:p>
        </w:tc>
        <w:tc>
          <w:tcPr>
            <w:tcW w:w="7020" w:type="dxa"/>
            <w:vAlign w:val="bottom"/>
            <w:gridSpan w:val="3"/>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8</w:t>
              </w:r>
            </w:hyperlink>
          </w:p>
        </w:tc>
        <w:tc>
          <w:tcPr>
            <w:tcW w:w="0" w:type="dxa"/>
            <w:vAlign w:val="bottom"/>
          </w:tcPr>
          <w:p>
            <w:pPr>
              <w:spacing w:after="0"/>
              <w:rPr>
                <w:sz w:val="1"/>
                <w:szCs w:val="1"/>
                <w:color w:val="auto"/>
              </w:rPr>
            </w:pPr>
          </w:p>
        </w:tc>
      </w:tr>
      <w:tr>
        <w:trPr>
          <w:trHeight w:val="216"/>
        </w:trPr>
        <w:tc>
          <w:tcPr>
            <w:tcW w:w="42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Plan of Distribution</w:t>
              </w:r>
            </w:hyperlink>
          </w:p>
        </w:tc>
        <w:tc>
          <w:tcPr>
            <w:tcW w:w="7020" w:type="dxa"/>
            <w:vAlign w:val="bottom"/>
            <w:gridSpan w:val="3"/>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9</w:t>
              </w:r>
            </w:hyperlink>
          </w:p>
        </w:tc>
        <w:tc>
          <w:tcPr>
            <w:tcW w:w="0" w:type="dxa"/>
            <w:vAlign w:val="bottom"/>
          </w:tcPr>
          <w:p>
            <w:pPr>
              <w:spacing w:after="0"/>
              <w:rPr>
                <w:sz w:val="1"/>
                <w:szCs w:val="1"/>
                <w:color w:val="auto"/>
              </w:rPr>
            </w:pPr>
          </w:p>
        </w:tc>
      </w:tr>
      <w:tr>
        <w:trPr>
          <w:trHeight w:val="216"/>
        </w:trPr>
        <w:tc>
          <w:tcPr>
            <w:tcW w:w="42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Legal Matters</w:t>
              </w:r>
            </w:hyperlink>
          </w:p>
        </w:tc>
        <w:tc>
          <w:tcPr>
            <w:tcW w:w="7020" w:type="dxa"/>
            <w:vAlign w:val="bottom"/>
            <w:gridSpan w:val="3"/>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r>
        <w:trPr>
          <w:trHeight w:val="216"/>
        </w:trPr>
        <w:tc>
          <w:tcPr>
            <w:tcW w:w="42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Experts</w:t>
              </w:r>
            </w:hyperlink>
          </w:p>
        </w:tc>
        <w:tc>
          <w:tcPr>
            <w:tcW w:w="7020" w:type="dxa"/>
            <w:vAlign w:val="bottom"/>
            <w:gridSpan w:val="3"/>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r>
        <w:trPr>
          <w:trHeight w:val="216"/>
        </w:trPr>
        <w:tc>
          <w:tcPr>
            <w:tcW w:w="42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Where You Can Find More Information</w:t>
              </w:r>
            </w:hyperlink>
          </w:p>
        </w:tc>
        <w:tc>
          <w:tcPr>
            <w:tcW w:w="7020" w:type="dxa"/>
            <w:vAlign w:val="bottom"/>
            <w:gridSpan w:val="3"/>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r>
        <w:trPr>
          <w:trHeight w:val="230"/>
        </w:trPr>
        <w:tc>
          <w:tcPr>
            <w:tcW w:w="42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Incorporation By Reference</w:t>
              </w:r>
            </w:hyperlink>
          </w:p>
        </w:tc>
        <w:tc>
          <w:tcPr>
            <w:tcW w:w="7020" w:type="dxa"/>
            <w:vAlign w:val="bottom"/>
            <w:gridSpan w:val="3"/>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10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w:t>
      </w:r>
    </w:p>
    <w:p>
      <w:pPr>
        <w:spacing w:after="0" w:line="146"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accompanying prospectus describes more general information, some of which may not apply to this offering. Under this shelf registration process, we may from time to time sell our ordinary shares, par value NIS 0.0000769 per share, having an aggregate offering price of up to $13,900,000 under this prospectus supplement at prices and on terms to be determined by market conditions at the time of the offering.</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Before buying any of the ordinary shares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in or incorporated by reference in this prospectus and any related free writing prospectus filed by us with the SEC. We have not, and Canaccord has not, authorized anyone to provide you with different information. We take no responsibility for, and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are accurate only as of their respective dates. Our business, financial condition, results of operations and prospects may have changed materially since those dates.</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Unless otherwise indicated, all references to the “Company,” “we,” “us,” “our” and “Entera” refer to Entera Bio Ltd. and its wholly owned subsidiary, Entera Bio Inc., a Delaware corporation, unless the context otherwise requires.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Various statements in this report are “forward-looking statements” within the meaning of the Private Securities Litigation Reform Act of 1995 and other U.S. Federal securities laws. In addition, historic results of scientific research and clinical and preclinical trials do not guarantee that the conclusions of future research or trials would not be different, and historic results referred to in this Annual Report may be interpreted differently in light of additional research and clinical and preclinical trials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report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such as, but not limited to, “anticipate,” “believe,” “contemplates,” “continue,” “could,” “design,” “estimate,” “expect,” “intend,” “likely,” “may,” “ongoing,” “plan,” “potential,” “predict,” “project,” “will,” “would,” “seek,” “should,” “target,” or the negative of these terms and similar expressions or words, identify as forward-looking statements. The events and circumstances reflected in our forward-looking statements may not occur and actual results could differ materially from those projected in our forward-looking statements. Meaningful factors which could cause actual results to differ include, but are not limited to:</w:t>
      </w:r>
    </w:p>
    <w:p>
      <w:pPr>
        <w:spacing w:after="0" w:line="17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scope, progress and costs of developing our product candidates such as EB613 for Osteoporosis and EB 612 for Hypoparathyroidism;</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accuracy of our estimates regarding expenses, capital requirements, the sufficiency of our cash resources and the need for additional financing;</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raise additional funds on commercially reasonable terms;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advance product candidates into, and successfully complete, clinical studies such as our ongoing Phase 2 clinical trial of EB613 in osteoporosis;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expectations regarding licensing, business transactions and strategic collaborations;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operation as a development stage company with limited operating history and a prior record of operating losses as well as our ability to fund our operations going forward;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continue as a going concern absent access to sources of liquidity;</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interpretation of FDA feedback and guidance and how such guidance may impact our clinical development plans, specifically our ability to utilize the 505(b)(2) pathway for the development and potential approval of EB613 and any other product candidates we may develop;</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any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competitive position, especially with respect to Forteo® and other products on the market or in development for the treatment of osteoporosis;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and maintain development and commercialization collaborations;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potential commercial launch of current or future product candidates, and the timing, cost or other aspects of such commercialization;</w:t>
      </w:r>
    </w:p>
    <w:p>
      <w:pPr>
        <w:spacing w:after="0" w:line="236" w:lineRule="exact"/>
        <w:rPr>
          <w:rFonts w:ascii="Arial" w:cs="Arial" w:eastAsia="Arial" w:hAnsi="Arial"/>
          <w:sz w:val="17"/>
          <w:szCs w:val="17"/>
          <w:color w:val="auto"/>
        </w:rPr>
      </w:pPr>
    </w:p>
    <w:p>
      <w:pPr>
        <w:ind w:left="660" w:right="9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manufacture and supply sufficient amounts of material to support our clinical trials and any potential future commercial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use and expand our drug delivery technology to additional product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0" w:name="page31"/>
    <w:bookmarkEnd w:id="30"/>
    <w:p>
      <w:pPr>
        <w:ind w:left="660" w:right="7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and efficacy of therapeutics marketed by competitors that are targeted toward indications for which we are developing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any market we may target and the adoption of our product candidates, if approved, by physicians and patients;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maintain and protect our intellectual property and operate our business without infringing misappropriating or otherwise violating any intellectual property rights of others;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that competing products or technologies may make any product candidates we may develop and commercialize or our oral delivery technology obsolete;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develop a sales, marketing and distribution infrastructure,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manage growth; and</w:t>
      </w:r>
    </w:p>
    <w:p>
      <w:pPr>
        <w:spacing w:after="0" w:line="225" w:lineRule="exact"/>
        <w:rPr>
          <w:rFonts w:ascii="Arial" w:cs="Arial" w:eastAsia="Arial" w:hAnsi="Arial"/>
          <w:sz w:val="18"/>
          <w:szCs w:val="18"/>
          <w:color w:val="auto"/>
        </w:rPr>
      </w:pPr>
    </w:p>
    <w:p>
      <w:pPr>
        <w:ind w:left="660" w:right="52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duration and severity of the recent coronavirus (COVID-19) outbreak, the actions that may be required to contain COVID-19 or treat its impact, and its effect on our operations and workforce, including our research and development and clinical trials.</w:t>
      </w:r>
    </w:p>
    <w:p>
      <w:pPr>
        <w:spacing w:after="0" w:line="146"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All written and verbal forward-looking statements attributable to us or any person acting on our behalf are expressly qualified in their entirety by the cautionary statements contained or referred to in this section. We caution investors not to rely too heavily on the forward-looking statements we make or that are made on our behalf. Except as required by law, we are under no duty, and expressly disclaim any obligation, to update or revise publicly any forward-looking statements, whether as a result of new information, future events or otherwise. You are advised, however, to consult any further disclosures we make on related subjects in any annual, quarterly or current reports that we may file with the Securities and Exchange Commission.</w:t>
      </w:r>
    </w:p>
    <w:p>
      <w:pPr>
        <w:spacing w:after="0" w:line="16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There can be no assurance that the actual results or developments anticipated by us will be realized or, even if substantially realized, that they will have the expected consequences to, or effects on us. Therefore, no assurance can be given that the outcomes stated in such forward-looking statements and estimates will be achieved.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946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32320" cy="4946015"/>
                    </a:xfrm>
                    <a:prstGeom prst="rect">
                      <a:avLst/>
                    </a:prstGeom>
                    <a:noFill/>
                  </pic:spPr>
                </pic:pic>
              </a:graphicData>
            </a:graphic>
          </wp:anchor>
        </w:drawing>
        <w:t>PROSPECTUS SUPPLEMENT SUMMARY</w:t>
      </w:r>
    </w:p>
    <w:p>
      <w:pPr>
        <w:spacing w:after="0" w:line="229"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supplement carefully, especially the risks of investing in our ordinary shares discussed under “Risk Factors” beginning on page 3 of this prospectus supplement, along with our consolidated financial statements and notes to those consolidated financial statements and the other information incorporated by reference in this prospectus supplement.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420" w:firstLine="324"/>
        <w:spacing w:after="0" w:line="296"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orally delivered macromolecule therapeutics for use in areas with significant unmet medical need where adoption of injectable therapies is limited due to cost, convenience and compliance challenges for patients. Our current strategy for our lead product candidates is to use our technology to develop an oral formulation of human parathyroid hormone (1-34), or PTH, which has been approved in the United States in injectable form for over a decade. Our lead oral PTH product candidates are EB613 for the treatment of osteoporosis and EB612 for the treatment of hypoparathyroidism.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center"/>
        <w:ind w:right="120"/>
        <w:spacing w:after="0" w:line="342" w:lineRule="auto"/>
        <w:rPr>
          <w:sz w:val="20"/>
          <w:szCs w:val="20"/>
          <w:color w:val="auto"/>
        </w:rPr>
      </w:pPr>
      <w:r>
        <w:rPr>
          <w:rFonts w:ascii="Arial" w:cs="Arial" w:eastAsia="Arial" w:hAnsi="Arial"/>
          <w:sz w:val="16"/>
          <w:szCs w:val="16"/>
          <w:color w:val="auto"/>
        </w:rPr>
        <w:t>Our principal and registered office is located at Kiryat Hadassah Minrav Building - Fifth Floor, Jerusalem, Israel, and our telephone number is +972-2-532-7151. Our corporate website is located at www.enterabio.com. The information on our website shall not be deemed part of this 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Sarbanes-Oxley Act of 2002.</w:t>
      </w:r>
    </w:p>
    <w:p>
      <w:pPr>
        <w:spacing w:after="0" w:line="18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We may take advantage of these provisions for a period of five years following the completion of our initial public offering (which occurred in July 2018) or such earlier time that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 We may choose to take advantage of some but not all of these reduced burdens.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117475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440" w:top="1134" w:right="45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334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t>THE OFFERING</w:t>
      </w:r>
    </w:p>
    <w:p>
      <w:pPr>
        <w:sectPr>
          <w:pgSz w:w="11900" w:h="16838" w:orient="portrait"/>
          <w:cols w:equalWidth="0" w:num="1">
            <w:col w:w="10980"/>
          </w:cols>
          <w:pgMar w:left="440" w:top="1134" w:right="47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Ordinary Shares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having an aggregate offering price of up to $13,900,000.</w:t>
      </w:r>
    </w:p>
    <w:p>
      <w:pPr>
        <w:spacing w:after="0" w:line="200" w:lineRule="exact"/>
        <w:rPr>
          <w:sz w:val="20"/>
          <w:szCs w:val="20"/>
          <w:color w:val="auto"/>
        </w:rPr>
      </w:pPr>
    </w:p>
    <w:p>
      <w:pPr>
        <w:sectPr>
          <w:pgSz w:w="11900" w:h="16838" w:orient="portrait"/>
          <w:cols w:equalWidth="0" w:num="2">
            <w:col w:w="4780" w:space="720"/>
            <w:col w:w="5480"/>
          </w:cols>
          <w:pgMar w:left="440" w:top="1134" w:right="47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Ordinary Shares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Up to 26,131,918 ordinary shares assuming sales of the entire offering price, at a price of $1.76 per share, which was the last sale price of our ordinary shares as reported on The Nasdaq Capital Market on July 2, 2020. The actual number of shares issued will vary depending on the sales price under this offering.</w:t>
      </w:r>
    </w:p>
    <w:p>
      <w:pPr>
        <w:spacing w:after="0" w:line="184" w:lineRule="exact"/>
        <w:rPr>
          <w:sz w:val="20"/>
          <w:szCs w:val="20"/>
          <w:color w:val="auto"/>
        </w:rPr>
      </w:pPr>
    </w:p>
    <w:p>
      <w:pPr>
        <w:sectPr>
          <w:pgSz w:w="11900" w:h="16838" w:orient="portrait"/>
          <w:cols w:equalWidth="0" w:num="2">
            <w:col w:w="4780" w:space="720"/>
            <w:col w:w="5480"/>
          </w:cols>
          <w:pgMar w:left="440" w:top="1134"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Plan of Distribution</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“At the market” offering that may be made from time to time through our sales agent, Canaccord. See “Plan of Distribution.”</w:t>
      </w:r>
    </w:p>
    <w:p>
      <w:pPr>
        <w:spacing w:after="0" w:line="166" w:lineRule="exact"/>
        <w:rPr>
          <w:sz w:val="20"/>
          <w:szCs w:val="20"/>
          <w:color w:val="auto"/>
        </w:rPr>
      </w:pPr>
    </w:p>
    <w:p>
      <w:pPr>
        <w:sectPr>
          <w:pgSz w:w="11900" w:h="16838" w:orient="portrait"/>
          <w:cols w:equalWidth="0" w:num="2">
            <w:col w:w="4780" w:space="720"/>
            <w:col w:w="5480"/>
          </w:cols>
          <w:pgMar w:left="440" w:top="1134" w:right="4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We intend to use the net proceeds from this offering, together with our other cash resources, primarily to fund research and development expenses for our clinical and preclinical research and development activities and for working capital, repayment of debt and general corporate purposes. See “Use of Proceeds.”</w:t>
      </w:r>
    </w:p>
    <w:p>
      <w:pPr>
        <w:spacing w:after="0" w:line="184" w:lineRule="exact"/>
        <w:rPr>
          <w:sz w:val="20"/>
          <w:szCs w:val="20"/>
          <w:color w:val="auto"/>
        </w:rPr>
      </w:pPr>
    </w:p>
    <w:p>
      <w:pPr>
        <w:sectPr>
          <w:pgSz w:w="11900" w:h="16838" w:orient="portrait"/>
          <w:cols w:equalWidth="0" w:num="2">
            <w:col w:w="4780" w:space="720"/>
            <w:col w:w="5480"/>
          </w:cols>
          <w:pgMar w:left="440" w:top="1134"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You should read the “Risk Factors” section of this prospectus supplement and in our Annual Report on Form 20-F for the year ended December 31, 2019, and in any updates to those risk factors in our reports on Form 6-K or subsequent Annual Reports on Form 20-F incorporated by reference herein, for a discussion of factors to consider carefully before deciding to purchase our ordinary shares.</w:t>
      </w:r>
    </w:p>
    <w:p>
      <w:pPr>
        <w:spacing w:after="0" w:line="188" w:lineRule="exact"/>
        <w:rPr>
          <w:sz w:val="20"/>
          <w:szCs w:val="20"/>
          <w:color w:val="auto"/>
        </w:rPr>
      </w:pPr>
    </w:p>
    <w:p>
      <w:pPr>
        <w:sectPr>
          <w:pgSz w:w="11900" w:h="16838" w:orient="portrait"/>
          <w:cols w:equalWidth="0" w:num="2">
            <w:col w:w="4780" w:space="720"/>
            <w:col w:w="5480"/>
          </w:cols>
          <w:pgMar w:left="440" w:top="1134"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Nasdaq Capital Market Symbol</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Our ordinary shares are listed for trading on The Nasdaq Capital Market under the symbol “ENTX”</w:t>
      </w:r>
    </w:p>
    <w:p>
      <w:pPr>
        <w:spacing w:after="0" w:line="166" w:lineRule="exact"/>
        <w:rPr>
          <w:sz w:val="20"/>
          <w:szCs w:val="20"/>
          <w:color w:val="auto"/>
        </w:rPr>
      </w:pPr>
    </w:p>
    <w:p>
      <w:pPr>
        <w:sectPr>
          <w:pgSz w:w="11900" w:h="16838" w:orient="portrait"/>
          <w:cols w:equalWidth="0" w:num="2">
            <w:col w:w="4780" w:space="720"/>
            <w:col w:w="5480"/>
          </w:cols>
          <w:pgMar w:left="440" w:top="1134"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Passive Foreign Investment Company Considerations</w:t>
      </w:r>
    </w:p>
    <w:p>
      <w:pPr>
        <w:spacing w:after="0" w:line="20" w:lineRule="exact"/>
        <w:rPr>
          <w:sz w:val="20"/>
          <w:szCs w:val="20"/>
          <w:color w:val="auto"/>
        </w:rPr>
      </w:pPr>
      <w:r>
        <w:rPr>
          <w:sz w:val="20"/>
          <w:szCs w:val="20"/>
          <w:color w:val="auto"/>
        </w:rPr>
        <w:br w:type="column"/>
      </w:r>
    </w:p>
    <w:p>
      <w:pPr>
        <w:ind w:right="300"/>
        <w:spacing w:after="0" w:line="279" w:lineRule="auto"/>
        <w:rPr>
          <w:sz w:val="20"/>
          <w:szCs w:val="20"/>
          <w:color w:val="auto"/>
        </w:rPr>
      </w:pPr>
      <w:r>
        <w:rPr>
          <w:rFonts w:ascii="Arial" w:cs="Arial" w:eastAsia="Arial" w:hAnsi="Arial"/>
          <w:sz w:val="17"/>
          <w:szCs w:val="17"/>
          <w:color w:val="auto"/>
        </w:rPr>
        <w:t>We may be a passive foreign investment company for the current or any other taxable year, which generally would result in adverse U.S. federal income tax consequences to our U.S. investors. See “Risk Factors” beginning on page 3 for further information.</w:t>
      </w:r>
    </w:p>
    <w:p>
      <w:pPr>
        <w:spacing w:after="0" w:line="171" w:lineRule="exact"/>
        <w:rPr>
          <w:sz w:val="20"/>
          <w:szCs w:val="20"/>
          <w:color w:val="auto"/>
        </w:rPr>
      </w:pPr>
    </w:p>
    <w:p>
      <w:pPr>
        <w:sectPr>
          <w:pgSz w:w="11900" w:h="16838" w:orient="portrait"/>
          <w:cols w:equalWidth="0" w:num="2">
            <w:col w:w="4780" w:space="720"/>
            <w:col w:w="5480"/>
          </w:cols>
          <w:pgMar w:left="440" w:top="1134" w:right="479" w:bottom="1440" w:gutter="0" w:footer="0" w:header="0"/>
          <w:type w:val="continuous"/>
        </w:sectPr>
      </w:pPr>
    </w:p>
    <w:p>
      <w:pPr>
        <w:ind w:right="520" w:firstLine="324"/>
        <w:spacing w:after="0" w:line="277" w:lineRule="auto"/>
        <w:rPr>
          <w:sz w:val="20"/>
          <w:szCs w:val="20"/>
          <w:color w:val="auto"/>
        </w:rPr>
      </w:pPr>
      <w:r>
        <w:rPr>
          <w:rFonts w:ascii="Arial" w:cs="Arial" w:eastAsia="Arial" w:hAnsi="Arial"/>
          <w:sz w:val="18"/>
          <w:szCs w:val="18"/>
          <w:color w:val="auto"/>
        </w:rPr>
        <w:t>The number of shares to be outstanding after this offering above is based on our actual ordinary shares outstanding as of March 31, 2020 and excludes:</w:t>
      </w:r>
    </w:p>
    <w:p>
      <w:pPr>
        <w:spacing w:after="0" w:line="170" w:lineRule="exact"/>
        <w:rPr>
          <w:sz w:val="20"/>
          <w:szCs w:val="20"/>
          <w:color w:val="auto"/>
        </w:rPr>
      </w:pPr>
    </w:p>
    <w:p>
      <w:pPr>
        <w:ind w:left="640" w:right="140" w:hanging="320"/>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3,233,291 of our ordinary shares issuable upon the exercise of options outstanding as of March 31, 2020, at a weighted average exercise price of $3.97 per ordinary share;</w:t>
      </w:r>
    </w:p>
    <w:p>
      <w:pPr>
        <w:spacing w:after="0" w:line="170" w:lineRule="exact"/>
        <w:rPr>
          <w:rFonts w:ascii="Arial" w:cs="Arial" w:eastAsia="Arial" w:hAnsi="Arial"/>
          <w:sz w:val="18"/>
          <w:szCs w:val="18"/>
          <w:color w:val="auto"/>
        </w:rPr>
      </w:pPr>
    </w:p>
    <w:p>
      <w:pPr>
        <w:ind w:left="640" w:right="140" w:hanging="320"/>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5,272,195 of our ordinary shares issuable upon the exercise of warrants outstanding as of March 31, 2020, of which 687,960 warrants expired in June 2020 and 332,020 warrants expired on July 1, 2020; and</w:t>
      </w:r>
    </w:p>
    <w:p>
      <w:pPr>
        <w:spacing w:after="0" w:line="170" w:lineRule="exact"/>
        <w:rPr>
          <w:rFonts w:ascii="Arial" w:cs="Arial" w:eastAsia="Arial" w:hAnsi="Arial"/>
          <w:sz w:val="18"/>
          <w:szCs w:val="18"/>
          <w:color w:val="auto"/>
        </w:rPr>
      </w:pPr>
    </w:p>
    <w:p>
      <w:pPr>
        <w:ind w:left="640" w:hanging="320"/>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646,807 ordinary shares covered by awards available for issuance under our equity incentive plan as of March 31,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440" w:top="1134" w:right="479" w:bottom="1440" w:gutter="0" w:footer="0" w:header="0"/>
          <w:type w:val="continuous"/>
        </w:sectPr>
      </w:pPr>
    </w:p>
    <w:bookmarkStart w:id="33" w:name="page34"/>
    <w:bookmarkEnd w:id="33"/>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i w:val="1"/>
          <w:iCs w:val="1"/>
          <w:color w:val="auto"/>
        </w:rPr>
        <w:t>You should carefully consider the risks and uncertainties described under “Risk Factors” in our Annual Report on Form 20-F for the year ended December 31, 2019, and in any updates to those risk factors in our reports on Form 6-K or subsequent Annual Reports on Form 20-F incorporated by reference herein, as well as the other information in this prospectus supplement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To the extent the COVID-19 pandemic adversely affects our business and financial results, it may also have the effect of heightening many of the other risks described in this section and in our Annual Report on Form 20-F and other public filings.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related to this offering and ownership of our ordinary shares</w:t>
      </w:r>
    </w:p>
    <w:p>
      <w:pPr>
        <w:spacing w:after="0" w:line="22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b w:val="1"/>
          <w:bCs w:val="1"/>
          <w:i w:val="1"/>
          <w:iCs w:val="1"/>
          <w:color w:val="auto"/>
        </w:rPr>
        <w:t>The price of our ordinary shares and tradeable warrants may be volatile, and holders of our ordinary shares could lose all or part of their investment.</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price of securities for publicly traded emerging biopharmaceutical and drug discovery and development companies has been highly volatile and is likely to remain highly volatile in the future. The market price of our ordinary shares and tradeable warrants on Nasdaq may fluctuate as a result of a number of factors, some of which are beyond our control, including, but not limited to:</w:t>
      </w:r>
    </w:p>
    <w:p>
      <w:pPr>
        <w:spacing w:after="0" w:line="18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 results and the timing of the release of such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and our competitors’ results of operations and financial condition;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or acquisitions or expansion plans by us or our competitors;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 or failure of our research and development projects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entering into or terminating strategic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government regulation;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developments and the decisions of regulatory authorities as to the approval or rejection of new or modified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departure of our key personnel;</w:t>
      </w:r>
    </w:p>
    <w:p>
      <w:pPr>
        <w:spacing w:after="0" w:line="9" w:lineRule="exact"/>
        <w:rPr>
          <w:rFonts w:ascii="Arial" w:cs="Arial" w:eastAsia="Arial" w:hAnsi="Arial"/>
          <w:sz w:val="18"/>
          <w:szCs w:val="18"/>
          <w:color w:val="auto"/>
        </w:rPr>
      </w:pPr>
    </w:p>
    <w:p>
      <w:pPr>
        <w:ind w:left="660" w:right="6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disputes related to proprietary rights, including patents, litigation matters and our ability to obtain intellectual property protection for our technologies;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sale, or the sale by our significant shareholders, of ordinary shares, warrants or other securities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we are developing;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conditions in our industry and changes in estimates of the future size and growth rate of our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mix of products that we sell and related services that we provide;</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or failure of our licensees to develop, obtain approval for and commercialize our licensed products, for which we are entitled to contingent payments and royalties;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publication of the results of preclinical or clinical trials for EB613, EB612 or any other product candidates we may develop;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us to achieve a publicly announced milestone;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delays between our expenditures to develop and market new or enhanced products and the generation of sales from those products;</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4" w:name="page35"/>
    <w:bookmarkEnd w:id="34"/>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amounts that we spend to develop, acquire or license new products, technologies or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expenditures to promote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limited trading volume of our ordinary shares and tradeable warrants;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impacts or disruptions resulting from the COVID-19 pandemic;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market conditions, including factors unrelated to our industry or operating performance.</w:t>
      </w:r>
    </w:p>
    <w:p>
      <w:pPr>
        <w:spacing w:after="0" w:line="211"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18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Future sales of our ordinary shares, other securities convertible into our ordinary shares or preferred shares could cause the market value of our ordinary shares to decline and could result in dilution of your shares.</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may issue up to $13,900,000 of our ordinary shares as part of the offering contemplated by this prospectus supplement. In addition, our board of directors is authorized, without your approval, to cause us to issue additional shares of our ordinary shares or to raise capital through the issuance of debt securities convertible into ordinary shares, options, warrants and other rights, on terms and for consideration as our board of directors in its sole discretion may determine. Sales of substantial amounts of our ordinary shares could cause the market price of our ordinary shares to decrease significantly. We cannot predict the effect, if any, of future sales of our ordinary shares, or the availability of our ordinary shares for future sales, on the value of our ordinary shares. Sales of substantial amounts of our ordinary shares by our directors or officers or another large shareholder, or the perception that such sales could occur, may adversely affect the market price of our ordinary shares.</w:t>
      </w:r>
    </w:p>
    <w:p>
      <w:pPr>
        <w:spacing w:after="0" w:line="17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for U.S. federal income tax purposes for the current or any other taxable year, which generally would result in adverse U.S. federal income tax consequences to our U.S. investors.</w:t>
      </w:r>
    </w:p>
    <w:p>
      <w:pPr>
        <w:spacing w:after="0" w:line="170"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There is a risk that we may be treated as a passive foreign investment company, or PFIC, for any taxable year. In general, a non-U.S. corporation is a PFIC for any taxable year in which (i) 75% or more of its gross income consists of passive income (the “income test”) or (ii) 50% or more of the average value of its assets (generally determined on a quarterly basis) consists of assets that produce, or are held for the production of, passive income (the “assets test”). Generally, passive income includes interest, dividends, rents, royalties and certain gains. Cash is a passive asset for PFIC purposes. The assets shown on our balance sheet consist, and are expected to continue to consist, primarily of cash and cash equivalents for the foreseeable future. Therefore, whether we will satisfy the assets test for the current or any future taxable year will depend largely on the quarterly value of our goodwill, and on how quickly we utilize our current and future cash balances in our business. We may also be a PFIC under the income test. Specifically, there is a risk that we may be or become a PFIC for the current or any other taxable year because (i) for purposes of the assets test the value of our goodwill may be determined by reference to the market price of our ordinary shares, which has been, and may continue to be, volatile given the nature of our business and the early stage of our drug candidates (and such price has generally been in decline since our initial public offering), (ii) we hold, and expect to continue to hold, cash in amounts that are substantial relative to the value of our goodwill, (iii) our PFIC status for any taxable year under the income test may depend on the amount of our interest income compared to the total amount of our gross income, as calculated for U.S. federal income tax purposes (and the revenue shown on our financial statements is not calculated based on U.S. tax principles), (iv) the application of the PFIC rules to a company like us is subject to uncertainties in certain respects, and (v) a company’s annual PFIC status can be determined only after the end of each taxable year. We therefore cannot express a view as to whether we will be a PFIC for the current or any future taxable year. If we were a PFIC for any taxable year during which a U.S. investor owned our ordinary shares, such U.S. investor generally will be subject to certain adverse U.S. federal income tax consequences, including increased tax liability on gains from dispositions of the ordinary shares and certain distributions, and a requirement to file annual reports with the Internal Revenue Service. See “Item 10.E.—Taxation—Material U.S. Federal Income Tax Considerations for U.S. Holders—Passive Foreign Investment Company Rules” in our Annual Report on Form 20-F for more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340"/>
        <w:spacing w:after="0"/>
        <w:rPr>
          <w:sz w:val="20"/>
          <w:szCs w:val="20"/>
          <w:color w:val="auto"/>
        </w:rPr>
      </w:pPr>
      <w:r>
        <w:rPr>
          <w:rFonts w:ascii="Arial" w:cs="Arial" w:eastAsia="Arial" w:hAnsi="Arial"/>
          <w:sz w:val="16"/>
          <w:szCs w:val="16"/>
          <w:b w:val="1"/>
          <w:bCs w:val="1"/>
          <w:i w:val="1"/>
          <w:iCs w:val="1"/>
          <w:color w:val="auto"/>
        </w:rPr>
        <w:t>We have broad discretion to use the proceeds from this offering, and our investment of those proceeds may not yield a favorable return.</w:t>
      </w:r>
    </w:p>
    <w:p>
      <w:pPr>
        <w:spacing w:after="0" w:line="248"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Our management has broad discretion to use the proceeds from this offering in ways with which you may not agree. The failure of our management to apply these funds effectively could result in unfavorable returns. This could harm our business and could cause the market value of our ordinary shares to decline.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order to raise additional capital, we may in the future offer additional shares of our ordinary shares, including pursuant to our at-the-market sales program. We cannot predict the effect, if any, of future sales of our ordinary shares, or the availability of our ordinary shares for future sales, on the value of our ordinary shares, and investors purchasing shares or other securities in the future could have rights superior to existing shareholders, including investors who purchase shares of ordinary shares pursuant to our at-the-market sales program.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We may issue and sell our ordinary shares having aggregate gross sales proceeds of up to $13.9 million from time to time. Because there is no minimum offering amount required as a condition to close this offering, the actual total public offering amount, commissions and proceeds to us, if any, are not determinable at this time.</w:t>
      </w:r>
    </w:p>
    <w:p>
      <w:pPr>
        <w:spacing w:after="0" w:line="18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of June 30, 2020, we had cash and cash equivalents of $9.75 million. We anticipate that we will use our existing cash and cash equivalents and the net proceeds of this offering, if we issue and sell our ordinary shares with maximum aggregate gross sales proceeds of $13.9 million as specified in this prospectus supplement, primarily to fund research and development expenses for our clinical and preclinical research and development activities and for working capital, repayment of debt and general corporate purposes.</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expected use of net proceeds from this offering represents our current intentions based upon our present plans and business condition.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our ability to obtain additional financing, the relative success and cost of our research, preclinical and clinical development programs, including a change in our planned course of development or the termination of a clinical program necessitated by the results of data received from clinical trials, the amount and timing of additional revenues, if any, received from our collaborations and whether we enter into future collaborations. As a result, management will have broad discretion in the application of the net proceeds, and investors will be relying on our judgment regarding the application of the net proceeds of this offering. In addition, we might decide to postpone or not pursue other clinical trials or preclinical activities if the net proceeds from this offering and our other sources of cash are less than expected.</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Based on our current cash and cash equivalents described above, we estimate that such funds will be sufficient to enable us to fund our operating expenses and capital expenditure requirements into the second quarter of 2021. The net proceeds of this offering, if we issue and sell our ordinary shares with maximum aggregate gross sales proceeds of $13.9 million as specified in this prospectus supplement, would extend our financial reach, assuming that the plans for our clinical and preclinical activities remain unchanged. We have based these estimates on assumptions that may prove to be incorrect, and we could use our available capital resources sooner than we currently expect.</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financial assets and certificates of deposit.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If you invest in our ordinary shares in this offering, your ownership interest will be diluted immediately to the extent of the difference between the price you pay in this offering and the net tangible book value per ordinary share after this offering.</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net tangible book value as of March 31, 2020 was $9.4 million, or $0.52 per ordinary share, based on 18,234,191 ordinary shares then outstanding. After giving effect to the assumed sale by us of our ordinary shares in the aggregate gross amount of $13.9 million at an assumed public offering price of $1.76 per share (the last sale price of our ordinary shares on July 2, 2020 as reported on The Nasdaq Capital Market), less the estimated commissions and estimated offering expenses payable by us, our net tangible book value at March 31, 2020 would have been $22.7 million, or $0.87 per ordinary share. This represents an immediate increase in net tangible book value of $0.35 per share to existing shareholders and an immediate dilution of $0.89 per share to investors in this offering. The following table illustrates this per share dilution. The as adjusted information is illustrative only and will adjust based on the actual price to the public, the actual number of shares sold and other terms of the offering determined at the time our ordinary shares are sold pursuant to this prospectus supplement. The shares sold in this offering, if any, will be sold from time to time at various prices.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Assumed public offering price per share</w:t>
            </w:r>
          </w:p>
        </w:tc>
        <w:tc>
          <w:tcPr>
            <w:tcW w:w="7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1.76</w:t>
            </w:r>
          </w:p>
        </w:tc>
      </w:tr>
      <w:tr>
        <w:trPr>
          <w:trHeight w:val="216"/>
        </w:trPr>
        <w:tc>
          <w:tcPr>
            <w:tcW w:w="5300" w:type="dxa"/>
            <w:vAlign w:val="bottom"/>
          </w:tcPr>
          <w:p>
            <w:pPr>
              <w:ind w:left="320"/>
              <w:spacing w:after="0"/>
              <w:rPr>
                <w:sz w:val="20"/>
                <w:szCs w:val="20"/>
                <w:color w:val="auto"/>
              </w:rPr>
            </w:pPr>
            <w:r>
              <w:rPr>
                <w:rFonts w:ascii="Arial" w:cs="Arial" w:eastAsia="Arial" w:hAnsi="Arial"/>
                <w:sz w:val="18"/>
                <w:szCs w:val="18"/>
                <w:color w:val="auto"/>
              </w:rPr>
              <w:t>Net tangible book value per share as of March 31, 2020</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330"/>
              <w:spacing w:after="0"/>
              <w:rPr>
                <w:sz w:val="20"/>
                <w:szCs w:val="20"/>
                <w:color w:val="auto"/>
              </w:rPr>
            </w:pPr>
            <w:r>
              <w:rPr>
                <w:rFonts w:ascii="Arial" w:cs="Arial" w:eastAsia="Arial" w:hAnsi="Arial"/>
                <w:sz w:val="18"/>
                <w:szCs w:val="18"/>
                <w:color w:val="auto"/>
              </w:rPr>
              <w:t>0.52</w:t>
            </w:r>
          </w:p>
        </w:tc>
        <w:tc>
          <w:tcPr>
            <w:tcW w:w="960" w:type="dxa"/>
            <w:vAlign w:val="bottom"/>
          </w:tcPr>
          <w:p>
            <w:pPr>
              <w:spacing w:after="0"/>
              <w:rPr>
                <w:sz w:val="18"/>
                <w:szCs w:val="18"/>
                <w:color w:val="auto"/>
              </w:rPr>
            </w:pPr>
          </w:p>
        </w:tc>
      </w:tr>
      <w:tr>
        <w:trPr>
          <w:trHeight w:val="202"/>
        </w:trPr>
        <w:tc>
          <w:tcPr>
            <w:tcW w:w="53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Increase in net tangible book value per share after giving effect</w:t>
            </w:r>
          </w:p>
        </w:tc>
        <w:tc>
          <w:tcPr>
            <w:tcW w:w="7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 this offering</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0.35</w:t>
            </w:r>
          </w:p>
        </w:tc>
        <w:tc>
          <w:tcPr>
            <w:tcW w:w="960" w:type="dxa"/>
            <w:vAlign w:val="bottom"/>
            <w:shd w:val="clear" w:color="auto" w:fill="CCEEFF"/>
          </w:tcPr>
          <w:p>
            <w:pPr>
              <w:spacing w:after="0"/>
              <w:rPr>
                <w:sz w:val="20"/>
                <w:szCs w:val="20"/>
                <w:color w:val="auto"/>
              </w:rPr>
            </w:pPr>
          </w:p>
        </w:tc>
      </w:tr>
      <w:tr>
        <w:trPr>
          <w:trHeight w:val="202"/>
        </w:trPr>
        <w:tc>
          <w:tcPr>
            <w:tcW w:w="5300" w:type="dxa"/>
            <w:vAlign w:val="bottom"/>
          </w:tcPr>
          <w:p>
            <w:pPr>
              <w:ind w:left="320"/>
              <w:spacing w:after="0" w:line="201" w:lineRule="exact"/>
              <w:rPr>
                <w:sz w:val="20"/>
                <w:szCs w:val="20"/>
                <w:color w:val="auto"/>
              </w:rPr>
            </w:pPr>
            <w:r>
              <w:rPr>
                <w:rFonts w:ascii="Arial" w:cs="Arial" w:eastAsia="Arial" w:hAnsi="Arial"/>
                <w:sz w:val="18"/>
                <w:szCs w:val="18"/>
                <w:color w:val="auto"/>
                <w:w w:val="98"/>
              </w:rPr>
              <w:t>Adjusted net tangible book value per share after giving effect to</w:t>
            </w:r>
          </w:p>
        </w:tc>
        <w:tc>
          <w:tcPr>
            <w:tcW w:w="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this offering</w:t>
            </w:r>
          </w:p>
        </w:tc>
        <w:tc>
          <w:tcPr>
            <w:tcW w:w="720" w:type="dxa"/>
            <w:vAlign w:val="bottom"/>
          </w:tcPr>
          <w:p>
            <w:pPr>
              <w:spacing w:after="0"/>
              <w:rPr>
                <w:sz w:val="20"/>
                <w:szCs w:val="20"/>
                <w:color w:val="auto"/>
              </w:rPr>
            </w:pPr>
          </w:p>
        </w:tc>
        <w:tc>
          <w:tcPr>
            <w:tcW w:w="2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0.87</w:t>
            </w:r>
          </w:p>
        </w:tc>
      </w:tr>
      <w:tr>
        <w:trPr>
          <w:trHeight w:val="216"/>
        </w:trPr>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Dilution per share to new investors</w:t>
            </w:r>
          </w:p>
        </w:tc>
        <w:tc>
          <w:tcPr>
            <w:tcW w:w="72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0.89</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is based on our actual ordinary shares outstanding as of March 31, 2020 and excludes:</w:t>
      </w:r>
    </w:p>
    <w:p>
      <w:pPr>
        <w:spacing w:after="0" w:line="225" w:lineRule="exact"/>
        <w:rPr>
          <w:sz w:val="20"/>
          <w:szCs w:val="20"/>
          <w:color w:val="auto"/>
        </w:rPr>
      </w:pPr>
    </w:p>
    <w:p>
      <w:pPr>
        <w:ind w:left="660" w:right="1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3,233,291 of our ordinary shares issuable upon the exercise of options outstanding as of March 31, 2020, at a weighted average exercise price of $3.97 per ordinary share;</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5,272,195 of our ordinary shares issuable upon the exercise of warrants outstanding as of March 31, 2020, of which 687,960 warrants expired in June 2020 and 332,020 warrants expired on July 1, 2020;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646,807 ordinary shares covered by awards available for issuance under our equity incentive plan as of March 31, 2020.</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have entered into an Equity Distribution Agreement with Canaccord under which we may issue and sell our ordinary shares having an aggregate gross sales price of up to $13,900,000 from time to time through Canaccord acting as our sales agent.</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Upon delivery of a placement notice and subject to the terms and conditions of the Equity Distribution Agreement, Canaccord may sell our ordinary shares by any method permitted by law deemed to be an “at-the-market” offering as defined in Rule 415 promulgated under the Securities Act, including sales made directly on or through The Nasdaq Capital Market, or sales made to or through a market maker other than on an exchange. Canaccord may also sell our ordinary shares by any other method permitted by law. We may instruct Canaccord not to sell ordinary shares if the sales cannot be effected at or above the price designated by us from time to time. We or Canaccord may suspend the offering of ordinary shares upon notice and subject to other conditions.</w:t>
      </w:r>
    </w:p>
    <w:p>
      <w:pPr>
        <w:spacing w:after="0" w:line="19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will pay Canaccord commissions, in cash, for its services in acting as agent in the sale of our ordinary shares. Canaccord will be entitled to compensation at a fixed commission rate of 3.0% of the gross sales price per share sold pursuant to the Equity Distribution Agreement. Because there is no minimum offering amount required as a condition to close this offering, the actual total public offering amount, commissions and proceeds to us, if any, are not determinable at this time. We have also agreed to reimburse Canaccord for certain specified expenses, including the fees and disbursements of its legal counsel, in an amount not to exceed $50,000. We estimate that the total expenses for the offering, excluding compensation and reimbursement payable to Canaccord under the terms of the Equity Distribution Agreement, will be approximately $193,480.</w:t>
      </w:r>
    </w:p>
    <w:p>
      <w:pPr>
        <w:spacing w:after="0" w:line="178"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Settlement for sales of ordinary shares will occur on the second business day following the date on which any sales are made, or on some other date that is agreed upon by us and Canaccord in connection with a particular transaction, in return for payment of the net proceeds to us. Sales of our ordinary shares as contemplated in this prospectus supplement will be settled through the facilities of The Depository Trust Company or by such other means as we and Canaccord may agree upon. There is no arrangement for funds to be received in an escrow, trust or similar arrangement.</w:t>
      </w:r>
    </w:p>
    <w:p>
      <w:pPr>
        <w:spacing w:after="0" w:line="15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Canaccord will use its commercially reasonable efforts, consistent with its sales and trading practices, to solicit offers to purchase the ordinary shares under the terms and subject to the conditions set forth in the Equity Distribution Agreement. In connection with the sale of the ordinary shares on our behalf, Canaccord will be deemed to be an “underwriter” within the meaning of the Securities Act and the compensation of Canaccord may be deemed to be underwriting commissions or discounts. We have agreed to provide indemnification and contribution to Canaccord against certain civil liabilities, including liabilities under the Securities Act.</w:t>
      </w:r>
    </w:p>
    <w:p>
      <w:pPr>
        <w:spacing w:after="0" w:line="18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offering of our ordinary shares pursuant to Equity Distribution Agreement will terminate automatically upon the sale of all shares of our ordinary shares subject to the Equity Distribution Agreement or as otherwise permitted therein. We and Canaccord may each terminate the Equity Distribution Agreement at any time upon ten days’ prior written notice.</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Any portion of the $13,900,000 included in this prospectus supplement that is not previously sold or included in an active placement notice pursuant to the Equity Distribution Agreement is available for sale in other offerings pursuant to the accompanying base prospectus, and if no shares are sold under the Equity Distribution Agreement, the full $13,900,000 of securities may be sold in other offerings pursuant to the accompanying base prospectus.</w:t>
      </w:r>
    </w:p>
    <w:p>
      <w:pPr>
        <w:spacing w:after="0" w:line="14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ordinary shares are listed on The Nasdaq Capital Market and trades under the symbol “ENTX.” The transfer agent of our ordinary shares is American Stock Transfer &amp; Trust Company.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validity of the issuance of our ordinary shares offered in this prospectus law will be passed upon for us by Herzog, Fox &amp; Neeman, Tel Aviv, Israel, our Israeli counsel. Certain matters of U.S. federal and New York State law will be passed upon for us by Davis Polk &amp; Wardwell LLP, New York, New York. Canaccord Genuity LLC is being represented in connection with this offering by Mintz, Levin, Cohn, Ferris, Glovsky and Popeo, P.C., Boston, Massachusetts.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20-F for the year ended December 31, 2019 have been so incorporated in reliance on the report (which contains an explanatory paragraph relating to the Company’s ability to continue as a going concern as described in note 1b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 xml:space="preserve">We have filed with the U.S. Securities and Exchange Commission a registration statement (including amendments and exhibits to the registration statement) on Form F-3 under the Securities Act. Our SEC filings are available to the public over the Internet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Copies of certain information filed by us with the SEC are also available on our website at </w:t>
      </w:r>
      <w:r>
        <w:rPr>
          <w:rFonts w:ascii="Arial" w:cs="Arial" w:eastAsia="Arial" w:hAnsi="Arial"/>
          <w:sz w:val="17"/>
          <w:szCs w:val="17"/>
          <w:i w:val="1"/>
          <w:iCs w:val="1"/>
          <w:color w:val="auto"/>
        </w:rPr>
        <w:t>http://www.enterabio.com</w:t>
      </w:r>
      <w:r>
        <w:rPr>
          <w:rFonts w:ascii="Arial" w:cs="Arial" w:eastAsia="Arial" w:hAnsi="Arial"/>
          <w:sz w:val="17"/>
          <w:szCs w:val="17"/>
          <w:color w:val="auto"/>
        </w:rPr>
        <w:t>. Our website is not a part of this prospectus supplement and is not incorporated by reference in this prospectus supplement.</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or incorporated by reference subsequent to the date of this prospectus supplement.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225" w:lineRule="exact"/>
        <w:rPr>
          <w:sz w:val="20"/>
          <w:szCs w:val="20"/>
          <w:color w:val="auto"/>
        </w:rPr>
      </w:pPr>
    </w:p>
    <w:p>
      <w:pPr>
        <w:ind w:left="860" w:hanging="528"/>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0">
        <w:r>
          <w:rPr>
            <w:rFonts w:ascii="Arial" w:cs="Arial" w:eastAsia="Arial" w:hAnsi="Arial"/>
            <w:sz w:val="18"/>
            <w:szCs w:val="18"/>
            <w:u w:val="single" w:color="auto"/>
            <w:color w:val="0000EE"/>
          </w:rPr>
          <w:t>Form 20-F for the fiscal year ended December 31, 2019 filed on March 26, 2020</w:t>
        </w:r>
      </w:hyperlink>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340" w:right="60" w:hanging="8"/>
        <w:spacing w:after="0" w:line="277" w:lineRule="auto"/>
        <w:tabs>
          <w:tab w:leader="none" w:pos="8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Report on Form 6-K filed on </w:t>
      </w:r>
      <w:hyperlink r:id="rId41">
        <w:r>
          <w:rPr>
            <w:rFonts w:ascii="Arial" w:cs="Arial" w:eastAsia="Arial" w:hAnsi="Arial"/>
            <w:sz w:val="18"/>
            <w:szCs w:val="18"/>
            <w:u w:val="single" w:color="auto"/>
            <w:color w:val="0000EE"/>
          </w:rPr>
          <w:t>February 19, 2020</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EE"/>
          </w:rPr>
          <w:t>May 21,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(with respect to the paragraphs entitled “EB613 Phase 2 Topline Results” in Exhibit 99.1 only), </w:t>
      </w:r>
      <w:hyperlink r:id="rId43">
        <w:r>
          <w:rPr>
            <w:rFonts w:ascii="Arial" w:cs="Arial" w:eastAsia="Arial" w:hAnsi="Arial"/>
            <w:sz w:val="18"/>
            <w:szCs w:val="18"/>
            <w:u w:val="single" w:color="auto"/>
            <w:color w:val="0000EE"/>
          </w:rPr>
          <w:t>June 26,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4">
        <w:r>
          <w:rPr>
            <w:rFonts w:ascii="Arial" w:cs="Arial" w:eastAsia="Arial" w:hAnsi="Arial"/>
            <w:sz w:val="18"/>
            <w:szCs w:val="18"/>
            <w:u w:val="single" w:color="auto"/>
            <w:color w:val="0000EE"/>
          </w:rPr>
          <w:t>July 7, 2020</w:t>
        </w:r>
      </w:hyperlink>
      <w:r>
        <w:rPr>
          <w:rFonts w:ascii="Arial" w:cs="Arial" w:eastAsia="Arial" w:hAnsi="Arial"/>
          <w:sz w:val="18"/>
          <w:szCs w:val="18"/>
          <w:color w:val="auto"/>
        </w:rPr>
        <w:t>;</w:t>
      </w:r>
    </w:p>
    <w:p>
      <w:pPr>
        <w:spacing w:after="0" w:line="3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340" w:right="120" w:hanging="8"/>
        <w:spacing w:after="0" w:line="277" w:lineRule="auto"/>
        <w:tabs>
          <w:tab w:leader="none" w:pos="8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Unaudited Condensed Consolidated Interim Financial Statements for the three-month period ended March 31, 2020, which were included as </w:t>
      </w:r>
      <w:hyperlink r:id="rId45">
        <w:r>
          <w:rPr>
            <w:rFonts w:ascii="Arial" w:cs="Arial" w:eastAsia="Arial" w:hAnsi="Arial"/>
            <w:sz w:val="18"/>
            <w:szCs w:val="18"/>
            <w:u w:val="single" w:color="auto"/>
            <w:color w:val="0000EE"/>
          </w:rPr>
          <w:t>Exhibit 99.1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Form 6-K filed on May 21, 2020; and</w:t>
      </w:r>
    </w:p>
    <w:p>
      <w:pPr>
        <w:spacing w:after="0" w:line="170" w:lineRule="exact"/>
        <w:rPr>
          <w:rFonts w:ascii="Arial" w:cs="Arial" w:eastAsia="Arial" w:hAnsi="Arial"/>
          <w:sz w:val="18"/>
          <w:szCs w:val="18"/>
          <w:color w:val="auto"/>
        </w:rPr>
      </w:pPr>
    </w:p>
    <w:p>
      <w:pPr>
        <w:ind w:left="340" w:right="20" w:hanging="8"/>
        <w:spacing w:after="0" w:line="277" w:lineRule="auto"/>
        <w:tabs>
          <w:tab w:leader="none" w:pos="8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our Management’s Discussion and Analysis for the three-month period ended March 31, 2020, which was included as </w:t>
      </w:r>
      <w:hyperlink r:id="rId46">
        <w:r>
          <w:rPr>
            <w:rFonts w:ascii="Arial" w:cs="Arial" w:eastAsia="Arial" w:hAnsi="Arial"/>
            <w:sz w:val="18"/>
            <w:szCs w:val="18"/>
            <w:u w:val="single" w:color="auto"/>
            <w:color w:val="0000EE"/>
          </w:rPr>
          <w:t>Exhibit 99.2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Form 6-K filed on May 21, 2020.</w:t>
      </w:r>
    </w:p>
    <w:p>
      <w:pPr>
        <w:spacing w:after="0" w:line="170" w:lineRule="exact"/>
        <w:rPr>
          <w:rFonts w:ascii="Arial" w:cs="Arial" w:eastAsia="Arial" w:hAnsi="Arial"/>
          <w:sz w:val="18"/>
          <w:szCs w:val="18"/>
          <w:color w:val="auto"/>
        </w:rPr>
      </w:pPr>
    </w:p>
    <w:p>
      <w:pPr>
        <w:ind w:right="140" w:firstLine="324"/>
        <w:spacing w:after="0" w:line="259" w:lineRule="auto"/>
        <w:rPr>
          <w:sz w:val="20"/>
          <w:szCs w:val="20"/>
          <w:color w:val="auto"/>
        </w:rPr>
      </w:pPr>
      <w:r>
        <w:rPr>
          <w:rFonts w:ascii="Arial" w:cs="Arial" w:eastAsia="Arial" w:hAnsi="Arial"/>
          <w:sz w:val="18"/>
          <w:szCs w:val="18"/>
          <w:color w:val="auto"/>
        </w:rPr>
        <w:t>All subsequent reports that we file on Form 20-F under the Exchange Act after the date of this prospectus and prior to the termination of the offering shall also be deemed to be incorporated by reference into this prospectus and to be a part hereof from the date of filing such documents. We may also incorporate by reference any other Form 6-K that we submit to the SEC after the date of this prospectus and prior to the termination of this offering by identifying in such Form 6-K that it is being incorporated by reference into this prospectus.</w:t>
      </w:r>
    </w:p>
    <w:p>
      <w:pPr>
        <w:spacing w:after="0" w:line="187" w:lineRule="exact"/>
        <w:rPr>
          <w:rFonts w:ascii="Arial" w:cs="Arial" w:eastAsia="Arial" w:hAnsi="Arial"/>
          <w:sz w:val="18"/>
          <w:szCs w:val="18"/>
          <w:color w:val="auto"/>
        </w:rPr>
      </w:pPr>
    </w:p>
    <w:p>
      <w:pPr>
        <w:ind w:right="60" w:firstLine="324"/>
        <w:spacing w:after="0" w:line="308" w:lineRule="auto"/>
        <w:rPr>
          <w:sz w:val="20"/>
          <w:szCs w:val="20"/>
          <w:color w:val="auto"/>
        </w:rPr>
      </w:pPr>
      <w:r>
        <w:rPr>
          <w:rFonts w:ascii="Arial" w:cs="Arial" w:eastAsia="Arial" w:hAnsi="Arial"/>
          <w:sz w:val="17"/>
          <w:szCs w:val="17"/>
          <w:color w:val="auto"/>
        </w:rPr>
        <w:t>As you read the above documents, you may find inconsistencies in information from one document to another. If you find inconsistencies, you should rely on the statements made in this prospectus or in the most recent document incorporated by reference herein.</w:t>
      </w:r>
    </w:p>
    <w:p>
      <w:pPr>
        <w:spacing w:after="0" w:line="146" w:lineRule="exact"/>
        <w:rPr>
          <w:rFonts w:ascii="Arial" w:cs="Arial" w:eastAsia="Arial" w:hAnsi="Arial"/>
          <w:sz w:val="18"/>
          <w:szCs w:val="18"/>
          <w:color w:val="auto"/>
        </w:rPr>
      </w:pPr>
    </w:p>
    <w:p>
      <w:pPr>
        <w:ind w:firstLine="324"/>
        <w:spacing w:after="0" w:line="263" w:lineRule="auto"/>
        <w:rPr>
          <w:sz w:val="20"/>
          <w:szCs w:val="20"/>
          <w:color w:val="auto"/>
        </w:rPr>
      </w:pPr>
      <w:r>
        <w:rPr>
          <w:rFonts w:ascii="Arial" w:cs="Arial" w:eastAsia="Arial" w:hAnsi="Arial"/>
          <w:sz w:val="18"/>
          <w:szCs w:val="18"/>
          <w:color w:val="auto"/>
        </w:rPr>
        <w:t>We will provide without charge to each person to whom this prospectus has been delivered, upon the written or oral request of any such person to us, a copy of any or all of the documents referred to above that have been or may be incorporated into this prospectus by reference, including exhibits to such documents. Requests for such copies should be directed to:</w:t>
      </w:r>
    </w:p>
    <w:p>
      <w:pPr>
        <w:spacing w:after="0" w:line="184"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Kiryat Hadassah</w:t>
      </w:r>
    </w:p>
    <w:p>
      <w:pPr>
        <w:spacing w:after="0" w:line="23"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Minrav Building - Fifth Floor</w:t>
      </w:r>
    </w:p>
    <w:p>
      <w:pPr>
        <w:spacing w:after="0" w:line="9"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Jerusalem, Israel</w:t>
      </w:r>
    </w:p>
    <w:p>
      <w:pPr>
        <w:spacing w:after="0" w:line="9"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Tel: +972-2-532-7151</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$13,900,000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154305</wp:posOffset>
            </wp:positionV>
            <wp:extent cx="1800225" cy="1156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1800225"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73660</wp:posOffset>
            </wp:positionV>
            <wp:extent cx="1783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Canaccord Genuity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July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amended Articles set forth the following provisions regarding the grant of insurance coverage, indemnification and an exemption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to any of our directors or officers, all subject to the provisions of applicable law. In accordance with such provisions and pursuant to the requisite corporate approvals, we have obtained liability insurance covering our directors and officers, have granted indemnification undertakings to our directors and officers and have agreed to exempt our directors and officers from liability in each case, to the fullest extent permitted by our amended Articles and applicable law, including with respect to liabilities resulting from this offering to the extent that these liabilities are not covered by insurance.</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We are entitled to insure the liability of any director or officer to the fullest extent permitted by law. Without derogating from the aforesaid, we</w:t>
      </w:r>
      <w:r>
        <w:rPr>
          <w:rFonts w:ascii="Arial" w:cs="Arial" w:eastAsia="Arial" w:hAnsi="Arial"/>
          <w:sz w:val="18"/>
          <w:szCs w:val="18"/>
          <w:i w:val="1"/>
          <w:iCs w:val="1"/>
          <w:color w:val="auto"/>
        </w:rPr>
        <w:t xml:space="preserve"> </w:t>
      </w:r>
      <w:r>
        <w:rPr>
          <w:rFonts w:ascii="Arial" w:cs="Arial" w:eastAsia="Arial" w:hAnsi="Arial"/>
          <w:sz w:val="18"/>
          <w:szCs w:val="18"/>
          <w:color w:val="auto"/>
        </w:rPr>
        <w:t>may enter into a contract to insure the liability of a director or officer for an obligation imposed on him or her in consequence of an act done in his or her capacity as such, in any of the following cases:</w:t>
      </w:r>
    </w:p>
    <w:p>
      <w:pPr>
        <w:spacing w:after="0" w:line="18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breach of the duty of care toward us or a third party, to the extent such a breach arises out of the negligent conduct of the office holder;</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breach of the duty of loyalty toward us, provided that the director or officer acted in good faith and had reasonable basis to believe that the act would not harm us;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monetary obligation imposed on him or her in favor of a third party in respect of an act done in his or her capacity as an office holder in respect of an act done in his or her capacity as an office holder;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payment imposed on him or her in favor of an injured party as set forth in Section 52(54)(a)(1)(a) of the Israeli Securities Law;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reasonable litigation expenses, including attorney fees, incurred by him or her in connection with a proceeding under Chapters H’3, H’4 or I’l of the Israeli Securities Law or under Article D of the Fourth Chapter, Ninth Part of the Companies Law, if applicable, including reasonable legal expenses, which term includes attorney fees.</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We are entitled to indemnify a director or officer to the fullest extent permitted by law, either retroactively or pursuant to an undertaking</w:t>
      </w:r>
      <w:r>
        <w:rPr>
          <w:rFonts w:ascii="Arial" w:cs="Arial" w:eastAsia="Arial" w:hAnsi="Arial"/>
          <w:sz w:val="18"/>
          <w:szCs w:val="18"/>
          <w:i w:val="1"/>
          <w:iCs w:val="1"/>
          <w:color w:val="auto"/>
        </w:rPr>
        <w:t xml:space="preserve"> </w:t>
      </w:r>
      <w:r>
        <w:rPr>
          <w:rFonts w:ascii="Arial" w:cs="Arial" w:eastAsia="Arial" w:hAnsi="Arial"/>
          <w:sz w:val="18"/>
          <w:szCs w:val="18"/>
          <w:color w:val="auto"/>
        </w:rPr>
        <w:t>given in advance. Without derogating from the aforesaid, we may indemnify our directors or officers for liability or expense imposed on him or her in consequence of an action taken by him in his capacity as such, as follows:</w:t>
      </w:r>
    </w:p>
    <w:p>
      <w:pPr>
        <w:spacing w:after="0" w:line="184" w:lineRule="exact"/>
        <w:rPr>
          <w:sz w:val="20"/>
          <w:szCs w:val="20"/>
          <w:color w:val="auto"/>
        </w:rPr>
      </w:pPr>
    </w:p>
    <w:p>
      <w:pPr>
        <w:jc w:val="both"/>
        <w:ind w:left="660" w:hanging="328"/>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financial obligation or liability imposed on or incurred in favor of another person and/or legal entity, including by any government office, or expended as a result of a court judgment, including in a settlement or an arbitrator’s decision approved by a court of law, in respect of any act or omission taken or made by him or her in his or her capacity as a director or an officer of the Company of any of its subsidiaries;</w:t>
      </w:r>
    </w:p>
    <w:p>
      <w:pPr>
        <w:spacing w:after="0" w:line="165"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reasonable legal expenses, including attorney’s fees, expended by him or her as a result of an investigation or proceeding instituted against him or her by a competent authority, provided that such investigation or proceeding concluded without the filing of an indictment against him or her and without any financial liability imposed on him or her in lieu of criminal proceedings, or that is concluded with the imposition of a financial liability in lieu of criminal proceedings but relates to a criminal offense that does not require proof of criminal intent or in connection with a financial sanction imposed on him or her in his or her capacity as a director or an officer of the Company or of any of its subsidiaries;</w:t>
      </w:r>
    </w:p>
    <w:p>
      <w:pPr>
        <w:spacing w:after="0" w:line="176"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reasonable legal expenses, including attorney’s fees, and all other costs, expenses and obligations incurred in connection with investigating, defending, being a witness in or participating in (including on appeal), or preparing to defend in or participate, in any action, suit, proceeding, alternative dispute resolution mechanism, hearing, inquiry or investigation brought against him or her by the Company or on its behalf or by another person or in any criminal prosecution in which he or she was acquitted, or in a criminal prosecution of a crime which does not require proof of criminal intent, in which he or she was convicted, all in respect of actions taken by him or her in his or her capacity as a director or an officer of the Company or of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payment he or she was obligated to make to an injured party as set forth in Section 52(54)(a)(1)(a) of the Israeli Securities Law;</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reasonable litigation expenses, including attorney fees, incurred by the director or officer in connection with a proceeding under Chapters H’3, H’4 or I’1 of the Israeli Securities Law;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circumstances arising under the law in respect of which the Company may indemnify a director or an officer of the Company (including, without limitation, Section 50P(b)(2) of the Israeli Restrictive Trade Practices Law, 5758-1988).</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Exemption. </w:t>
      </w:r>
      <w:r>
        <w:rPr>
          <w:rFonts w:ascii="Arial" w:cs="Arial" w:eastAsia="Arial" w:hAnsi="Arial"/>
          <w:sz w:val="18"/>
          <w:szCs w:val="18"/>
          <w:color w:val="auto"/>
        </w:rPr>
        <w:t>We are entitled to exempt a director or officer in advance from any or all of his or her liability for damage caused by a breach of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duty of care toward us, to the fullest extent permitted by law.</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The Companies Law provides that a company may not provide its directors or officers with insurance or indemnification or exempt its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officers from liability with respect to the following:</w:t>
      </w:r>
    </w:p>
    <w:p>
      <w:pPr>
        <w:spacing w:after="0" w:line="170" w:lineRule="exact"/>
        <w:rPr>
          <w:sz w:val="20"/>
          <w:szCs w:val="20"/>
          <w:color w:val="auto"/>
        </w:rPr>
      </w:pPr>
    </w:p>
    <w:p>
      <w:pPr>
        <w:jc w:val="both"/>
        <w:ind w:left="660" w:hanging="328"/>
        <w:spacing w:after="0" w:line="311"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breach of the duty of loyalty to the Company or any of its subsidiaries, except to the extent permitted by the Companies Law, with respect to insurance coverage or indemnification for a breach of the duty of loyalty to the Company or any of its subsidiaries while acting in good faith and having reasonable cause to assume that such act would not prejudice the interest of the Company or any of its subsidiaries, as applicable;</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willful or reckless breach of the duty of care, other than a breach committed solely by negligence;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action taken or not taken with the intent of unlawfully realizing personal gain;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fine or penalty imposed upon the director or the officer for an offense.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list of exhibits included as part of this registration statement is set forth in the Exhibit Index which immediately precedes such exhibits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80" w:firstLine="656"/>
        <w:spacing w:after="0" w:line="293" w:lineRule="auto"/>
        <w:tabs>
          <w:tab w:leader="none" w:pos="913" w:val="left"/>
        </w:tabs>
        <w:numPr>
          <w:ilvl w:val="1"/>
          <w:numId w:val="3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540" w:firstLine="656"/>
        <w:spacing w:after="0" w:line="277" w:lineRule="auto"/>
        <w:tabs>
          <w:tab w:leader="none" w:pos="963"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25" w:lineRule="exact"/>
        <w:rPr>
          <w:sz w:val="20"/>
          <w:szCs w:val="20"/>
          <w:color w:val="auto"/>
        </w:rPr>
      </w:pPr>
    </w:p>
    <w:p>
      <w:pPr>
        <w:ind w:left="340" w:right="500" w:hanging="8"/>
        <w:spacing w:after="0" w:line="259" w:lineRule="auto"/>
        <w:tabs>
          <w:tab w:leader="none" w:pos="6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Paragraphs (a)(1)(i) and (a)(1)(ii) of this section do not apply if the registration statement is on Form S-8 (§ 239.16b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and</w:t>
      </w:r>
    </w:p>
    <w:p>
      <w:pPr>
        <w:spacing w:after="0" w:line="186" w:lineRule="exact"/>
        <w:rPr>
          <w:rFonts w:ascii="Arial" w:cs="Arial" w:eastAsia="Arial" w:hAnsi="Arial"/>
          <w:sz w:val="18"/>
          <w:szCs w:val="18"/>
          <w:color w:val="auto"/>
        </w:rPr>
      </w:pPr>
    </w:p>
    <w:p>
      <w:pPr>
        <w:ind w:left="620" w:hanging="288"/>
        <w:spacing w:after="0"/>
        <w:tabs>
          <w:tab w:leader="none" w:pos="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Paragraphs (a)(1)(i), (ii), and (iii) of this section do not apply if the registration statement is on Form S-1 (§ 239.11 of this chapter), Form S-3 (§</w:t>
      </w:r>
    </w:p>
    <w:p>
      <w:pPr>
        <w:spacing w:after="0" w:line="46" w:lineRule="exact"/>
        <w:rPr>
          <w:rFonts w:ascii="Arial" w:cs="Arial" w:eastAsia="Arial" w:hAnsi="Arial"/>
          <w:sz w:val="16"/>
          <w:szCs w:val="16"/>
          <w:color w:val="auto"/>
        </w:rPr>
      </w:pPr>
    </w:p>
    <w:p>
      <w:pPr>
        <w:ind w:left="340"/>
        <w:spacing w:after="0" w:line="253" w:lineRule="auto"/>
        <w:rPr>
          <w:rFonts w:ascii="Arial" w:cs="Arial" w:eastAsia="Arial" w:hAnsi="Arial"/>
          <w:sz w:val="16"/>
          <w:szCs w:val="16"/>
          <w:color w:val="auto"/>
        </w:rPr>
      </w:pPr>
      <w:r>
        <w:rPr>
          <w:rFonts w:ascii="Arial" w:cs="Arial" w:eastAsia="Arial" w:hAnsi="Arial"/>
          <w:sz w:val="18"/>
          <w:szCs w:val="18"/>
          <w:color w:val="auto"/>
        </w:rPr>
        <w:t>239.13 of this chapter), Form SF-3 (§ 239.45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or, as to a registration statement on Form S-3, Form SF-3 or Form F-3, is contained in a form of prospectus filed pursuant to § 230.424(b) of this chapter that is part of the registration statement.</w:t>
      </w:r>
    </w:p>
    <w:p>
      <w:pPr>
        <w:spacing w:after="0" w:line="190" w:lineRule="exact"/>
        <w:rPr>
          <w:rFonts w:ascii="Arial" w:cs="Arial" w:eastAsia="Arial" w:hAnsi="Arial"/>
          <w:sz w:val="16"/>
          <w:szCs w:val="16"/>
          <w:color w:val="auto"/>
        </w:rPr>
      </w:pPr>
    </w:p>
    <w:p>
      <w:pPr>
        <w:ind w:left="340" w:right="480" w:hanging="8"/>
        <w:spacing w:after="0" w:line="263" w:lineRule="auto"/>
        <w:tabs>
          <w:tab w:leader="none" w:pos="6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Provided further, however, that paragraphs (a)(1)(i) and (a)(1)(ii) do not apply if the registration statement is for an offering of asset-backed securities on Form SF-1 (§ 239.44 of this chapter) or Form SF-3 (§ 239.45 of this chapter), and the information required to be included in a post-effective amendment is provided pursuant to Item 1100(c) of Regulation AB (§ 229.1100(c)).</w:t>
      </w:r>
    </w:p>
    <w:p>
      <w:pPr>
        <w:spacing w:after="0" w:line="183" w:lineRule="exact"/>
        <w:rPr>
          <w:rFonts w:ascii="Arial" w:cs="Arial" w:eastAsia="Arial" w:hAnsi="Arial"/>
          <w:sz w:val="18"/>
          <w:szCs w:val="18"/>
          <w:color w:val="auto"/>
        </w:rPr>
      </w:pPr>
    </w:p>
    <w:p>
      <w:pPr>
        <w:ind w:right="280" w:firstLine="8"/>
        <w:spacing w:after="0" w:line="263"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right="240" w:firstLine="8"/>
        <w:spacing w:after="0" w:line="277"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20" w:firstLine="8"/>
        <w:spacing w:after="0" w:line="271" w:lineRule="auto"/>
        <w:tabs>
          <w:tab w:leader="none" w:pos="2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Commission by the registrant pursuant to section 13 or section 15(d) of the Securities Exchange Act of 1934 that are incorporated by reference in registration statement.</w:t>
      </w:r>
    </w:p>
    <w:p>
      <w:pPr>
        <w:spacing w:after="0" w:line="178" w:lineRule="exact"/>
        <w:rPr>
          <w:rFonts w:ascii="Arial" w:cs="Arial" w:eastAsia="Arial" w:hAnsi="Arial"/>
          <w:sz w:val="17"/>
          <w:szCs w:val="17"/>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right="300" w:firstLine="656"/>
        <w:spacing w:after="0" w:line="277" w:lineRule="auto"/>
        <w:tabs>
          <w:tab w:leader="none" w:pos="943" w:val="left"/>
        </w:tabs>
        <w:numPr>
          <w:ilvl w:val="2"/>
          <w:numId w:val="4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right="140" w:firstLine="656"/>
        <w:spacing w:after="0" w:line="269" w:lineRule="auto"/>
        <w:tabs>
          <w:tab w:leader="none" w:pos="933" w:val="left"/>
        </w:tabs>
        <w:numPr>
          <w:ilvl w:val="2"/>
          <w:numId w:val="4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8" w:right="700" w:firstLine="8"/>
        <w:spacing w:after="0" w:line="277" w:lineRule="auto"/>
        <w:tabs>
          <w:tab w:leader="none" w:pos="2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left="-8" w:right="180" w:firstLine="8"/>
        <w:spacing w:after="0" w:line="259" w:lineRule="auto"/>
        <w:tabs>
          <w:tab w:leader="none" w:pos="2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6" w:lineRule="exact"/>
        <w:rPr>
          <w:rFonts w:ascii="Arial" w:cs="Arial" w:eastAsia="Arial" w:hAnsi="Arial"/>
          <w:sz w:val="18"/>
          <w:szCs w:val="18"/>
          <w:color w:val="auto"/>
        </w:rPr>
      </w:pPr>
    </w:p>
    <w:p>
      <w:pPr>
        <w:ind w:left="872" w:hanging="224"/>
        <w:spacing w:after="0"/>
        <w:tabs>
          <w:tab w:leader="none" w:pos="872"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8" w:right="660" w:firstLine="656"/>
        <w:spacing w:after="0" w:line="277" w:lineRule="auto"/>
        <w:tabs>
          <w:tab w:leader="none" w:pos="90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8" w:right="40" w:firstLine="656"/>
        <w:spacing w:after="0" w:line="277" w:lineRule="auto"/>
        <w:tabs>
          <w:tab w:leader="none" w:pos="9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52" w:hanging="304"/>
        <w:spacing w:after="0"/>
        <w:tabs>
          <w:tab w:leader="none" w:pos="95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8" w:firstLine="8"/>
        <w:spacing w:after="0" w:line="257" w:lineRule="auto"/>
        <w:tabs>
          <w:tab w:leader="none" w:pos="2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8" w:right="20" w:firstLine="8"/>
        <w:spacing w:after="0" w:line="254" w:lineRule="auto"/>
        <w:tabs>
          <w:tab w:leader="none" w:pos="2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91" w:lineRule="exact"/>
        <w:rPr>
          <w:rFonts w:ascii="Arial" w:cs="Arial" w:eastAsia="Arial" w:hAnsi="Arial"/>
          <w:sz w:val="18"/>
          <w:szCs w:val="18"/>
          <w:color w:val="auto"/>
        </w:rPr>
      </w:pPr>
    </w:p>
    <w:p>
      <w:pPr>
        <w:ind w:left="252" w:hanging="252"/>
        <w:spacing w:after="0"/>
        <w:tabs>
          <w:tab w:leader="none" w:pos="2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8" w:right="80" w:firstLine="656"/>
        <w:spacing w:after="0" w:line="286" w:lineRule="auto"/>
        <w:tabs>
          <w:tab w:leader="none" w:pos="855" w:val="left"/>
        </w:tabs>
        <w:numPr>
          <w:ilvl w:val="1"/>
          <w:numId w:val="4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8" w:right="140" w:firstLine="656"/>
        <w:spacing w:after="0" w:line="263" w:lineRule="auto"/>
        <w:tabs>
          <w:tab w:leader="none" w:pos="905"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Jerusalem, Israel, on July 13, 2020.</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ENTERA BIO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1061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2320" cy="1106170"/>
                    </a:xfrm>
                    <a:prstGeom prst="rect">
                      <a:avLst/>
                    </a:prstGeom>
                    <a:noFill/>
                  </pic:spPr>
                </pic:pic>
              </a:graphicData>
            </a:graphic>
          </wp:anchor>
        </w:drawing>
      </w:r>
    </w:p>
    <w:p>
      <w:pPr>
        <w:spacing w:after="0" w:line="209"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Adam Gridley</w:t>
      </w:r>
    </w:p>
    <w:p>
      <w:pPr>
        <w:spacing w:after="0" w:line="23"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Adam Gridley</w:t>
      </w:r>
    </w:p>
    <w:p>
      <w:pPr>
        <w:spacing w:after="0" w:line="23"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Each person whose signature appears below constitutes and appoints Adam Gridley, Dana Yaacov-Garbeli and Jonathan Lieber, and each of them,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SEC thereunder, in connection with the registration under the Securities Act of ordinary shares of the registrant, including, without limitation, the power and authority to sign the name of each of the undersigned in the capacities indicated below to the Registration Statement on Form F-3 to be filed with the SEC with respect to such securities,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48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7"/>
              </w:rPr>
              <w:t>Title</w:t>
            </w:r>
          </w:p>
        </w:tc>
        <w:tc>
          <w:tcPr>
            <w:tcW w:w="27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Adam Gridley</w:t>
            </w:r>
          </w:p>
        </w:tc>
        <w:tc>
          <w:tcPr>
            <w:tcW w:w="48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Chief Executive Officer and Director</w:t>
            </w:r>
          </w:p>
        </w:tc>
        <w:tc>
          <w:tcPr>
            <w:tcW w:w="2760" w:type="dxa"/>
            <w:vAlign w:val="bottom"/>
            <w:vMerge w:val="restart"/>
          </w:tcPr>
          <w:p>
            <w:pPr>
              <w:jc w:val="center"/>
              <w:ind w:right="290"/>
              <w:spacing w:after="0"/>
              <w:rPr>
                <w:sz w:val="20"/>
                <w:szCs w:val="20"/>
                <w:color w:val="auto"/>
              </w:rPr>
            </w:pPr>
            <w:r>
              <w:rPr>
                <w:rFonts w:ascii="Arial" w:cs="Arial" w:eastAsia="Arial" w:hAnsi="Arial"/>
                <w:sz w:val="18"/>
                <w:szCs w:val="18"/>
                <w:color w:val="auto"/>
                <w:w w:val="91"/>
              </w:rPr>
              <w:t>July 13, 2020</w:t>
            </w:r>
          </w:p>
        </w:tc>
        <w:tc>
          <w:tcPr>
            <w:tcW w:w="0" w:type="dxa"/>
            <w:vAlign w:val="bottom"/>
          </w:tcPr>
          <w:p>
            <w:pPr>
              <w:spacing w:after="0"/>
              <w:rPr>
                <w:sz w:val="1"/>
                <w:szCs w:val="1"/>
                <w:color w:val="auto"/>
              </w:rPr>
            </w:pP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3"/>
              </w:rPr>
              <w:t>Adam Gridley</w:t>
            </w:r>
          </w:p>
        </w:tc>
        <w:tc>
          <w:tcPr>
            <w:tcW w:w="486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Dana Yaacov-Garbeli</w:t>
            </w:r>
          </w:p>
        </w:tc>
        <w:tc>
          <w:tcPr>
            <w:tcW w:w="486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Israel-based Chief Financial Officer</w:t>
            </w:r>
          </w:p>
        </w:tc>
        <w:tc>
          <w:tcPr>
            <w:tcW w:w="2760" w:type="dxa"/>
            <w:vAlign w:val="bottom"/>
            <w:vMerge w:val="restart"/>
          </w:tcPr>
          <w:p>
            <w:pPr>
              <w:jc w:val="center"/>
              <w:ind w:right="290"/>
              <w:spacing w:after="0"/>
              <w:rPr>
                <w:sz w:val="20"/>
                <w:szCs w:val="20"/>
                <w:color w:val="auto"/>
              </w:rPr>
            </w:pPr>
            <w:r>
              <w:rPr>
                <w:rFonts w:ascii="Arial" w:cs="Arial" w:eastAsia="Arial" w:hAnsi="Arial"/>
                <w:sz w:val="18"/>
                <w:szCs w:val="18"/>
                <w:color w:val="auto"/>
                <w:w w:val="91"/>
              </w:rPr>
              <w:t>July 13, 2020</w:t>
            </w:r>
          </w:p>
        </w:tc>
        <w:tc>
          <w:tcPr>
            <w:tcW w:w="0" w:type="dxa"/>
            <w:vAlign w:val="bottom"/>
          </w:tcPr>
          <w:p>
            <w:pPr>
              <w:spacing w:after="0"/>
              <w:rPr>
                <w:sz w:val="1"/>
                <w:szCs w:val="1"/>
                <w:color w:val="auto"/>
              </w:rPr>
            </w:pP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89"/>
              </w:rPr>
              <w:t>Dana Yaacov-Garbeli</w:t>
            </w:r>
          </w:p>
        </w:tc>
        <w:tc>
          <w:tcPr>
            <w:tcW w:w="486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Jonathan Lieber</w:t>
            </w:r>
          </w:p>
        </w:tc>
        <w:tc>
          <w:tcPr>
            <w:tcW w:w="4860" w:type="dxa"/>
            <w:vAlign w:val="bottom"/>
            <w:vMerge w:val="restart"/>
          </w:tcPr>
          <w:p>
            <w:pPr>
              <w:jc w:val="center"/>
              <w:ind w:right="290"/>
              <w:spacing w:after="0"/>
              <w:rPr>
                <w:sz w:val="20"/>
                <w:szCs w:val="20"/>
                <w:color w:val="auto"/>
              </w:rPr>
            </w:pPr>
            <w:r>
              <w:rPr>
                <w:rFonts w:ascii="Arial" w:cs="Arial" w:eastAsia="Arial" w:hAnsi="Arial"/>
                <w:sz w:val="18"/>
                <w:szCs w:val="18"/>
                <w:color w:val="auto"/>
                <w:w w:val="92"/>
              </w:rPr>
              <w:t>U.S.-based Chief Financial Officer</w:t>
            </w:r>
          </w:p>
        </w:tc>
        <w:tc>
          <w:tcPr>
            <w:tcW w:w="2760" w:type="dxa"/>
            <w:vAlign w:val="bottom"/>
            <w:vMerge w:val="restart"/>
          </w:tcPr>
          <w:p>
            <w:pPr>
              <w:jc w:val="center"/>
              <w:ind w:right="290"/>
              <w:spacing w:after="0"/>
              <w:rPr>
                <w:sz w:val="20"/>
                <w:szCs w:val="20"/>
                <w:color w:val="auto"/>
              </w:rPr>
            </w:pPr>
            <w:r>
              <w:rPr>
                <w:rFonts w:ascii="Arial" w:cs="Arial" w:eastAsia="Arial" w:hAnsi="Arial"/>
                <w:sz w:val="18"/>
                <w:szCs w:val="18"/>
                <w:color w:val="auto"/>
                <w:w w:val="91"/>
              </w:rPr>
              <w:t>July 13, 2020</w:t>
            </w:r>
          </w:p>
        </w:tc>
        <w:tc>
          <w:tcPr>
            <w:tcW w:w="0" w:type="dxa"/>
            <w:vAlign w:val="bottom"/>
          </w:tcPr>
          <w:p>
            <w:pPr>
              <w:spacing w:after="0"/>
              <w:rPr>
                <w:sz w:val="1"/>
                <w:szCs w:val="1"/>
                <w:color w:val="auto"/>
              </w:rPr>
            </w:pP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88"/>
              </w:rPr>
              <w:t>Jonathan Lieber</w:t>
            </w:r>
          </w:p>
        </w:tc>
        <w:tc>
          <w:tcPr>
            <w:tcW w:w="486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Dr. Phillip Schwartz</w:t>
            </w:r>
          </w:p>
        </w:tc>
        <w:tc>
          <w:tcPr>
            <w:tcW w:w="4860" w:type="dxa"/>
            <w:vAlign w:val="bottom"/>
            <w:vMerge w:val="restart"/>
          </w:tcPr>
          <w:p>
            <w:pPr>
              <w:jc w:val="center"/>
              <w:ind w:right="290"/>
              <w:spacing w:after="0"/>
              <w:rPr>
                <w:sz w:val="20"/>
                <w:szCs w:val="20"/>
                <w:color w:val="auto"/>
              </w:rPr>
            </w:pPr>
            <w:r>
              <w:rPr>
                <w:rFonts w:ascii="Arial" w:cs="Arial" w:eastAsia="Arial" w:hAnsi="Arial"/>
                <w:sz w:val="18"/>
                <w:szCs w:val="18"/>
                <w:color w:val="auto"/>
                <w:w w:val="89"/>
              </w:rPr>
              <w:t>President of Research and Development and Director</w:t>
            </w:r>
          </w:p>
        </w:tc>
        <w:tc>
          <w:tcPr>
            <w:tcW w:w="2760" w:type="dxa"/>
            <w:vAlign w:val="bottom"/>
            <w:vMerge w:val="restart"/>
          </w:tcPr>
          <w:p>
            <w:pPr>
              <w:jc w:val="center"/>
              <w:ind w:right="290"/>
              <w:spacing w:after="0"/>
              <w:rPr>
                <w:sz w:val="20"/>
                <w:szCs w:val="20"/>
                <w:color w:val="auto"/>
              </w:rPr>
            </w:pPr>
            <w:r>
              <w:rPr>
                <w:rFonts w:ascii="Arial" w:cs="Arial" w:eastAsia="Arial" w:hAnsi="Arial"/>
                <w:sz w:val="18"/>
                <w:szCs w:val="18"/>
                <w:color w:val="auto"/>
                <w:w w:val="91"/>
              </w:rPr>
              <w:t>July 13, 2020</w:t>
            </w:r>
          </w:p>
        </w:tc>
        <w:tc>
          <w:tcPr>
            <w:tcW w:w="0" w:type="dxa"/>
            <w:vAlign w:val="bottom"/>
          </w:tcPr>
          <w:p>
            <w:pPr>
              <w:spacing w:after="0"/>
              <w:rPr>
                <w:sz w:val="1"/>
                <w:szCs w:val="1"/>
                <w:color w:val="auto"/>
              </w:rPr>
            </w:pP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3"/>
              </w:rPr>
              <w:t>Dr. Phillip Schwartz</w:t>
            </w:r>
          </w:p>
        </w:tc>
        <w:tc>
          <w:tcPr>
            <w:tcW w:w="486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Dr. Hillel Galitzer</w:t>
            </w:r>
          </w:p>
        </w:tc>
        <w:tc>
          <w:tcPr>
            <w:tcW w:w="4860" w:type="dxa"/>
            <w:vAlign w:val="bottom"/>
            <w:vMerge w:val="restart"/>
          </w:tcPr>
          <w:p>
            <w:pPr>
              <w:jc w:val="center"/>
              <w:ind w:right="290"/>
              <w:spacing w:after="0"/>
              <w:rPr>
                <w:sz w:val="20"/>
                <w:szCs w:val="20"/>
                <w:color w:val="auto"/>
              </w:rPr>
            </w:pPr>
            <w:r>
              <w:rPr>
                <w:rFonts w:ascii="Arial" w:cs="Arial" w:eastAsia="Arial" w:hAnsi="Arial"/>
                <w:sz w:val="18"/>
                <w:szCs w:val="18"/>
                <w:color w:val="auto"/>
                <w:w w:val="93"/>
              </w:rPr>
              <w:t>Chief Operating Officer</w:t>
            </w:r>
          </w:p>
        </w:tc>
        <w:tc>
          <w:tcPr>
            <w:tcW w:w="2760" w:type="dxa"/>
            <w:vAlign w:val="bottom"/>
            <w:vMerge w:val="restart"/>
          </w:tcPr>
          <w:p>
            <w:pPr>
              <w:jc w:val="center"/>
              <w:ind w:right="290"/>
              <w:spacing w:after="0"/>
              <w:rPr>
                <w:sz w:val="20"/>
                <w:szCs w:val="20"/>
                <w:color w:val="auto"/>
              </w:rPr>
            </w:pPr>
            <w:r>
              <w:rPr>
                <w:rFonts w:ascii="Arial" w:cs="Arial" w:eastAsia="Arial" w:hAnsi="Arial"/>
                <w:sz w:val="18"/>
                <w:szCs w:val="18"/>
                <w:color w:val="auto"/>
                <w:w w:val="91"/>
              </w:rPr>
              <w:t>July 13, 2020</w:t>
            </w:r>
          </w:p>
        </w:tc>
        <w:tc>
          <w:tcPr>
            <w:tcW w:w="0" w:type="dxa"/>
            <w:vAlign w:val="bottom"/>
          </w:tcPr>
          <w:p>
            <w:pPr>
              <w:spacing w:after="0"/>
              <w:rPr>
                <w:sz w:val="1"/>
                <w:szCs w:val="1"/>
                <w:color w:val="auto"/>
              </w:rPr>
            </w:pP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6"/>
              </w:rPr>
              <w:t>Dr. Hillel Galitzer</w:t>
            </w:r>
          </w:p>
        </w:tc>
        <w:tc>
          <w:tcPr>
            <w:tcW w:w="486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Arthur Santora</w:t>
            </w:r>
          </w:p>
        </w:tc>
        <w:tc>
          <w:tcPr>
            <w:tcW w:w="4860" w:type="dxa"/>
            <w:vAlign w:val="bottom"/>
            <w:vMerge w:val="restart"/>
          </w:tcPr>
          <w:p>
            <w:pPr>
              <w:jc w:val="center"/>
              <w:ind w:right="290"/>
              <w:spacing w:after="0"/>
              <w:rPr>
                <w:sz w:val="20"/>
                <w:szCs w:val="20"/>
                <w:color w:val="auto"/>
              </w:rPr>
            </w:pPr>
            <w:r>
              <w:rPr>
                <w:rFonts w:ascii="Arial" w:cs="Arial" w:eastAsia="Arial" w:hAnsi="Arial"/>
                <w:sz w:val="18"/>
                <w:szCs w:val="18"/>
                <w:color w:val="auto"/>
                <w:w w:val="95"/>
              </w:rPr>
              <w:t>Chief Medical Officer</w:t>
            </w:r>
          </w:p>
        </w:tc>
        <w:tc>
          <w:tcPr>
            <w:tcW w:w="2760" w:type="dxa"/>
            <w:vAlign w:val="bottom"/>
            <w:vMerge w:val="restart"/>
          </w:tcPr>
          <w:p>
            <w:pPr>
              <w:jc w:val="center"/>
              <w:ind w:right="290"/>
              <w:spacing w:after="0"/>
              <w:rPr>
                <w:sz w:val="20"/>
                <w:szCs w:val="20"/>
                <w:color w:val="auto"/>
              </w:rPr>
            </w:pPr>
            <w:r>
              <w:rPr>
                <w:rFonts w:ascii="Arial" w:cs="Arial" w:eastAsia="Arial" w:hAnsi="Arial"/>
                <w:sz w:val="18"/>
                <w:szCs w:val="18"/>
                <w:color w:val="auto"/>
                <w:w w:val="91"/>
              </w:rPr>
              <w:t>July 13, 2020</w:t>
            </w:r>
          </w:p>
        </w:tc>
        <w:tc>
          <w:tcPr>
            <w:tcW w:w="0" w:type="dxa"/>
            <w:vAlign w:val="bottom"/>
          </w:tcPr>
          <w:p>
            <w:pPr>
              <w:spacing w:after="0"/>
              <w:rPr>
                <w:sz w:val="1"/>
                <w:szCs w:val="1"/>
                <w:color w:val="auto"/>
              </w:rPr>
            </w:pPr>
          </w:p>
        </w:tc>
      </w:tr>
      <w:tr>
        <w:trPr>
          <w:trHeight w:val="224"/>
        </w:trPr>
        <w:tc>
          <w:tcPr>
            <w:tcW w:w="3620" w:type="dxa"/>
            <w:vAlign w:val="bottom"/>
          </w:tcPr>
          <w:p>
            <w:pPr>
              <w:jc w:val="center"/>
              <w:spacing w:after="0"/>
              <w:rPr>
                <w:sz w:val="20"/>
                <w:szCs w:val="20"/>
                <w:color w:val="auto"/>
              </w:rPr>
            </w:pPr>
            <w:r>
              <w:rPr>
                <w:rFonts w:ascii="Arial" w:cs="Arial" w:eastAsia="Arial" w:hAnsi="Arial"/>
                <w:sz w:val="18"/>
                <w:szCs w:val="18"/>
                <w:color w:val="auto"/>
                <w:w w:val="91"/>
              </w:rPr>
              <w:t>Dr. Arthur Santora</w:t>
            </w:r>
          </w:p>
        </w:tc>
        <w:tc>
          <w:tcPr>
            <w:tcW w:w="486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36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9" w:name="page50"/>
    <w:bookmarkEnd w:id="49"/>
    <w:p>
      <w:pPr>
        <w:jc w:val="center"/>
        <w:ind w:right="580"/>
        <w:spacing w:after="0"/>
        <w:rPr>
          <w:sz w:val="20"/>
          <w:szCs w:val="20"/>
          <w:color w:val="auto"/>
        </w:rPr>
      </w:pPr>
      <w:r>
        <w:rPr>
          <w:rFonts w:ascii="Arial" w:cs="Arial" w:eastAsia="Arial" w:hAnsi="Arial"/>
          <w:sz w:val="18"/>
          <w:szCs w:val="18"/>
          <w:color w:val="auto"/>
        </w:rPr>
        <w:t>/s/ Gerald Lieberman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885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Gerald Lieberman</w:t>
      </w:r>
    </w:p>
    <w:p>
      <w:pPr>
        <w:spacing w:after="0" w:line="224"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/s/ Dr. Roger J. Garceau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29210</wp:posOffset>
            </wp:positionV>
            <wp:extent cx="22885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Dr. Roger J. Garceau</w:t>
      </w:r>
    </w:p>
    <w:p>
      <w:pPr>
        <w:spacing w:after="0" w:line="22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 Zeev Bronfeld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885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Zeev Bronfeld</w:t>
      </w:r>
    </w:p>
    <w:p>
      <w:pPr>
        <w:spacing w:after="0" w:line="22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 Yonatan Malca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885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Yonatan Malca</w:t>
      </w:r>
    </w:p>
    <w:p>
      <w:pPr>
        <w:spacing w:after="0" w:line="22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 Faith L. Charles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885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Faith L. Charles</w:t>
      </w:r>
    </w:p>
    <w:p>
      <w:pPr>
        <w:spacing w:after="0" w:line="224"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/s/ Miranda J. Toledano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29210</wp:posOffset>
            </wp:positionV>
            <wp:extent cx="22885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Miranda J. Toledano</w:t>
      </w:r>
    </w:p>
    <w:p>
      <w:pPr>
        <w:spacing w:after="0" w:line="22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 Gerald M. Ostrov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885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Gerald M. Ostrov</w:t>
      </w:r>
    </w:p>
    <w:p>
      <w:pPr>
        <w:spacing w:after="0" w:line="224"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 Sean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14605</wp:posOffset>
            </wp:positionV>
            <wp:extent cx="22885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3"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Sean Ellis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jc w:val="center"/>
              <w:ind w:right="630"/>
              <w:spacing w:after="0"/>
              <w:rPr>
                <w:sz w:val="20"/>
                <w:szCs w:val="20"/>
                <w:color w:val="auto"/>
              </w:rPr>
            </w:pPr>
            <w:r>
              <w:rPr>
                <w:rFonts w:ascii="Arial" w:cs="Arial" w:eastAsia="Arial" w:hAnsi="Arial"/>
                <w:sz w:val="18"/>
                <w:szCs w:val="18"/>
                <w:color w:val="auto"/>
                <w:w w:val="92"/>
              </w:rPr>
              <w:t>Director, Chairman of the Board of Directors</w:t>
            </w:r>
          </w:p>
        </w:tc>
        <w:tc>
          <w:tcPr>
            <w:tcW w:w="1700" w:type="dxa"/>
            <w:vAlign w:val="bottom"/>
          </w:tcPr>
          <w:p>
            <w:pPr>
              <w:ind w:left="720"/>
              <w:spacing w:after="0"/>
              <w:rPr>
                <w:sz w:val="20"/>
                <w:szCs w:val="20"/>
                <w:color w:val="auto"/>
              </w:rPr>
            </w:pPr>
            <w:r>
              <w:rPr>
                <w:rFonts w:ascii="Arial" w:cs="Arial" w:eastAsia="Arial" w:hAnsi="Arial"/>
                <w:sz w:val="18"/>
                <w:szCs w:val="18"/>
                <w:color w:val="auto"/>
                <w:w w:val="89"/>
              </w:rPr>
              <w:t>July 13, 2020</w:t>
            </w:r>
          </w:p>
        </w:tc>
      </w:tr>
      <w:tr>
        <w:trPr>
          <w:trHeight w:val="661"/>
        </w:trPr>
        <w:tc>
          <w:tcPr>
            <w:tcW w:w="4480" w:type="dxa"/>
            <w:vAlign w:val="bottom"/>
          </w:tcPr>
          <w:p>
            <w:pPr>
              <w:jc w:val="center"/>
              <w:ind w:right="630"/>
              <w:spacing w:after="0"/>
              <w:rPr>
                <w:sz w:val="20"/>
                <w:szCs w:val="20"/>
                <w:color w:val="auto"/>
              </w:rPr>
            </w:pPr>
            <w:r>
              <w:rPr>
                <w:rFonts w:ascii="Arial" w:cs="Arial" w:eastAsia="Arial" w:hAnsi="Arial"/>
                <w:sz w:val="18"/>
                <w:szCs w:val="18"/>
                <w:color w:val="auto"/>
                <w:w w:val="93"/>
              </w:rPr>
              <w:t>Director, Chief Development Advisor</w:t>
            </w:r>
          </w:p>
        </w:tc>
        <w:tc>
          <w:tcPr>
            <w:tcW w:w="1700" w:type="dxa"/>
            <w:vAlign w:val="bottom"/>
          </w:tcPr>
          <w:p>
            <w:pPr>
              <w:ind w:left="720"/>
              <w:spacing w:after="0"/>
              <w:rPr>
                <w:sz w:val="20"/>
                <w:szCs w:val="20"/>
                <w:color w:val="auto"/>
              </w:rPr>
            </w:pPr>
            <w:r>
              <w:rPr>
                <w:rFonts w:ascii="Arial" w:cs="Arial" w:eastAsia="Arial" w:hAnsi="Arial"/>
                <w:sz w:val="18"/>
                <w:szCs w:val="18"/>
                <w:color w:val="auto"/>
                <w:w w:val="89"/>
              </w:rPr>
              <w:t>July 13, 2020</w:t>
            </w:r>
          </w:p>
        </w:tc>
      </w:tr>
      <w:tr>
        <w:trPr>
          <w:trHeight w:val="662"/>
        </w:trPr>
        <w:tc>
          <w:tcPr>
            <w:tcW w:w="448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ind w:left="720"/>
              <w:spacing w:after="0"/>
              <w:rPr>
                <w:sz w:val="20"/>
                <w:szCs w:val="20"/>
                <w:color w:val="auto"/>
              </w:rPr>
            </w:pPr>
            <w:r>
              <w:rPr>
                <w:rFonts w:ascii="Arial" w:cs="Arial" w:eastAsia="Arial" w:hAnsi="Arial"/>
                <w:sz w:val="18"/>
                <w:szCs w:val="18"/>
                <w:color w:val="auto"/>
                <w:w w:val="89"/>
              </w:rPr>
              <w:t>July 13, 2020</w:t>
            </w:r>
          </w:p>
        </w:tc>
      </w:tr>
      <w:tr>
        <w:trPr>
          <w:trHeight w:val="662"/>
        </w:trPr>
        <w:tc>
          <w:tcPr>
            <w:tcW w:w="448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ind w:left="720"/>
              <w:spacing w:after="0"/>
              <w:rPr>
                <w:sz w:val="20"/>
                <w:szCs w:val="20"/>
                <w:color w:val="auto"/>
              </w:rPr>
            </w:pPr>
            <w:r>
              <w:rPr>
                <w:rFonts w:ascii="Arial" w:cs="Arial" w:eastAsia="Arial" w:hAnsi="Arial"/>
                <w:sz w:val="18"/>
                <w:szCs w:val="18"/>
                <w:color w:val="auto"/>
                <w:w w:val="89"/>
              </w:rPr>
              <w:t>July 13, 2020</w:t>
            </w:r>
          </w:p>
        </w:tc>
      </w:tr>
      <w:tr>
        <w:trPr>
          <w:trHeight w:val="662"/>
        </w:trPr>
        <w:tc>
          <w:tcPr>
            <w:tcW w:w="4480" w:type="dxa"/>
            <w:vAlign w:val="bottom"/>
          </w:tcPr>
          <w:p>
            <w:pPr>
              <w:jc w:val="center"/>
              <w:ind w:right="610"/>
              <w:spacing w:after="0"/>
              <w:rPr>
                <w:sz w:val="20"/>
                <w:szCs w:val="20"/>
                <w:color w:val="auto"/>
              </w:rPr>
            </w:pPr>
            <w:r>
              <w:rPr>
                <w:rFonts w:ascii="Arial" w:cs="Arial" w:eastAsia="Arial" w:hAnsi="Arial"/>
                <w:sz w:val="18"/>
                <w:szCs w:val="18"/>
                <w:color w:val="auto"/>
                <w:w w:val="91"/>
              </w:rPr>
              <w:t>Director, Chairman of the Compensation Committee</w:t>
            </w:r>
          </w:p>
        </w:tc>
        <w:tc>
          <w:tcPr>
            <w:tcW w:w="1700" w:type="dxa"/>
            <w:vAlign w:val="bottom"/>
          </w:tcPr>
          <w:p>
            <w:pPr>
              <w:ind w:left="720"/>
              <w:spacing w:after="0"/>
              <w:rPr>
                <w:sz w:val="20"/>
                <w:szCs w:val="20"/>
                <w:color w:val="auto"/>
              </w:rPr>
            </w:pPr>
            <w:r>
              <w:rPr>
                <w:rFonts w:ascii="Arial" w:cs="Arial" w:eastAsia="Arial" w:hAnsi="Arial"/>
                <w:sz w:val="18"/>
                <w:szCs w:val="18"/>
                <w:color w:val="auto"/>
                <w:w w:val="89"/>
              </w:rPr>
              <w:t>July 13, 2020</w:t>
            </w:r>
          </w:p>
        </w:tc>
      </w:tr>
      <w:tr>
        <w:trPr>
          <w:trHeight w:val="661"/>
        </w:trPr>
        <w:tc>
          <w:tcPr>
            <w:tcW w:w="4480" w:type="dxa"/>
            <w:vAlign w:val="bottom"/>
          </w:tcPr>
          <w:p>
            <w:pPr>
              <w:jc w:val="center"/>
              <w:ind w:right="630"/>
              <w:spacing w:after="0"/>
              <w:rPr>
                <w:sz w:val="20"/>
                <w:szCs w:val="20"/>
                <w:color w:val="auto"/>
              </w:rPr>
            </w:pPr>
            <w:r>
              <w:rPr>
                <w:rFonts w:ascii="Arial" w:cs="Arial" w:eastAsia="Arial" w:hAnsi="Arial"/>
                <w:sz w:val="18"/>
                <w:szCs w:val="18"/>
                <w:color w:val="auto"/>
                <w:w w:val="93"/>
              </w:rPr>
              <w:t>Director, Chairman of the Audit Committee</w:t>
            </w:r>
          </w:p>
        </w:tc>
        <w:tc>
          <w:tcPr>
            <w:tcW w:w="1700" w:type="dxa"/>
            <w:vAlign w:val="bottom"/>
          </w:tcPr>
          <w:p>
            <w:pPr>
              <w:ind w:left="720"/>
              <w:spacing w:after="0"/>
              <w:rPr>
                <w:sz w:val="20"/>
                <w:szCs w:val="20"/>
                <w:color w:val="auto"/>
              </w:rPr>
            </w:pPr>
            <w:r>
              <w:rPr>
                <w:rFonts w:ascii="Arial" w:cs="Arial" w:eastAsia="Arial" w:hAnsi="Arial"/>
                <w:sz w:val="18"/>
                <w:szCs w:val="18"/>
                <w:color w:val="auto"/>
                <w:w w:val="89"/>
              </w:rPr>
              <w:t>July 13, 2020</w:t>
            </w:r>
          </w:p>
        </w:tc>
      </w:tr>
      <w:tr>
        <w:trPr>
          <w:trHeight w:val="662"/>
        </w:trPr>
        <w:tc>
          <w:tcPr>
            <w:tcW w:w="448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ind w:left="720"/>
              <w:spacing w:after="0"/>
              <w:rPr>
                <w:sz w:val="20"/>
                <w:szCs w:val="20"/>
                <w:color w:val="auto"/>
              </w:rPr>
            </w:pPr>
            <w:r>
              <w:rPr>
                <w:rFonts w:ascii="Arial" w:cs="Arial" w:eastAsia="Arial" w:hAnsi="Arial"/>
                <w:sz w:val="18"/>
                <w:szCs w:val="18"/>
                <w:color w:val="auto"/>
                <w:w w:val="89"/>
              </w:rPr>
              <w:t>July 13, 2020</w:t>
            </w:r>
          </w:p>
        </w:tc>
      </w:tr>
      <w:tr>
        <w:trPr>
          <w:trHeight w:val="662"/>
        </w:trPr>
        <w:tc>
          <w:tcPr>
            <w:tcW w:w="4480" w:type="dxa"/>
            <w:vAlign w:val="bottom"/>
          </w:tcPr>
          <w:p>
            <w:pPr>
              <w:jc w:val="center"/>
              <w:ind w:right="630"/>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ind w:left="720"/>
              <w:spacing w:after="0"/>
              <w:rPr>
                <w:sz w:val="20"/>
                <w:szCs w:val="20"/>
                <w:color w:val="auto"/>
              </w:rPr>
            </w:pPr>
            <w:r>
              <w:rPr>
                <w:rFonts w:ascii="Arial" w:cs="Arial" w:eastAsia="Arial" w:hAnsi="Arial"/>
                <w:sz w:val="18"/>
                <w:szCs w:val="18"/>
                <w:color w:val="auto"/>
                <w:w w:val="89"/>
              </w:rPr>
              <w:t>July 13,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436880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320" w:space="720"/>
            <w:col w:w="6180"/>
          </w:cols>
          <w:pgMar w:left="1260" w:top="908" w:right="141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20" w:type="dxa"/>
            <w:vAlign w:val="bottom"/>
            <w:gridSpan w:val="5"/>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216"/>
        </w:trPr>
        <w:tc>
          <w:tcPr>
            <w:tcW w:w="1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28"/>
        </w:trPr>
        <w:tc>
          <w:tcPr>
            <w:tcW w:w="194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Exhibit No.</w:t>
            </w:r>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Document</w:t>
            </w:r>
          </w:p>
        </w:tc>
      </w:tr>
      <w:tr>
        <w:trPr>
          <w:trHeight w:val="117"/>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Form of Underwriting Agreement</w:t>
            </w:r>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rFonts w:ascii="Arial" w:cs="Arial" w:eastAsia="Arial" w:hAnsi="Arial"/>
                <w:sz w:val="18"/>
                <w:szCs w:val="18"/>
                <w:u w:val="single" w:color="auto"/>
                <w:color w:val="0000EE"/>
                <w:w w:val="87"/>
              </w:rPr>
            </w:pPr>
            <w:hyperlink w:anchor="page52">
              <w:r>
                <w:rPr>
                  <w:rFonts w:ascii="Arial" w:cs="Arial" w:eastAsia="Arial" w:hAnsi="Arial"/>
                  <w:sz w:val="18"/>
                  <w:szCs w:val="18"/>
                  <w:u w:val="single" w:color="auto"/>
                  <w:color w:val="0000EE"/>
                  <w:w w:val="87"/>
                </w:rPr>
                <w:t>1.2</w:t>
              </w:r>
            </w:hyperlink>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Equity Distribution Agreement, dated as of July 13, 2020 between Entera Bio Ltd. and Canaccord Genuity LLC</w:t>
              </w:r>
            </w:hyperlink>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169"/>
        </w:trPr>
        <w:tc>
          <w:tcPr>
            <w:tcW w:w="1940" w:type="dxa"/>
            <w:vAlign w:val="bottom"/>
            <w:tcBorders>
              <w:left w:val="single" w:sz="8" w:color="auto"/>
              <w:right w:val="single" w:sz="8" w:color="auto"/>
            </w:tcBorders>
          </w:tcPr>
          <w:p>
            <w:pPr>
              <w:jc w:val="center"/>
              <w:spacing w:after="0" w:line="169" w:lineRule="exact"/>
              <w:rPr>
                <w:rFonts w:ascii="Arial" w:cs="Arial" w:eastAsia="Arial" w:hAnsi="Arial"/>
                <w:sz w:val="18"/>
                <w:szCs w:val="18"/>
                <w:u w:val="single" w:color="auto"/>
                <w:color w:val="0000EE"/>
                <w:w w:val="87"/>
              </w:rPr>
            </w:pPr>
            <w:hyperlink r:id="rId96">
              <w:r>
                <w:rPr>
                  <w:rFonts w:ascii="Arial" w:cs="Arial" w:eastAsia="Arial" w:hAnsi="Arial"/>
                  <w:sz w:val="18"/>
                  <w:szCs w:val="18"/>
                  <w:u w:val="single" w:color="auto"/>
                  <w:color w:val="0000EE"/>
                  <w:w w:val="87"/>
                </w:rPr>
                <w:t>3.1</w:t>
              </w:r>
            </w:hyperlink>
          </w:p>
        </w:tc>
        <w:tc>
          <w:tcPr>
            <w:tcW w:w="60" w:type="dxa"/>
            <w:vAlign w:val="bottom"/>
          </w:tcPr>
          <w:p>
            <w:pPr>
              <w:spacing w:after="0"/>
              <w:rPr>
                <w:sz w:val="14"/>
                <w:szCs w:val="14"/>
                <w:color w:val="auto"/>
              </w:rPr>
            </w:pPr>
          </w:p>
        </w:tc>
        <w:tc>
          <w:tcPr>
            <w:tcW w:w="9240" w:type="dxa"/>
            <w:vAlign w:val="bottom"/>
            <w:tcBorders>
              <w:right w:val="single" w:sz="8" w:color="auto"/>
            </w:tcBorders>
            <w:gridSpan w:val="6"/>
          </w:tcPr>
          <w:p>
            <w:pPr>
              <w:spacing w:after="0" w:line="169" w:lineRule="exact"/>
              <w:rPr>
                <w:rFonts w:ascii="Arial" w:cs="Arial" w:eastAsia="Arial" w:hAnsi="Arial"/>
                <w:sz w:val="18"/>
                <w:szCs w:val="18"/>
                <w:color w:val="0000EE"/>
                <w:w w:val="94"/>
              </w:rPr>
            </w:pPr>
            <w:hyperlink r:id="rId96">
              <w:r>
                <w:rPr>
                  <w:rFonts w:ascii="Arial" w:cs="Arial" w:eastAsia="Arial" w:hAnsi="Arial"/>
                  <w:sz w:val="18"/>
                  <w:szCs w:val="18"/>
                  <w:color w:val="0000EE"/>
                  <w:w w:val="94"/>
                </w:rPr>
                <w:t>Amended and Restated Articles of Association of Entera Bio Ltd. (as incorporated by reference into the Company’s Annual</w:t>
              </w:r>
            </w:hyperlink>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9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Report on Form 20-F, dated March 26, 2020)</w:t>
              </w:r>
            </w:hyperlink>
          </w:p>
        </w:tc>
        <w:tc>
          <w:tcPr>
            <w:tcW w:w="340" w:type="dxa"/>
            <w:vAlign w:val="bottom"/>
            <w:tcBorders>
              <w:right w:val="single" w:sz="8" w:color="auto"/>
            </w:tcBorders>
          </w:tcPr>
          <w:p>
            <w:pPr>
              <w:spacing w:after="0"/>
              <w:rPr>
                <w:sz w:val="17"/>
                <w:szCs w:val="17"/>
                <w:color w:val="auto"/>
              </w:rPr>
            </w:pPr>
          </w:p>
        </w:tc>
      </w:tr>
      <w:tr>
        <w:trPr>
          <w:trHeight w:val="156"/>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top w:val="single" w:sz="8" w:color="0000EE"/>
              <w:bottom w:val="single" w:sz="8" w:color="auto"/>
            </w:tcBorders>
          </w:tcPr>
          <w:p>
            <w:pPr>
              <w:spacing w:after="0"/>
              <w:rPr>
                <w:sz w:val="13"/>
                <w:szCs w:val="13"/>
                <w:color w:val="auto"/>
              </w:rPr>
            </w:pPr>
          </w:p>
        </w:tc>
        <w:tc>
          <w:tcPr>
            <w:tcW w:w="2440" w:type="dxa"/>
            <w:vAlign w:val="bottom"/>
            <w:tcBorders>
              <w:top w:val="single" w:sz="8" w:color="0000EE"/>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r>
      <w:tr>
        <w:trPr>
          <w:trHeight w:val="224"/>
        </w:trPr>
        <w:tc>
          <w:tcPr>
            <w:tcW w:w="1940" w:type="dxa"/>
            <w:vAlign w:val="bottom"/>
            <w:tcBorders>
              <w:left w:val="single" w:sz="8" w:color="auto"/>
              <w:right w:val="single" w:sz="8" w:color="auto"/>
            </w:tcBorders>
          </w:tcPr>
          <w:p>
            <w:pPr>
              <w:jc w:val="center"/>
              <w:spacing w:after="0"/>
              <w:rPr>
                <w:rFonts w:ascii="Arial" w:cs="Arial" w:eastAsia="Arial" w:hAnsi="Arial"/>
                <w:sz w:val="18"/>
                <w:szCs w:val="18"/>
                <w:u w:val="single" w:color="auto"/>
                <w:color w:val="0000EE"/>
                <w:w w:val="87"/>
              </w:rPr>
            </w:pPr>
            <w:hyperlink w:anchor="page94">
              <w:r>
                <w:rPr>
                  <w:rFonts w:ascii="Arial" w:cs="Arial" w:eastAsia="Arial" w:hAnsi="Arial"/>
                  <w:sz w:val="18"/>
                  <w:szCs w:val="18"/>
                  <w:u w:val="single" w:color="auto"/>
                  <w:color w:val="0000EE"/>
                  <w:w w:val="87"/>
                </w:rPr>
                <w:t>4.2</w:t>
              </w:r>
            </w:hyperlink>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Form of Senior Indenture</w:t>
              </w:r>
            </w:hyperlink>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rFonts w:ascii="Arial" w:cs="Arial" w:eastAsia="Arial" w:hAnsi="Arial"/>
                <w:sz w:val="18"/>
                <w:szCs w:val="18"/>
                <w:u w:val="single" w:color="auto"/>
                <w:color w:val="0000EE"/>
                <w:w w:val="87"/>
              </w:rPr>
            </w:pPr>
            <w:hyperlink w:anchor="page135">
              <w:r>
                <w:rPr>
                  <w:rFonts w:ascii="Arial" w:cs="Arial" w:eastAsia="Arial" w:hAnsi="Arial"/>
                  <w:sz w:val="18"/>
                  <w:szCs w:val="18"/>
                  <w:u w:val="single" w:color="auto"/>
                  <w:color w:val="0000EE"/>
                  <w:w w:val="87"/>
                </w:rPr>
                <w:t>4.3</w:t>
              </w:r>
            </w:hyperlink>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Form of Subordinated Indenture</w:t>
              </w:r>
            </w:hyperlink>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4.4*</w:t>
            </w:r>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Form of Senior Note</w:t>
            </w:r>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4.5*</w:t>
            </w:r>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Form of Subordinated Note</w:t>
            </w:r>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4.6*</w:t>
            </w:r>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Form of Warrant Agreement</w:t>
            </w:r>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4.7*</w:t>
            </w:r>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Form of Rights Agreement</w:t>
            </w:r>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4.8*</w:t>
            </w:r>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Form of Unit Agreement</w:t>
            </w:r>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rFonts w:ascii="Arial" w:cs="Arial" w:eastAsia="Arial" w:hAnsi="Arial"/>
                <w:sz w:val="18"/>
                <w:szCs w:val="18"/>
                <w:u w:val="single" w:color="auto"/>
                <w:color w:val="0000EE"/>
                <w:w w:val="87"/>
              </w:rPr>
            </w:pPr>
            <w:hyperlink w:anchor="page175">
              <w:r>
                <w:rPr>
                  <w:rFonts w:ascii="Arial" w:cs="Arial" w:eastAsia="Arial" w:hAnsi="Arial"/>
                  <w:sz w:val="18"/>
                  <w:szCs w:val="18"/>
                  <w:u w:val="single" w:color="auto"/>
                  <w:color w:val="0000EE"/>
                  <w:w w:val="87"/>
                </w:rPr>
                <w:t>5.1</w:t>
              </w:r>
            </w:hyperlink>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Opinion of Herzog Fox &amp; Neeman, Israeli counsel to the Registrant, as to the validity of the Shares</w:t>
              </w:r>
            </w:hyperlink>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rFonts w:ascii="Arial" w:cs="Arial" w:eastAsia="Arial" w:hAnsi="Arial"/>
                <w:sz w:val="18"/>
                <w:szCs w:val="18"/>
                <w:u w:val="single" w:color="auto"/>
                <w:color w:val="0000EE"/>
                <w:w w:val="87"/>
              </w:rPr>
            </w:pPr>
            <w:hyperlink w:anchor="page179">
              <w:r>
                <w:rPr>
                  <w:rFonts w:ascii="Arial" w:cs="Arial" w:eastAsia="Arial" w:hAnsi="Arial"/>
                  <w:sz w:val="18"/>
                  <w:szCs w:val="18"/>
                  <w:u w:val="single" w:color="auto"/>
                  <w:color w:val="0000EE"/>
                  <w:w w:val="87"/>
                </w:rPr>
                <w:t>5.2</w:t>
              </w:r>
            </w:hyperlink>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Opinion of Davis Polk &amp; Wardwell</w:t>
              </w:r>
            </w:hyperlink>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169"/>
        </w:trPr>
        <w:tc>
          <w:tcPr>
            <w:tcW w:w="1940" w:type="dxa"/>
            <w:vAlign w:val="bottom"/>
            <w:tcBorders>
              <w:left w:val="single" w:sz="8" w:color="auto"/>
              <w:right w:val="single" w:sz="8" w:color="auto"/>
            </w:tcBorders>
          </w:tcPr>
          <w:p>
            <w:pPr>
              <w:jc w:val="center"/>
              <w:spacing w:after="0" w:line="169" w:lineRule="exact"/>
              <w:rPr>
                <w:rFonts w:ascii="Arial" w:cs="Arial" w:eastAsia="Arial" w:hAnsi="Arial"/>
                <w:sz w:val="18"/>
                <w:szCs w:val="18"/>
                <w:u w:val="single" w:color="auto"/>
                <w:color w:val="0000EE"/>
                <w:w w:val="91"/>
              </w:rPr>
            </w:pPr>
            <w:hyperlink w:anchor="page182">
              <w:r>
                <w:rPr>
                  <w:rFonts w:ascii="Arial" w:cs="Arial" w:eastAsia="Arial" w:hAnsi="Arial"/>
                  <w:sz w:val="18"/>
                  <w:szCs w:val="18"/>
                  <w:u w:val="single" w:color="auto"/>
                  <w:color w:val="0000EE"/>
                  <w:w w:val="91"/>
                </w:rPr>
                <w:t>23.1</w:t>
              </w:r>
            </w:hyperlink>
          </w:p>
        </w:tc>
        <w:tc>
          <w:tcPr>
            <w:tcW w:w="60" w:type="dxa"/>
            <w:vAlign w:val="bottom"/>
          </w:tcPr>
          <w:p>
            <w:pPr>
              <w:spacing w:after="0"/>
              <w:rPr>
                <w:sz w:val="14"/>
                <w:szCs w:val="14"/>
                <w:color w:val="auto"/>
              </w:rPr>
            </w:pPr>
          </w:p>
        </w:tc>
        <w:tc>
          <w:tcPr>
            <w:tcW w:w="9240" w:type="dxa"/>
            <w:vAlign w:val="bottom"/>
            <w:tcBorders>
              <w:right w:val="single" w:sz="8" w:color="auto"/>
            </w:tcBorders>
            <w:gridSpan w:val="6"/>
          </w:tcPr>
          <w:p>
            <w:pPr>
              <w:spacing w:after="0" w:line="169" w:lineRule="exact"/>
              <w:rPr>
                <w:rFonts w:ascii="Arial" w:cs="Arial" w:eastAsia="Arial" w:hAnsi="Arial"/>
                <w:sz w:val="18"/>
                <w:szCs w:val="18"/>
                <w:color w:val="0000EE"/>
                <w:w w:val="99"/>
              </w:rPr>
            </w:pPr>
            <w:hyperlink w:anchor="page182">
              <w:r>
                <w:rPr>
                  <w:rFonts w:ascii="Arial" w:cs="Arial" w:eastAsia="Arial" w:hAnsi="Arial"/>
                  <w:sz w:val="18"/>
                  <w:szCs w:val="18"/>
                  <w:color w:val="0000EE"/>
                  <w:w w:val="99"/>
                </w:rPr>
                <w:t>Consent of Kesselman &amp; Kesselman, Certified Public Accountants (Isr.), a member firm of PricewaterhouseCoopers</w:t>
              </w:r>
            </w:hyperlink>
          </w:p>
        </w:tc>
      </w:tr>
      <w:tr>
        <w:trPr>
          <w:trHeight w:val="196"/>
        </w:trPr>
        <w:tc>
          <w:tcPr>
            <w:tcW w:w="19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International Limited, an independent registered public accounting firm</w:t>
              </w:r>
            </w:hyperlink>
          </w:p>
        </w:tc>
        <w:tc>
          <w:tcPr>
            <w:tcW w:w="840" w:type="dxa"/>
            <w:vAlign w:val="bottom"/>
            <w:tcBorders>
              <w:right w:val="single" w:sz="8" w:color="auto"/>
            </w:tcBorders>
            <w:gridSpan w:val="2"/>
          </w:tcPr>
          <w:p>
            <w:pPr>
              <w:spacing w:after="0"/>
              <w:rPr>
                <w:sz w:val="17"/>
                <w:szCs w:val="17"/>
                <w:color w:val="auto"/>
              </w:rPr>
            </w:pPr>
          </w:p>
        </w:tc>
      </w:tr>
      <w:tr>
        <w:trPr>
          <w:trHeight w:val="155"/>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top w:val="single" w:sz="8" w:color="0000EE"/>
              <w:bottom w:val="single" w:sz="8" w:color="auto"/>
            </w:tcBorders>
          </w:tcPr>
          <w:p>
            <w:pPr>
              <w:spacing w:after="0"/>
              <w:rPr>
                <w:sz w:val="13"/>
                <w:szCs w:val="13"/>
                <w:color w:val="auto"/>
              </w:rPr>
            </w:pPr>
          </w:p>
        </w:tc>
        <w:tc>
          <w:tcPr>
            <w:tcW w:w="2440" w:type="dxa"/>
            <w:vAlign w:val="bottom"/>
            <w:tcBorders>
              <w:top w:val="single" w:sz="8" w:color="0000EE"/>
              <w:bottom w:val="single" w:sz="8" w:color="auto"/>
            </w:tcBorders>
          </w:tcPr>
          <w:p>
            <w:pPr>
              <w:spacing w:after="0"/>
              <w:rPr>
                <w:sz w:val="13"/>
                <w:szCs w:val="13"/>
                <w:color w:val="auto"/>
              </w:rPr>
            </w:pPr>
          </w:p>
        </w:tc>
        <w:tc>
          <w:tcPr>
            <w:tcW w:w="1900" w:type="dxa"/>
            <w:vAlign w:val="bottom"/>
            <w:tcBorders>
              <w:top w:val="single" w:sz="8" w:color="0000EE"/>
              <w:bottom w:val="single" w:sz="8" w:color="auto"/>
            </w:tcBorders>
          </w:tcPr>
          <w:p>
            <w:pPr>
              <w:spacing w:after="0"/>
              <w:rPr>
                <w:sz w:val="13"/>
                <w:szCs w:val="13"/>
                <w:color w:val="auto"/>
              </w:rPr>
            </w:pPr>
          </w:p>
        </w:tc>
        <w:tc>
          <w:tcPr>
            <w:tcW w:w="3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r>
      <w:tr>
        <w:trPr>
          <w:trHeight w:val="224"/>
        </w:trPr>
        <w:tc>
          <w:tcPr>
            <w:tcW w:w="1940" w:type="dxa"/>
            <w:vAlign w:val="bottom"/>
            <w:tcBorders>
              <w:left w:val="single" w:sz="8" w:color="auto"/>
              <w:right w:val="single" w:sz="8" w:color="auto"/>
            </w:tcBorders>
          </w:tcPr>
          <w:p>
            <w:pPr>
              <w:jc w:val="center"/>
              <w:spacing w:after="0"/>
              <w:rPr>
                <w:rFonts w:ascii="Arial" w:cs="Arial" w:eastAsia="Arial" w:hAnsi="Arial"/>
                <w:sz w:val="18"/>
                <w:szCs w:val="18"/>
                <w:u w:val="single" w:color="auto"/>
                <w:color w:val="0000EE"/>
                <w:w w:val="91"/>
              </w:rPr>
            </w:pPr>
            <w:hyperlink w:anchor="page175">
              <w:r>
                <w:rPr>
                  <w:rFonts w:ascii="Arial" w:cs="Arial" w:eastAsia="Arial" w:hAnsi="Arial"/>
                  <w:sz w:val="18"/>
                  <w:szCs w:val="18"/>
                  <w:u w:val="single" w:color="auto"/>
                  <w:color w:val="0000EE"/>
                  <w:w w:val="91"/>
                </w:rPr>
                <w:t>23.2</w:t>
              </w:r>
            </w:hyperlink>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Consent of Herzog Fox &amp; Neeman (included in Exhibit 5.1)</w:t>
              </w:r>
            </w:hyperlink>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rFonts w:ascii="Arial" w:cs="Arial" w:eastAsia="Arial" w:hAnsi="Arial"/>
                <w:sz w:val="18"/>
                <w:szCs w:val="18"/>
                <w:u w:val="single" w:color="auto"/>
                <w:color w:val="0000EE"/>
                <w:w w:val="91"/>
              </w:rPr>
            </w:pPr>
            <w:hyperlink w:anchor="page179">
              <w:r>
                <w:rPr>
                  <w:rFonts w:ascii="Arial" w:cs="Arial" w:eastAsia="Arial" w:hAnsi="Arial"/>
                  <w:sz w:val="18"/>
                  <w:szCs w:val="18"/>
                  <w:u w:val="single" w:color="auto"/>
                  <w:color w:val="0000EE"/>
                  <w:w w:val="91"/>
                </w:rPr>
                <w:t>23.3</w:t>
              </w:r>
            </w:hyperlink>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Consent of Davis Polk &amp; Wardwell (including in Exhibit 5.2)</w:t>
              </w:r>
            </w:hyperlink>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rFonts w:ascii="Arial" w:cs="Arial" w:eastAsia="Arial" w:hAnsi="Arial"/>
                <w:sz w:val="18"/>
                <w:szCs w:val="18"/>
                <w:u w:val="single" w:color="auto"/>
                <w:color w:val="0000EE"/>
                <w:w w:val="91"/>
              </w:rPr>
            </w:pPr>
            <w:hyperlink w:anchor="page49">
              <w:r>
                <w:rPr>
                  <w:rFonts w:ascii="Arial" w:cs="Arial" w:eastAsia="Arial" w:hAnsi="Arial"/>
                  <w:sz w:val="18"/>
                  <w:szCs w:val="18"/>
                  <w:u w:val="single" w:color="auto"/>
                  <w:color w:val="0000EE"/>
                  <w:w w:val="91"/>
                </w:rPr>
                <w:t>24.1</w:t>
              </w:r>
            </w:hyperlink>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Powers of Attorney (included on signature page to the Registration Statement)</w:t>
              </w:r>
            </w:hyperlink>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25.1*</w:t>
            </w:r>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Statement of Eligibility on Form T-1 for Senior Indenture</w:t>
            </w:r>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24"/>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25.2*</w:t>
            </w:r>
          </w:p>
        </w:tc>
        <w:tc>
          <w:tcPr>
            <w:tcW w:w="60" w:type="dxa"/>
            <w:vAlign w:val="bottom"/>
          </w:tcPr>
          <w:p>
            <w:pPr>
              <w:spacing w:after="0"/>
              <w:rPr>
                <w:sz w:val="19"/>
                <w:szCs w:val="19"/>
                <w:color w:val="auto"/>
              </w:rPr>
            </w:pPr>
          </w:p>
        </w:tc>
        <w:tc>
          <w:tcPr>
            <w:tcW w:w="92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Statement of Eligibility on Form T-1 for Subordinated Indenture</w:t>
            </w:r>
          </w:p>
        </w:tc>
      </w:tr>
      <w:tr>
        <w:trPr>
          <w:trHeight w:val="121"/>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r>
      <w:tr>
        <w:trPr>
          <w:trHeight w:val="264"/>
        </w:trPr>
        <w:tc>
          <w:tcPr>
            <w:tcW w:w="1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4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r>
    </w:tbl>
    <w:p>
      <w:pPr>
        <w:spacing w:after="0" w:line="53" w:lineRule="exact"/>
        <w:rPr>
          <w:sz w:val="20"/>
          <w:szCs w:val="20"/>
          <w:color w:val="auto"/>
        </w:rPr>
      </w:pPr>
    </w:p>
    <w:p>
      <w:pPr>
        <w:ind w:right="160" w:firstLine="8"/>
        <w:spacing w:after="0" w:line="277" w:lineRule="auto"/>
        <w:tabs>
          <w:tab w:leader="none" w:pos="1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filed, if necessary, by amendment or as an exhibit to a report filed or submitted pursuant to Section 13(a) or 15(d) of the U.S. Securities Exchange Act of 1934, as amended, and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10240"/>
        <w:spacing w:after="0"/>
        <w:rPr>
          <w:sz w:val="20"/>
          <w:szCs w:val="20"/>
          <w:color w:val="auto"/>
        </w:rPr>
      </w:pPr>
      <w:r>
        <w:rPr>
          <w:rFonts w:ascii="Arial" w:cs="Arial" w:eastAsia="Arial" w:hAnsi="Arial"/>
          <w:sz w:val="19"/>
          <w:szCs w:val="19"/>
          <w:b w:val="1"/>
          <w:bCs w:val="1"/>
          <w:color w:val="auto"/>
        </w:rPr>
        <w:t>Exhibit 1.2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$13,900,000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DISTRIBUTION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 High Street, 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Entera Bio Ltd., an Israeli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confirms its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with Canaccord Genuity LLC (“</w:t>
      </w:r>
      <w:r>
        <w:rPr>
          <w:rFonts w:ascii="Arial" w:cs="Arial" w:eastAsia="Arial" w:hAnsi="Arial"/>
          <w:sz w:val="16"/>
          <w:szCs w:val="16"/>
          <w:u w:val="single" w:color="auto"/>
          <w:color w:val="auto"/>
        </w:rPr>
        <w:t>Canaccord</w:t>
      </w:r>
      <w:r>
        <w:rPr>
          <w:rFonts w:ascii="Arial" w:cs="Arial" w:eastAsia="Arial" w:hAnsi="Arial"/>
          <w:sz w:val="16"/>
          <w:szCs w:val="16"/>
          <w:color w:val="auto"/>
        </w:rPr>
        <w:t>”),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8"/>
        <w:spacing w:after="0" w:line="254" w:lineRule="auto"/>
        <w:tabs>
          <w:tab w:leader="none" w:pos="86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Issuance and Sale of Shares</w:t>
      </w:r>
      <w:r>
        <w:rPr>
          <w:rFonts w:ascii="Arial" w:cs="Arial" w:eastAsia="Arial" w:hAnsi="Arial"/>
          <w:sz w:val="18"/>
          <w:szCs w:val="18"/>
          <w:color w:val="auto"/>
        </w:rPr>
        <w:t>. The Company agrees that, from time to time during the term of this Agreement, on the terms and subject to the conditions set forth herein, it will issue and sell through Canaccord, acting as sales agent,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ordinary shares, NIS 0.0000769 par value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having an aggregate offering price of up to $13,900,000. The Shares will be sold on the terms set forth herein at such times and in such amounts as the Company and Canaccord shall agree from time to time, in each case at a price per Share no less than $1.00, unless otherwise authorized by the Board of Directors of the Company. The issuance and sale of the Shares through Canaccord will be effected pursuant to the Registration Statement (as defined below) filed by the Company and declared effective by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Placements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Placement Notice</w:t>
      </w:r>
      <w:r>
        <w:rPr>
          <w:rFonts w:ascii="Arial" w:cs="Arial" w:eastAsia="Arial" w:hAnsi="Arial"/>
          <w:sz w:val="16"/>
          <w:szCs w:val="16"/>
          <w:color w:val="auto"/>
        </w:rPr>
        <w:t>. Each time that the Company wishes to issue and sell Shares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Canaccord by e-mail notice (or other method mutually agreed to in writing by the parties) containing the parameters within which it desires to sell the Shares, which shall at a minimum include the number of Shares (“</w:t>
      </w:r>
      <w:r>
        <w:rPr>
          <w:rFonts w:ascii="Arial" w:cs="Arial" w:eastAsia="Arial" w:hAnsi="Arial"/>
          <w:sz w:val="16"/>
          <w:szCs w:val="16"/>
          <w:u w:val="single" w:color="auto"/>
          <w:color w:val="auto"/>
        </w:rPr>
        <w:t>Placement Shares</w:t>
      </w:r>
      <w:r>
        <w:rPr>
          <w:rFonts w:ascii="Arial" w:cs="Arial" w:eastAsia="Arial" w:hAnsi="Arial"/>
          <w:sz w:val="16"/>
          <w:szCs w:val="16"/>
          <w:color w:val="auto"/>
        </w:rPr>
        <w:t>”) to be issued, the time period during which sales are requested to be made, any limitation on the number of Shares that may be sold in any one day and any minimum price below which sales may not be made (a “</w:t>
      </w:r>
      <w:r>
        <w:rPr>
          <w:rFonts w:ascii="Arial" w:cs="Arial" w:eastAsia="Arial" w:hAnsi="Arial"/>
          <w:sz w:val="16"/>
          <w:szCs w:val="16"/>
          <w:u w:val="single" w:color="auto"/>
          <w:color w:val="auto"/>
        </w:rPr>
        <w:t>Placement Notice</w:t>
      </w:r>
      <w:r>
        <w:rPr>
          <w:rFonts w:ascii="Arial" w:cs="Arial" w:eastAsia="Arial" w:hAnsi="Arial"/>
          <w:sz w:val="16"/>
          <w:szCs w:val="16"/>
          <w:color w:val="auto"/>
        </w:rPr>
        <w:t>”), a form of which shall be mutually agreed upon by the Company and Canaccord. The Placement Notice shall originate from any of the individuals (each an “</w:t>
      </w:r>
      <w:r>
        <w:rPr>
          <w:rFonts w:ascii="Arial" w:cs="Arial" w:eastAsia="Arial" w:hAnsi="Arial"/>
          <w:sz w:val="16"/>
          <w:szCs w:val="16"/>
          <w:u w:val="single" w:color="auto"/>
          <w:color w:val="auto"/>
        </w:rPr>
        <w:t>Authorized Representative</w:t>
      </w:r>
      <w:r>
        <w:rPr>
          <w:rFonts w:ascii="Arial" w:cs="Arial" w:eastAsia="Arial" w:hAnsi="Arial"/>
          <w:sz w:val="16"/>
          <w:szCs w:val="16"/>
          <w:color w:val="auto"/>
        </w:rPr>
        <w:t xml:space="preserve">”) from the Company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(with a copy to each of the other individuals from the Company listed on such schedule), and shall be addressed to each of the individuals from Canaccord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hereto, as such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may be amended from time to time. The Placement Notice shall be effective upon confirmation by Canaccord unless and until (i) Canaccord declines to accept the terms contained therein for any reason, in its sole discretion, in accordance with the notice requirements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(ii) the entire amount of the Placement Shares have been sold, (iii) the Company suspends or terminates the Placement Notice in accordance with the notice requirements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(iv) the Company issues a subsequent Placement Notice with parameters superseding those on the earlier dated Placement Notice, or (v) the Agreement has been terminated under the provisions of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1960" w:hanging="656"/>
        <w:spacing w:after="0" w:line="263" w:lineRule="auto"/>
        <w:tabs>
          <w:tab w:leader="none" w:pos="1960" w:val="left"/>
        </w:tabs>
        <w:numPr>
          <w:ilvl w:val="2"/>
          <w:numId w:val="44"/>
        </w:numPr>
        <w:rPr>
          <w:rFonts w:ascii="Arial" w:cs="Arial" w:eastAsia="Arial" w:hAnsi="Arial"/>
          <w:sz w:val="18"/>
          <w:szCs w:val="18"/>
          <w:color w:val="auto"/>
        </w:rPr>
      </w:pPr>
      <w:r>
        <w:rPr>
          <w:rFonts w:ascii="Arial" w:cs="Arial" w:eastAsia="Arial" w:hAnsi="Arial"/>
          <w:sz w:val="18"/>
          <w:szCs w:val="18"/>
          <w:u w:val="single" w:color="auto"/>
          <w:color w:val="auto"/>
        </w:rPr>
        <w:t>Placement Fee</w:t>
      </w:r>
      <w:r>
        <w:rPr>
          <w:rFonts w:ascii="Arial" w:cs="Arial" w:eastAsia="Arial" w:hAnsi="Arial"/>
          <w:sz w:val="18"/>
          <w:szCs w:val="18"/>
          <w:color w:val="auto"/>
        </w:rPr>
        <w:t xml:space="preserve">. The amount of compensation to be paid by the Company to Canaccord with respect to each Placement (in addition to any expense reimbursement pursuant to </w:t>
      </w:r>
      <w:r>
        <w:rPr>
          <w:rFonts w:ascii="Arial" w:cs="Arial" w:eastAsia="Arial" w:hAnsi="Arial"/>
          <w:sz w:val="18"/>
          <w:szCs w:val="18"/>
          <w:u w:val="single" w:color="auto"/>
          <w:color w:val="auto"/>
        </w:rPr>
        <w:t>Section 7(g)(ii)</w:t>
      </w:r>
      <w:r>
        <w:rPr>
          <w:rFonts w:ascii="Arial" w:cs="Arial" w:eastAsia="Arial" w:hAnsi="Arial"/>
          <w:sz w:val="18"/>
          <w:szCs w:val="18"/>
          <w:color w:val="auto"/>
        </w:rPr>
        <w:t>) shall be equal to 3.0% of gross proceeds from each Placement.</w:t>
      </w:r>
    </w:p>
    <w:p>
      <w:pPr>
        <w:spacing w:after="0" w:line="183" w:lineRule="exact"/>
        <w:rPr>
          <w:rFonts w:ascii="Arial" w:cs="Arial" w:eastAsia="Arial" w:hAnsi="Arial"/>
          <w:sz w:val="18"/>
          <w:szCs w:val="18"/>
          <w:color w:val="auto"/>
        </w:rPr>
      </w:pPr>
    </w:p>
    <w:p>
      <w:pPr>
        <w:jc w:val="both"/>
        <w:ind w:left="1960" w:hanging="656"/>
        <w:spacing w:after="0" w:line="275" w:lineRule="auto"/>
        <w:tabs>
          <w:tab w:leader="none" w:pos="1960"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No Obligation</w:t>
      </w:r>
      <w:r>
        <w:rPr>
          <w:rFonts w:ascii="Arial" w:cs="Arial" w:eastAsia="Arial" w:hAnsi="Arial"/>
          <w:sz w:val="17"/>
          <w:szCs w:val="17"/>
          <w:color w:val="auto"/>
        </w:rPr>
        <w:t>. It is expressly acknowledged and agreed that neither the Company nor Canaccord will have any obligation whatsoever with respect to a Placement or any Placement Shares unless and until the Company delivers a Placement Notice to Canaccord, and then only upon the terms specified therein and herein. It is also expressly acknowledged that Canaccord will be under no obligation to purchase Shares on a principal basis. In the event of a conflict between the terms of this Agreement and the terms of a Placement Notice, the terms of the Placement Notice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jc w:val="both"/>
        <w:ind w:firstLine="8"/>
        <w:spacing w:after="0" w:line="267" w:lineRule="auto"/>
        <w:tabs>
          <w:tab w:leader="none" w:pos="985"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Sale of Placement Shares by Canaccord</w:t>
      </w:r>
      <w:r>
        <w:rPr>
          <w:rFonts w:ascii="Arial" w:cs="Arial" w:eastAsia="Arial" w:hAnsi="Arial"/>
          <w:sz w:val="17"/>
          <w:szCs w:val="17"/>
          <w:color w:val="auto"/>
        </w:rPr>
        <w:t>. Subject to the terms and conditions of this Agreement, upon the Company’s issuance of a Placement Notice, and unless the sale of the Placement Shares described therein has been declined, suspended, or otherwise terminated in accordance with the terms of this Agreement, Canaccord will use its commercially reasonable efforts consistent with its normal trading and sales practices to sell on behalf of the Company and as agent, such Placement Shares up to the amount specified, and otherwise in accordance with the terms of such Placement Notice. The Company acknowledges that Canaccord will conduct the sale of Placement Shares in compliance with applicable law including, without limitation, Regulation M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that such compliance may include a delay in commencement of sales efforts after receipt of a Placement Notice. Canaccord will provide written confirmation to the Company no later than the opening of the Trading Day next following the Trading Day on which they have made sales of Placement Shares hereunder setting forth the number of Placement Shares sold on such day, the compensation payable by the Company to Canaccord with respect to such sales, and the Net Proceeds (as defined below) payable to the Company. Canaccord may sell Placement Shares by any method permitted by law deemed to be an “at the market” offering under Rule 415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including without limitation sales made directly on or through The Nasdaq Capital Market (the “</w:t>
      </w:r>
      <w:r>
        <w:rPr>
          <w:rFonts w:ascii="Arial" w:cs="Arial" w:eastAsia="Arial" w:hAnsi="Arial"/>
          <w:sz w:val="17"/>
          <w:szCs w:val="17"/>
          <w:u w:val="single" w:color="auto"/>
          <w:color w:val="auto"/>
        </w:rPr>
        <w:t>Principal Trading Market</w:t>
      </w:r>
      <w:r>
        <w:rPr>
          <w:rFonts w:ascii="Arial" w:cs="Arial" w:eastAsia="Arial" w:hAnsi="Arial"/>
          <w:sz w:val="17"/>
          <w:szCs w:val="17"/>
          <w:color w:val="auto"/>
        </w:rPr>
        <w:t xml:space="preserve">”), on any other existing trading market for the Ordinary Shares, sales to or through a market maker other than on an exchange or in negotiated transactions at market prices prevailing at the time of sale or at prices related to such prevailing market prices. Notwithstanding anything to the contrary set forth in this Agreement or a Placement Notice, the Company acknowledges and agrees that (i) there can be no assurance that Canaccord will be successful in selling any Placement Shares or as to the price at which any Placement Shares are sold, if at all, and (ii) Canaccord will incur no liability or obligation to the Company or any other person or entity if they do not sell Placement Shares for any reason other than a failure by Canaccord to use its commercially reasonable efforts consistent with its normal trading and sales practices to sell on behalf of the Company and as agent such Placement Shares as provided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For the purposes hereof, “</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Principal Trading Market is open for trading.</w:t>
      </w:r>
    </w:p>
    <w:p>
      <w:pPr>
        <w:spacing w:after="0" w:line="188" w:lineRule="exact"/>
        <w:rPr>
          <w:rFonts w:ascii="Arial" w:cs="Arial" w:eastAsia="Arial" w:hAnsi="Arial"/>
          <w:sz w:val="17"/>
          <w:szCs w:val="17"/>
          <w:color w:val="auto"/>
        </w:rPr>
      </w:pPr>
    </w:p>
    <w:p>
      <w:pPr>
        <w:jc w:val="both"/>
        <w:ind w:firstLine="8"/>
        <w:spacing w:after="0" w:line="275" w:lineRule="auto"/>
        <w:tabs>
          <w:tab w:leader="none" w:pos="112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Suspension of Sale</w:t>
      </w:r>
      <w:r>
        <w:rPr>
          <w:rFonts w:ascii="Arial" w:cs="Arial" w:eastAsia="Arial" w:hAnsi="Arial"/>
          <w:sz w:val="17"/>
          <w:szCs w:val="17"/>
          <w:color w:val="auto"/>
        </w:rPr>
        <w:t xml:space="preserve">s. The Company or Canaccord may, upon notice to the other party in writing, by telephone (confirmed immediately by verifiable facsimile transmission or e-mail) or by e-mail notice (or other method mutually agreed to in writing by the parties), suspend any sale of Placement Shares;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suspension shall not affect or impair either party’s obligations with respect to any Placement Shares sold hereunder prior to the receipt of such notice. The Company agrees that no such notice shall be effective against Canaccord unless it is made to one of the individuals named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as such Schedule may be amended from time to time.</w:t>
      </w:r>
    </w:p>
    <w:p>
      <w:pPr>
        <w:spacing w:after="0" w:line="3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Settlement of Placement Shares</w:t>
      </w:r>
      <w:r>
        <w:rPr>
          <w:rFonts w:ascii="Arial" w:cs="Arial" w:eastAsia="Arial" w:hAnsi="Arial"/>
          <w:sz w:val="17"/>
          <w:szCs w:val="17"/>
          <w:color w:val="auto"/>
        </w:rPr>
        <w:t>. Unless otherwise specified in the applicable Placement Notice, settlement for sales of Placement Shares will occur on the second (2nd) Business Day (or such earlier day as is agreed by the parties to be industry practice for regular-way trading) following the date on which such sales are made (each a “</w:t>
      </w:r>
      <w:r>
        <w:rPr>
          <w:rFonts w:ascii="Arial" w:cs="Arial" w:eastAsia="Arial" w:hAnsi="Arial"/>
          <w:sz w:val="17"/>
          <w:szCs w:val="17"/>
          <w:u w:val="single" w:color="auto"/>
          <w:color w:val="auto"/>
        </w:rPr>
        <w:t>Settlement Date</w:t>
      </w:r>
      <w:r>
        <w:rPr>
          <w:rFonts w:ascii="Arial" w:cs="Arial" w:eastAsia="Arial" w:hAnsi="Arial"/>
          <w:sz w:val="17"/>
          <w:szCs w:val="17"/>
          <w:color w:val="auto"/>
        </w:rPr>
        <w:t>”). The amount of proceeds to be delivered to the Company on a Settlement Date against the receipt of the Placement Shares sold (“</w:t>
      </w:r>
      <w:r>
        <w:rPr>
          <w:rFonts w:ascii="Arial" w:cs="Arial" w:eastAsia="Arial" w:hAnsi="Arial"/>
          <w:sz w:val="17"/>
          <w:szCs w:val="17"/>
          <w:u w:val="single" w:color="auto"/>
          <w:color w:val="auto"/>
        </w:rPr>
        <w:t>Net Proceeds</w:t>
      </w:r>
      <w:r>
        <w:rPr>
          <w:rFonts w:ascii="Arial" w:cs="Arial" w:eastAsia="Arial" w:hAnsi="Arial"/>
          <w:sz w:val="17"/>
          <w:szCs w:val="17"/>
          <w:color w:val="auto"/>
        </w:rPr>
        <w:t xml:space="preserve">”) will be equal to the aggregate sales price at which such Placement Shares were sold, after deduction for (i) the commission or other compensation for such sales payable by the Company to Canaccord, as the case may be,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 as the case may be, (ii) any other amounts due and payable by the Company to Canaccord hereunder pursuant to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hereof, and (iii) any transaction fees imposed by any governmental or self-regulatory organization in respect of such sales.</w:t>
      </w:r>
    </w:p>
    <w:p>
      <w:pPr>
        <w:spacing w:after="0" w:line="178" w:lineRule="exact"/>
        <w:rPr>
          <w:rFonts w:ascii="Arial" w:cs="Arial" w:eastAsia="Arial" w:hAnsi="Arial"/>
          <w:sz w:val="17"/>
          <w:szCs w:val="17"/>
          <w:color w:val="auto"/>
        </w:rPr>
      </w:pPr>
    </w:p>
    <w:p>
      <w:pPr>
        <w:jc w:val="both"/>
        <w:ind w:left="1300" w:hanging="644"/>
        <w:spacing w:after="0" w:line="269" w:lineRule="auto"/>
        <w:tabs>
          <w:tab w:leader="none" w:pos="1300"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Delivery of Shares</w:t>
      </w:r>
      <w:r>
        <w:rPr>
          <w:rFonts w:ascii="Arial" w:cs="Arial" w:eastAsia="Arial" w:hAnsi="Arial"/>
          <w:sz w:val="17"/>
          <w:szCs w:val="17"/>
          <w:color w:val="auto"/>
        </w:rPr>
        <w:t xml:space="preserve">. On each Settlement Date, the Company will, or will cause its transfer agent to, electronically transfer the Placement Shares being sold by crediting Canaccord’s accounts or its designee’s account at The Depository Trust Company through its Deposit Withdrawal Agent Commission System or by such other means of delivery as may be mutually agreed upon by the parties hereto and, upon receipt of such Placement Shares, which in all cases shall be freely tradeable, transferable, registered shares in good deliverable form, Canaccord will, on each Settlement Date, deliver the related Net Proceeds in same day funds delivered to an account designated by the Company prior to the Settlement Date. If the Company defaults in its obligation to deliver Placement Shares on a Settlement Date, the Company agrees that in addition to and in no way limiting the rights and obligations set forth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hereto, it will (i) hold Canaccord harmless against any loss, claim, damage, or expense (including legal fees and expenses), as incurred, arising out of or in connection with such default by the Company and (ii) pay to Canaccord any commission, discount, or other compensation to which it would otherwise have been entitled absent such default.</w:t>
      </w:r>
    </w:p>
    <w:p>
      <w:pPr>
        <w:spacing w:after="0" w:line="185"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Canaccord that, as of the date of this Agreement:</w:t>
      </w:r>
    </w:p>
    <w:p>
      <w:pPr>
        <w:spacing w:after="0" w:line="170" w:lineRule="exact"/>
        <w:rPr>
          <w:rFonts w:ascii="Arial" w:cs="Arial" w:eastAsia="Arial" w:hAnsi="Arial"/>
          <w:sz w:val="18"/>
          <w:szCs w:val="18"/>
          <w:color w:val="auto"/>
        </w:rPr>
      </w:pPr>
    </w:p>
    <w:p>
      <w:pPr>
        <w:jc w:val="both"/>
        <w:ind w:left="1300" w:hanging="644"/>
        <w:spacing w:after="0" w:line="283"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xml:space="preserve">. The Ordinary Shares are registered pursuant to </w:t>
      </w:r>
      <w:r>
        <w:rPr>
          <w:rFonts w:ascii="Arial" w:cs="Arial" w:eastAsia="Arial" w:hAnsi="Arial"/>
          <w:sz w:val="16"/>
          <w:szCs w:val="16"/>
          <w:u w:val="single" w:color="auto"/>
          <w:color w:val="auto"/>
        </w:rPr>
        <w:t>Section 12(b)</w:t>
      </w:r>
      <w:r>
        <w:rPr>
          <w:rFonts w:ascii="Arial" w:cs="Arial" w:eastAsia="Arial" w:hAnsi="Arial"/>
          <w:sz w:val="16"/>
          <w:szCs w:val="16"/>
          <w:color w:val="auto"/>
        </w:rPr>
        <w:t xml:space="preserve"> of the Exchange Act, and the Company has filed all reports, schedules, forms, statements and other documents required to be filed by it with the Commission (the “</w:t>
      </w:r>
      <w:r>
        <w:rPr>
          <w:rFonts w:ascii="Arial" w:cs="Arial" w:eastAsia="Arial" w:hAnsi="Arial"/>
          <w:sz w:val="16"/>
          <w:szCs w:val="16"/>
          <w:u w:val="single" w:color="auto"/>
          <w:color w:val="auto"/>
        </w:rPr>
        <w:t>Commission Documents</w:t>
      </w:r>
      <w:r>
        <w:rPr>
          <w:rFonts w:ascii="Arial" w:cs="Arial" w:eastAsia="Arial" w:hAnsi="Arial"/>
          <w:sz w:val="16"/>
          <w:szCs w:val="16"/>
          <w:color w:val="auto"/>
        </w:rPr>
        <w:t xml:space="preserve">”) since the Company has been subject to the requirements of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the Exchange Act, and all of such filings required to be filed within the last 12 months have been made on a timely basis. The Ordinary Shares are currently quoted on the Principal Trading Market under the trading symbol “ENTX”. The Company and the transactions contemplated hereby meet the requirements for use of Form F-3 under the Securities Act and the rules and regulations thereunder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including but not limited to the transaction requirements for an offering made by the issuer set forth in Instruction I.B.5 to Form F-3. The Company will prepare and file with the Commission a registration statement on Form F-3 with respect to the Shares to be offered and sold by the Company pursuant to this Agreement. Such registration statement, at any given time, including the amendments thereto at such time, the exhibits and any schedules thereto at such time, the documents incorporated by reference therein pursuant to Item 12 of Form F-3 under the Securities Act at such time and the documents otherwise deemed to be a part thereof or included therein by the rules and regulations under the Securities Act,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including the base prospectus contained therein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was prepared by the Company in conformity with the requirements of the Securities Act and all applicable Rules and Regulations. One or more prospectus supplements relating to the Shares (the “</w:t>
      </w:r>
      <w:r>
        <w:rPr>
          <w:rFonts w:ascii="Arial" w:cs="Arial" w:eastAsia="Arial" w:hAnsi="Arial"/>
          <w:sz w:val="16"/>
          <w:szCs w:val="16"/>
          <w:u w:val="single" w:color="auto"/>
          <w:color w:val="auto"/>
        </w:rPr>
        <w:t>Prospectus Supplements</w:t>
      </w:r>
      <w:r>
        <w:rPr>
          <w:rFonts w:ascii="Arial" w:cs="Arial" w:eastAsia="Arial" w:hAnsi="Arial"/>
          <w:sz w:val="16"/>
          <w:szCs w:val="16"/>
          <w:color w:val="auto"/>
        </w:rPr>
        <w:t>,” and together with the Base Prospectus and any amendment thereto and all documents incorporated therein by reference, the “</w:t>
      </w:r>
      <w:r>
        <w:rPr>
          <w:rFonts w:ascii="Arial" w:cs="Arial" w:eastAsia="Arial" w:hAnsi="Arial"/>
          <w:sz w:val="16"/>
          <w:szCs w:val="16"/>
          <w:u w:val="single" w:color="auto"/>
          <w:color w:val="auto"/>
        </w:rPr>
        <w:t>Prospectus</w:t>
      </w:r>
      <w:r>
        <w:rPr>
          <w:rFonts w:ascii="Arial" w:cs="Arial" w:eastAsia="Arial" w:hAnsi="Arial"/>
          <w:sz w:val="16"/>
          <w:szCs w:val="16"/>
          <w:color w:val="auto"/>
        </w:rPr>
        <w:t>”) have been or will be prepared by the Company in conformity with the requirements of the Securities Act and all applicable Rules and Regulations and have been or will be filed with the Commission in the manner and time frame required by the Securities Act and the Rules and Regulations. Any amendment or supplement to the Registration Statement or Prospectus required by this Agreement will be so prepared and filed by the Company and, as applicable, the Company will use commercially reasonable efforts to cause it to become effective as soon as reasonably practicable. No stop order suspending the effectiveness of the Registration Statement has been issued, and no proceeding for that purpose has been instituted or, to the knowledge of the Company, threatened by the Commission. No order preventing or suspending the use of the Base Prospectus, the Prospectus Supplement, the Prospectus or any Issuer Free Writing Prospectus (as defined herein) has been issued by the Commission. Copies of all filings made by the Company under the Securities Act and all Commission Documents that were filed with the Commission have either been delivered to Canaccord or made available to Canaccord on the Commission’s Electronic Data Gathering, Analysis, and Retrieval system (“</w:t>
      </w:r>
      <w:r>
        <w:rPr>
          <w:rFonts w:ascii="Arial" w:cs="Arial" w:eastAsia="Arial" w:hAnsi="Arial"/>
          <w:sz w:val="16"/>
          <w:szCs w:val="16"/>
          <w:u w:val="single" w:color="auto"/>
          <w:color w:val="auto"/>
        </w:rPr>
        <w:t>EDGAR</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(or deemed to be incorporated) by reference therein pursuant to Item 12 of Form F-3 under the Securities Act, and any reference herein to the terms “amend,” “amendment” or “supplement” with respect to the Registration Statement or Prospectus shall be deemed to refer to and include the filing after the execution hereof of any document with the Commission deemed to be incorporated by reference therein. For the purposes of this Agreement, the “</w:t>
      </w:r>
      <w:r>
        <w:rPr>
          <w:rFonts w:ascii="Arial" w:cs="Arial" w:eastAsia="Arial" w:hAnsi="Arial"/>
          <w:sz w:val="16"/>
          <w:szCs w:val="16"/>
          <w:u w:val="single" w:color="auto"/>
          <w:color w:val="auto"/>
        </w:rPr>
        <w:t>Applicable Time</w:t>
      </w:r>
      <w:r>
        <w:rPr>
          <w:rFonts w:ascii="Arial" w:cs="Arial" w:eastAsia="Arial" w:hAnsi="Arial"/>
          <w:sz w:val="16"/>
          <w:szCs w:val="16"/>
          <w:color w:val="auto"/>
        </w:rPr>
        <w:t>” means, with respect to any Shares, the time of sale of such Shares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left="644" w:hanging="644"/>
        <w:spacing w:after="0" w:line="286" w:lineRule="auto"/>
        <w:tabs>
          <w:tab w:leader="none" w:pos="644"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No Misstatement or Omission</w:t>
      </w:r>
      <w:r>
        <w:rPr>
          <w:rFonts w:ascii="Arial" w:cs="Arial" w:eastAsia="Arial" w:hAnsi="Arial"/>
          <w:sz w:val="16"/>
          <w:szCs w:val="16"/>
          <w:color w:val="auto"/>
        </w:rPr>
        <w:t>. Each part of the Registration Statement, when such part became or becomes effective, at any deemed effective date pursuant to Rule 430B(f)(2) on the date of filing thereof with the Commission and at each Applicable Time and Settlement Date, and the Prospectus, on the date of filing thereof with the Commission and at each Applicable Time and Settlement Date, conformed or will conform in all material respects with the requirements of the Securities Act and the Rules and Regulations; each part of the Registration Statement, when such part became or becomes effective, did not or will not contain an untrue statement of a material fact or omit to state a material fact required to be stated therein or necessary to make the statements therein not misleading; and the Prospectus, on the date of filing thereof with the Commission, and the Prospectus and the applicable Issuer Free Writing Prospectus(es) issued at or prior to such Applicable Time, taken together (collectively, and with respect to any Shares, together with the public offering price of such Shares, the “</w:t>
      </w:r>
      <w:r>
        <w:rPr>
          <w:rFonts w:ascii="Arial" w:cs="Arial" w:eastAsia="Arial" w:hAnsi="Arial"/>
          <w:sz w:val="16"/>
          <w:szCs w:val="16"/>
          <w:u w:val="single" w:color="auto"/>
          <w:color w:val="auto"/>
        </w:rPr>
        <w:t>Disclosure Package</w:t>
      </w:r>
      <w:r>
        <w:rPr>
          <w:rFonts w:ascii="Arial" w:cs="Arial" w:eastAsia="Arial" w:hAnsi="Arial"/>
          <w:sz w:val="16"/>
          <w:szCs w:val="16"/>
          <w:color w:val="auto"/>
        </w:rPr>
        <w:t>”) and at each Applicable Time and Settlement Date, did not or will not include an untrue statement of a material fact or omit to state a material fact necessary to make the statements therein, in light of the circumstances under which they were made, not misleading; except that the foregoing shall not apply to statements or omissions in any such document made in reliance on information furnished in writing to the Company by Canaccord expressly stating that such information is intended for use in the Registration Statement, the Prospectus, or any amendment or supplement thereto, or in any Issuer Free Writing Prospectus(es).</w:t>
      </w:r>
    </w:p>
    <w:p>
      <w:pPr>
        <w:spacing w:after="0" w:line="173" w:lineRule="exact"/>
        <w:rPr>
          <w:rFonts w:ascii="Arial" w:cs="Arial" w:eastAsia="Arial" w:hAnsi="Arial"/>
          <w:sz w:val="16"/>
          <w:szCs w:val="16"/>
          <w:color w:val="auto"/>
        </w:rPr>
      </w:pPr>
    </w:p>
    <w:p>
      <w:pPr>
        <w:jc w:val="both"/>
        <w:ind w:left="644" w:hanging="644"/>
        <w:spacing w:after="0" w:line="286" w:lineRule="auto"/>
        <w:tabs>
          <w:tab w:leader="none" w:pos="644"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Conformity with Securities Act and Exchange Act</w:t>
      </w:r>
      <w:r>
        <w:rPr>
          <w:rFonts w:ascii="Arial" w:cs="Arial" w:eastAsia="Arial" w:hAnsi="Arial"/>
          <w:sz w:val="16"/>
          <w:szCs w:val="16"/>
          <w:color w:val="auto"/>
        </w:rPr>
        <w:t>. The documents incorporated by reference in the Registration Statement or the Prospectus, or any amendment or supplement thereto, when they became effective under the Securities Act or were filed with the Commission under the Exchange Act, as the case may be, conformed in all material respects with the requirements of the Securities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Registration Statement or the Prospectus or any further amendment or supplement thereto, when such documents become effective or are filed with the Commission, as the case may be, will conform to the requirements of the Securities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(a) that have been corrected in a filing that has been incorporated by reference in the Prospectus not less than 24 hours prior to the relevant Applicable Time or (b) made in reliance on information furnished in writing to the Company by Canaccord expressly stating that such information is intended for use in any such document.</w:t>
      </w:r>
    </w:p>
    <w:p>
      <w:pPr>
        <w:spacing w:after="0" w:line="173" w:lineRule="exact"/>
        <w:rPr>
          <w:rFonts w:ascii="Arial" w:cs="Arial" w:eastAsia="Arial" w:hAnsi="Arial"/>
          <w:sz w:val="16"/>
          <w:szCs w:val="16"/>
          <w:color w:val="auto"/>
        </w:rPr>
      </w:pPr>
    </w:p>
    <w:p>
      <w:pPr>
        <w:jc w:val="both"/>
        <w:ind w:left="644" w:hanging="644"/>
        <w:spacing w:after="0" w:line="268" w:lineRule="auto"/>
        <w:tabs>
          <w:tab w:leader="none" w:pos="644"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Financial Information</w:t>
      </w:r>
      <w:r>
        <w:rPr>
          <w:rFonts w:ascii="Arial" w:cs="Arial" w:eastAsia="Arial" w:hAnsi="Arial"/>
          <w:sz w:val="17"/>
          <w:szCs w:val="17"/>
          <w:color w:val="auto"/>
        </w:rPr>
        <w:t xml:space="preserve">. The financial statements (including the related notes thereto and the supporting schedules) of the Company and its consolidated subsidiaries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Subsidiaries</w:t>
      </w:r>
      <w:r>
        <w:rPr>
          <w:rFonts w:ascii="Arial" w:cs="Arial" w:eastAsia="Arial" w:hAnsi="Arial"/>
          <w:sz w:val="17"/>
          <w:szCs w:val="17"/>
          <w:color w:val="auto"/>
        </w:rPr>
        <w:t>”), set forth or incorporated by reference in the Registration Statement, Prospectus and Disclosure Package, have been and will be prepared in accordance with Regulation S-X under the Securities Act, in all material respects, and with International Financial Reporting Standards (“</w:t>
      </w:r>
      <w:r>
        <w:rPr>
          <w:rFonts w:ascii="Arial" w:cs="Arial" w:eastAsia="Arial" w:hAnsi="Arial"/>
          <w:sz w:val="17"/>
          <w:szCs w:val="17"/>
          <w:u w:val="single" w:color="auto"/>
          <w:color w:val="auto"/>
        </w:rPr>
        <w:t>IFRS</w:t>
      </w:r>
      <w:r>
        <w:rPr>
          <w:rFonts w:ascii="Arial" w:cs="Arial" w:eastAsia="Arial" w:hAnsi="Arial"/>
          <w:sz w:val="17"/>
          <w:szCs w:val="17"/>
          <w:color w:val="auto"/>
        </w:rPr>
        <w:t>”) consistently applied at the times and during the periods covered thereby (except (i) as may be otherwise indicated in such financial statements or the notes thereto, and(ii) in the case of unaudited interim statements, subject to normal year-end audit adjustments and the exclusion or condensing of certain footnotes), and fairly present in all material respects and will fairly present in all material respects the financial position of the Company as of the dates indicated and the results of its operations and the changes in its cash flows for the periods specified (subject, in the case of unaudited statements, to normal year-end adjustments); and the other financial information included or incorporated by reference in the Registration Statement, the Prospectus and the Disclosure Package has been derived from the accounting records of the Company and its Subsidiaries and presents fairly in all material respects the information shown thereby. The Company does not have any material liabilities or obligations, direct or contingent, which are not disclosed in the Registration Statement, Prospectus and Disclosure Package, as of the date of filing of those documents. Except as included therein, no historical or pro forma financial statements or supporting schedules are required to be included in the Registration Statement, the Disclosure Package or the Prospectus under the Securities Act or the Rules and Regulations.</w:t>
      </w:r>
    </w:p>
    <w:p>
      <w:pPr>
        <w:spacing w:after="0" w:line="391"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5" w:name="page56"/>
    <w:bookmarkEnd w:id="55"/>
    <w:p>
      <w:pPr>
        <w:jc w:val="both"/>
        <w:ind w:left="644" w:hanging="644"/>
        <w:spacing w:after="0" w:line="259" w:lineRule="auto"/>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Company Not Ineligible Issuer</w:t>
      </w:r>
      <w:r>
        <w:rPr>
          <w:rFonts w:ascii="Arial" w:cs="Arial" w:eastAsia="Arial" w:hAnsi="Arial"/>
          <w:sz w:val="18"/>
          <w:szCs w:val="18"/>
          <w:color w:val="auto"/>
        </w:rPr>
        <w:t>. At the time of filing the Registration Statement and any post-effective amendment thereto and at the date hereof, the Company was not and is not an “ineligible issuer,” as defined in Rule 405 of the rules and regulations of the Commission, without taking account of any determination by the Commission pursuant to Rule 405 that it is not necessary that the Company be considered an ineligible issuer.</w:t>
      </w:r>
    </w:p>
    <w:p>
      <w:pPr>
        <w:spacing w:after="0" w:line="186"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As of the date hereof, the Company is an “emerging growth company” as defined in Section 2(a) of the Securities Act (an “</w:t>
      </w:r>
      <w:r>
        <w:rPr>
          <w:rFonts w:ascii="Arial" w:cs="Arial" w:eastAsia="Arial" w:hAnsi="Arial"/>
          <w:sz w:val="18"/>
          <w:szCs w:val="18"/>
          <w:u w:val="single" w:color="auto"/>
          <w:color w:val="auto"/>
        </w:rPr>
        <w:t>Emerging Growth Company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86" w:lineRule="auto"/>
        <w:tabs>
          <w:tab w:leader="none" w:pos="1304"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Company is duly organized and validly existing under the laws of Israel and has all requisite power and authority to carry on its business as is currently being conducted as described in the Statutory Prospectus and the Prospectus, and to own, lease and operate its properties. The Company is duly qualified as a foreign entity to transact business and is in good standing in each jurisdiction in which such qualification is required, whether by reason of the ownership or leasing of property or the conduct of business, except where the failure, individually or in the aggregate, to be so qualified or in good standing or have such power or authority would not, individually or in the aggregate, have a material adverse effect on (i) the assets, properties, condition, financial or otherwise or in the results of operations, business affairs or business prospects of the Company and its Subsidiaries taken as a whole, (ii) the transactions contemplated hereby or (iii) the ability of the Company to perform its obligations under this Agreement (collectively,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and to the Company’s knowledge, no proceeding has been instituted revoking, limiting, or curtailing, or seeking to revoke, limit or curtail, such power and authority or qualification. The Company is not designated as a “breaching company” (within the meaning of the Israeli Companies Law, 5759-1999, the “</w:t>
      </w:r>
      <w:r>
        <w:rPr>
          <w:rFonts w:ascii="Arial" w:cs="Arial" w:eastAsia="Arial" w:hAnsi="Arial"/>
          <w:sz w:val="16"/>
          <w:szCs w:val="16"/>
          <w:u w:val="single" w:color="auto"/>
          <w:color w:val="auto"/>
        </w:rPr>
        <w:t>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w:t>
      </w:r>
      <w:r>
        <w:rPr>
          <w:rFonts w:ascii="Arial" w:cs="Arial" w:eastAsia="Arial" w:hAnsi="Arial"/>
          <w:sz w:val="16"/>
          <w:szCs w:val="16"/>
          <w:color w:val="auto"/>
        </w:rPr>
        <w:t>”) by the Registrar of Companies of the State of Israel (the “</w:t>
      </w:r>
      <w:r>
        <w:rPr>
          <w:rFonts w:ascii="Arial" w:cs="Arial" w:eastAsia="Arial" w:hAnsi="Arial"/>
          <w:sz w:val="16"/>
          <w:szCs w:val="16"/>
          <w:u w:val="single" w:color="auto"/>
          <w:color w:val="auto"/>
        </w:rPr>
        <w:t>Israeli Registrar</w:t>
      </w:r>
      <w:r>
        <w:rPr>
          <w:rFonts w:ascii="Arial" w:cs="Arial" w:eastAsia="Arial" w:hAnsi="Arial"/>
          <w:sz w:val="16"/>
          <w:szCs w:val="16"/>
          <w:color w:val="auto"/>
        </w:rPr>
        <w:t>”). The certificate of incorporation and articles of association and other organizational documents of the Company comply with the requirements of applicable law of its jurisdiction of incorporation and are in full force and effect.</w:t>
      </w:r>
    </w:p>
    <w:p>
      <w:pPr>
        <w:spacing w:after="0" w:line="170" w:lineRule="exact"/>
        <w:rPr>
          <w:rFonts w:ascii="Arial" w:cs="Arial" w:eastAsia="Arial" w:hAnsi="Arial"/>
          <w:sz w:val="16"/>
          <w:szCs w:val="16"/>
          <w:color w:val="auto"/>
        </w:rPr>
      </w:pPr>
    </w:p>
    <w:p>
      <w:pPr>
        <w:ind w:left="1304" w:hanging="656"/>
        <w:spacing w:after="0" w:line="308" w:lineRule="auto"/>
        <w:tabs>
          <w:tab w:leader="none" w:pos="1304"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Company has no subsidiaries other than Entera Bio, Inc., a Delaware corporation, and does not control, directly or indirectly, any entity, including any corporation, partnership, joint venture, association or other business organization.</w:t>
      </w:r>
    </w:p>
    <w:p>
      <w:pPr>
        <w:spacing w:after="0" w:line="355"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6" w:name="page57"/>
    <w:bookmarkEnd w:id="56"/>
    <w:p>
      <w:pPr>
        <w:jc w:val="both"/>
        <w:ind w:left="644" w:hanging="644"/>
        <w:spacing w:after="0" w:line="268" w:lineRule="auto"/>
        <w:tabs>
          <w:tab w:leader="none" w:pos="64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Encumbrances</w:t>
      </w:r>
      <w:r>
        <w:rPr>
          <w:rFonts w:ascii="Arial" w:cs="Arial" w:eastAsia="Arial" w:hAnsi="Arial"/>
          <w:sz w:val="17"/>
          <w:szCs w:val="17"/>
          <w:color w:val="auto"/>
        </w:rPr>
        <w:t>. Except as described in the Registration Statement, Prospectus and Disclosure Package, each of the Company and its Subsidiaries has (i) good and marketable title to all of the properties and assets owned by it that are material to the business of the Company and the Subsidiaries taken as a whole, free and clear of all material liens, charges, claims, security interests or encumbrances (collectively, “</w:t>
      </w:r>
      <w:r>
        <w:rPr>
          <w:rFonts w:ascii="Arial" w:cs="Arial" w:eastAsia="Arial" w:hAnsi="Arial"/>
          <w:sz w:val="17"/>
          <w:szCs w:val="17"/>
          <w:u w:val="single" w:color="auto"/>
          <w:color w:val="auto"/>
        </w:rPr>
        <w:t>Encumbrances</w:t>
      </w:r>
      <w:r>
        <w:rPr>
          <w:rFonts w:ascii="Arial" w:cs="Arial" w:eastAsia="Arial" w:hAnsi="Arial"/>
          <w:sz w:val="17"/>
          <w:szCs w:val="17"/>
          <w:color w:val="auto"/>
        </w:rPr>
        <w:t>”), except those that (i) do not materially interfere with the use made and proposed to be made of such property by the Company and the Subsidiaries or (ii) would not reasonably be expected, individually or in the aggregate, to have a Material Adverse Effect, (iii) possession under all material leases to which it is party as lessee, and (iv) such other Encumbrances executed by the Company and its Subsidiaries in ordinary course of business or as or may be required to conduct their business (including without limitation, under the existing offices and lease agreements of the Company and its Subsidiaries, and other Encumbrances executed with commercial banks in order to secure ongoing payments under credit cards and/or corporate cards). All leases and contracts to which the Company or its Subsidiaries is a party are valid and binding and no material default has occurred and is continuing thereunder, and no event or circumstance that with the passage of time or giving of notice, or both, would constitute such a material default has occurred and is continuing, and, to the knowledge of the Company, no defaults by the counterparties exist under any such leases or contracts.</w:t>
      </w:r>
    </w:p>
    <w:p>
      <w:pPr>
        <w:spacing w:after="0" w:line="186" w:lineRule="exact"/>
        <w:rPr>
          <w:rFonts w:ascii="Arial" w:cs="Arial" w:eastAsia="Arial" w:hAnsi="Arial"/>
          <w:sz w:val="17"/>
          <w:szCs w:val="17"/>
          <w:color w:val="auto"/>
        </w:rPr>
      </w:pPr>
    </w:p>
    <w:p>
      <w:pPr>
        <w:jc w:val="both"/>
        <w:ind w:left="644" w:hanging="644"/>
        <w:spacing w:after="0" w:line="268" w:lineRule="auto"/>
        <w:tabs>
          <w:tab w:leader="none" w:pos="64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 Improper Practices</w:t>
      </w:r>
      <w:r>
        <w:rPr>
          <w:rFonts w:ascii="Arial" w:cs="Arial" w:eastAsia="Arial" w:hAnsi="Arial"/>
          <w:sz w:val="17"/>
          <w:szCs w:val="17"/>
          <w:color w:val="auto"/>
        </w:rPr>
        <w:t>. (i) Neither the Company nor the Subsidiaries, nor to the knowledge of the Company, any director, officer, agent, employee or other person associated with or acting on behalf of the Company or the Subsidiaries, has, in the past five years, used any corporate funds of Company for any unlawful contribution, gift, entertainment or other unlawful expense relating to political activity; made any direct or indirect unlawful payment to any foreign or domestic government official or employee from corporate funds of Company, violated or is in violation of any provision of the Foreign Corrupt Practices Act of 1977; or made any bribe, rebate, payoff, influence payment, kickback or other unlawful payment; (ii) no relationship, direct or indirect, exists between or among the Company or, to the knowledge of the Company, the Subsidiaries, on the one hand, and the directors, officers and shareholders of the Company or, to the knowledge of the Company, the Subsidiaries, on the other hand, that is required by the Securities Act to be described in the Registration Statement and the Prospectus that is not so described; (iii) no relationship, direct or indirect, exists between or among the Company or the Subsidiaries or any affiliate of them, on the one hand, and the directors, officers, shareholders or directors of the Company or, to the knowledge of the Company, the Subsidiaries, on the other hand, that is required by the rules of the Financial Industry Regulatory Authority (“</w:t>
      </w:r>
      <w:r>
        <w:rPr>
          <w:rFonts w:ascii="Arial" w:cs="Arial" w:eastAsia="Arial" w:hAnsi="Arial"/>
          <w:sz w:val="17"/>
          <w:szCs w:val="17"/>
          <w:u w:val="single" w:color="auto"/>
          <w:color w:val="auto"/>
        </w:rPr>
        <w:t>FINRA</w:t>
      </w:r>
      <w:r>
        <w:rPr>
          <w:rFonts w:ascii="Arial" w:cs="Arial" w:eastAsia="Arial" w:hAnsi="Arial"/>
          <w:sz w:val="17"/>
          <w:szCs w:val="17"/>
          <w:color w:val="auto"/>
        </w:rPr>
        <w:t>”) to be described in the Registration Statement and the Prospectus that is not so described; and (iv) except as described in the Prospectus, there are no material outstanding loans or advances or material guarantees of indebtedness by the Company or, to the knowledge of the Company, the Subsidiaries to or for the benefit of any of their respective officers or directors or any of the members of the families of any of them.</w:t>
      </w:r>
    </w:p>
    <w:p>
      <w:pPr>
        <w:spacing w:after="0" w:line="181"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now and, after giving effect to the offering and sale of the Shares, will not be required to register as an “investment company” or an entity “controlled” by an “investment company,” as such terms are defined in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44" w:hanging="644"/>
        <w:spacing w:after="0" w:line="269" w:lineRule="auto"/>
        <w:tabs>
          <w:tab w:leader="none" w:pos="64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Company has an authorized capitalization as set forth in the Registration Statement, the Disclosure Package and the Prospectus as of the date or dates set forth therein. All of the issued shares of share capital of the Company have been duly and validly authorized and issued and are fully paid and non-assessable and have been issued in compliance with all applicable United States federal and state and all applicable foreign securities laws; and all of the issued shares of share capital or other equity interests of the Subsidiaries have been duly and validly authorized and issued and are fully paid and non-assessable or issued in accordance with the terms of such securities of the Company (except, in the case of any foreign subsidiary, for directors’ qualifying shares) and the shares of such Subsidiaries are owned directly or indirectly by the Company and are held free and clear of all Encumbrances. None of the outstanding Ordinary Shares were issued in violation of any preemptive rights, rights of first refusal or other similar rights to subscribe for or purchase securities of the Company. Except as may be described in the Registration Statement and the Prospectus, and except with respect to equity awards issued under the Company’s equity incentive plans, there are no outstanding options, warrants, preemptive rights, rights of first refusal or other rights to purchase, or equity or debt securities convertible into or exchangeable or exercisable for, any share capital of the Company.</w:t>
      </w:r>
    </w:p>
    <w:p>
      <w:pPr>
        <w:spacing w:after="0" w:line="388"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7" w:name="page58"/>
    <w:bookmarkEnd w:id="57"/>
    <w:p>
      <w:pPr>
        <w:jc w:val="both"/>
        <w:ind w:left="644" w:hanging="644"/>
        <w:spacing w:after="0" w:line="287" w:lineRule="auto"/>
        <w:tabs>
          <w:tab w:leader="none" w:pos="644"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Equity Incentive Plans</w:t>
      </w:r>
      <w:r>
        <w:rPr>
          <w:rFonts w:ascii="Arial" w:cs="Arial" w:eastAsia="Arial" w:hAnsi="Arial"/>
          <w:sz w:val="16"/>
          <w:szCs w:val="16"/>
          <w:color w:val="auto"/>
        </w:rPr>
        <w:t>. With respect to the outstanding equity securities of the Company (the “</w:t>
      </w:r>
      <w:r>
        <w:rPr>
          <w:rFonts w:ascii="Arial" w:cs="Arial" w:eastAsia="Arial" w:hAnsi="Arial"/>
          <w:sz w:val="16"/>
          <w:szCs w:val="16"/>
          <w:u w:val="single" w:color="auto"/>
          <w:color w:val="auto"/>
        </w:rPr>
        <w:t>Equity Incentive Securities</w:t>
      </w:r>
      <w:r>
        <w:rPr>
          <w:rFonts w:ascii="Arial" w:cs="Arial" w:eastAsia="Arial" w:hAnsi="Arial"/>
          <w:sz w:val="16"/>
          <w:szCs w:val="16"/>
          <w:color w:val="auto"/>
        </w:rPr>
        <w:t>”) granted pursuant to the equity incentive plans of the Company (the “</w:t>
      </w:r>
      <w:r>
        <w:rPr>
          <w:rFonts w:ascii="Arial" w:cs="Arial" w:eastAsia="Arial" w:hAnsi="Arial"/>
          <w:sz w:val="16"/>
          <w:szCs w:val="16"/>
          <w:u w:val="single" w:color="auto"/>
          <w:color w:val="auto"/>
        </w:rPr>
        <w:t>Company Equity Incentive Plans</w:t>
      </w:r>
      <w:r>
        <w:rPr>
          <w:rFonts w:ascii="Arial" w:cs="Arial" w:eastAsia="Arial" w:hAnsi="Arial"/>
          <w:sz w:val="16"/>
          <w:szCs w:val="16"/>
          <w:color w:val="auto"/>
        </w:rPr>
        <w:t>”), (i) to the extent applicable to such Equity Incentive Securities, each Equity Incentive Securities intended to qualify as an “incentive stock option”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so qualified, (ii) each grant of an Equity Incentive Security was duly authorized by the Company in accordance with the applicable laws(the “</w:t>
      </w:r>
      <w:r>
        <w:rPr>
          <w:rFonts w:ascii="Arial" w:cs="Arial" w:eastAsia="Arial" w:hAnsi="Arial"/>
          <w:sz w:val="16"/>
          <w:szCs w:val="16"/>
          <w:u w:val="single" w:color="auto"/>
          <w:color w:val="auto"/>
        </w:rPr>
        <w:t>Grant Date</w:t>
      </w:r>
      <w:r>
        <w:rPr>
          <w:rFonts w:ascii="Arial" w:cs="Arial" w:eastAsia="Arial" w:hAnsi="Arial"/>
          <w:sz w:val="16"/>
          <w:szCs w:val="16"/>
          <w:color w:val="auto"/>
        </w:rPr>
        <w:t>”) by all necessary corporate action, including, as applicable, approval by the board of directors of the Company (or a duly constituted and authorized committee thereof) and any required shareholder approval by the necessary number of votes or written consents, and the award agreement governing such grant (if any) was duly executed and delivered by each party thereto, (iii) each such grant was made in accordance with the terms of the Company Equity Incentive Plans and all other applicable laws and regulatory rules or requirements, except where the failure to comply with such laws, regulatory rules or requirements would not result in a Material Adverse Effect, and (iv) each such grant was properly accounted for in accordance with IFRS in the financial statements (including the related notes) of the Company included in the Registration Statement, the Disclosure Package and the Prospectus, to the extent required under IFRS to be accounted for in such financial statements.</w:t>
      </w:r>
    </w:p>
    <w:p>
      <w:pPr>
        <w:spacing w:after="0" w:line="167" w:lineRule="exact"/>
        <w:rPr>
          <w:rFonts w:ascii="Arial" w:cs="Arial" w:eastAsia="Arial" w:hAnsi="Arial"/>
          <w:sz w:val="16"/>
          <w:szCs w:val="16"/>
          <w:color w:val="auto"/>
        </w:rPr>
      </w:pPr>
    </w:p>
    <w:p>
      <w:pPr>
        <w:jc w:val="both"/>
        <w:ind w:left="644" w:hanging="644"/>
        <w:spacing w:after="0" w:line="289" w:lineRule="auto"/>
        <w:tabs>
          <w:tab w:leader="none" w:pos="644"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The Shares</w:t>
      </w:r>
      <w:r>
        <w:rPr>
          <w:rFonts w:ascii="Arial" w:cs="Arial" w:eastAsia="Arial" w:hAnsi="Arial"/>
          <w:sz w:val="16"/>
          <w:szCs w:val="16"/>
          <w:color w:val="auto"/>
        </w:rPr>
        <w:t>. The Shares have been duly authorized and, when issued, delivered and paid for pursuant to this Agreement, will be validly issued, fully paid and non-assessable, free and clear of all Encumbrances and will be issued in compliance with all applicable United States federal and state securities laws; the share capital of the Company, including the Ordinary Shares, conforms in all material respects to the description thereof contained in the Registration Statement and the Ordinary Shares, including the Placement Shares, will conform to the description thereof contained in the Prospectus as amended or supplemented. Neither the shareholders of the Company, nor any other person or entity have any preemptive rights or rights of first refusal with respect to the Placement Shares, or other rights to purchase or receive any of the Placement Shares, and no person has the right, contractual or otherwise, to cause the Company to issue to it, or register pursuant to the Securities Act, any shares of share capital or other securities of the Company upon the issuance or sale of the Placement Shares, in each case except for rights that have been validly waived.</w:t>
      </w:r>
    </w:p>
    <w:p>
      <w:pPr>
        <w:spacing w:after="0" w:line="166" w:lineRule="exact"/>
        <w:rPr>
          <w:rFonts w:ascii="Arial" w:cs="Arial" w:eastAsia="Arial" w:hAnsi="Arial"/>
          <w:sz w:val="16"/>
          <w:szCs w:val="16"/>
          <w:color w:val="auto"/>
        </w:rPr>
      </w:pPr>
    </w:p>
    <w:p>
      <w:pPr>
        <w:jc w:val="both"/>
        <w:ind w:left="644" w:hanging="644"/>
        <w:spacing w:after="0" w:line="268" w:lineRule="auto"/>
        <w:tabs>
          <w:tab w:leader="none" w:pos="644"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 Material Changes</w:t>
      </w:r>
      <w:r>
        <w:rPr>
          <w:rFonts w:ascii="Arial" w:cs="Arial" w:eastAsia="Arial" w:hAnsi="Arial"/>
          <w:sz w:val="17"/>
          <w:szCs w:val="17"/>
          <w:color w:val="auto"/>
        </w:rPr>
        <w:t>. Since the date of the most recent financial statements of the Company set forth or incorporated by reference in the Registration Statement, the Prospectus and the Disclosure Package, (i) neither the Company nor any of the Subsidiaries has sustained any material loss or interference with the business of the Company and its Subsidiaries, taken as a whole, including without limitation, from fire, explosion, flood or other calamity, whether or not covered by insurance, or from any labor dispute or court or governmental action, order or decree, except in each case as otherwise disclosed in the Registration Statement, Prospectus and Disclosure Package; (ii) there have been no transactions entered into by the Company or the Subsidiaries which are material to the Company and its Subsidiaries, considered as a whole, (iii) there has not been any material change, on a consolidated basis, in the authorized share capital of the Company and its Subsidiaries (other than the issuance of Ordinary Shares upon the exercise of stock options and warrants described as outstanding in, and the grant of options and awards under existing equity incentive plans described in, the Registration Statement, Prospectus and Disclosure Package), any material increase in the short-term debt or long-term debt of the Company and its Subsidiaries, on a consolidated basis, or any dividend or distribution of any kind declared, set aside for payment, paid or made by the Company on any class of share capital, or any Material Adverse Effect, or any development reasonably likely to cause or result in a Material Adverse Effect.</w:t>
      </w:r>
    </w:p>
    <w:p>
      <w:pPr>
        <w:spacing w:after="0" w:line="395"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8" w:name="page59"/>
    <w:bookmarkEnd w:id="58"/>
    <w:p>
      <w:pPr>
        <w:ind w:left="644" w:hanging="644"/>
        <w:spacing w:after="0"/>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Legal Proceedings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88" w:lineRule="auto"/>
        <w:tabs>
          <w:tab w:leader="none" w:pos="1304" w:val="left"/>
        </w:tabs>
        <w:numPr>
          <w:ilvl w:val="1"/>
          <w:numId w:val="51"/>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Prospectus and Disclosure Package, there is no legal, governmental or administrative proceeding, investigation, action, suit pending, or, to the knowledge of the Company, threatened against or affecting the Company or its Subsidiaries or any of their respective properties or to which the Company or its Subsidiaries is or may be a party or to which any property of the Company or its Subsidiaries is or may be the subject, or against any officer or director of the Company or the Subsidiaries in connection with such person’s employment therewith that, if determined adversely to the Company or the Subsidiaries or such officer or director, would individually or in the aggregate have, or reasonably be expected to have, a Material Adverse Effect. Neither the Company nor its Subsidiaries is a party to or subject to the provisions of, any order, writ, injunction, judgment or decree of any court or government agency or instrumentality which would have a Material Adverse Effect, except for such order, writ, injunction, judgment or decree applicable to all companies in the similar industry or business of Company and its Subsidiaries or applicable to all companies in certain territory.</w:t>
      </w:r>
    </w:p>
    <w:p>
      <w:pPr>
        <w:spacing w:after="0" w:line="168" w:lineRule="exact"/>
        <w:rPr>
          <w:rFonts w:ascii="Arial" w:cs="Arial" w:eastAsia="Arial" w:hAnsi="Arial"/>
          <w:sz w:val="16"/>
          <w:szCs w:val="16"/>
          <w:color w:val="auto"/>
        </w:rPr>
      </w:pPr>
    </w:p>
    <w:p>
      <w:pPr>
        <w:jc w:val="both"/>
        <w:ind w:left="1304" w:hanging="656"/>
        <w:spacing w:after="0" w:line="296" w:lineRule="auto"/>
        <w:tabs>
          <w:tab w:leader="none" w:pos="1304"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There are no legal, governmental or administrative proceedings, actions, suits or documents, or, to the knowledge of the Company, investigations, of the Company or its Subsidiaries that are required to be described in or filed as exhibits to the Commission Documents, Registration Statement or any of the documents incorporated by reference therein by the Securities Act or the Exchange Act or by the rules and regulations of the Commission thereunder that have not been so described or filed as required by the Securities Act or the Exchange Act and the Rules and Regulations under either of them.</w:t>
      </w:r>
    </w:p>
    <w:p>
      <w:pPr>
        <w:spacing w:after="0" w:line="161" w:lineRule="exact"/>
        <w:rPr>
          <w:rFonts w:ascii="Arial" w:cs="Arial" w:eastAsia="Arial" w:hAnsi="Arial"/>
          <w:sz w:val="16"/>
          <w:szCs w:val="16"/>
          <w:color w:val="auto"/>
        </w:rPr>
      </w:pPr>
    </w:p>
    <w:p>
      <w:pPr>
        <w:ind w:left="644" w:hanging="644"/>
        <w:spacing w:after="0"/>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71" w:lineRule="auto"/>
        <w:tabs>
          <w:tab w:leader="none" w:pos="1304"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Company has all requisite corporate power and authority to execute and deliver this Agreement and to perform its obligations hereunder, to provide the representations, warranties and indemnities under this Agreement and all necessary action has been duly and validly taken by the Company to authorize the execution, delivery and performance of this Agreement. This Agreement has been duly and validly authorized, executed and delivered by the Company and constitutes the legal, valid and binding obligation of the Company, enforceable against the Company in accordance with its terms, except as rights to indemnification and contribution hereunder may be limited by applicable law and except as enforcement hereof may be limited by bankruptcy, insolvency, reorganization, moratorium or other similar laws affecting the enforcement of creditors’ rights generally and by general equitable principles (whether applied in a proceeding in law or equity).</w:t>
      </w:r>
    </w:p>
    <w:p>
      <w:pPr>
        <w:spacing w:after="0" w:line="178" w:lineRule="exact"/>
        <w:rPr>
          <w:rFonts w:ascii="Arial" w:cs="Arial" w:eastAsia="Arial" w:hAnsi="Arial"/>
          <w:sz w:val="17"/>
          <w:szCs w:val="17"/>
          <w:color w:val="auto"/>
        </w:rPr>
      </w:pPr>
    </w:p>
    <w:p>
      <w:pPr>
        <w:jc w:val="both"/>
        <w:ind w:left="1304" w:hanging="656"/>
        <w:spacing w:after="0" w:line="286" w:lineRule="auto"/>
        <w:tabs>
          <w:tab w:leader="none" w:pos="1304" w:val="left"/>
        </w:tabs>
        <w:numPr>
          <w:ilvl w:val="1"/>
          <w:numId w:val="51"/>
        </w:numPr>
        <w:rPr>
          <w:rFonts w:ascii="Arial" w:cs="Arial" w:eastAsia="Arial" w:hAnsi="Arial"/>
          <w:sz w:val="16"/>
          <w:szCs w:val="16"/>
          <w:color w:val="auto"/>
        </w:rPr>
      </w:pPr>
      <w:r>
        <w:rPr>
          <w:rFonts w:ascii="Arial" w:cs="Arial" w:eastAsia="Arial" w:hAnsi="Arial"/>
          <w:sz w:val="16"/>
          <w:szCs w:val="16"/>
          <w:color w:val="auto"/>
        </w:rPr>
        <w:t>Executing and delivering this Agreement and the issuance and sale of the Shares and the compliance by the Company with all of the provisions of this Agreement and the consummation of the transactions contemplated herein will not result in (i) a breach or violation of any of the terms and provisions of, or constitute a default under, any obligation, agreement, covenant or condition contained in any indenture, mortgage, deed of trust, loan or credit agreement or other agreement or instrument to which the Company or its Subsidiaries is a party or by which either of them is bound or to which any of the property of the Company or its Subsidiaries is subject, (ii) a violation of the Company’s certificate of incorporation or articles of association, (iii) a violation of any statute or any order, rule or regulation of any court or governmental agency or body having jurisdiction over the Company or its Subsidiaries or any of their properties, or (iv) the creation of any material Encumbrance upon any assets of the Company or its Subsidiaries or the triggering, solely as a result of the Company’s execution and delivery of this Agreement, of any preemptive or rights of first refusal or first offer, or any similar rights (whether pursuant to a “poison pill” provision or otherwise), on the part of holders of the Company’s securities or any other person, except, in the cases of (i), (iii) and (iv) above, for any such conflict, breach, violation, creation or default that would not, individually or in the aggregate, have a Material Adverse Effect. Neither the Company nor its Subsidiaries or affiliates, nor any person acting on its or their behalf, has issued or sold any shares of Ordinary Shares or securities or instruments convertible into, exchangeable for and/or otherwise entitling the holder thereof to acquire shares of Ordinary Shares which would be integrated with the offer and sale of the Shares hereunder.</w:t>
      </w:r>
    </w:p>
    <w:p>
      <w:pPr>
        <w:spacing w:after="0" w:line="376"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9" w:name="page60"/>
    <w:bookmarkEnd w:id="59"/>
    <w:p>
      <w:pPr>
        <w:jc w:val="both"/>
        <w:ind w:left="644" w:hanging="644"/>
        <w:spacing w:after="0" w:line="273" w:lineRule="auto"/>
        <w:tabs>
          <w:tab w:leader="none" w:pos="644"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Enforceability of Agreements</w:t>
      </w:r>
      <w:r>
        <w:rPr>
          <w:rFonts w:ascii="Arial" w:cs="Arial" w:eastAsia="Arial" w:hAnsi="Arial"/>
          <w:sz w:val="17"/>
          <w:szCs w:val="17"/>
          <w:color w:val="auto"/>
        </w:rPr>
        <w:t>. All agreements between the Company and third parties expressly referenced in the Prospectus are legal, valid and binding obligations of the Company enforceable, in all material respects,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be federal or state securities laws or public policy considerations in respect thereof and except for any unenforceability that, individually or in the aggregate, would not reasonably be expected to have a Material Adverse Effect.</w:t>
      </w:r>
    </w:p>
    <w:p>
      <w:pPr>
        <w:spacing w:after="0" w:line="177" w:lineRule="exact"/>
        <w:rPr>
          <w:rFonts w:ascii="Arial" w:cs="Arial" w:eastAsia="Arial" w:hAnsi="Arial"/>
          <w:sz w:val="17"/>
          <w:szCs w:val="17"/>
          <w:color w:val="auto"/>
        </w:rPr>
      </w:pPr>
    </w:p>
    <w:p>
      <w:pPr>
        <w:jc w:val="both"/>
        <w:ind w:left="644" w:hanging="644"/>
        <w:spacing w:after="0" w:line="284" w:lineRule="auto"/>
        <w:tabs>
          <w:tab w:leader="none" w:pos="644"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No Violations or Default</w:t>
      </w:r>
      <w:r>
        <w:rPr>
          <w:rFonts w:ascii="Arial" w:cs="Arial" w:eastAsia="Arial" w:hAnsi="Arial"/>
          <w:sz w:val="16"/>
          <w:szCs w:val="16"/>
          <w:color w:val="auto"/>
        </w:rPr>
        <w:t>. The Company and each of its Subsidiaries is not (A) in violation of its articles of association, charter or by-laws or other applicable governing documents, (B) in default in the performance or observance of any material obligation, agreement, covenant or condition contained in any contract, indenture, mortgage, deed of trust, loan or credit agreement, note, lease or other agreement or instrument to which the Company or any of its Subsidiaries is a party or by which it may be bound or to which any of the properties or assets of the Company or any of its Subsidiaries is subject (collectively, “</w:t>
      </w:r>
      <w:r>
        <w:rPr>
          <w:rFonts w:ascii="Arial" w:cs="Arial" w:eastAsia="Arial" w:hAnsi="Arial"/>
          <w:sz w:val="16"/>
          <w:szCs w:val="16"/>
          <w:u w:val="single" w:color="auto"/>
          <w:color w:val="auto"/>
        </w:rPr>
        <w:t>Agreements and Instruments</w:t>
      </w:r>
      <w:r>
        <w:rPr>
          <w:rFonts w:ascii="Arial" w:cs="Arial" w:eastAsia="Arial" w:hAnsi="Arial"/>
          <w:sz w:val="16"/>
          <w:szCs w:val="16"/>
          <w:color w:val="auto"/>
        </w:rPr>
        <w:t>”), except for such defaults that would not reasonably be expected to,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except for such violations that would not reasonably be expected to, singly or in the aggregate, result in a Material Adverse Effect. The execution, delivery and performance of this Agreement and the consummation of the transactions contemplated herein and in the Registration Statement, the Disclosure Package and the Prospectus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its Subsidiaries pursuant to, the Agreements and Instruments (except for such conflicts, breaches, defaults or Repayment Events or Encumbrances that would not reasonably be expected to, singly or in the aggregate, result in a Material Adverse Effect), nor will such action result in any violation of (i) the provisions of the articles of association, charter or by-laws or similar organization document of the Company or any of its Subsidiaries or (ii) any law, statute, rule, regulation, judgment, order, writ or decree of any Governmental Entity, except with respect to clause (ii), such violations as would not reasonably be expected to, singly or in the aggregate, result in a Material Adverse Effect. As used herein, a “</w:t>
      </w:r>
      <w:r>
        <w:rPr>
          <w:rFonts w:ascii="Arial" w:cs="Arial" w:eastAsia="Arial" w:hAnsi="Arial"/>
          <w:sz w:val="16"/>
          <w:szCs w:val="16"/>
          <w:u w:val="single" w:color="auto"/>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78" w:lineRule="exact"/>
        <w:rPr>
          <w:rFonts w:ascii="Arial" w:cs="Arial" w:eastAsia="Arial" w:hAnsi="Arial"/>
          <w:sz w:val="16"/>
          <w:szCs w:val="16"/>
          <w:color w:val="auto"/>
        </w:rPr>
      </w:pPr>
    </w:p>
    <w:p>
      <w:pPr>
        <w:jc w:val="both"/>
        <w:ind w:left="644" w:hanging="644"/>
        <w:spacing w:after="0" w:line="275" w:lineRule="auto"/>
        <w:tabs>
          <w:tab w:leader="none" w:pos="644"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Company and its Subsidiaries have not violated and are in compliance in all material respects with all laws, statutes, ordinances, regulations, rules and orders of each foreign, federal, state or local government and any other governmental department or agency having jurisdiction over the Company and the Subsidiaries, and any judgment, decision, decree or order of any court or governmental agency, department or authority having jurisdiction over the Company and the Subsidiaries, except for such violations or noncompliance which, individually or in the aggregate, would not have a Material Adverse Effect.</w:t>
      </w:r>
    </w:p>
    <w:p>
      <w:pPr>
        <w:spacing w:after="0" w:line="385"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0" w:name="page61"/>
    <w:bookmarkEnd w:id="60"/>
    <w:p>
      <w:pPr>
        <w:jc w:val="both"/>
        <w:ind w:left="644" w:hanging="644"/>
        <w:spacing w:after="0" w:line="284" w:lineRule="auto"/>
        <w:tabs>
          <w:tab w:leader="none" w:pos="644"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Consents and Permits</w:t>
      </w:r>
      <w:r>
        <w:rPr>
          <w:rFonts w:ascii="Arial" w:cs="Arial" w:eastAsia="Arial" w:hAnsi="Arial"/>
          <w:sz w:val="16"/>
          <w:szCs w:val="16"/>
          <w:color w:val="auto"/>
        </w:rPr>
        <w:t>. The Company and each of its Subsidiaries possesses such permits, licenses, certificates, approvals, clearances, consents and other authorizations (collectively, “</w:t>
      </w:r>
      <w:r>
        <w:rPr>
          <w:rFonts w:ascii="Arial" w:cs="Arial" w:eastAsia="Arial" w:hAnsi="Arial"/>
          <w:sz w:val="16"/>
          <w:szCs w:val="16"/>
          <w:u w:val="single" w:color="auto"/>
          <w:color w:val="auto"/>
        </w:rPr>
        <w:t>Governmental Licenses</w:t>
      </w:r>
      <w:r>
        <w:rPr>
          <w:rFonts w:ascii="Arial" w:cs="Arial" w:eastAsia="Arial" w:hAnsi="Arial"/>
          <w:sz w:val="16"/>
          <w:szCs w:val="16"/>
          <w:color w:val="auto"/>
        </w:rPr>
        <w:t>”) issued by the appropriate Governmental Entities necessary to conduct the business now operated by them, which may include, without limitation, such Governmental Licenses required by the United States Food and Drug Administration (the “</w:t>
      </w:r>
      <w:r>
        <w:rPr>
          <w:rFonts w:ascii="Arial" w:cs="Arial" w:eastAsia="Arial" w:hAnsi="Arial"/>
          <w:sz w:val="16"/>
          <w:szCs w:val="16"/>
          <w:u w:val="single" w:color="auto"/>
          <w:color w:val="auto"/>
        </w:rPr>
        <w:t>FDA</w:t>
      </w:r>
      <w:r>
        <w:rPr>
          <w:rFonts w:ascii="Arial" w:cs="Arial" w:eastAsia="Arial" w:hAnsi="Arial"/>
          <w:sz w:val="16"/>
          <w:szCs w:val="16"/>
          <w:color w:val="auto"/>
        </w:rPr>
        <w:t>”), CE marking approval in the European Union and such Governmental Licenses and approvals required in Japan, except where the failure to possess would not reasonably be expected to, singly or in the aggregate, result in a Material Adverse Effect. The Company and each of its Subsidiaries is in compliance with the terms and conditions of all Governmental Licenses and, to the Company’s knowledge, no event has occurred which allows, or after notice or lapse of time would allow, revocation or termination thereof or result in any other material impairment of the rights of the holder of any Government License, except where the failure so to comply would not reasonably be expected to, singly or in the aggregate, result in a Material Adverse Effect. All of the Governmental Licenses are valid and in full force and effect. Neither the Company nor any of its Subsidiaries (a) has received written notice of any ongoing claim, action, suit, proceeding, hearing, enforcement, investigation, arbitration or other action from any U.S. or non-U.S. Governmental Entity or third party alleging that any product, operation or activity is in violation of any Health Care Laws or Governmental Licenses and has no knowledge that any such Governmental Entity or third party is considering any such claim, litigation, arbitration, action, suit, investigation or proceeding; (b) has received written notice that the FDA or any other Governmental Entity has taken, is taking or intends to take regulatory action, including, without limitation, any FDA Form 483 notice of adverse finding, warning letter, untitled letter or similar correspondence or notice, and has no knowledge that the FDA or any other Governmental Entity is considering such action; (c) has, either voluntarily or involuntarily, initiated, conducted, or issued or caused to be initiated, conducted or issued, any recall, safety alert, or similar notice or action relating to any alleged product defect or violation of Health Care Laws; and (d) is a party to any corporate integrity agreement, deferred prosecution agreement, monitoring agreement, consent decree, settlement order, or similar agreements, or has any reporting obligations pursuant to any such agreement, plan or correction or other remedial measure entered into with any Governmental Entity. Neither the Company nor any of its Subsidiaries, nor their respective officers, directors, employees, agents or contractors have been or are currently excluded from participation in the Medicare and Medicaid programs or any other state or federal health care program.</w:t>
      </w:r>
    </w:p>
    <w:p>
      <w:pPr>
        <w:spacing w:after="0" w:line="394" w:lineRule="exact"/>
        <w:rPr>
          <w:rFonts w:ascii="Arial" w:cs="Arial" w:eastAsia="Arial" w:hAnsi="Arial"/>
          <w:sz w:val="16"/>
          <w:szCs w:val="16"/>
          <w:color w:val="auto"/>
        </w:rPr>
      </w:pPr>
    </w:p>
    <w:p>
      <w:pPr>
        <w:jc w:val="both"/>
        <w:ind w:left="644" w:hanging="644"/>
        <w:spacing w:after="0" w:line="291" w:lineRule="auto"/>
        <w:tabs>
          <w:tab w:leader="none" w:pos="644"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sale of the Shares hereunder or the consummation of the transactions contemplated by this Agreement, except such as have been already obtained or as may be required under the Securities Act, the Rules and Regulations, the rules of The Nasdaq Stock Market LLC, state securities laws, the rules of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or formal filings and reports with the Israel Innovation Authority (formerly the Office of the Chief Scientist) of the Israeli Ministry of Economy and Industry, and certain post-closing filings to be filed with the Israeli Registrar of Companies, in each case to the extent and as may be required by law.</w:t>
      </w:r>
    </w:p>
    <w:p>
      <w:pPr>
        <w:spacing w:after="0" w:line="166" w:lineRule="exact"/>
        <w:rPr>
          <w:rFonts w:ascii="Arial" w:cs="Arial" w:eastAsia="Arial" w:hAnsi="Arial"/>
          <w:sz w:val="16"/>
          <w:szCs w:val="16"/>
          <w:color w:val="auto"/>
        </w:rPr>
      </w:pPr>
    </w:p>
    <w:p>
      <w:pPr>
        <w:jc w:val="both"/>
        <w:ind w:left="644" w:hanging="644"/>
        <w:spacing w:after="0" w:line="255" w:lineRule="auto"/>
        <w:tabs>
          <w:tab w:leader="none" w:pos="64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On the date hereof, and after the date hereof other than as set forth in the Prospectus, the Company and its Subsidiaries carry, or are covered by, insurance in such amounts and covering such risks as is prudent, reasonable and customary for companies engaged in similar businesses in similar industries; neither the Company nor its Subsidiaries has received notice from any insurer or agent of such insurer that material capital improvements or other expenditures will have to be made in order to continue such insurance; all such insurance is outstanding and in full force and effect and neither the Company nor the Subsidiaries has received any notice of cancellation or proposed cancellation relating to such insurance.</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1" w:name="page62"/>
    <w:bookmarkEnd w:id="61"/>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67" w:lineRule="auto"/>
        <w:tabs>
          <w:tab w:leader="none" w:pos="1304" w:val="left"/>
        </w:tabs>
        <w:numPr>
          <w:ilvl w:val="1"/>
          <w:numId w:val="54"/>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Disclosure Package and the Prospectus or would not reasonably be expected to, singly or in the aggregate, result in a Material Adverse Effect, (A) neither the Company nor any of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(B) the Company and each of its Subsidiaries has all permits, authorizations and approvals required under any applicable Environmental Laws and is in compliance with their requirements, (C)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any of its Subsidiaries and (D) to the knowledge of the Company, there are no existing events, conditions or facts that would reasonably be expected to form the basis of an order for clean-up or remediation, or an action, suit or proceeding by any private party or Governmental Entity, against or affecting the Company or any of its Subsidiaries relating to Hazardous Materials or any Environmental Laws.</w:t>
      </w:r>
    </w:p>
    <w:p>
      <w:pPr>
        <w:spacing w:after="0" w:line="191" w:lineRule="exact"/>
        <w:rPr>
          <w:rFonts w:ascii="Arial" w:cs="Arial" w:eastAsia="Arial" w:hAnsi="Arial"/>
          <w:sz w:val="17"/>
          <w:szCs w:val="17"/>
          <w:color w:val="auto"/>
        </w:rPr>
      </w:pPr>
    </w:p>
    <w:p>
      <w:pPr>
        <w:jc w:val="both"/>
        <w:ind w:left="1304" w:hanging="656"/>
        <w:spacing w:after="0" w:line="273" w:lineRule="auto"/>
        <w:tabs>
          <w:tab w:leader="none" w:pos="1304" w:val="left"/>
        </w:tabs>
        <w:numPr>
          <w:ilvl w:val="1"/>
          <w:numId w:val="54"/>
        </w:numPr>
        <w:rPr>
          <w:rFonts w:ascii="Arial" w:cs="Arial" w:eastAsia="Arial" w:hAnsi="Arial"/>
          <w:sz w:val="17"/>
          <w:szCs w:val="17"/>
          <w:color w:val="auto"/>
        </w:rPr>
      </w:pPr>
      <w:r>
        <w:rPr>
          <w:rFonts w:ascii="Arial" w:cs="Arial" w:eastAsia="Arial" w:hAnsi="Arial"/>
          <w:sz w:val="17"/>
          <w:szCs w:val="17"/>
          <w:color w:val="auto"/>
        </w:rPr>
        <w:t>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individually or in the aggregate, have a Material Adverse Effect.</w:t>
      </w:r>
    </w:p>
    <w:p>
      <w:pPr>
        <w:spacing w:after="0" w:line="177" w:lineRule="exact"/>
        <w:rPr>
          <w:rFonts w:ascii="Arial" w:cs="Arial" w:eastAsia="Arial" w:hAnsi="Arial"/>
          <w:sz w:val="17"/>
          <w:szCs w:val="17"/>
          <w:color w:val="auto"/>
        </w:rPr>
      </w:pPr>
    </w:p>
    <w:p>
      <w:pPr>
        <w:jc w:val="both"/>
        <w:ind w:left="644" w:hanging="644"/>
        <w:spacing w:after="0" w:line="257" w:lineRule="auto"/>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Independent Public Accountants</w:t>
      </w:r>
      <w:r>
        <w:rPr>
          <w:rFonts w:ascii="Arial" w:cs="Arial" w:eastAsia="Arial" w:hAnsi="Arial"/>
          <w:sz w:val="18"/>
          <w:szCs w:val="18"/>
          <w:color w:val="auto"/>
        </w:rPr>
        <w:t>. Kesselman &amp; Kesselman, a member firm of PricewaterhouseCoopers International Limited (the “</w:t>
      </w:r>
      <w:r>
        <w:rPr>
          <w:rFonts w:ascii="Arial" w:cs="Arial" w:eastAsia="Arial" w:hAnsi="Arial"/>
          <w:sz w:val="18"/>
          <w:szCs w:val="18"/>
          <w:u w:val="single" w:color="auto"/>
          <w:color w:val="auto"/>
        </w:rPr>
        <w:t>Auditor</w:t>
      </w:r>
      <w:r>
        <w:rPr>
          <w:rFonts w:ascii="Arial" w:cs="Arial" w:eastAsia="Arial" w:hAnsi="Arial"/>
          <w:sz w:val="18"/>
          <w:szCs w:val="18"/>
          <w:color w:val="auto"/>
        </w:rPr>
        <w:t>”), who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w:t>
      </w:r>
    </w:p>
    <w:p>
      <w:pPr>
        <w:spacing w:after="0" w:line="187" w:lineRule="exact"/>
        <w:rPr>
          <w:rFonts w:ascii="Arial" w:cs="Arial" w:eastAsia="Arial" w:hAnsi="Arial"/>
          <w:sz w:val="18"/>
          <w:szCs w:val="18"/>
          <w:color w:val="auto"/>
        </w:rPr>
      </w:pPr>
    </w:p>
    <w:p>
      <w:pPr>
        <w:jc w:val="both"/>
        <w:ind w:left="644" w:right="20" w:hanging="644"/>
        <w:spacing w:after="0" w:line="263" w:lineRule="auto"/>
        <w:tabs>
          <w:tab w:leader="none" w:pos="64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No forward looking statement within the meaning of Section 27A of the Securities Act and Section 21E of the Exchange Act contained in the Commission Documents, the Registration Statement or the Prospectus, has been made or reaffirmed without a reasonable basis or has been disclosed other than in good faith.</w:t>
      </w:r>
    </w:p>
    <w:p>
      <w:pPr>
        <w:spacing w:after="0" w:line="183" w:lineRule="exact"/>
        <w:rPr>
          <w:rFonts w:ascii="Arial" w:cs="Arial" w:eastAsia="Arial" w:hAnsi="Arial"/>
          <w:sz w:val="18"/>
          <w:szCs w:val="18"/>
          <w:color w:val="auto"/>
        </w:rPr>
      </w:pPr>
    </w:p>
    <w:p>
      <w:pPr>
        <w:jc w:val="both"/>
        <w:ind w:left="644" w:hanging="644"/>
        <w:spacing w:after="0" w:line="286" w:lineRule="auto"/>
        <w:tabs>
          <w:tab w:leader="none" w:pos="644"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and the Subsidiaries has good and marketable title to all real property owned by it and good title or valid leases to all personal property owned by it, in each case, free and clear of all mortgages, pledges, liens, security interests, claims, restrictions or Encumbrances (except for customary easements and rights of way) of any kind except such as (A) are described in the Registration Statement, the Disclosure Package and the Prospectus, (B) do not, singly or in the aggregate, materially affect the value of such property and do not materially interfere with the use made and proposed to be made of such property by the Company and the Subsidiaries, or (C) such other Encumbrances executed by the Company and its Subsidiaries in ordinary course of business or as or may be required to conduct their business (including without limitation, under the existing offices and lease agreements of the Company and its Subsidiaries, and other Encumbrances executed with commercial banks in order to secure ongoing payments under credit cards and/or corporate cards); and all of the leases and subleases material to the business of the Company and that of the Subsidiaries and under which the Company or any of its Subsidiaries holds properties described in the Registration Statement, the Disclosure Package or the Prospectus, are in full force and effect, and neither the Company nor any of its Subsidiaries has received any written notice of any material claim of any sort that has been asserted by anyone adverse to the rights of the Company or any of its Subsidiaries under any of the leases or subleases mentioned above, or affecting or questioning the rights of the Company or any of its Subsidiaries to the continued possession of the leased or subleased premises under any such lease or sublease.</w:t>
      </w:r>
    </w:p>
    <w:p>
      <w:pPr>
        <w:spacing w:after="0" w:line="379"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2" w:name="page63"/>
    <w:bookmarkEnd w:id="62"/>
    <w:p>
      <w:pPr>
        <w:jc w:val="both"/>
        <w:ind w:left="644" w:hanging="644"/>
        <w:spacing w:after="0" w:line="284" w:lineRule="auto"/>
        <w:tabs>
          <w:tab w:leader="none" w:pos="644"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Except as described in the Registration Statement, Prospectus or Disclosure Package or as would not reasonably be expected to, individually or in the aggregate, result in a Material Adverse Effect, (i) the Company and its Subsidiaries own or possess, or can promptly acquire on reasonable terms, ownership, licenses or other legal rights to use all patents, trademarks, service marks, tradenames, copyrights, trade secrets or other proprietary rights (collectively,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necessary for their respective businesses as now conducted, (ii) the Company believes it and its Subsidiaries have taken all reasonable steps necessary to establish and preserve their respective ownership of all Intellectual Property Rights owned by the Company or any of its Subsidiaries that is necessary for their respective businesses as now conducted, (iii) to the knowledge of the Company, there is no infringement, misappropriation or other violation of the Intellectual Property Rights owned by the Company or any of its Subsidiaries by any third party, (iv) to the knowledge of the Company, the present business, activities and products of the Company and its Subsidiaries do not infringe, misappropriate or otherwise violate any Intellectual Property Rights of any other person or entity, (v) there is no proceeding pending or, to the knowledge of the Company, threatened in writing, charging the Company or any of its Subsidiaries with infringement, misappropriation or other violation of any Intellectual Property Rights adversely held by a third party which has been filed, (vi) no proceedings have been instituted or are pending or, to the knowledge of the Company, threatened in writing, which challenge the rights of the Company or any of its Subsidiaries to use the Intellectual Property Rights owned by or licensed to the Company or its Subsidiaries, and (vii) the Intellectual Property Rights owned by and, to the knowledge of the Company, licensed, to the Company and its Subsidiaries, has not been adjudged invalid or unenforceable in whole or in part and there is no pending or, to the knowledge of the Company, threatened in writing proceeding by others challenging the validity or scope of any such Intellectual Property Rights, and the Company is unaware of any facts which are reasonably likely to form a basis for any such claim. Notwithstanding anything to the foregoing, it is hereby clarified that the Company and/or its Subsidiaries have received grants from the Israeli National Technological Innovation Authority (formerly known as the Office of Chief Scientist) (the “</w:t>
      </w:r>
      <w:r>
        <w:rPr>
          <w:rFonts w:ascii="Arial" w:cs="Arial" w:eastAsia="Arial" w:hAnsi="Arial"/>
          <w:sz w:val="16"/>
          <w:szCs w:val="16"/>
          <w:u w:val="single" w:color="auto"/>
          <w:color w:val="auto"/>
        </w:rPr>
        <w:t>IIA</w:t>
      </w:r>
      <w:r>
        <w:rPr>
          <w:rFonts w:ascii="Arial" w:cs="Arial" w:eastAsia="Arial" w:hAnsi="Arial"/>
          <w:sz w:val="16"/>
          <w:szCs w:val="16"/>
          <w:color w:val="auto"/>
        </w:rPr>
        <w:t>”), and accordingly the Company and/or its Subsidiaries are subject to Israel’s Encouragement of Industrial Research, Development and Technological Innovation in Industry Law 5744-1984, the IIA’s regulations and the rules and regulations applicable thereto, as disclosed in the Company’s Form 20-F for fiscal year ended December 31, 2019.</w:t>
      </w:r>
    </w:p>
    <w:p>
      <w:pPr>
        <w:spacing w:after="0" w:line="394" w:lineRule="exact"/>
        <w:rPr>
          <w:rFonts w:ascii="Arial" w:cs="Arial" w:eastAsia="Arial" w:hAnsi="Arial"/>
          <w:sz w:val="16"/>
          <w:szCs w:val="16"/>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63" w:lineRule="auto"/>
        <w:tabs>
          <w:tab w:leader="none" w:pos="1304"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has filed all United States federal and state and all applicable local and foreign income tax returns which have been required to be filed through the date hereof, except in any case in which the failure to so file would not, individually or in the aggregate, have a Material Adverse Effect.</w:t>
      </w:r>
    </w:p>
    <w:p>
      <w:pPr>
        <w:spacing w:after="0" w:line="183" w:lineRule="exact"/>
        <w:rPr>
          <w:rFonts w:ascii="Arial" w:cs="Arial" w:eastAsia="Arial" w:hAnsi="Arial"/>
          <w:sz w:val="18"/>
          <w:szCs w:val="18"/>
          <w:color w:val="auto"/>
        </w:rPr>
      </w:pPr>
    </w:p>
    <w:p>
      <w:pPr>
        <w:jc w:val="both"/>
        <w:ind w:left="1304" w:hanging="656"/>
        <w:spacing w:after="0" w:line="259" w:lineRule="auto"/>
        <w:tabs>
          <w:tab w:leader="none" w:pos="1304"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has paid all United States federal, state and local and foreign taxes required to be paid and any other assessment, fine or penalty levied against it, to the extent that any of the foregoing would otherwise be delinquent, except, in all cases, for any such tax, assessment, fine or penalty that is being contested in good faith and except in any case in which the failure to so pay would not, individually or in the aggregate, result in a Material Adverse Effect.</w:t>
      </w:r>
    </w:p>
    <w:p>
      <w:pPr>
        <w:spacing w:after="0" w:line="186" w:lineRule="exact"/>
        <w:rPr>
          <w:rFonts w:ascii="Arial" w:cs="Arial" w:eastAsia="Arial" w:hAnsi="Arial"/>
          <w:sz w:val="18"/>
          <w:szCs w:val="18"/>
          <w:color w:val="auto"/>
        </w:rPr>
      </w:pPr>
    </w:p>
    <w:p>
      <w:pPr>
        <w:jc w:val="both"/>
        <w:ind w:left="1304" w:hanging="656"/>
        <w:spacing w:after="0" w:line="255" w:lineRule="auto"/>
        <w:tabs>
          <w:tab w:leader="none" w:pos="1304"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 Israeli stamp or other Israeli issuance or transfer taxes or similar Israeli issuance or transfer duties and assuming that Canaccord is not otherwise subject to taxation in Israel due to Israeli tax residence, the existence of a permanent establishment in Israel, a fixed place of business in Israel or any business activity of Canaccord in Israel, no capital gains, income, withholding or other taxes are payable in Israel by or on behalf of Canaccord in connection with the sale and delivery by the Company of the Placement Shares to or for the account of Canaccord or the sale and delivery by Canaccord of the Placement Shares to the purchasers thereof.</w:t>
      </w:r>
    </w:p>
    <w:p>
      <w:pPr>
        <w:spacing w:after="0" w:line="200" w:lineRule="exact"/>
        <w:rPr>
          <w:sz w:val="20"/>
          <w:szCs w:val="20"/>
          <w:color w:val="auto"/>
        </w:rPr>
      </w:pPr>
    </w:p>
    <w:p>
      <w:pPr>
        <w:spacing w:after="0" w:line="201"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3" w:name="page64"/>
    <w:bookmarkEnd w:id="63"/>
    <w:p>
      <w:pPr>
        <w:ind w:left="644" w:hanging="644"/>
        <w:spacing w:after="0" w:line="277" w:lineRule="auto"/>
        <w:tabs>
          <w:tab w:leader="none" w:pos="64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The Company has not relied upon Canaccord or legal counsel for Canaccord for any legal, tax or accounting advice in connection with the offering and sale of the Placement Shares.</w:t>
      </w:r>
    </w:p>
    <w:p>
      <w:pPr>
        <w:spacing w:after="0" w:line="17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Underwriter Agreements</w:t>
      </w:r>
      <w:r>
        <w:rPr>
          <w:rFonts w:ascii="Arial" w:cs="Arial" w:eastAsia="Arial" w:hAnsi="Arial"/>
          <w:sz w:val="18"/>
          <w:szCs w:val="18"/>
          <w:color w:val="auto"/>
        </w:rPr>
        <w:t>. Except for this Agreement the Company, is not a party to any agreement with an agent or underwriter for any other “at the market” or continuous equity transaction or negotiated or underwritten public offering.</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Disclosure Controls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73" w:lineRule="auto"/>
        <w:tabs>
          <w:tab w:leader="none" w:pos="1304"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Company has established and maintains disclosure controls and procedures (as such term is defined in Rule 13a-15 under the Exchange Act), which (a) are designed to ensure that material information relating to the Company, including its consolidated Subsidiaries, is made known to the Company’s principal executive officer and its principal financial officer by others within those entities, particularly during the preparation of the Registration Statement; (b) have been evaluated for effectiveness as of the date of the filing of the Registration Statement with the Commission; and (c) are effective in all material respects to perform the functions for which they were established.</w:t>
      </w:r>
    </w:p>
    <w:p>
      <w:pPr>
        <w:spacing w:after="0" w:line="177" w:lineRule="exact"/>
        <w:rPr>
          <w:rFonts w:ascii="Arial" w:cs="Arial" w:eastAsia="Arial" w:hAnsi="Arial"/>
          <w:sz w:val="17"/>
          <w:szCs w:val="17"/>
          <w:color w:val="auto"/>
        </w:rPr>
      </w:pPr>
    </w:p>
    <w:p>
      <w:pPr>
        <w:jc w:val="both"/>
        <w:ind w:left="1304" w:hanging="656"/>
        <w:spacing w:after="0" w:line="296" w:lineRule="auto"/>
        <w:tabs>
          <w:tab w:leader="none" w:pos="1304"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Company (a) makes and keeps accurate books and records and (b) maintains internal accounting controls which provide reasonable assurance that (1) transactions are executed in accordance with management’s authorization, (2) transactions are recorded as necessary to permit preparation of its financial statements and to maintain accountability for its assets, (3) access to its assets is permitted only in accordance with management’s authorization and (4) the reported accountability for its assets is compared with existing assets at reasonable intervals and appropriate action is taken with respect to any differences.</w:t>
      </w:r>
    </w:p>
    <w:p>
      <w:pPr>
        <w:spacing w:after="0" w:line="370"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4" w:name="page65"/>
    <w:bookmarkEnd w:id="64"/>
    <w:p>
      <w:pPr>
        <w:jc w:val="both"/>
        <w:ind w:left="644" w:hanging="644"/>
        <w:spacing w:after="0" w:line="269" w:lineRule="auto"/>
        <w:tabs>
          <w:tab w:leader="none" w:pos="64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Accounting Controls.</w:t>
      </w:r>
      <w:r>
        <w:rPr>
          <w:rFonts w:ascii="Arial" w:cs="Arial" w:eastAsia="Arial" w:hAnsi="Arial"/>
          <w:sz w:val="17"/>
          <w:szCs w:val="17"/>
          <w:color w:val="auto"/>
        </w:rPr>
        <w:t xml:space="preserve"> Except as described in the Registration Statement, the Disclosure Package and the Prospectus, the Company maintains effective internal control over financial reporting (as defined under Rule 13a-15 and 15d-15 of the Exchange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IFRS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Except as described in the Registration Statement, the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w:t>
      </w:r>
    </w:p>
    <w:p>
      <w:pPr>
        <w:spacing w:after="0" w:line="181" w:lineRule="exact"/>
        <w:rPr>
          <w:rFonts w:ascii="Arial" w:cs="Arial" w:eastAsia="Arial" w:hAnsi="Arial"/>
          <w:sz w:val="17"/>
          <w:szCs w:val="17"/>
          <w:color w:val="auto"/>
        </w:rPr>
      </w:pPr>
    </w:p>
    <w:p>
      <w:pPr>
        <w:jc w:val="both"/>
        <w:ind w:left="644" w:hanging="644"/>
        <w:spacing w:after="0" w:line="255"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Certain Market Activities</w:t>
      </w:r>
      <w:r>
        <w:rPr>
          <w:rFonts w:ascii="Arial" w:cs="Arial" w:eastAsia="Arial" w:hAnsi="Arial"/>
          <w:sz w:val="18"/>
          <w:szCs w:val="18"/>
          <w:color w:val="auto"/>
        </w:rPr>
        <w:t>. The Company has not taken, directly or indirectly, without giving effect to activities by Canaccord, any action designed to, or that might be reasonably expected to, cause or result in stabilization or manipulation of the price of the Shares. The Company has not engaged and will not engage in any form of solicitation, advertising or other action constituting an offer or a sale under the Israeli Securities Law, 5728-1968, as amended (the “</w:t>
      </w:r>
      <w:r>
        <w:rPr>
          <w:rFonts w:ascii="Arial" w:cs="Arial" w:eastAsia="Arial" w:hAnsi="Arial"/>
          <w:sz w:val="18"/>
          <w:szCs w:val="18"/>
          <w:u w:val="single" w:color="auto"/>
          <w:color w:val="auto"/>
        </w:rPr>
        <w:t>Israeli Securities Law</w:t>
      </w:r>
      <w:r>
        <w:rPr>
          <w:rFonts w:ascii="Arial" w:cs="Arial" w:eastAsia="Arial" w:hAnsi="Arial"/>
          <w:sz w:val="18"/>
          <w:szCs w:val="18"/>
          <w:color w:val="auto"/>
        </w:rPr>
        <w:t>”), and the regulations promulgated thereunder in connection with the transactions contemplated hereby which would require the publication of a prospectus in the State of Israel under the laws of the State of Israel.</w:t>
      </w:r>
    </w:p>
    <w:p>
      <w:pPr>
        <w:spacing w:after="0" w:line="192"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Broker/Dealer Relationships</w:t>
      </w:r>
      <w:r>
        <w:rPr>
          <w:rFonts w:ascii="Arial" w:cs="Arial" w:eastAsia="Arial" w:hAnsi="Arial"/>
          <w:sz w:val="18"/>
          <w:szCs w:val="18"/>
          <w:color w:val="auto"/>
        </w:rPr>
        <w:t>. Neither the Company nor the Subsidiaries or any related entities (i) is required to register as a “broker” or “dealer” in accordance with the provisions of the Exchange Act or (ii) directly or indirectly through one or more intermediaries, controls or is a “person associated with a FINRA member” or “associated person of a FINRA member” (within the meaning of Article I of the Bylaws of the FINRA).</w:t>
      </w:r>
    </w:p>
    <w:p>
      <w:pPr>
        <w:spacing w:after="0" w:line="186"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 Integration</w:t>
      </w:r>
      <w:r>
        <w:rPr>
          <w:rFonts w:ascii="Arial" w:cs="Arial" w:eastAsia="Arial" w:hAnsi="Arial"/>
          <w:sz w:val="18"/>
          <w:szCs w:val="18"/>
          <w:color w:val="auto"/>
        </w:rPr>
        <w:t>. The Company has not sold or issued any securities that would be integrated with the sale of the Placement Shares contemplated by this Agreement pursuant to the Securities Act or the Rules and Regulations.</w:t>
      </w:r>
    </w:p>
    <w:p>
      <w:pPr>
        <w:spacing w:after="0" w:line="379"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5" w:name="page66"/>
    <w:bookmarkEnd w:id="65"/>
    <w:p>
      <w:pPr>
        <w:ind w:left="644" w:hanging="644"/>
        <w:spacing w:after="0"/>
        <w:tabs>
          <w:tab w:leader="none" w:pos="644"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Sarbanes-Oxley</w:t>
      </w:r>
      <w:r>
        <w:rPr>
          <w:rFonts w:ascii="Arial" w:cs="Arial" w:eastAsia="Arial" w:hAnsi="Arial"/>
          <w:sz w:val="17"/>
          <w:szCs w:val="17"/>
          <w:color w:val="auto"/>
        </w:rPr>
        <w:t>. The Company is in compliance in all material respects with all applicable provisions of the Sarbanes-Oxley Act.</w:t>
      </w:r>
    </w:p>
    <w:p>
      <w:pPr>
        <w:spacing w:after="0" w:line="236"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Finder’s Fees</w:t>
      </w:r>
      <w:r>
        <w:rPr>
          <w:rFonts w:ascii="Arial" w:cs="Arial" w:eastAsia="Arial" w:hAnsi="Arial"/>
          <w:sz w:val="18"/>
          <w:szCs w:val="18"/>
          <w:color w:val="auto"/>
        </w:rPr>
        <w:t>. Neither the Company nor the Subsidiaries has incurred any liability for any brokerage commission, finder’s fees or similar payments in connection with the transactions herein contemplated, except as may otherwise exist with respect to Canaccord pursuant to this Agreement.</w:t>
      </w:r>
    </w:p>
    <w:p>
      <w:pPr>
        <w:spacing w:after="0" w:line="183"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Labor Disputes</w:t>
      </w:r>
      <w:r>
        <w:rPr>
          <w:rFonts w:ascii="Arial" w:cs="Arial" w:eastAsia="Arial" w:hAnsi="Arial"/>
          <w:sz w:val="18"/>
          <w:szCs w:val="18"/>
          <w:color w:val="auto"/>
        </w:rPr>
        <w:t>. No labor dispute with the employees of the Company or any of its Subsidiaries exists or, to the knowledge of the Company, is imminent, and the Company has no knowledge of any existing or imminent labor dispute by the employees of any of its principal suppliers, manufacturers or contractors.</w:t>
      </w:r>
    </w:p>
    <w:p>
      <w:pPr>
        <w:spacing w:after="0" w:line="183" w:lineRule="exact"/>
        <w:rPr>
          <w:rFonts w:ascii="Arial" w:cs="Arial" w:eastAsia="Arial" w:hAnsi="Arial"/>
          <w:sz w:val="18"/>
          <w:szCs w:val="18"/>
          <w:color w:val="auto"/>
        </w:rPr>
      </w:pPr>
    </w:p>
    <w:p>
      <w:pPr>
        <w:jc w:val="both"/>
        <w:ind w:left="644" w:hanging="644"/>
        <w:spacing w:after="0" w:line="311" w:lineRule="auto"/>
        <w:tabs>
          <w:tab w:leader="none" w:pos="64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Canaccord Purchases</w:t>
      </w:r>
      <w:r>
        <w:rPr>
          <w:rFonts w:ascii="Arial" w:cs="Arial" w:eastAsia="Arial" w:hAnsi="Arial"/>
          <w:sz w:val="16"/>
          <w:szCs w:val="16"/>
          <w:color w:val="auto"/>
        </w:rPr>
        <w:t>. The Company acknowledges and agrees that Canaccord has informed the Company that Canaccord may, to the extent permitted under the Securities Act and the Exchange Act, purchase and sell shares of Ordinary Shares for Canaccord’s own account and for the account of its clients at the same time as sales of Placement Shares occur pursuant to this Agreement.</w:t>
      </w:r>
    </w:p>
    <w:p>
      <w:pPr>
        <w:spacing w:after="0" w:line="148" w:lineRule="exact"/>
        <w:rPr>
          <w:rFonts w:ascii="Arial" w:cs="Arial" w:eastAsia="Arial" w:hAnsi="Arial"/>
          <w:sz w:val="16"/>
          <w:szCs w:val="16"/>
          <w:color w:val="auto"/>
        </w:rPr>
      </w:pPr>
    </w:p>
    <w:p>
      <w:pPr>
        <w:jc w:val="both"/>
        <w:ind w:left="644" w:right="20" w:hanging="644"/>
        <w:spacing w:after="0" w:line="259"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 Registration Rights</w:t>
      </w:r>
      <w:r>
        <w:rPr>
          <w:rFonts w:ascii="Arial" w:cs="Arial" w:eastAsia="Arial" w:hAnsi="Arial"/>
          <w:sz w:val="18"/>
          <w:szCs w:val="18"/>
          <w:color w:val="auto"/>
        </w:rPr>
        <w:t>. Except as waived or as may be described in the Prospectus, including the documents incorporated therein by reference, neither the Company nor its Subsidiaries is party to any agreement that provides any person with the right to require the Company or its Subsidiaries to register any securities for sale under the Securities Act by reason of the filing of the Registration Statement with the Commission or the issuance and sale of the Placement Shares.</w:t>
      </w:r>
    </w:p>
    <w:p>
      <w:pPr>
        <w:spacing w:after="0" w:line="186"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Prospectus Disclosure</w:t>
      </w:r>
      <w:r>
        <w:rPr>
          <w:rFonts w:ascii="Arial" w:cs="Arial" w:eastAsia="Arial" w:hAnsi="Arial"/>
          <w:sz w:val="18"/>
          <w:szCs w:val="18"/>
          <w:color w:val="auto"/>
        </w:rPr>
        <w:t>. The statements set forth in the Prospectus under the caption “Description of Securities” insofar as they purport to constitute a summary of the terms of the Shares, and under the caption “Plan of Distribution,” insofar as they purport to describe the provisions of the laws and documents referred to therein, are accurate and complete.</w:t>
      </w:r>
    </w:p>
    <w:p>
      <w:pPr>
        <w:spacing w:after="0" w:line="183" w:lineRule="exact"/>
        <w:rPr>
          <w:rFonts w:ascii="Arial" w:cs="Arial" w:eastAsia="Arial" w:hAnsi="Arial"/>
          <w:sz w:val="18"/>
          <w:szCs w:val="18"/>
          <w:color w:val="auto"/>
        </w:rPr>
      </w:pPr>
    </w:p>
    <w:p>
      <w:pPr>
        <w:jc w:val="both"/>
        <w:ind w:left="644" w:hanging="644"/>
        <w:spacing w:after="0" w:line="273" w:lineRule="auto"/>
        <w:tabs>
          <w:tab w:leader="none" w:pos="644"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To the knowledge of the Company, none of the Company, its Subsidiaries or any director, officer, agent, employee or affiliate of the Company or its Subsidiaries is currently the target of any proceeding, investigation, suit or other action arising out of any U.S. sanctions administered by the Office of Foreign Assets Control of the U.S. Department of the Treasury (“</w:t>
      </w:r>
      <w:r>
        <w:rPr>
          <w:rFonts w:ascii="Arial" w:cs="Arial" w:eastAsia="Arial" w:hAnsi="Arial"/>
          <w:sz w:val="17"/>
          <w:szCs w:val="17"/>
          <w:u w:val="single" w:color="auto"/>
          <w:color w:val="auto"/>
        </w:rPr>
        <w:t>OFAC</w:t>
      </w:r>
      <w:r>
        <w:rPr>
          <w:rFonts w:ascii="Arial" w:cs="Arial" w:eastAsia="Arial" w:hAnsi="Arial"/>
          <w:sz w:val="17"/>
          <w:szCs w:val="17"/>
          <w:color w:val="auto"/>
        </w:rPr>
        <w:t>”); and the Company will not directly or indirectly use the proceeds of the offering of the Placement Shares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77" w:lineRule="exact"/>
        <w:rPr>
          <w:rFonts w:ascii="Arial" w:cs="Arial" w:eastAsia="Arial" w:hAnsi="Arial"/>
          <w:sz w:val="17"/>
          <w:szCs w:val="17"/>
          <w:color w:val="auto"/>
        </w:rPr>
      </w:pPr>
    </w:p>
    <w:p>
      <w:pPr>
        <w:jc w:val="both"/>
        <w:ind w:left="644" w:hanging="644"/>
        <w:spacing w:after="0" w:line="291" w:lineRule="auto"/>
        <w:tabs>
          <w:tab w:leader="none" w:pos="64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Operations</w:t>
      </w:r>
      <w:r>
        <w:rPr>
          <w:rFonts w:ascii="Arial" w:cs="Arial" w:eastAsia="Arial" w:hAnsi="Arial"/>
          <w:sz w:val="16"/>
          <w:szCs w:val="16"/>
          <w:color w:val="auto"/>
        </w:rPr>
        <w:t>. The operations of the Company and its Subsidiaries are and have been conducted at all times in compliance in all material respects with applicable financial record keeping and reporting requirements of the Currency and Foreign Transactions Reporting Act of 1970, as amended, the money laundering statutes of all jurisdictions to which the Company and its Subsidiaries are subject,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except as would not reasonably be expected to result in a Material Adverse Effect; and no action, suit or proceeding by or before any court or governmental agency, authority or body or any arbitrator involving the Company or its Subsidiaries with respect to the Money Laundering Laws is pending or, to the knowledge of the Company, threatened.</w:t>
      </w:r>
    </w:p>
    <w:p>
      <w:pPr>
        <w:spacing w:after="0" w:line="375"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6" w:name="page67"/>
    <w:bookmarkEnd w:id="66"/>
    <w:p>
      <w:pPr>
        <w:jc w:val="both"/>
        <w:ind w:left="644" w:hanging="644"/>
        <w:spacing w:after="0" w:line="254" w:lineRule="auto"/>
        <w:tabs>
          <w:tab w:leader="none" w:pos="64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Arial" w:cs="Arial" w:eastAsia="Arial" w:hAnsi="Arial"/>
          <w:sz w:val="18"/>
          <w:szCs w:val="18"/>
          <w:u w:val="single" w:color="auto"/>
          <w:color w:val="auto"/>
        </w:rPr>
        <w:t>Off Balance Sheet Transaction</w:t>
      </w:r>
      <w:r>
        <w:rPr>
          <w:rFonts w:ascii="Arial" w:cs="Arial" w:eastAsia="Arial" w:hAnsi="Arial"/>
          <w:sz w:val="18"/>
          <w:szCs w:val="18"/>
          <w:color w:val="auto"/>
        </w:rPr>
        <w:t>”) that could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94" w:lineRule="exact"/>
        <w:rPr>
          <w:rFonts w:ascii="Arial" w:cs="Arial" w:eastAsia="Arial" w:hAnsi="Arial"/>
          <w:sz w:val="18"/>
          <w:szCs w:val="18"/>
          <w:color w:val="auto"/>
        </w:rPr>
      </w:pPr>
    </w:p>
    <w:p>
      <w:pPr>
        <w:jc w:val="both"/>
        <w:ind w:left="644" w:hanging="644"/>
        <w:spacing w:after="0" w:line="273" w:lineRule="auto"/>
        <w:tabs>
          <w:tab w:leader="none" w:pos="644"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No Misstatement or Omission in an Issuer Free Writing Prospectus</w:t>
      </w:r>
      <w:r>
        <w:rPr>
          <w:rFonts w:ascii="Arial" w:cs="Arial" w:eastAsia="Arial" w:hAnsi="Arial"/>
          <w:sz w:val="17"/>
          <w:szCs w:val="17"/>
          <w:color w:val="auto"/>
        </w:rPr>
        <w:t>. Each issuer free writing prospectus, as defined in Rule 405 under the Securities Act (an “</w:t>
      </w:r>
      <w:r>
        <w:rPr>
          <w:rFonts w:ascii="Arial" w:cs="Arial" w:eastAsia="Arial" w:hAnsi="Arial"/>
          <w:sz w:val="17"/>
          <w:szCs w:val="17"/>
          <w:u w:val="single" w:color="auto"/>
          <w:color w:val="auto"/>
        </w:rPr>
        <w:t>Issuer Free Writing Prospectus</w:t>
      </w:r>
      <w:r>
        <w:rPr>
          <w:rFonts w:ascii="Arial" w:cs="Arial" w:eastAsia="Arial" w:hAnsi="Arial"/>
          <w:sz w:val="17"/>
          <w:szCs w:val="17"/>
          <w:color w:val="auto"/>
        </w:rPr>
        <w:t xml:space="preserve">”), as of the Applicable Time did not or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makes no representation or warranty with respect to any statement contained in any Issuer Free Writing Prospectus in reliance upon and in conformity with written information furnished to the Company by and through Canaccord for use therein.</w:t>
      </w:r>
    </w:p>
    <w:p>
      <w:pPr>
        <w:spacing w:after="0" w:line="177" w:lineRule="exact"/>
        <w:rPr>
          <w:rFonts w:ascii="Arial" w:cs="Arial" w:eastAsia="Arial" w:hAnsi="Arial"/>
          <w:sz w:val="17"/>
          <w:szCs w:val="17"/>
          <w:color w:val="auto"/>
        </w:rPr>
      </w:pPr>
    </w:p>
    <w:p>
      <w:pPr>
        <w:jc w:val="both"/>
        <w:ind w:left="644" w:hanging="644"/>
        <w:spacing w:after="0" w:line="270" w:lineRule="auto"/>
        <w:tabs>
          <w:tab w:leader="none" w:pos="644"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Conformity of Issuer Free Writing Prospectus</w:t>
      </w:r>
      <w:r>
        <w:rPr>
          <w:rFonts w:ascii="Arial" w:cs="Arial" w:eastAsia="Arial" w:hAnsi="Arial"/>
          <w:sz w:val="17"/>
          <w:szCs w:val="17"/>
          <w:color w:val="auto"/>
        </w:rPr>
        <w:t>. Each Issuer Free Writing Prospectus conformed or will conform in all material respects with the requirements of the Securities Act on the date of first use, and the Company has complied or will comply with any filing requirements applicable to such Issuer Free Writing Prospectus pursuant to the Securities Act. Each Issuer Free Writing Prospectus, as of its issue date and at all subsequent times through the completion of the public offer and sale of the Placement Shares, did not, does not and will not include any information that conflicted, conflicts or will conflict with the information contained in the Registration Statement or the Prospectus, including any document incorporated by reference therein that has not been superseded or modified. The Company has not made any offer relating to the Shares that would constitute an Issuer Free Writing Prospectus without the prior written consent of Canaccord. The Company has retained in accordance with the Securities Act all Issuer Free Writing Prospectuses that were not required to be filed pursuant to the Securities Act.</w:t>
      </w:r>
    </w:p>
    <w:p>
      <w:pPr>
        <w:spacing w:after="0" w:line="390"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7" w:name="page68"/>
    <w:bookmarkEnd w:id="67"/>
    <w:p>
      <w:pPr>
        <w:jc w:val="both"/>
        <w:ind w:left="644" w:hanging="644"/>
        <w:spacing w:after="0" w:line="267" w:lineRule="auto"/>
        <w:tabs>
          <w:tab w:leader="none" w:pos="644"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Regulatory</w:t>
      </w:r>
      <w:r>
        <w:rPr>
          <w:rFonts w:ascii="Arial" w:cs="Arial" w:eastAsia="Arial" w:hAnsi="Arial"/>
          <w:sz w:val="17"/>
          <w:szCs w:val="17"/>
          <w:color w:val="auto"/>
        </w:rPr>
        <w:t>. Except as described in the Registration Statement and the Prospectus, each of the Company and the Subsidiaries: (i) is and at all times has been in material compliance with all applicable U.S. and foreign statutes, rules, regulations, or guidance applicable to the Company and the Subsidiaries and the ownership, testing, development, manufacture, packaging, processing, use, distribution, marketing, labeling, promotion, sale, offer for sale, storage, import, export or disposal of any product manufactured or distributed by the Company (“</w:t>
      </w:r>
      <w:r>
        <w:rPr>
          <w:rFonts w:ascii="Arial" w:cs="Arial" w:eastAsia="Arial" w:hAnsi="Arial"/>
          <w:sz w:val="17"/>
          <w:szCs w:val="17"/>
          <w:u w:val="single" w:color="auto"/>
          <w:color w:val="auto"/>
        </w:rPr>
        <w:t>Applicable Laws</w:t>
      </w:r>
      <w:r>
        <w:rPr>
          <w:rFonts w:ascii="Arial" w:cs="Arial" w:eastAsia="Arial" w:hAnsi="Arial"/>
          <w:sz w:val="17"/>
          <w:szCs w:val="17"/>
          <w:color w:val="auto"/>
        </w:rPr>
        <w:t>”), except as could not, individually or in the aggregate, reasonably be expected to result in a Material Adverse Effect; (ii) have not received any written notice of adverse finding, warning letter, untitled letter or other written correspondence or notice from the U.S. Food and Drug Administration or any other U.S. federal or state or foreign governmental authority having authority over the Company (“</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alleging or asserting noncompliance with any Applicable Laws or any material licenses, certificates, approvals, clearances, authorizations, permits and supplements or amendments thereto required by any such Applicable Laws (“</w:t>
      </w:r>
      <w:r>
        <w:rPr>
          <w:rFonts w:ascii="Arial" w:cs="Arial" w:eastAsia="Arial" w:hAnsi="Arial"/>
          <w:sz w:val="17"/>
          <w:szCs w:val="17"/>
          <w:u w:val="single" w:color="auto"/>
          <w:color w:val="auto"/>
        </w:rPr>
        <w:t>Authorizations</w:t>
      </w:r>
      <w:r>
        <w:rPr>
          <w:rFonts w:ascii="Arial" w:cs="Arial" w:eastAsia="Arial" w:hAnsi="Arial"/>
          <w:sz w:val="17"/>
          <w:szCs w:val="17"/>
          <w:color w:val="auto"/>
        </w:rPr>
        <w:t>”); (iii) possess all material Authorizations and such material Authorizations are valid and in full force and effect and are not in violation of any term of any such material Authorizations; (iv) have not received written notice of any claim, action, suit, proceeding, hearing, enforcement, investigation, arbitration or other action from any Governmental Authority or third party alleging that any product operation or activity is in violation of any Applicable Laws or material Authorizations and have no knowledge that any such Governmental Authority or third party is considering any such claim, litigation, arbitration, action, suit, investigation or proceeding; (v) have not received written notice that any Governmental Authority has taken, is taking or intends to take action to limit, suspend, modify or revoke any material Authorizations and the Company has no knowledge that any such Governmental Authority is considering such action; and (vi) have filed, obtained, maintained or submitted all material reports, documents, forms, notices, applications, records, claims, submissions and supplements or amendments as required by any Applicable Laws or material Authorizations and that all such reports, documents, forms, notices, applications, records, claims, submissions and supplements or amendments were complete and correct in all material respects on the date filed (or were corrected or supplemented by a subsequent submission).</w:t>
      </w:r>
    </w:p>
    <w:p>
      <w:pPr>
        <w:spacing w:after="0" w:line="185" w:lineRule="exact"/>
        <w:rPr>
          <w:rFonts w:ascii="Arial" w:cs="Arial" w:eastAsia="Arial" w:hAnsi="Arial"/>
          <w:sz w:val="17"/>
          <w:szCs w:val="17"/>
          <w:color w:val="auto"/>
        </w:rPr>
      </w:pPr>
    </w:p>
    <w:p>
      <w:pPr>
        <w:jc w:val="both"/>
        <w:ind w:left="644" w:hanging="644"/>
        <w:spacing w:after="0" w:line="268" w:lineRule="auto"/>
        <w:tabs>
          <w:tab w:leader="none" w:pos="644"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Licenses and Permits</w:t>
      </w:r>
      <w:r>
        <w:rPr>
          <w:rFonts w:ascii="Arial" w:cs="Arial" w:eastAsia="Arial" w:hAnsi="Arial"/>
          <w:sz w:val="17"/>
          <w:szCs w:val="17"/>
          <w:color w:val="auto"/>
        </w:rPr>
        <w:t>. The Company and its subsidiaries possess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except where the failure to possess or make the same would not, individually or in the aggregate, have a Material Adverse Effect; and except as described in the Registration Statement and the Prospectus, neither the Company nor any of its subsidiaries has received notice of any revocation or modification of any such license, certificate, permit or authorization or has any reason to believe that any such license, certificate, permit or authorization will not be renewed in the ordinary course. Except as described in the Registration Statement and the Prospectus, as applicable, the Company and its subsidiaries (i) are, and at all times have been, in compliance with all statutes, rules and regulations applicable to the ownership, testing, development, manufacture, packaging, processing, use, distribution, storage, import, export or disposal of any product manufactured or distributed by the Company or its subsidiaries (“</w:t>
      </w:r>
      <w:r>
        <w:rPr>
          <w:rFonts w:ascii="Arial" w:cs="Arial" w:eastAsia="Arial" w:hAnsi="Arial"/>
          <w:sz w:val="17"/>
          <w:szCs w:val="17"/>
          <w:u w:val="single" w:color="auto"/>
          <w:color w:val="auto"/>
        </w:rPr>
        <w:t>Applicable Laws</w:t>
      </w:r>
      <w:r>
        <w:rPr>
          <w:rFonts w:ascii="Arial" w:cs="Arial" w:eastAsia="Arial" w:hAnsi="Arial"/>
          <w:sz w:val="17"/>
          <w:szCs w:val="17"/>
          <w:color w:val="auto"/>
        </w:rPr>
        <w:t>”), except where such noncompliance would not, individually or in the aggregate, reasonably be expected to have a Material Adverse Effect; and (ii) have not received any U.S. Food and Drug Administration (“</w:t>
      </w:r>
      <w:r>
        <w:rPr>
          <w:rFonts w:ascii="Arial" w:cs="Arial" w:eastAsia="Arial" w:hAnsi="Arial"/>
          <w:sz w:val="17"/>
          <w:szCs w:val="17"/>
          <w:u w:val="single" w:color="auto"/>
          <w:color w:val="auto"/>
        </w:rPr>
        <w:t>FDA</w:t>
      </w:r>
      <w:r>
        <w:rPr>
          <w:rFonts w:ascii="Arial" w:cs="Arial" w:eastAsia="Arial" w:hAnsi="Arial"/>
          <w:sz w:val="17"/>
          <w:szCs w:val="17"/>
          <w:color w:val="auto"/>
        </w:rPr>
        <w:t>”) Form 483, written notice of adverse finding, warning letter, untitled letter or other correspondence or written notice from any court or arbitrator or governmental or regulatory authority alleging or asserting non-compliance with (x) any Applicable Laws or (y) any licenses, exemptions, certificates, approvals, clearances, authorizations, permits and supplements or amendments thereto required by any such Applicable Laws, which remains unresolved as of the date hereof.</w:t>
      </w:r>
    </w:p>
    <w:p>
      <w:pPr>
        <w:spacing w:after="0" w:line="388"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8" w:name="page69"/>
    <w:bookmarkEnd w:id="68"/>
    <w:p>
      <w:pPr>
        <w:jc w:val="both"/>
        <w:ind w:left="644" w:hanging="644"/>
        <w:spacing w:after="0" w:line="268" w:lineRule="auto"/>
        <w:tabs>
          <w:tab w:leader="none" w:pos="64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Hazardous Materials</w:t>
      </w:r>
      <w:r>
        <w:rPr>
          <w:rFonts w:ascii="Arial" w:cs="Arial" w:eastAsia="Arial" w:hAnsi="Arial"/>
          <w:sz w:val="17"/>
          <w:szCs w:val="17"/>
          <w:color w:val="auto"/>
        </w:rPr>
        <w:t>. There has been no storage, generation, transportation, use, handling, treatment, Release or threat of Release of Hazardous Materials by, relating to or caused by the Company or any of its subsidiaries (or, to the knowledge of the Company and its subsidiaries, any other entity (including any predecessor) for whose acts or omissions the Company or any of its subsidiaries is or would reasonably be expected to be liable) at, on, under or from any property or facility now or previously owned, operated or leased by the Company or any of its subsidiaries, or at, on, under or from any other property or facility, in violation of any Environmental Laws or in a manner or amount or to a location that would reasonably be expected to result in any liability under any Environmental Law, except for any violation or liability which would not, individually or in the aggregate, reasonably be expected to have a Material Adverse Effect.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7"/>
          <w:szCs w:val="17"/>
          <w:u w:val="single" w:color="auto"/>
          <w:color w:val="auto"/>
        </w:rPr>
        <w:t>Release</w:t>
      </w:r>
      <w:r>
        <w:rPr>
          <w:rFonts w:ascii="Arial" w:cs="Arial" w:eastAsia="Arial" w:hAnsi="Arial"/>
          <w:sz w:val="17"/>
          <w:szCs w:val="17"/>
          <w:color w:val="auto"/>
        </w:rPr>
        <w:t>”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186" w:lineRule="exact"/>
        <w:rPr>
          <w:rFonts w:ascii="Arial" w:cs="Arial" w:eastAsia="Arial" w:hAnsi="Arial"/>
          <w:sz w:val="17"/>
          <w:szCs w:val="17"/>
          <w:color w:val="auto"/>
        </w:rPr>
      </w:pPr>
    </w:p>
    <w:p>
      <w:pPr>
        <w:jc w:val="both"/>
        <w:ind w:left="644" w:hanging="644"/>
        <w:spacing w:after="0" w:line="263" w:lineRule="auto"/>
        <w:tabs>
          <w:tab w:leader="none" w:pos="64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eXtensible Business Reporting Language</w:t>
      </w:r>
      <w:r>
        <w:rPr>
          <w:rFonts w:ascii="Arial" w:cs="Arial" w:eastAsia="Arial" w:hAnsi="Arial"/>
          <w:sz w:val="18"/>
          <w:szCs w:val="18"/>
          <w:color w:val="auto"/>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3" w:lineRule="exact"/>
        <w:rPr>
          <w:rFonts w:ascii="Arial" w:cs="Arial" w:eastAsia="Arial" w:hAnsi="Arial"/>
          <w:sz w:val="18"/>
          <w:szCs w:val="18"/>
          <w:color w:val="auto"/>
        </w:rPr>
      </w:pPr>
    </w:p>
    <w:p>
      <w:pPr>
        <w:jc w:val="both"/>
        <w:ind w:left="644" w:hanging="644"/>
        <w:spacing w:after="0" w:line="268" w:lineRule="auto"/>
        <w:tabs>
          <w:tab w:leader="none" w:pos="64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Compliance with Healthcare Laws</w:t>
      </w:r>
      <w:r>
        <w:rPr>
          <w:rFonts w:ascii="Arial" w:cs="Arial" w:eastAsia="Arial" w:hAnsi="Arial"/>
          <w:sz w:val="17"/>
          <w:szCs w:val="17"/>
          <w:color w:val="auto"/>
        </w:rPr>
        <w:t>. Except as would not reasonably be expected to result in a Material Adverse Effect, the Company and each of its Subsidiaries is conducting its business in compliance with all applicable health care laws, rules, and regulations of each jurisdiction in which it conducts its business (collectively, the “</w:t>
      </w:r>
      <w:r>
        <w:rPr>
          <w:rFonts w:ascii="Arial" w:cs="Arial" w:eastAsia="Arial" w:hAnsi="Arial"/>
          <w:sz w:val="17"/>
          <w:szCs w:val="17"/>
          <w:u w:val="single" w:color="auto"/>
          <w:color w:val="auto"/>
        </w:rPr>
        <w:t>Health Care Laws</w:t>
      </w:r>
      <w:r>
        <w:rPr>
          <w:rFonts w:ascii="Arial" w:cs="Arial" w:eastAsia="Arial" w:hAnsi="Arial"/>
          <w:sz w:val="17"/>
          <w:szCs w:val="17"/>
          <w:color w:val="auto"/>
        </w:rPr>
        <w:t>”), including, without limitation, (A) the Federal Food, Drug and Cosmetic Act (21 U.S.C. §§ 301 et seq.), and the rules and regulations promulgated thereunder (as amended, collectively, the “</w:t>
      </w:r>
      <w:r>
        <w:rPr>
          <w:rFonts w:ascii="Arial" w:cs="Arial" w:eastAsia="Arial" w:hAnsi="Arial"/>
          <w:sz w:val="17"/>
          <w:szCs w:val="17"/>
          <w:u w:val="single" w:color="auto"/>
          <w:color w:val="auto"/>
        </w:rPr>
        <w:t>FFDCA</w:t>
      </w:r>
      <w:r>
        <w:rPr>
          <w:rFonts w:ascii="Arial" w:cs="Arial" w:eastAsia="Arial" w:hAnsi="Arial"/>
          <w:sz w:val="17"/>
          <w:szCs w:val="17"/>
          <w:color w:val="auto"/>
        </w:rPr>
        <w:t>”), (B) all applicable federal and state fraud and abuse laws, including, without limitation, the federal Anti-Kickback Statute (42 U.S.C. § 1320a-7(b)), the Stark Law (42 U.S.C. §1395nn), the civil False Claims Act (31 U.S.C. § 3729 et seq.), the administrative False Claims Law (42 U.S.C. § 1320a-7b(a)), Sections 1320a-7 and 1320a-7a of Title 42 of the United States Code and the regulations promulgated pursuant to such statutes, (C) the administrative simplification provisions of the Health Insurance Portability and Accountability Act of 1996 (18 U.S.C. §§669, 1035, 1347 and 1518; 42 U.S.C. §1320d et seq.) as amended by the Health Information Technology for Economic and Clinical Health Act of 2009 and the regulations promulgated thereunder, (D) the Medicare Prescription Drug, Improvement, and Modernization Act of 2003 (42 U.S.C. §1395w-101 et seq.) and the regulations promulgated thereunder, (E) the Patient Protection and Affordable Care Act, as amended by the Health Care and Education Affordability Reconciliation Act of 2010, (F) Medicare (Title XVIII of the Social Security Act) and the regulations promulgated thereunder, and (G) Medicaid (Title XIX of the Social Security Act) and the regulations promulgated thereunder, each of such applicable laws, rules and regulations as may be amended from time to time.</w:t>
      </w:r>
    </w:p>
    <w:p>
      <w:pPr>
        <w:spacing w:after="0" w:line="391"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9" w:name="page70"/>
    <w:bookmarkEnd w:id="69"/>
    <w:p>
      <w:pPr>
        <w:jc w:val="both"/>
        <w:ind w:left="644" w:hanging="644"/>
        <w:spacing w:after="0" w:line="287" w:lineRule="auto"/>
        <w:tabs>
          <w:tab w:leader="none" w:pos="644"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Cybersecurity</w:t>
      </w:r>
      <w:r>
        <w:rPr>
          <w:rFonts w:ascii="Arial" w:cs="Arial" w:eastAsia="Arial" w:hAnsi="Arial"/>
          <w:sz w:val="16"/>
          <w:szCs w:val="16"/>
          <w:color w:val="auto"/>
        </w:rPr>
        <w:t>. (i)(x) Except as disclosed in the Registration Statement and the Prospectus, or where the breach or compromise would not, individually or in the aggregate, reasonably be expected have a Material Adverse Effect, there has been no security breach or other compromise of or relating to any of the Company’s or its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and (y) the Company and its subsidiaries have not been notified of, and have no knowledge of any event or condition that would reasonably be expected to result in, any security breach or other compromise to their IT Systems and Data except where such event or condition would not, individually or in the aggregate, reasonably be expected have a Material Adverse Effect; and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w:t>
      </w:r>
    </w:p>
    <w:p>
      <w:pPr>
        <w:spacing w:after="0" w:line="168" w:lineRule="exact"/>
        <w:rPr>
          <w:sz w:val="20"/>
          <w:szCs w:val="20"/>
          <w:color w:val="auto"/>
        </w:rPr>
      </w:pPr>
    </w:p>
    <w:p>
      <w:pPr>
        <w:ind w:left="644" w:hanging="644"/>
        <w:spacing w:after="0"/>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Foreign Private Issuer</w:t>
      </w:r>
      <w:r>
        <w:rPr>
          <w:rFonts w:ascii="Arial" w:cs="Arial" w:eastAsia="Arial" w:hAnsi="Arial"/>
          <w:sz w:val="18"/>
          <w:szCs w:val="18"/>
          <w:color w:val="auto"/>
        </w:rPr>
        <w:t>. The Company is a “foreign private issuer” within the meaning of Rule 405 under the Securities Act.</w:t>
      </w:r>
    </w:p>
    <w:p>
      <w:pPr>
        <w:spacing w:after="0" w:line="225" w:lineRule="exact"/>
        <w:rPr>
          <w:rFonts w:ascii="Arial" w:cs="Arial" w:eastAsia="Arial" w:hAnsi="Arial"/>
          <w:sz w:val="18"/>
          <w:szCs w:val="18"/>
          <w:color w:val="auto"/>
        </w:rPr>
      </w:pPr>
    </w:p>
    <w:p>
      <w:pPr>
        <w:jc w:val="both"/>
        <w:ind w:left="644" w:hanging="644"/>
        <w:spacing w:after="0" w:line="273" w:lineRule="auto"/>
        <w:tabs>
          <w:tab w:leader="none" w:pos="644"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Stabilization</w:t>
      </w:r>
      <w:r>
        <w:rPr>
          <w:rFonts w:ascii="Arial" w:cs="Arial" w:eastAsia="Arial" w:hAnsi="Arial"/>
          <w:sz w:val="17"/>
          <w:szCs w:val="17"/>
          <w:color w:val="auto"/>
        </w:rPr>
        <w:t>. The Company has not taken, nor will it take, directly or indirectly, any action designed to, or which might reasonably be expected to cause or result in, or which has constituted or which might reasonably be expected to constitute, the stabilization or manipulation of the price of the Ordinary Shares or any security of the Company to facilitate the sale or resale of any of the Shares. The Company has not engaged and will not engage in any form of solicitation, advertising or other action constituting an offer or a sale under the Israeli Securities Law, and the regulations promulgated thereunder in connection with the transactions contemplated hereby which would require the publication of a prospectus in the State of Israel under the laws of the State of Israel.</w:t>
      </w:r>
    </w:p>
    <w:p>
      <w:pPr>
        <w:spacing w:after="0" w:line="387"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0" w:name="page71"/>
    <w:bookmarkEnd w:id="70"/>
    <w:p>
      <w:pPr>
        <w:jc w:val="both"/>
        <w:ind w:left="644" w:hanging="644"/>
        <w:spacing w:after="0" w:line="268" w:lineRule="auto"/>
        <w:tabs>
          <w:tab w:leader="none" w:pos="644"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Clinical Studies</w:t>
      </w:r>
      <w:r>
        <w:rPr>
          <w:rFonts w:ascii="Arial" w:cs="Arial" w:eastAsia="Arial" w:hAnsi="Arial"/>
          <w:sz w:val="17"/>
          <w:szCs w:val="17"/>
          <w:color w:val="auto"/>
        </w:rPr>
        <w:t>. The clinical, pre-clinical and other studies and tests conducted by or on behalf of the Company, any of its Subsidiaries or in which the Company or its products or product candidates has participated, were and, if still pending, are being conducted in material accordance with experimental protocols, procedures and controls and in material accordance with all applicable local, state, federal and foreign laws, rules, regulations and guidance, including, without limitation, the FFDCA. None of the descriptions of the tests and preclinical and clinical studies, conducted by or on behalf of the Company contained in the Registration Statement, the Disclosure Package and the Prospectus contains an untrue statement of a material fact or omits to state a material fact required to be stated therein or necessary to make the statements therein not misleading. The Company is not aware of any studies, tests or trials the results of which the Company believes reasonably call into question the study, test or trial results described or referred to in the Registration Statement, the Disclosure Package and the Prospectus when viewed in the context in which such results are described and the clinical state of development. Except to the extent disclosed in the Registration Statement, the Disclosure Package and the Prospectus, no investigational device exemption filed by or on behalf of the Company with the FDA or a Governmental Entity has been terminated or suspended by the FDA or Governmental Entity, and neither the FDA nor any Governmental Entity has commenced, or, to the knowledge of the Company, threatened to initiate, any action to place a clinical hold order on, or otherwise terminate or suspend any ongoing studies, tests or preclinical or clinical trials or investigations conducted or proposed to be conducted by or on behalf of the Company or any of its Subsidiaries.</w:t>
      </w:r>
    </w:p>
    <w:p>
      <w:pPr>
        <w:spacing w:after="0" w:line="181"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Lending Relationship</w:t>
      </w:r>
      <w:r>
        <w:rPr>
          <w:rFonts w:ascii="Arial" w:cs="Arial" w:eastAsia="Arial" w:hAnsi="Arial"/>
          <w:sz w:val="17"/>
          <w:szCs w:val="17"/>
          <w:color w:val="auto"/>
        </w:rPr>
        <w:t>. Except as disclosed in the Registration Statement, the Disclosure Package and the Prospectus, the Company (A) does not have any material lending or other relationship with any bank or lending affiliate of Canaccord and (B) does not intend to use any of the proceeds from the sale of the Placement Shares to repay any outstanding debt owed to any affiliate of Canaccord.</w:t>
      </w:r>
    </w:p>
    <w:p>
      <w:pPr>
        <w:spacing w:after="0" w:line="165"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Any statistical and market-related data included in the Registration Statement, the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186" w:lineRule="exact"/>
        <w:rPr>
          <w:rFonts w:ascii="Arial" w:cs="Arial" w:eastAsia="Arial" w:hAnsi="Arial"/>
          <w:sz w:val="18"/>
          <w:szCs w:val="18"/>
          <w:color w:val="auto"/>
        </w:rPr>
      </w:pPr>
    </w:p>
    <w:p>
      <w:pPr>
        <w:jc w:val="both"/>
        <w:ind w:left="644" w:hanging="644"/>
        <w:spacing w:after="0" w:line="279" w:lineRule="auto"/>
        <w:tabs>
          <w:tab w:leader="none" w:pos="644"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There are no business relationships or related-party transactions involving the Company, any of the Subsidiaries or any other person required to be described in the Registration Statement, the Prospectus and the Disclosure Package, which have not been described as required. The Disclosure Package contains in all material respects the description of the matters set forth in the preceding sentence contained in the Prospectus as required by the applicable law.</w:t>
      </w:r>
    </w:p>
    <w:p>
      <w:pPr>
        <w:spacing w:after="0" w:line="171"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Margin Rules</w:t>
      </w:r>
      <w:r>
        <w:rPr>
          <w:rFonts w:ascii="Arial" w:cs="Arial" w:eastAsia="Arial" w:hAnsi="Arial"/>
          <w:sz w:val="17"/>
          <w:szCs w:val="17"/>
          <w:color w:val="auto"/>
        </w:rPr>
        <w:t>. The application of the proceeds received by the Company from the issuance, sale and delivery of the Placement Shares as described in the Registration Statement, the Disclosure Package and the Prospectus will not violate Regulation T, U or X of the Board of Governors of the Federal Reserve System or any other regulation of such Board of Governors.</w:t>
      </w:r>
    </w:p>
    <w:p>
      <w:pPr>
        <w:spacing w:after="0" w:line="374"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1" w:name="page72"/>
    <w:bookmarkEnd w:id="71"/>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Canaccord that:</w:t>
      </w:r>
    </w:p>
    <w:p>
      <w:pPr>
        <w:spacing w:after="0" w:line="225"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Registration Statement Amendments</w:t>
      </w:r>
      <w:r>
        <w:rPr>
          <w:rFonts w:ascii="Arial" w:cs="Arial" w:eastAsia="Arial" w:hAnsi="Arial"/>
          <w:sz w:val="16"/>
          <w:szCs w:val="16"/>
          <w:color w:val="auto"/>
        </w:rPr>
        <w:t>. After the date of this Agreement and during the period in which a prospectus relating to the Placement Shares is required to be delivered by Canaccord under the Securities Act (including in circumstances where such requirement may be satisfied pursuant to Rule 172 or Rule 173(a) under the Securities Act), (i) the Company will notify Canaccord promptly of the time when any subsequent amendment to the Registration Statement has been filed with the Commission and has become effective (each, a “</w:t>
      </w:r>
      <w:r>
        <w:rPr>
          <w:rFonts w:ascii="Arial" w:cs="Arial" w:eastAsia="Arial" w:hAnsi="Arial"/>
          <w:sz w:val="16"/>
          <w:szCs w:val="16"/>
          <w:u w:val="single" w:color="auto"/>
          <w:color w:val="auto"/>
        </w:rPr>
        <w:t>Registration Statement Amendment Date</w:t>
      </w:r>
      <w:r>
        <w:rPr>
          <w:rFonts w:ascii="Arial" w:cs="Arial" w:eastAsia="Arial" w:hAnsi="Arial"/>
          <w:sz w:val="16"/>
          <w:szCs w:val="16"/>
          <w:color w:val="auto"/>
        </w:rPr>
        <w:t>”) or any subsequent supplement to the Prospectus has been filed and of any request by the Commission for any amendment or supplement to the Registration Statement or Prospectus or for additional information; (ii) the Company will file promptly all other material required to be filed by it with the Commission pursuant to Rule 433(d) under the Securities Act; (iii) it will prepare and file with the Commission, promptly upon Canaccord’s request, any amendments or supplements to the Registration Statement or Prospectus that, in Canaccord’s reasonable opinion, may be necessary or advisable in connection with the distribution of the Placement Shares by Canaccord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failure of Canaccord to make such request shall not relieve the Company of any obligation or liability hereunder, or affect Canaccord’s right to rely on the representations and warranties made by the Company in this Agreement); and (iv) the Company will submit to Canaccord a copy of any amendment or supplement to the Registration Statement or Prospectus a reasonable period of time before the filing thereof and will afford Canaccord and Canaccord’s counsel a reasonable opportunity to comment on any such proposed filing prior to such proposed filing; and the Company will cause each amendment or supplement to the Prospectus to be filed with the Commission as required pursuant to the applicable paragraph of Rule 424 (b) of the Rules and Regulations or, in the case of any document to be incorporated therein by reference, to be filed with the Commission as required pursuant to the Exchange Act, within the time period prescribed.</w:t>
      </w:r>
    </w:p>
    <w:p>
      <w:pPr>
        <w:spacing w:after="0" w:line="173"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Notice of Commission Stop Orders</w:t>
      </w:r>
      <w:r>
        <w:rPr>
          <w:rFonts w:ascii="Arial" w:cs="Arial" w:eastAsia="Arial" w:hAnsi="Arial"/>
          <w:sz w:val="17"/>
          <w:szCs w:val="17"/>
          <w:color w:val="auto"/>
        </w:rPr>
        <w:t>. The Company will advise Canaccord, promptly after it receives notice thereof, of the issuance by the Commission of any stop order or of any order preventing or suspending the use of the Prospectus or other prospectus in respect of the Shares, of any notice of objection of the Commission to the use of the form of the Registration Statement or any post-effective amendment thereto pursuant to Rule 401(g)(2) under the Securities Act, of the suspension of the qualification of the Shares for offering or sale in any jurisdiction, of the initiation or threatening of any proceeding for any such purpose, or of any request by the Commission for the amending or supplementing of the form of the Registration Statement or the Prospectus or for additional information; and, in the event of the issuance of any such stop order or of any such order preventing or suspending the use of the Prospectus in respect of the Shares or suspending any such qualification, to promptly use its commercially reasonable efforts to obtain the withdrawal of such order; and in the event of any such issuance of a notice of objection, promptly to take such reasonable steps as may be necessary to permit offers and sales of the Placement Shares by Canaccord, which may include, without limitation, amending the Registration Statement or filing a new registration statement, at the Company’s expense (references herein to the Registration Statement shall include any such amendment or new registration statement).</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left="644" w:hanging="644"/>
        <w:spacing w:after="0" w:line="287" w:lineRule="auto"/>
        <w:tabs>
          <w:tab w:leader="none" w:pos="644"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Delivery of Prospectus; Subsequent Changes</w:t>
      </w:r>
      <w:r>
        <w:rPr>
          <w:rFonts w:ascii="Arial" w:cs="Arial" w:eastAsia="Arial" w:hAnsi="Arial"/>
          <w:sz w:val="16"/>
          <w:szCs w:val="16"/>
          <w:color w:val="auto"/>
        </w:rPr>
        <w:t>. Within the time during which a prospectus relating to the Shares is required to be delivered by Canaccord under the Securities Act (including in circumstances where such requirement may be satisfied pursuant to Rule 172 or Rule 173(a) under the Securities Act), the Company will comply with all requirements imposed upon it by the Securities Act and by the Rules and Regulations, as from time to time in force, and will file on or before their respective due dates all reports required to be filed by it with the Commission pursuant to Sections 13(a), 13(c), 15(d), if applicable, or any other provision of or under the Exchange Act. If during such period any event occurs as a result of which the Prospectus as then amended or supplemented would include an untrue statement of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immediately notify Canaccord to suspend the offering of Shares during such period and the Company will promptly amend or supplement the Registration Statement or Prospectus (at the expense of the Company) so as to correct such statement or omission or effect such compliance.</w:t>
      </w:r>
    </w:p>
    <w:p>
      <w:pPr>
        <w:spacing w:after="0" w:line="171"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Nasdaq Filings</w:t>
      </w:r>
      <w:r>
        <w:rPr>
          <w:rFonts w:ascii="Arial" w:cs="Arial" w:eastAsia="Arial" w:hAnsi="Arial"/>
          <w:sz w:val="18"/>
          <w:szCs w:val="18"/>
          <w:color w:val="auto"/>
        </w:rPr>
        <w:t>. In connection with the offering and sale of the Placement Shares, the Company will file with The Nasdaq Capital Market all documents and notices, and make all certifications, required by The Nasdaq Capital Market of companies that have securities that are listed on The Nasdaq Capital Market.</w:t>
      </w:r>
    </w:p>
    <w:p>
      <w:pPr>
        <w:spacing w:after="0" w:line="183" w:lineRule="exact"/>
        <w:rPr>
          <w:rFonts w:ascii="Arial" w:cs="Arial" w:eastAsia="Arial" w:hAnsi="Arial"/>
          <w:sz w:val="18"/>
          <w:szCs w:val="18"/>
          <w:color w:val="auto"/>
        </w:rPr>
      </w:pPr>
    </w:p>
    <w:p>
      <w:pPr>
        <w:jc w:val="both"/>
        <w:ind w:left="644" w:hanging="644"/>
        <w:spacing w:after="0" w:line="273" w:lineRule="auto"/>
        <w:tabs>
          <w:tab w:leader="none" w:pos="64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Listing of Placement Shares</w:t>
      </w:r>
      <w:r>
        <w:rPr>
          <w:rFonts w:ascii="Arial" w:cs="Arial" w:eastAsia="Arial" w:hAnsi="Arial"/>
          <w:sz w:val="17"/>
          <w:szCs w:val="17"/>
          <w:color w:val="auto"/>
        </w:rPr>
        <w:t>. The Company will use commercially reasonable efforts to cause the Placement Shares to be listed on the Principal Trading Market and to qualify the Placement Shares for sale under the securities laws of such jurisdictions as Canaccord designates and to continue such qualifications in effect so long as required for the distribution of the Placement Shares; provided that the Company shall not be required in connection therewith to qualify as a foreign corporation or other entity or as a dealer in securities in any such jurisdiction where it would not otherwise be required to so qualify or to file a general consent to service of process in any such jurisdiction or subject itself to taxation in any such jurisdiction if it is not otherwise so subject.</w:t>
      </w:r>
    </w:p>
    <w:p>
      <w:pPr>
        <w:spacing w:after="0" w:line="387"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3" w:name="page74"/>
    <w:bookmarkEnd w:id="73"/>
    <w:p>
      <w:pPr>
        <w:jc w:val="both"/>
        <w:ind w:left="644" w:hanging="644"/>
        <w:spacing w:after="0" w:line="272" w:lineRule="auto"/>
        <w:tabs>
          <w:tab w:leader="none" w:pos="64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Delivery of Registration Statement and Prospectus</w:t>
      </w:r>
      <w:r>
        <w:rPr>
          <w:rFonts w:ascii="Arial" w:cs="Arial" w:eastAsia="Arial" w:hAnsi="Arial"/>
          <w:sz w:val="17"/>
          <w:szCs w:val="17"/>
          <w:color w:val="auto"/>
        </w:rPr>
        <w:t>. The Company will furnish to Canaccord and its counsel (at the expense of the Company) copies of the Registration Statement, the Prospectus (including all documents incorporated by reference therein) and all amendments and supplements to the Registration Statement or Prospectus that are filed with the Commission during the period in which a prospectus relating to the Shares is required to be delivered under the Securities Act (including all documents filed with the Commission during such period that are deemed to be incorporated by reference therein), in each case as soon as reasonably practicable and in such quantities as Canaccord may from time to time reasonably request and, at Canaccord’s request, will also furnish copies of the Prospectus to each exchange or market on which sales of Placement Shares may be made.</w:t>
      </w:r>
    </w:p>
    <w:p>
      <w:pPr>
        <w:spacing w:after="0" w:line="177" w:lineRule="exact"/>
        <w:rPr>
          <w:rFonts w:ascii="Arial" w:cs="Arial" w:eastAsia="Arial" w:hAnsi="Arial"/>
          <w:sz w:val="17"/>
          <w:szCs w:val="17"/>
          <w:color w:val="auto"/>
        </w:rPr>
      </w:pPr>
    </w:p>
    <w:p>
      <w:pPr>
        <w:ind w:left="644" w:hanging="644"/>
        <w:spacing w:after="0"/>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69" w:lineRule="auto"/>
        <w:tabs>
          <w:tab w:leader="none" w:pos="1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The Company, whether or not the transactions contemplated hereunder are consummated or this Agreement is terminated, will pay or cause to be paid all expenses incident to the performance of its obligations hereunder, including but not limited to (i) the preparation, printing and filing of the Registration Statement and each amendment and supplement thereto, of each Prospectus and of each amendment and supplement thereto and each Issuer Free Writing Prospectus (as defined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this Agreement), (ii) the preparation, issuance and delivery of the Placement Shares, (iii) all fees and disbursements of the Company’s counsel, accountants and other advisors, (iv) the qualification of the Placement Shares under securities laws in accordance with the provisions of </w:t>
      </w:r>
      <w:r>
        <w:rPr>
          <w:rFonts w:ascii="Arial" w:cs="Arial" w:eastAsia="Arial" w:hAnsi="Arial"/>
          <w:sz w:val="17"/>
          <w:szCs w:val="17"/>
          <w:u w:val="single" w:color="auto"/>
          <w:color w:val="auto"/>
        </w:rPr>
        <w:t>Section 7(e)</w:t>
      </w:r>
      <w:r>
        <w:rPr>
          <w:rFonts w:ascii="Arial" w:cs="Arial" w:eastAsia="Arial" w:hAnsi="Arial"/>
          <w:sz w:val="17"/>
          <w:szCs w:val="17"/>
          <w:color w:val="auto"/>
        </w:rPr>
        <w:t xml:space="preserve"> of this Agreement, including filing fees in connection therewith, (v) the printing and delivery to Canaccord of copies of the Prospectus and any amendments or supplements thereto, and of this Agreement, (vi) the fees and expenses incurred in connection with the listing or qualification of the Placement Shares for trading on the Exchange, and (vii) any filing fees and expenses incident to any review by the Financial Industry Regulatory Authority (including reasonable fees and disbursements of counsel to Canaccord incurred in connection therewith not to exceed $5,000) of the terms of the sale of the Placement Shares.</w:t>
      </w:r>
    </w:p>
    <w:p>
      <w:pPr>
        <w:spacing w:after="0" w:line="178" w:lineRule="exact"/>
        <w:rPr>
          <w:rFonts w:ascii="Arial" w:cs="Arial" w:eastAsia="Arial" w:hAnsi="Arial"/>
          <w:sz w:val="17"/>
          <w:szCs w:val="17"/>
          <w:color w:val="auto"/>
        </w:rPr>
      </w:pPr>
    </w:p>
    <w:p>
      <w:pPr>
        <w:jc w:val="both"/>
        <w:ind w:left="1304" w:hanging="656"/>
        <w:spacing w:after="0" w:line="273" w:lineRule="auto"/>
        <w:tabs>
          <w:tab w:leader="none" w:pos="1304" w:val="left"/>
        </w:tabs>
        <w:numPr>
          <w:ilvl w:val="1"/>
          <w:numId w:val="67"/>
        </w:numPr>
        <w:rPr>
          <w:rFonts w:ascii="Arial" w:cs="Arial" w:eastAsia="Arial" w:hAnsi="Arial"/>
          <w:sz w:val="17"/>
          <w:szCs w:val="17"/>
          <w:color w:val="auto"/>
        </w:rPr>
      </w:pPr>
      <w:r>
        <w:rPr>
          <w:rFonts w:ascii="Arial" w:cs="Arial" w:eastAsia="Arial" w:hAnsi="Arial"/>
          <w:sz w:val="17"/>
          <w:szCs w:val="17"/>
          <w:color w:val="auto"/>
        </w:rPr>
        <w:t>In addition to any fees that may be payable to Canaccord hereunder and regardless of whether or not the transactions contemplated hereunder are consummated or this Agreement is terminated, the Company shall reimburse Canaccord for all of its reasonable expenses, up to a maximum reimbursement of $50,000, arising out of this Agreement (including travel and related expenses, the costs of document preparation, production and distribution, third party research and database services and the reasonable fees and disbursements of counsel to Canaccord) within ten (10) days of the presentation by Canaccord to the Company of a reasonably detailed statement therefor.</w:t>
      </w:r>
    </w:p>
    <w:p>
      <w:pPr>
        <w:spacing w:after="0" w:line="387"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4" w:name="page75"/>
    <w:bookmarkEnd w:id="74"/>
    <w:p>
      <w:pPr>
        <w:ind w:left="644" w:hanging="644"/>
        <w:spacing w:after="0"/>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will use the Net Proceeds as described in the Prospectus.</w:t>
      </w:r>
    </w:p>
    <w:p>
      <w:pPr>
        <w:spacing w:after="0" w:line="225" w:lineRule="exact"/>
        <w:rPr>
          <w:rFonts w:ascii="Arial" w:cs="Arial" w:eastAsia="Arial" w:hAnsi="Arial"/>
          <w:sz w:val="18"/>
          <w:szCs w:val="18"/>
          <w:color w:val="auto"/>
        </w:rPr>
      </w:pPr>
    </w:p>
    <w:p>
      <w:pPr>
        <w:jc w:val="both"/>
        <w:ind w:left="644" w:hanging="644"/>
        <w:spacing w:after="0" w:line="282" w:lineRule="auto"/>
        <w:tabs>
          <w:tab w:leader="none" w:pos="644"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Other Sales</w:t>
      </w:r>
      <w:r>
        <w:rPr>
          <w:rFonts w:ascii="Arial" w:cs="Arial" w:eastAsia="Arial" w:hAnsi="Arial"/>
          <w:sz w:val="16"/>
          <w:szCs w:val="16"/>
          <w:color w:val="auto"/>
        </w:rPr>
        <w:t xml:space="preserve">. Without the prior written consent of Canaccord (which consent shall not be unreasonably withheld, conditioned or delayed), the Company will not (A) directly or indirectly, offer to sell, sell, announce the intention to sell, contract to sell, pledge, lend, grant or sell any option, right or warrant to sell or any contract to purchase, purchase any contract or option to sell or otherwise transfer or dispose of any shares of Ordinary Shares (other than the Shares offered pursuant to the provisions of this Agreement) or securities convertible into or exchangeable for Ordinary Shares, warrants or any rights to purchase or acquire, Ordinary Shares or file any registration statement under the Securities Act with respect to any of the foregoing (other than a registration statement on Form S-8), or (B) enter into any swap or other agreement or any transaction that transfers in whole or in part, directly or indirectly, any of the economic consequence of ownership of the Ordinary Shares, or any securities convertible into or exchangeable or exercisable for or repayable with Ordinary Shares, whether any such swap or transaction described in clause (A) or (B) above is to be settled by delivery of Ordinary Shares or such other securities, in cash or otherwise, during the period beginning on the fifth (5th) Business Day immediately prior to the date on which any Placement Notice is delivered by the Company hereunder and ending on the fifth (5th) Business Day immediately following the final Settlement Date with respect to Placement Shares sold pursuant to such Placement Notice; and without the prior written consent of Canaccord (which consent shall not be unreasonably withheld), the Company will not directly or indirectly in any other “at the market” or continuous equity transaction offer to sell, sell, contract to sell, grant any option to sell or otherwise dispose of any shares of Ordinary Shares (other than the Placement Shares offered pursuant to the provisions of this Agreement) or securities convertible into or exchangeable for Ordinary Shares, warrants or any rights to purchase or acquire, Ordinary Shares prior to the later of the termination of this Agreement and the thirtieth (30th) day immediately following the final Settlement Date with respect to Placement Shares sold pursuant to such Placement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restrictions will not be applicable to the Company’s issuance or sale of</w:t>
      </w:r>
    </w:p>
    <w:p>
      <w:pPr>
        <w:spacing w:after="0" w:line="11" w:lineRule="exact"/>
        <w:rPr>
          <w:rFonts w:ascii="Arial" w:cs="Arial" w:eastAsia="Arial" w:hAnsi="Arial"/>
          <w:sz w:val="16"/>
          <w:szCs w:val="16"/>
          <w:color w:val="auto"/>
        </w:rPr>
      </w:pPr>
    </w:p>
    <w:p>
      <w:pPr>
        <w:jc w:val="both"/>
        <w:ind w:left="644"/>
        <w:spacing w:after="0" w:line="252" w:lineRule="auto"/>
        <w:rPr>
          <w:rFonts w:ascii="Arial" w:cs="Arial" w:eastAsia="Arial" w:hAnsi="Arial"/>
          <w:sz w:val="16"/>
          <w:szCs w:val="16"/>
          <w:color w:val="auto"/>
        </w:rPr>
      </w:pPr>
      <w:r>
        <w:rPr>
          <w:rFonts w:ascii="Arial" w:cs="Arial" w:eastAsia="Arial" w:hAnsi="Arial"/>
          <w:sz w:val="18"/>
          <w:szCs w:val="18"/>
          <w:color w:val="auto"/>
        </w:rPr>
        <w:t>(i) Ordinary Shares, options to purchase shares of Ordinary Shares or Ordinary Shares issuable upon the exercise of options, pursuant to any employee or director (x) Company Equity Incentive Plan, (y) share ownership plan or (z) dividend reinvestment plan (but not shares subject to a waiver to exceed plan limits in its dividend reinvestment plan) of the Company whether now in effect or hereafter implemented, and (ii) Ordinary Shares issuable upon conversion of securities or the exercise of warrants, options or other rights in effect or outstanding on the date hereof, and disclosed in writing to Canaccord or otherwise disclosed in the Registration Statement, Prospectus or Disclosure Package.</w:t>
      </w:r>
    </w:p>
    <w:p>
      <w:pPr>
        <w:spacing w:after="0" w:line="193" w:lineRule="exact"/>
        <w:rPr>
          <w:rFonts w:ascii="Arial" w:cs="Arial" w:eastAsia="Arial" w:hAnsi="Arial"/>
          <w:sz w:val="16"/>
          <w:szCs w:val="16"/>
          <w:color w:val="auto"/>
        </w:rPr>
      </w:pPr>
    </w:p>
    <w:p>
      <w:pPr>
        <w:jc w:val="both"/>
        <w:ind w:left="644" w:hanging="644"/>
        <w:spacing w:after="0" w:line="286" w:lineRule="auto"/>
        <w:tabs>
          <w:tab w:leader="none" w:pos="64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Change of Circumstances</w:t>
      </w:r>
      <w:r>
        <w:rPr>
          <w:rFonts w:ascii="Arial" w:cs="Arial" w:eastAsia="Arial" w:hAnsi="Arial"/>
          <w:sz w:val="17"/>
          <w:szCs w:val="17"/>
          <w:color w:val="auto"/>
        </w:rPr>
        <w:t>. The Company will, at any time during the term of this Agreement, as supplemented from time to time, advise Canaccord immediately after it shall have received notice or obtained knowledge thereof, of any information or fact that would materially alter or affect any opinion, certificate, letter or other document provided to Canaccord pursuant to this Agreement.</w:t>
      </w:r>
    </w:p>
    <w:p>
      <w:pPr>
        <w:spacing w:after="0" w:line="374"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5" w:name="page76"/>
    <w:bookmarkEnd w:id="75"/>
    <w:p>
      <w:pPr>
        <w:jc w:val="both"/>
        <w:ind w:left="644" w:hanging="644"/>
        <w:spacing w:after="0" w:line="279" w:lineRule="auto"/>
        <w:tabs>
          <w:tab w:leader="none" w:pos="644"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Due Diligence Cooperation</w:t>
      </w:r>
      <w:r>
        <w:rPr>
          <w:rFonts w:ascii="Arial" w:cs="Arial" w:eastAsia="Arial" w:hAnsi="Arial"/>
          <w:sz w:val="17"/>
          <w:szCs w:val="17"/>
          <w:color w:val="auto"/>
        </w:rPr>
        <w:t xml:space="preserve">. The Company will cooperate with any due diligence review conducted by Canaccord or its agents, including, without limitation, providing information and making available documents and senior corporate officers, as Canaccord may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be required to make available senior corporate officers only (i) by telephone or at the Company’s principal offices and (ii) during the Company’s ordinary business hours.</w:t>
      </w:r>
    </w:p>
    <w:p>
      <w:pPr>
        <w:spacing w:after="0" w:line="171" w:lineRule="exact"/>
        <w:rPr>
          <w:rFonts w:ascii="Arial" w:cs="Arial" w:eastAsia="Arial" w:hAnsi="Arial"/>
          <w:sz w:val="17"/>
          <w:szCs w:val="17"/>
          <w:color w:val="auto"/>
        </w:rPr>
      </w:pPr>
    </w:p>
    <w:p>
      <w:pPr>
        <w:jc w:val="both"/>
        <w:ind w:left="644" w:hanging="644"/>
        <w:spacing w:after="0" w:line="255"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Affirmation of Representations, Warranties, Covenants and Other Agreements</w:t>
      </w:r>
      <w:r>
        <w:rPr>
          <w:rFonts w:ascii="Arial" w:cs="Arial" w:eastAsia="Arial" w:hAnsi="Arial"/>
          <w:sz w:val="18"/>
          <w:szCs w:val="18"/>
          <w:color w:val="auto"/>
        </w:rPr>
        <w:t xml:space="preserve">. Upon commencement of the offering of the Placement Shares under this Agreement (and upon the recommencement of the offering of the Placement Shares under this Agreement following any termination of a suspension of sales hereunder), and at each Applicable Time, each Settlement Date, each Registration Statement Amendment Date (as defined below) and each Company Periodic Report Date (as defined below), in each case, to the extent no waiver is applicable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the Company shall be deemed to have affirmed each representation, warranty, covenant and other agreement contained in this Agreement.</w:t>
      </w:r>
    </w:p>
    <w:p>
      <w:pPr>
        <w:spacing w:after="0" w:line="192"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Required Filings Relating to Placement of Placement Shares</w:t>
      </w:r>
      <w:r>
        <w:rPr>
          <w:rFonts w:ascii="Arial" w:cs="Arial" w:eastAsia="Arial" w:hAnsi="Arial"/>
          <w:sz w:val="18"/>
          <w:szCs w:val="18"/>
          <w:color w:val="auto"/>
        </w:rPr>
        <w:t>. In each Annual Report on Form 20-F or Quarterly Report on Form 6-K filed by the Company in respect of any quarter in which sales of Placement Shares were made by Canaccord under this Agreement (each date on which any such document is filed, and any date on which an amendment to any such document is filed, a “</w:t>
      </w:r>
      <w:r>
        <w:rPr>
          <w:rFonts w:ascii="Arial" w:cs="Arial" w:eastAsia="Arial" w:hAnsi="Arial"/>
          <w:sz w:val="18"/>
          <w:szCs w:val="18"/>
          <w:u w:val="single" w:color="auto"/>
          <w:color w:val="auto"/>
        </w:rPr>
        <w:t>Company Periodic</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Report Date</w:t>
      </w:r>
      <w:r>
        <w:rPr>
          <w:rFonts w:ascii="Arial" w:cs="Arial" w:eastAsia="Arial" w:hAnsi="Arial"/>
          <w:sz w:val="18"/>
          <w:szCs w:val="18"/>
          <w:color w:val="auto"/>
        </w:rPr>
        <w:t>”), the Company shall set forth with regard to such quarter the number of Shares sold through Canaccord under this Agreement, the Net Proceeds received by the Company and the compensation paid by the Company to Canaccord with respect to sales of Placement Shares pursuant to this Agreement.</w:t>
      </w:r>
    </w:p>
    <w:p>
      <w:pPr>
        <w:spacing w:after="0" w:line="192" w:lineRule="exact"/>
        <w:rPr>
          <w:rFonts w:ascii="Arial" w:cs="Arial" w:eastAsia="Arial" w:hAnsi="Arial"/>
          <w:sz w:val="18"/>
          <w:szCs w:val="18"/>
          <w:color w:val="auto"/>
        </w:rPr>
      </w:pPr>
    </w:p>
    <w:p>
      <w:pPr>
        <w:jc w:val="both"/>
        <w:ind w:left="644" w:hanging="644"/>
        <w:spacing w:after="0" w:line="285" w:lineRule="auto"/>
        <w:tabs>
          <w:tab w:leader="none" w:pos="644"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Representation Dates; Certificate</w:t>
      </w:r>
      <w:r>
        <w:rPr>
          <w:rFonts w:ascii="Arial" w:cs="Arial" w:eastAsia="Arial" w:hAnsi="Arial"/>
          <w:sz w:val="16"/>
          <w:szCs w:val="16"/>
          <w:color w:val="auto"/>
        </w:rPr>
        <w:t>. During the term of this Agreement, on the date of each Placement Notice given hereunder, promptly upon each request of Canaccord, and each time the Company (i) 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to the Registration Statement or the Prospectus relating to the Placement Shares; (ii) files an annual report on Form 20-F under the Exchange Act; or (iii) files a report on Form 6-K containing amended financial information (other than an earnings release, to “furnish” information pursuant to Form 6-K relating to the reclassifications of certain properties as discontinued operations in accordance with Statement of Financial Accounting Standards No. 144) under the Exchange Act (each date of filing of one or more of the documents referred to in clauses (i) through (iv) shall be a “</w:t>
      </w:r>
      <w:r>
        <w:rPr>
          <w:rFonts w:ascii="Arial" w:cs="Arial" w:eastAsia="Arial" w:hAnsi="Arial"/>
          <w:sz w:val="16"/>
          <w:szCs w:val="16"/>
          <w:u w:val="single" w:color="auto"/>
          <w:color w:val="auto"/>
        </w:rPr>
        <w:t>Representation Date</w:t>
      </w:r>
      <w:r>
        <w:rPr>
          <w:rFonts w:ascii="Arial" w:cs="Arial" w:eastAsia="Arial" w:hAnsi="Arial"/>
          <w:sz w:val="16"/>
          <w:szCs w:val="16"/>
          <w:color w:val="auto"/>
        </w:rPr>
        <w:t xml:space="preserve">”); the Company shall furnish Canaccord (but in the case of clause (iv) above only if Canaccord reasonably determines that the financial information contained in such Form 6-K is material) with a certificate,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requirement to provide a certificate under this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waiver shall not apply for any Representation Date on which the Company files its annual report on Form 20-F.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Notwithstanding the foregoing, if the Company subsequently decides to sell Placement Shares following a Representation Date when the Company relied on such waiver and did not provide Canaccord with a certificate under this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then before the Company delivers the Placement Notice or Canaccord sells any Placement Shares, the Company shall provide Canaccord with a certificate,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dated the date of the Placement Notice.</w:t>
      </w:r>
    </w:p>
    <w:p>
      <w:pPr>
        <w:spacing w:after="0" w:line="378"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6" w:name="page77"/>
    <w:bookmarkEnd w:id="76"/>
    <w:p>
      <w:pPr>
        <w:jc w:val="both"/>
        <w:ind w:left="644" w:hanging="644"/>
        <w:spacing w:after="0" w:line="285" w:lineRule="auto"/>
        <w:tabs>
          <w:tab w:leader="none" w:pos="644"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Upon execution of this Agreement, upon commencement of the offering of Placement Shares under this Agreement (and upon the recommencement of the offering of the Placement Shares under this Agreement following any termination of a suspension of sales hereunder), and promptly after each (i) Registration Statement Amendment Date, (ii) Company Periodic Report Date, and (iii) each reasonable request by Canaccord, in each case, to the extent no waiver is applicable pursuant to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the Company will furnish or cause to be furnished to Canaccord the written opinion and negative assurance letter, to the extent applicable, of (a) Davis Polk &amp; Wardwell LLP, U.S. special counsel for the Company, (b) Herzog Fox &amp; Neeman, Israeli legal counsel for the Company, and, (c) Ehrlich &amp; Fenster LTD, patent counsel for the Company, dated the date of this Agreement or the date of such commencement or recommencement or the date of effectiveness of such amendment or the date of filing with the Commission of such supplement or other document, as the case may be, in a form and substance reasonably satisfactory to Canaccord and its counsel, </w:t>
      </w:r>
      <w:r>
        <w:rPr>
          <w:rFonts w:ascii="Arial" w:cs="Arial" w:eastAsia="Arial" w:hAnsi="Arial"/>
          <w:sz w:val="16"/>
          <w:szCs w:val="16"/>
          <w:i w:val="1"/>
          <w:iCs w:val="1"/>
          <w:color w:val="auto"/>
        </w:rPr>
        <w:t>provided, however</w:t>
      </w:r>
      <w:r>
        <w:rPr>
          <w:rFonts w:ascii="Arial" w:cs="Arial" w:eastAsia="Arial" w:hAnsi="Arial"/>
          <w:sz w:val="16"/>
          <w:szCs w:val="16"/>
          <w:color w:val="auto"/>
        </w:rPr>
        <w:t>, in lieu of such opinion and letter, counsel last furnishing such letter to Canaccord shall furnish Canaccord with a letter substantially to the effect that Canaccord may rely on such last opinion and letter to the same extent as though each were dated the date of such letter authorizing reliance (except that statements in such last letter shall be deemed to relate to the Registration Statement and the Prospectus as amended and supplemented to the time of delivery of such letter authorizing reliance). As used in this paragraph, to the extent there shall be an Applicable Time on or following the date referred to in clause (i) or (ii) above, promptly shall be deemed to be on or prior to the next succeeding Applicable Time. Such opinion and negative assurance letter, to the extent applicable, shall be rendered to Canaccord at the request of the Company and shall state so therein.</w:t>
      </w:r>
    </w:p>
    <w:p>
      <w:pPr>
        <w:spacing w:after="0" w:line="176" w:lineRule="exact"/>
        <w:rPr>
          <w:rFonts w:ascii="Arial" w:cs="Arial" w:eastAsia="Arial" w:hAnsi="Arial"/>
          <w:sz w:val="16"/>
          <w:szCs w:val="16"/>
          <w:color w:val="auto"/>
        </w:rPr>
      </w:pPr>
    </w:p>
    <w:p>
      <w:pPr>
        <w:jc w:val="both"/>
        <w:ind w:left="644" w:hanging="644"/>
        <w:spacing w:after="0" w:line="286" w:lineRule="auto"/>
        <w:tabs>
          <w:tab w:leader="none" w:pos="644"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Comfort Letters</w:t>
      </w:r>
      <w:r>
        <w:rPr>
          <w:rFonts w:ascii="Arial" w:cs="Arial" w:eastAsia="Arial" w:hAnsi="Arial"/>
          <w:sz w:val="16"/>
          <w:szCs w:val="16"/>
          <w:color w:val="auto"/>
        </w:rPr>
        <w:t xml:space="preserve">. Upon execution of this Agreement, upon commencement of the offering of Placement Shares under this Agreement (and upon the recommencement of the offering of the Shares under this Agreement following any termination of a suspension of sales hereunder), and promptly after each (i) Registration Statement Amendment Date, (ii) Company Periodic Report Date, and (iii) each reasonable request by Canaccord, in each case, to the extent no waiver is applicable pursuant to </w:t>
      </w:r>
      <w:r>
        <w:rPr>
          <w:rFonts w:ascii="Arial" w:cs="Arial" w:eastAsia="Arial" w:hAnsi="Arial"/>
          <w:sz w:val="16"/>
          <w:szCs w:val="16"/>
          <w:u w:val="single" w:color="auto"/>
          <w:color w:val="auto"/>
        </w:rPr>
        <w:t>Section 7(n)</w:t>
      </w:r>
      <w:r>
        <w:rPr>
          <w:rFonts w:ascii="Arial" w:cs="Arial" w:eastAsia="Arial" w:hAnsi="Arial"/>
          <w:sz w:val="16"/>
          <w:szCs w:val="16"/>
          <w:color w:val="auto"/>
        </w:rPr>
        <w:t xml:space="preserve"> the Company shall cause its independent accountants reasonably satisfactory to Canaccord, to furnish Canaccord letters dated the date of this Agreement or the date of such commencement or recommencement or the date of effectiveness of such amendment or the date of filing of such supplement or other document with the Commission, as the case may be (the “</w:t>
      </w:r>
      <w:r>
        <w:rPr>
          <w:rFonts w:ascii="Arial" w:cs="Arial" w:eastAsia="Arial" w:hAnsi="Arial"/>
          <w:sz w:val="16"/>
          <w:szCs w:val="16"/>
          <w:u w:val="single" w:color="auto"/>
          <w:color w:val="auto"/>
        </w:rPr>
        <w:t>Comfort Letters</w:t>
      </w:r>
      <w:r>
        <w:rPr>
          <w:rFonts w:ascii="Arial" w:cs="Arial" w:eastAsia="Arial" w:hAnsi="Arial"/>
          <w:sz w:val="16"/>
          <w:szCs w:val="16"/>
          <w:color w:val="auto"/>
        </w:rPr>
        <w:t>”), in form and substance satisfactory to Canaccord, (i) confirming that they are registered independent public accountants within the meaning of the Securities Act and are in compliance with the applicable requirements relating to the qualification of accountants under Rule 2-01 of Regulation S-X of the Commission, (ii) stating, as of such date, the conclusions and findings of such firm with respect to the financial information and other matters included in or incorporated by reference in the Registration Statement as ordinarily covered by accountants’ “comfort letters” to underwriters in connection with registered public offerings (the first such letter, the “</w:t>
      </w:r>
      <w:r>
        <w:rPr>
          <w:rFonts w:ascii="Arial" w:cs="Arial" w:eastAsia="Arial" w:hAnsi="Arial"/>
          <w:sz w:val="16"/>
          <w:szCs w:val="16"/>
          <w:u w:val="single" w:color="auto"/>
          <w:color w:val="auto"/>
        </w:rPr>
        <w:t>Initial Comfort Letter</w:t>
      </w:r>
      <w:r>
        <w:rPr>
          <w:rFonts w:ascii="Arial" w:cs="Arial" w:eastAsia="Arial" w:hAnsi="Arial"/>
          <w:sz w:val="16"/>
          <w:szCs w:val="16"/>
          <w:color w:val="auto"/>
        </w:rPr>
        <w:t>”) and (iii) updating the Initial Comfort Letter with any information which would have been included in the Initial Comfort Letter had it been given on such date and modified as necessary to relate to the Registration Statement and the Prospectus, as amended and supplemented to the date of such letter.</w:t>
      </w:r>
    </w:p>
    <w:p>
      <w:pPr>
        <w:spacing w:after="0" w:line="170" w:lineRule="exact"/>
        <w:rPr>
          <w:rFonts w:ascii="Arial" w:cs="Arial" w:eastAsia="Arial" w:hAnsi="Arial"/>
          <w:sz w:val="16"/>
          <w:szCs w:val="16"/>
          <w:color w:val="auto"/>
        </w:rPr>
      </w:pPr>
    </w:p>
    <w:p>
      <w:pPr>
        <w:jc w:val="both"/>
        <w:ind w:left="644" w:hanging="644"/>
        <w:spacing w:after="0" w:line="259" w:lineRule="auto"/>
        <w:tabs>
          <w:tab w:leader="none" w:pos="64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without giving effect to activities by Canaccord, (i) take any action designed to cause or result in, or that constitutes or might reasonably be expected to constitute, the stabilization or manipulation of the price of any security of the Company to facilitate the sale or resale of the Shares or (ii) sell, bid for, or purchase the Shares, or pay anyone any compensation for soliciting purchases of the Shares other than Canaccord.</w:t>
      </w:r>
    </w:p>
    <w:p>
      <w:pPr>
        <w:spacing w:after="0" w:line="186"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shall maintain, or cause to be maintained, insurance in such amounts and covering such risks as is reasonable and customary for companies engaged in similar businesses in similar industries.</w:t>
      </w:r>
    </w:p>
    <w:p>
      <w:pPr>
        <w:spacing w:after="0" w:line="170" w:lineRule="exact"/>
        <w:rPr>
          <w:rFonts w:ascii="Arial" w:cs="Arial" w:eastAsia="Arial" w:hAnsi="Arial"/>
          <w:sz w:val="18"/>
          <w:szCs w:val="18"/>
          <w:color w:val="auto"/>
        </w:rPr>
      </w:pPr>
    </w:p>
    <w:p>
      <w:pPr>
        <w:jc w:val="both"/>
        <w:ind w:left="644" w:hanging="644"/>
        <w:spacing w:after="0" w:line="271" w:lineRule="auto"/>
        <w:tabs>
          <w:tab w:leader="none" w:pos="644"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Company and its Subsidiaries shall comply with all federal, state and local or foreign law, rule, regulation, ordinance, order or decree, except where failure to so comply would not reasonably be expected to have a Material Adverse Effect. Furthermore, the Company and its Subsidiaries shall maintain, or cause to be maintained, all material environmental permits, licenses and other material authorizations required by federal, state and local law in order to conduct their businesses as described in the Prospectus, and the Company and its Subsidiaries shall conduct their businesses, or cause their businesses to be conducted, in substantial compliance with such material permits, licenses and authorizations and with applicable environmental laws, except where the failure to maintain or be in compliance with such permits, licenses and authorizations would not reasonably be expected, individually or in the aggregate, to have a Material Adverse Effect.</w:t>
      </w:r>
    </w:p>
    <w:p>
      <w:pPr>
        <w:spacing w:after="0" w:line="387"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7" w:name="page78"/>
    <w:bookmarkEnd w:id="77"/>
    <w:p>
      <w:pPr>
        <w:jc w:val="both"/>
        <w:ind w:left="644" w:hanging="644"/>
        <w:spacing w:after="0" w:line="311" w:lineRule="auto"/>
        <w:tabs>
          <w:tab w:leader="none" w:pos="644"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will conduct its affairs in such a manner so as to reasonably ensure that it will not be or become, at any time prior to the termination of this Agreement, an “investment company,” as such term is defined in the Investment Company Act, assuming no change in the Commission’s current interpretation as to entities that are not considered an investment company.</w:t>
      </w:r>
    </w:p>
    <w:p>
      <w:pPr>
        <w:spacing w:after="0" w:line="148"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Securities Act and Exchange Act</w:t>
      </w:r>
      <w:r>
        <w:rPr>
          <w:rFonts w:ascii="Arial" w:cs="Arial" w:eastAsia="Arial" w:hAnsi="Arial"/>
          <w:sz w:val="18"/>
          <w:szCs w:val="18"/>
          <w:color w:val="auto"/>
        </w:rPr>
        <w:t>. The Company will use commercially reasonable efforts to comply with all requirements imposed upon it by the Securities Act and the Exchange Act as from time to time in force, so far as necessary to permit the continuance of sales of, or dealings in, the Shares as contemplated by the provisions hereof and the Prospectus.</w:t>
      </w:r>
    </w:p>
    <w:p>
      <w:pPr>
        <w:spacing w:after="0" w:line="183"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Offer to Sell</w:t>
      </w:r>
      <w:r>
        <w:rPr>
          <w:rFonts w:ascii="Arial" w:cs="Arial" w:eastAsia="Arial" w:hAnsi="Arial"/>
          <w:sz w:val="18"/>
          <w:szCs w:val="18"/>
          <w:color w:val="auto"/>
        </w:rPr>
        <w:t>. Other than a free writing prospectus (as defined in Rule 405 under the Securities Act) approved in advance by the Company and Canaccord in its capacity as principal or agent hereunder, neither Canaccord nor the Company (including its agents and representatives, other than Canaccord in its capacity as such) will make, use, prepare, authorize, approve or refer to any written communication (as defined in Rule 405 under the Securities Act), required to be filed by it with the Commission, that constitutes an offer to sell or solicitation of an offer to buy Ordinary Shares hereunder.</w:t>
      </w:r>
    </w:p>
    <w:p>
      <w:pPr>
        <w:spacing w:after="0" w:line="187"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 and the Subsidiaries will use their commercially reasonable efforts to comply with all effective applicable provisions of the Sarbanes-Oxley Act.</w:t>
      </w:r>
    </w:p>
    <w:p>
      <w:pPr>
        <w:spacing w:after="0" w:line="17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Consent to Canaccord Trading</w:t>
      </w:r>
      <w:r>
        <w:rPr>
          <w:rFonts w:ascii="Arial" w:cs="Arial" w:eastAsia="Arial" w:hAnsi="Arial"/>
          <w:sz w:val="18"/>
          <w:szCs w:val="18"/>
          <w:color w:val="auto"/>
        </w:rPr>
        <w:t>. The Company consents to Canaccord trading in the shares of Ordinary Shares of the Company for Canaccord’s own account and for the account of its clients at the same time as sales of Placement Shares occur pursuant to this Agreement.</w:t>
      </w:r>
    </w:p>
    <w:p>
      <w:pPr>
        <w:spacing w:after="0" w:line="183"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Rescission Offers</w:t>
      </w:r>
      <w:r>
        <w:rPr>
          <w:rFonts w:ascii="Arial" w:cs="Arial" w:eastAsia="Arial" w:hAnsi="Arial"/>
          <w:sz w:val="18"/>
          <w:szCs w:val="18"/>
          <w:color w:val="auto"/>
        </w:rPr>
        <w:t xml:space="preserve">. If, to the knowledge of the Company, all filings required by Rule 424 in connection with this offering shall not have been made or the representation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not be true and correct on the applicable Settlement Date, the Company will offer to any person who has agreed to purchase Placement Shares from the Company as the result of an offer to purchase solicited by Canaccord the right to refuse to purchase and pay for such Placement Shares.</w:t>
      </w:r>
    </w:p>
    <w:p>
      <w:pPr>
        <w:spacing w:after="0" w:line="186" w:lineRule="exact"/>
        <w:rPr>
          <w:rFonts w:ascii="Arial" w:cs="Arial" w:eastAsia="Arial" w:hAnsi="Arial"/>
          <w:sz w:val="18"/>
          <w:szCs w:val="18"/>
          <w:color w:val="auto"/>
        </w:rPr>
      </w:pPr>
    </w:p>
    <w:p>
      <w:pPr>
        <w:jc w:val="both"/>
        <w:ind w:left="644" w:hanging="644"/>
        <w:spacing w:after="0" w:line="301" w:lineRule="auto"/>
        <w:tabs>
          <w:tab w:leader="none" w:pos="644"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Actively Traded Security</w:t>
      </w:r>
      <w:r>
        <w:rPr>
          <w:rFonts w:ascii="Arial" w:cs="Arial" w:eastAsia="Arial" w:hAnsi="Arial"/>
          <w:sz w:val="16"/>
          <w:szCs w:val="16"/>
          <w:color w:val="auto"/>
        </w:rPr>
        <w:t>. If, at the time of execution of this Agreement, the Company’s Ordinary Shares are not an “actively traded security” exempted from the requirements of Rule 101 of Regulation M under the Exchange Act by subsection (c)(1) of such rule, the Company shall notify Canaccord at the time the Ordinary Shares becomes an “actively traded security” under such rule. Furthermore, the Company shall notify Canaccord immediately if the Ordinary Shares, having once qualified for such exemption, ceases to so qualify.</w:t>
      </w:r>
    </w:p>
    <w:p>
      <w:pPr>
        <w:spacing w:after="0" w:line="366"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8" w:name="page79"/>
    <w:bookmarkEnd w:id="78"/>
    <w:p>
      <w:pPr>
        <w:jc w:val="both"/>
        <w:ind w:left="1300" w:hanging="644"/>
        <w:spacing w:after="0" w:line="255"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Blue Sky Qualifications</w:t>
      </w:r>
      <w:r>
        <w:rPr>
          <w:rFonts w:ascii="Arial" w:cs="Arial" w:eastAsia="Arial" w:hAnsi="Arial"/>
          <w:sz w:val="18"/>
          <w:szCs w:val="18"/>
          <w:color w:val="auto"/>
        </w:rPr>
        <w:t>. The Company will use its commercially reasonable efforts, in cooperation with Canaccord, to qualify the Placement Shares for sale under the applicable securities laws of such states and other jurisdictions (domestic or foreign) as Canaccord may designate and to maintain such qualifications in effect so long as required to complete the sale of the Placement Shares;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9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The Company will promptly notify Canaccord if the Company ceases to be an Emerging Growth Company at any time prior to the termination of this Agreement.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Tax Indemnity</w:t>
      </w:r>
      <w:r>
        <w:rPr>
          <w:rFonts w:ascii="Arial" w:cs="Arial" w:eastAsia="Arial" w:hAnsi="Arial"/>
          <w:sz w:val="18"/>
          <w:szCs w:val="18"/>
          <w:color w:val="auto"/>
        </w:rPr>
        <w:t>. The Company will indemnify and hold harmless Canaccord against any documentary, stamp or similar issue tax, including any interest and penalties, on the issue and sale of the Placement Shares.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 and Covenants of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Issuer Free Writing Prospectuses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hanging="656"/>
        <w:spacing w:after="0" w:line="254" w:lineRule="auto"/>
        <w:tabs>
          <w:tab w:leader="none" w:pos="19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Company represents that it has not made, and covenants that, unless it obtains the prior written consent of Canaccord, it will not make any offer relating to the Shares that would constitute a “free writing prospectus” (as defined in Rule 405 of the Securities Act) (an “</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required to be filed by it with the Commission or retained by the Company under Rule 433 of the Securities Act; except as set forth in a Placement Notice, no use of any Issuer Free Writing Prospectus has been consented to by Canaccord. The Company agrees that it will comply with the requirements of Rules 164 and 433 of the Securities Act applicable to any Issuer Free Writing Prospectus, including timely filing with the Commission or retention where required and legending.</w:t>
      </w:r>
    </w:p>
    <w:p>
      <w:pPr>
        <w:spacing w:after="0" w:line="194" w:lineRule="exact"/>
        <w:rPr>
          <w:rFonts w:ascii="Arial" w:cs="Arial" w:eastAsia="Arial" w:hAnsi="Arial"/>
          <w:sz w:val="18"/>
          <w:szCs w:val="18"/>
          <w:color w:val="auto"/>
        </w:rPr>
      </w:pPr>
    </w:p>
    <w:p>
      <w:pPr>
        <w:jc w:val="both"/>
        <w:ind w:left="1960" w:hanging="656"/>
        <w:spacing w:after="0" w:line="272" w:lineRule="auto"/>
        <w:tabs>
          <w:tab w:leader="none" w:pos="1960" w:val="left"/>
        </w:tabs>
        <w:numPr>
          <w:ilvl w:val="2"/>
          <w:numId w:val="73"/>
        </w:numPr>
        <w:rPr>
          <w:rFonts w:ascii="Arial" w:cs="Arial" w:eastAsia="Arial" w:hAnsi="Arial"/>
          <w:sz w:val="17"/>
          <w:szCs w:val="17"/>
          <w:color w:val="auto"/>
        </w:rPr>
      </w:pPr>
      <w:r>
        <w:rPr>
          <w:rFonts w:ascii="Arial" w:cs="Arial" w:eastAsia="Arial" w:hAnsi="Arial"/>
          <w:sz w:val="17"/>
          <w:szCs w:val="17"/>
          <w:color w:val="auto"/>
        </w:rPr>
        <w:t>The Company agrees that no Issuer Free Writing Prospectus, if any, will include any information that conflicts with the information contained in the Registration Statement, including any document incorporated by reference therein that has not been superseded or modified, or the Prospectus. In addition, no Issuer Free Writing Prospectus, if any, will include an untrue statement of a material fact or omit to state a material fact necessary to make the statements therein, in light of the circumstances under which they were made, not misleading; provided however, the foregoing shall not apply to any statements or omissions in any Issuer Free Writing Prospectus made in reliance on information furnished in writing to the Company by Canaccord expressly stating that such information is intended for use therein.</w:t>
      </w:r>
    </w:p>
    <w:p>
      <w:pPr>
        <w:spacing w:after="0" w:line="177" w:lineRule="exact"/>
        <w:rPr>
          <w:rFonts w:ascii="Arial" w:cs="Arial" w:eastAsia="Arial" w:hAnsi="Arial"/>
          <w:sz w:val="17"/>
          <w:szCs w:val="17"/>
          <w:color w:val="auto"/>
        </w:rPr>
      </w:pPr>
    </w:p>
    <w:p>
      <w:pPr>
        <w:jc w:val="both"/>
        <w:ind w:left="1960" w:hanging="656"/>
        <w:spacing w:after="0" w:line="289" w:lineRule="auto"/>
        <w:tabs>
          <w:tab w:leader="none" w:pos="1960" w:val="left"/>
        </w:tabs>
        <w:numPr>
          <w:ilvl w:val="2"/>
          <w:numId w:val="73"/>
        </w:numPr>
        <w:rPr>
          <w:rFonts w:ascii="Arial" w:cs="Arial" w:eastAsia="Arial" w:hAnsi="Arial"/>
          <w:sz w:val="16"/>
          <w:szCs w:val="16"/>
          <w:color w:val="auto"/>
        </w:rPr>
      </w:pPr>
      <w:r>
        <w:rPr>
          <w:rFonts w:ascii="Arial" w:cs="Arial" w:eastAsia="Arial" w:hAnsi="Arial"/>
          <w:sz w:val="16"/>
          <w:szCs w:val="16"/>
          <w:color w:val="auto"/>
        </w:rPr>
        <w:t xml:space="preserve">The Company agrees that if at any time following issuance of an Issuer Free Writing Prospectus any event occurred or occurs as a result of which such Issuer Free Writing Prospectus would conflict with the information in the Registration Statement, including any document incorporated by reference therein that has not been superseded or modified, or the Prospectus or would include an untrue statement of a material fact or omit to state a material fact necessary to make the statements therein, in light of the circumstances under which they were made, not misleading, the Company will give prompt notice thereof to Canaccord and, if requested by Canaccord, will prepare and furnish without charge to Canaccord an Issuer Free Writing Prospectus or other document which will correct such conflict, statement or omission; </w:t>
      </w:r>
      <w:r>
        <w:rPr>
          <w:rFonts w:ascii="Arial" w:cs="Arial" w:eastAsia="Arial" w:hAnsi="Arial"/>
          <w:sz w:val="16"/>
          <w:szCs w:val="16"/>
          <w:i w:val="1"/>
          <w:iCs w:val="1"/>
          <w:color w:val="auto"/>
        </w:rPr>
        <w:t>provided, however</w:t>
      </w:r>
      <w:r>
        <w:rPr>
          <w:rFonts w:ascii="Arial" w:cs="Arial" w:eastAsia="Arial" w:hAnsi="Arial"/>
          <w:sz w:val="16"/>
          <w:szCs w:val="16"/>
          <w:color w:val="auto"/>
        </w:rPr>
        <w:t>, the foregoing shall not apply to any statements or omissions in any Issuer Free Writing Prospectus made in reliance on information furnished in writing to the Company by Canaccord expressly stating that such information is intended for use therein.</w:t>
      </w:r>
    </w:p>
    <w:p>
      <w:pPr>
        <w:spacing w:after="0" w:line="166" w:lineRule="exact"/>
        <w:rPr>
          <w:rFonts w:ascii="Arial" w:cs="Arial" w:eastAsia="Arial" w:hAnsi="Arial"/>
          <w:sz w:val="16"/>
          <w:szCs w:val="16"/>
          <w:color w:val="auto"/>
        </w:rPr>
      </w:pPr>
    </w:p>
    <w:p>
      <w:pPr>
        <w:jc w:val="both"/>
        <w:ind w:left="1300" w:hanging="644"/>
        <w:spacing w:after="0" w:line="273" w:lineRule="auto"/>
        <w:tabs>
          <w:tab w:leader="none" w:pos="1300"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Non-Issuer Free Writing Prospectus</w:t>
      </w:r>
      <w:r>
        <w:rPr>
          <w:rFonts w:ascii="Arial" w:cs="Arial" w:eastAsia="Arial" w:hAnsi="Arial"/>
          <w:sz w:val="17"/>
          <w:szCs w:val="17"/>
          <w:color w:val="auto"/>
        </w:rPr>
        <w:t>. The Company consents to the use by Canaccord of a free writing prospectus that (a) is not an “Issuer Free Writing Prospectus” as defined in Rule 433 under the Securities Act, and (b) contains only information describing the preliminary terms of the Shares or their offering, or information permitted under Rule 134 under the Securities Act; provided that Canaccord covenants with the Company not to take any action that would result in the Company being required to file with the Commission under Rule 433(d) under the Securities Act a free writing prospectus prepared by or on behalf of Canaccord that otherwise would not be required to be filed by the Company thereunder, but for the action of Canaccord.</w:t>
      </w:r>
    </w:p>
    <w:p>
      <w:pPr>
        <w:spacing w:after="0" w:line="177"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Distribution of Offering Materials</w:t>
      </w:r>
      <w:r>
        <w:rPr>
          <w:rFonts w:ascii="Arial" w:cs="Arial" w:eastAsia="Arial" w:hAnsi="Arial"/>
          <w:sz w:val="18"/>
          <w:szCs w:val="18"/>
          <w:color w:val="auto"/>
        </w:rPr>
        <w:t>. The Company has not distributed and will not distribute, during the term of this Agreement, any offering materials in connection with the offering and sale of the Placement Shares other than the Registration Statement, Prospectus or any Issuer Free Writing Prospectus reviewed and consented to by Canaccord and included in a Placement Notice (as described in clause (a)(i) above).</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8"/>
        <w:spacing w:after="0" w:line="301" w:lineRule="auto"/>
        <w:tabs>
          <w:tab w:leader="none" w:pos="998"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Conditions to Canaccord’s Obligations</w:t>
      </w:r>
      <w:r>
        <w:rPr>
          <w:rFonts w:ascii="Arial" w:cs="Arial" w:eastAsia="Arial" w:hAnsi="Arial"/>
          <w:sz w:val="16"/>
          <w:szCs w:val="16"/>
          <w:color w:val="auto"/>
        </w:rPr>
        <w:t>. The obligations of Canaccord hereunder with respect to a Placement will be subject to the continuing accuracy and completeness of the representations and warranties made by the Company herein and in the applicable Placement Notices, to the due performance by the Company of its obligations hereunder, to the completion by Canaccord of a due diligence review satisfactory to Canaccord in its reasonable judgment, and to the continuing satisfaction (or waiver by Canaccord in its sole discretion) of the following additional conditions:</w:t>
      </w:r>
    </w:p>
    <w:p>
      <w:pPr>
        <w:spacing w:after="0" w:line="157"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Registration Statement Effective</w:t>
      </w:r>
      <w:r>
        <w:rPr>
          <w:rFonts w:ascii="Arial" w:cs="Arial" w:eastAsia="Arial" w:hAnsi="Arial"/>
          <w:sz w:val="18"/>
          <w:szCs w:val="18"/>
          <w:color w:val="auto"/>
        </w:rPr>
        <w:t>. The Registration Statement shall have become effective and shall be available for the sale of (i) all Placement Shares issued pursuant to all prior Placements and not yet sold by Canaccord and (ii) all Placement Shares contemplated to be issued by the Placement Notice relating to such Placement.</w:t>
      </w:r>
    </w:p>
    <w:p>
      <w:pPr>
        <w:spacing w:after="0" w:line="183" w:lineRule="exact"/>
        <w:rPr>
          <w:rFonts w:ascii="Arial" w:cs="Arial" w:eastAsia="Arial" w:hAnsi="Arial"/>
          <w:sz w:val="18"/>
          <w:szCs w:val="18"/>
          <w:color w:val="auto"/>
        </w:rPr>
      </w:pPr>
    </w:p>
    <w:p>
      <w:pPr>
        <w:jc w:val="both"/>
        <w:ind w:left="1300" w:hanging="644"/>
        <w:spacing w:after="0" w:line="268" w:lineRule="auto"/>
        <w:tabs>
          <w:tab w:leader="none" w:pos="1300"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No Material Notices</w:t>
      </w:r>
      <w:r>
        <w:rPr>
          <w:rFonts w:ascii="Arial" w:cs="Arial" w:eastAsia="Arial" w:hAnsi="Arial"/>
          <w:sz w:val="17"/>
          <w:szCs w:val="17"/>
          <w:color w:val="auto"/>
        </w:rPr>
        <w:t>. None of the following events shall have occurred and be continuing: (i) receipt by the Company of any request for additional information from the Commission or any other federal or state or foreign or other governmental, administrative or self-regulatory authority during the period of effectiveness of the Registration Statement, the response to which might reasonably require any amendments or supplements to the Registration Statement or the Prospectus; (ii) the issuance by the Commission or any other federal or state or foreign or other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(iv) the occurrence of any event that makes any statement made in the Registration Statement or the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in the case of the Prospectus, it will not contain any untrue statement of a material fact or omit to state any material fact required to be stated therein or necessary to make the statements therein, in the light of the circumstances under which they were made, not misleading; and (v) the Company’s reasonable determination that a post-effective amendment to the Registration Statement would be appropriate.</w:t>
      </w:r>
    </w:p>
    <w:p>
      <w:pPr>
        <w:spacing w:after="0" w:line="181" w:lineRule="exact"/>
        <w:rPr>
          <w:rFonts w:ascii="Arial" w:cs="Arial" w:eastAsia="Arial" w:hAnsi="Arial"/>
          <w:sz w:val="17"/>
          <w:szCs w:val="17"/>
          <w:color w:val="auto"/>
        </w:rPr>
      </w:pPr>
    </w:p>
    <w:p>
      <w:pPr>
        <w:jc w:val="both"/>
        <w:ind w:left="1300" w:hanging="644"/>
        <w:spacing w:after="0" w:line="311" w:lineRule="auto"/>
        <w:tabs>
          <w:tab w:leader="none" w:pos="1300"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No Misstatement or Material Omission</w:t>
      </w:r>
      <w:r>
        <w:rPr>
          <w:rFonts w:ascii="Arial" w:cs="Arial" w:eastAsia="Arial" w:hAnsi="Arial"/>
          <w:sz w:val="16"/>
          <w:szCs w:val="16"/>
          <w:color w:val="auto"/>
        </w:rPr>
        <w:t>. Canaccord shall not have advised the Company that the Registration Statement or Prospectus, or any amendment or supplement thereto, contains an untrue statement of fact that in Canaccord’s opinion is material, or omits to state a fact that in Canaccord’s opinion is material and is required to be stated therein or is necessary to make the statements therein not misleading.</w:t>
      </w:r>
    </w:p>
    <w:p>
      <w:pPr>
        <w:spacing w:after="0" w:line="148" w:lineRule="exact"/>
        <w:rPr>
          <w:rFonts w:ascii="Arial" w:cs="Arial" w:eastAsia="Arial" w:hAnsi="Arial"/>
          <w:sz w:val="16"/>
          <w:szCs w:val="16"/>
          <w:color w:val="auto"/>
        </w:rPr>
      </w:pPr>
    </w:p>
    <w:p>
      <w:pPr>
        <w:jc w:val="both"/>
        <w:ind w:left="1300" w:hanging="644"/>
        <w:spacing w:after="0" w:line="290" w:lineRule="auto"/>
        <w:tabs>
          <w:tab w:leader="none" w:pos="1300"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Except as contemplated and appropriately disclosed in the Prospectus, or disclosed in the Company’s reports filed with the Commission, in each case at the time the applicable Placement Notice is delivered, there shall not have been any material change, on a consolidated basis, in the authorized share capital of the Company and its Subsidiaries, or any Material Adverse Effect, or any development that may reasonably be expected to cause a Material Adverse Effect, or a downgrading in or withdrawal of the rating assigned to any of the Company’s securities by any rating organization or a public announcement by any rating organization that it has under surveillance or review its rating of any of the Company’s securities, the effect of which, in the sole judgment of Canaccord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left="644" w:hanging="644"/>
        <w:spacing w:after="0" w:line="277"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Canaccord shall have received the certificate required to be delivered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xml:space="preserve">. Canaccord shall have received the opinions of counsel to the Company required to be delivered pursuant </w:t>
      </w:r>
      <w:r>
        <w:rPr>
          <w:rFonts w:ascii="Arial" w:cs="Arial" w:eastAsia="Arial" w:hAnsi="Arial"/>
          <w:sz w:val="18"/>
          <w:szCs w:val="18"/>
          <w:u w:val="single" w:color="auto"/>
          <w:color w:val="auto"/>
        </w:rPr>
        <w:t>Section 7(o)</w:t>
      </w:r>
      <w:r>
        <w:rPr>
          <w:rFonts w:ascii="Arial" w:cs="Arial" w:eastAsia="Arial" w:hAnsi="Arial"/>
          <w:sz w:val="18"/>
          <w:szCs w:val="18"/>
          <w:color w:val="auto"/>
        </w:rPr>
        <w:t xml:space="preserve"> on or before the date on which such delivery of such opinions are required pursuant to </w:t>
      </w:r>
      <w:r>
        <w:rPr>
          <w:rFonts w:ascii="Arial" w:cs="Arial" w:eastAsia="Arial" w:hAnsi="Arial"/>
          <w:sz w:val="18"/>
          <w:szCs w:val="18"/>
          <w:u w:val="single" w:color="auto"/>
          <w:color w:val="auto"/>
        </w:rPr>
        <w:t>Section 7(o)</w:t>
      </w:r>
      <w:r>
        <w:rPr>
          <w:rFonts w:ascii="Arial" w:cs="Arial" w:eastAsia="Arial" w:hAnsi="Arial"/>
          <w:sz w:val="18"/>
          <w:szCs w:val="18"/>
          <w:color w:val="auto"/>
        </w:rPr>
        <w:t>. In addition, Canaccord shall have received the negative assurance letter of Mintz, Levin, Cohn, Ferris, Glovsky and Popeo, P.C., counsel to Canaccord, on such dates and with respect to such matters as Canaccord may reasonably request.</w:t>
      </w:r>
    </w:p>
    <w:p>
      <w:pPr>
        <w:spacing w:after="0" w:line="186"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Comfort Letters</w:t>
      </w:r>
      <w:r>
        <w:rPr>
          <w:rFonts w:ascii="Arial" w:cs="Arial" w:eastAsia="Arial" w:hAnsi="Arial"/>
          <w:sz w:val="18"/>
          <w:szCs w:val="18"/>
          <w:color w:val="auto"/>
        </w:rPr>
        <w:t xml:space="preserve">. Canaccord shall have received the Comfort Letter required to be delivered pursuant </w:t>
      </w:r>
      <w:r>
        <w:rPr>
          <w:rFonts w:ascii="Arial" w:cs="Arial" w:eastAsia="Arial" w:hAnsi="Arial"/>
          <w:sz w:val="18"/>
          <w:szCs w:val="18"/>
          <w:u w:val="single" w:color="auto"/>
          <w:color w:val="auto"/>
        </w:rPr>
        <w:t>Section 7(p)</w:t>
      </w:r>
      <w:r>
        <w:rPr>
          <w:rFonts w:ascii="Arial" w:cs="Arial" w:eastAsia="Arial" w:hAnsi="Arial"/>
          <w:sz w:val="18"/>
          <w:szCs w:val="18"/>
          <w:color w:val="auto"/>
        </w:rPr>
        <w:t xml:space="preserve"> on or before the date on which such delivery of such letter is required pursuant to </w:t>
      </w:r>
      <w:r>
        <w:rPr>
          <w:rFonts w:ascii="Arial" w:cs="Arial" w:eastAsia="Arial" w:hAnsi="Arial"/>
          <w:sz w:val="18"/>
          <w:szCs w:val="18"/>
          <w:u w:val="single" w:color="auto"/>
          <w:color w:val="auto"/>
        </w:rPr>
        <w:t>Section 7(p)</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Approval for Listing; No Suspension</w:t>
      </w:r>
      <w:r>
        <w:rPr>
          <w:rFonts w:ascii="Arial" w:cs="Arial" w:eastAsia="Arial" w:hAnsi="Arial"/>
          <w:sz w:val="18"/>
          <w:szCs w:val="18"/>
          <w:color w:val="auto"/>
        </w:rPr>
        <w:t>. The Placement Shares shall have either been (i) approved for listing, subject to notice of issuance, on the Principal Trading Market, or (ii) the Company shall have filed an application for listing of the Placement Shares on the Principal Trading Market at or prior to the issuance of the Placement Notice. Trading in the Ordinary Shares shall not have been suspended on such market.</w:t>
      </w:r>
    </w:p>
    <w:p>
      <w:pPr>
        <w:spacing w:after="0" w:line="186" w:lineRule="exact"/>
        <w:rPr>
          <w:rFonts w:ascii="Arial" w:cs="Arial" w:eastAsia="Arial" w:hAnsi="Arial"/>
          <w:sz w:val="18"/>
          <w:szCs w:val="18"/>
          <w:color w:val="auto"/>
        </w:rPr>
      </w:pPr>
    </w:p>
    <w:p>
      <w:pPr>
        <w:jc w:val="both"/>
        <w:ind w:left="644" w:hanging="644"/>
        <w:spacing w:after="0" w:line="301" w:lineRule="auto"/>
        <w:tabs>
          <w:tab w:leader="none" w:pos="644"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Other Materials</w:t>
      </w:r>
      <w:r>
        <w:rPr>
          <w:rFonts w:ascii="Arial" w:cs="Arial" w:eastAsia="Arial" w:hAnsi="Arial"/>
          <w:sz w:val="16"/>
          <w:szCs w:val="16"/>
          <w:color w:val="auto"/>
        </w:rPr>
        <w:t xml:space="preserve">. On each date on which the Company is required to deliver a certificate pursuant to </w:t>
      </w:r>
      <w:r>
        <w:rPr>
          <w:rFonts w:ascii="Arial" w:cs="Arial" w:eastAsia="Arial" w:hAnsi="Arial"/>
          <w:sz w:val="16"/>
          <w:szCs w:val="16"/>
          <w:u w:val="single" w:color="auto"/>
          <w:color w:val="auto"/>
        </w:rPr>
        <w:t>Section 7(n)</w:t>
      </w:r>
      <w:r>
        <w:rPr>
          <w:rFonts w:ascii="Arial" w:cs="Arial" w:eastAsia="Arial" w:hAnsi="Arial"/>
          <w:sz w:val="16"/>
          <w:szCs w:val="16"/>
          <w:color w:val="auto"/>
        </w:rPr>
        <w:t>, the Company shall have furnished to Canaccord such appropriate further information, certificates, opinions and documents as Canaccord may reasonably request. All such opinions, certificates, letters and other documents will be in compliance with the provisions hereof. The Company will furnish Canaccord with such conformed copies of such opinions, certificates, letters and other documents as Canaccord shall reasonably request.</w:t>
      </w:r>
    </w:p>
    <w:p>
      <w:pPr>
        <w:spacing w:after="0" w:line="157"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Securities Act Filings Made</w:t>
      </w:r>
      <w:r>
        <w:rPr>
          <w:rFonts w:ascii="Arial" w:cs="Arial" w:eastAsia="Arial" w:hAnsi="Arial"/>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83"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Termination Event</w:t>
      </w:r>
      <w:r>
        <w:rPr>
          <w:rFonts w:ascii="Arial" w:cs="Arial" w:eastAsia="Arial" w:hAnsi="Arial"/>
          <w:sz w:val="18"/>
          <w:szCs w:val="18"/>
          <w:color w:val="auto"/>
        </w:rPr>
        <w:t xml:space="preserve">. There shall not have occurred any event that would permit Canaccord to terminate this Agreement pursuant to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379"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1" w:name="page82"/>
    <w:bookmarkEnd w:id="81"/>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84"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xml:space="preserve">. The Company will indemnify and hold harmless Canaccord and each person, if any, who controls Canaccord against any losses, claims, damages or liabilities, joint or several, to which Canaccord or controlling person may become subject, under the Securities Act or otherwise, insofar as such losses, claims, damages or liabilities (or actions in respect thereof) arise out of or are based upon an untrue statement or alleged untrue statement of a material fact contained in the Registration Statement, the Prospectus, the Disclosure Package, or any Issuer Free Writing Prospectus or any “issuer information” filed or required to be filed pursuant to Rule 433(d) under the Securities Act, or any amendment or supplement to the Registration Statement, the Prospectus or the Disclosure Package, or in any application or other document executed by or on behalf of the Company or based on written information furnished by or on behalf of the Company filed in any jurisdiction in order to qualify the Placement Shares under the securities laws thereof or filed with the Commission, or arise out of or are based upon the omission or alleged omission to state in the Registration Statement, the Prospectus, the Disclosure Package, or any Issuer Free Writing Prospectus or any “issuer information” filed or required to be filed pursuant to Rule 433(d) under the Securities Act, or any amendment or supplement to the Registration Statement, the Prospectus, or the Disclosure Package or in any application or other document executed by or on behalf of the Company or based on written information furnished by or on behalf of the Company filed in any jurisdiction in order to qualify the Placement Shares under the securities laws thereof or filed with the Commission a material fact required to be stated in it or necessary to make the statements in it not misleading, and will reimburse Canaccord for any reasonable legal expenses of counsel for Canaccord, and for other expenses reasonably incurred by Canaccord in connection with investigating or defending any such action or claim as such expenses are incurred;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the Prospectus or the Disclosure Package, or any such amendment or supplement thereto, in reliance upon and in conformity with written information furnished to the Company by and through Canaccord expressly for use therein.</w:t>
      </w:r>
    </w:p>
    <w:p>
      <w:pPr>
        <w:spacing w:after="0" w:line="181" w:lineRule="exact"/>
        <w:rPr>
          <w:rFonts w:ascii="Arial" w:cs="Arial" w:eastAsia="Arial" w:hAnsi="Arial"/>
          <w:sz w:val="16"/>
          <w:szCs w:val="16"/>
          <w:color w:val="auto"/>
        </w:rPr>
      </w:pPr>
    </w:p>
    <w:p>
      <w:pPr>
        <w:jc w:val="both"/>
        <w:ind w:left="1300" w:hanging="644"/>
        <w:spacing w:after="0" w:line="268" w:lineRule="auto"/>
        <w:tabs>
          <w:tab w:leader="none" w:pos="1300"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Canaccord Indemnification</w:t>
      </w:r>
      <w:r>
        <w:rPr>
          <w:rFonts w:ascii="Arial" w:cs="Arial" w:eastAsia="Arial" w:hAnsi="Arial"/>
          <w:sz w:val="17"/>
          <w:szCs w:val="17"/>
          <w:color w:val="auto"/>
        </w:rPr>
        <w:t>. Canaccord will indemnify and hold harmless the Company against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the Registration Statement (or any amendments thereto), the Prospectus (or any amendment or supplement thereto), the Disclosure Package or any Issuer Free Writing Prospectus, or arise out of or are based upon the omission or alleged omission to state therein a material fact, in the case of the Registration Statement or any amendment thereto, required to be stated therein or necessary to make the statements therein not misleading and, in the case of the Prospectus or any supplement thereto, the Disclosure Package or the Issuer Free Writing Prospectus, necessary to make the statements therein, in light of the circumstances in which they were made, not misleading, in each case to the extent, but only to the extent, that such untrue statement or alleged untrue statement or omission or alleged omission was made in the Registration Statement (or any amendments thereto), the Prospectus (or any amendment or supplement thereto), the Disclosure Package, or any Issuer Free Writing Prospectus, in reliance upon and in conformity with written information furnished to the Company by and through Canaccord expressly for use therein; and will reimburse the Company for any legal or other expenses reasonably incurred by the Company in connection with investigating or defending any such action or claim as such expenses are incurred.</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left="644" w:hanging="644"/>
        <w:spacing w:after="0"/>
        <w:tabs>
          <w:tab w:leader="none" w:pos="64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6"/>
        <w:spacing w:after="0" w:line="285" w:lineRule="auto"/>
        <w:tabs>
          <w:tab w:leader="none" w:pos="1304"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Each indemnified party shall give written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In the case of parties indemnified pursuant to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above, counsel to the indemnified parties shall be selected by Canaccord, and, in the case of parties indemnified pursuant to </w:t>
      </w:r>
      <w:r>
        <w:rPr>
          <w:rFonts w:ascii="Arial" w:cs="Arial" w:eastAsia="Arial" w:hAnsi="Arial"/>
          <w:sz w:val="16"/>
          <w:szCs w:val="16"/>
          <w:u w:val="single" w:color="auto"/>
          <w:color w:val="auto"/>
        </w:rPr>
        <w:t>Section 10(b)</w:t>
      </w:r>
      <w:r>
        <w:rPr>
          <w:rFonts w:ascii="Arial" w:cs="Arial" w:eastAsia="Arial" w:hAnsi="Arial"/>
          <w:sz w:val="16"/>
          <w:szCs w:val="16"/>
          <w:color w:val="auto"/>
        </w:rPr>
        <w:t xml:space="preserve"> above, counsel to the indemnified parties shall be selected by the Company. An indemnifying party may participate at its own expense in the defense of any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counsel to the indemnifying party shall not (except with the consent of the indemnified party) also be counsel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indemnified party. In no event shall the indemnifying parties be liable for fees and expenses of more than one counsel (in addition to any relevant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389" w:lineRule="exact"/>
        <w:rPr>
          <w:rFonts w:ascii="Arial" w:cs="Arial" w:eastAsia="Arial" w:hAnsi="Arial"/>
          <w:sz w:val="16"/>
          <w:szCs w:val="16"/>
          <w:color w:val="auto"/>
        </w:rPr>
      </w:pPr>
    </w:p>
    <w:p>
      <w:pPr>
        <w:jc w:val="both"/>
        <w:ind w:left="1304" w:hanging="656"/>
        <w:spacing w:after="0" w:line="270" w:lineRule="auto"/>
        <w:tabs>
          <w:tab w:leader="none" w:pos="1304"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indemnifying party shall not be liable for any settlement of any proceeding effected without its written consent, but if settled with such consent or if there be a final judgment for the plaintiff, the indemnifying person agrees to indemnify each indemnified party from and against any loss or liability by reason of such settlement or judgment. Notwithstanding the foregoing sentence, if at any time an indemnified party shall have requested that an indemnifying party reimburse the indemnified party for reasonable fees and expenses of counsel as contemplated by this section, the indemnifying person shall be liable for any settlement of any proceeding effected without its written consent if (i) such settlement is entered into (A) more than 60 days after receipt by the indemnifying party of such request and (B) more than 30 days after receipt by the indemnifying party of the proposed terms of such settlement and (ii) the indemnifying party shall not have reimbursed the indemnified person in accordance with such request prior to the date of such settlement.</w:t>
      </w:r>
    </w:p>
    <w:p>
      <w:pPr>
        <w:spacing w:after="0" w:line="390"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3" w:name="page84"/>
    <w:bookmarkEnd w:id="83"/>
    <w:p>
      <w:pPr>
        <w:jc w:val="both"/>
        <w:ind w:left="644" w:hanging="644"/>
        <w:spacing w:after="0" w:line="284" w:lineRule="auto"/>
        <w:tabs>
          <w:tab w:leader="none" w:pos="644"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Canaccord on the other from the offering of the Placement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Canaccord on the other in connection with the statements or omissions which resulted in such losses, claims, damages or liabilities (or actions in respect thereof), as well as any other relevant equitable considerations. The relative benefits received by the Company on the one hand and Canaccord on the other shall be deemed to be in the same proportion as the total net proceeds from the offering of the Shares (before deducting expenses) received by the Company, bear to the total underwriting discounts, commissions and other fees received by Canaccord. The relative fault shall be determined by reference to, among other things, whether the untrue or alleged statement of a material fact or the omission or alleged omission to state a material fact relates to information supplied by the Company on the one hand or Canaccord on the other and the parties’ relative intent, knowledge, access to information and opportunity to correct or prevent such statement or omission. The Company and Canaccord agree that it would not be just and equitable if contributions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Canaccord shall not be required to contribute any amount in excess of the amount by which the total price at which the Placement Shares distributed to the public by it were offered to the public exceeds the amount of any damages which Canaccord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73" w:lineRule="exact"/>
        <w:rPr>
          <w:rFonts w:ascii="Arial" w:cs="Arial" w:eastAsia="Arial" w:hAnsi="Arial"/>
          <w:sz w:val="16"/>
          <w:szCs w:val="16"/>
          <w:color w:val="auto"/>
        </w:rPr>
      </w:pPr>
    </w:p>
    <w:p>
      <w:pPr>
        <w:jc w:val="both"/>
        <w:ind w:left="644" w:hanging="644"/>
        <w:spacing w:after="0" w:line="257" w:lineRule="auto"/>
        <w:tabs>
          <w:tab w:leader="none" w:pos="64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The obligations of the Company under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be in addition to any liability which the Company may otherwise have and shall extend, upon the same terms and conditions, to each person, if any, who controls Canaccord within the meaning of the Securities Act; and the obligations of Canaccord under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be in addition to any liability which Canaccord may otherwise have and shall extend, upon the same terms and conditions, to each officer and director of the Company and to each person, if any, who controls the Company within the meaning of the Securities Act.</w:t>
      </w:r>
    </w:p>
    <w:p>
      <w:pPr>
        <w:spacing w:after="0" w:line="397" w:lineRule="exact"/>
        <w:rPr>
          <w:sz w:val="20"/>
          <w:szCs w:val="20"/>
          <w:color w:val="auto"/>
        </w:rPr>
      </w:pPr>
    </w:p>
    <w:p>
      <w:pPr>
        <w:ind w:left="4824"/>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4" w:name="page85"/>
    <w:bookmarkEnd w:id="84"/>
    <w:p>
      <w:pPr>
        <w:jc w:val="both"/>
        <w:ind w:firstLine="8"/>
        <w:spacing w:after="0" w:line="259" w:lineRule="auto"/>
        <w:tabs>
          <w:tab w:leader="none" w:pos="90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Representations and Agreements to Survive Delivery</w:t>
      </w:r>
      <w:r>
        <w:rPr>
          <w:rFonts w:ascii="Arial" w:cs="Arial" w:eastAsia="Arial" w:hAnsi="Arial"/>
          <w:sz w:val="18"/>
          <w:szCs w:val="18"/>
          <w:color w:val="auto"/>
        </w:rPr>
        <w:t>. All representations and warranties of the Company herein or in certificates delivered pursuant hereto shall remain operative and in full force and effect regardless of (i) any investigation made by or on behalf of Canaccord, any controlling persons, or the Company (or any of their respective officers, directors or controlling persons), (ii) delivery and acceptance of the Placement Shares and payment therefor or (iii) any termination of this Agreement.</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Canaccord shall have the right to terminate this Agreement at any time by giving notice as hereinafter specified if (i) any Material Adverse Effect has occurred, or any development that is reasonably expected to cause a Material Adverse Effect has occurred or any other event has occurred which, in the sole judgment of Canaccord, may materially impair Canaccord’s ability to proceed with the offering to sell the Shares, (ii) the Company shall have failed, refused or been unable, at or prior to any Settlement Date, to perform any agreement on its part to be performed hereunder, (iii) any other condition of Canaccord’s obligations hereunder is not fulfilled, or (iv) any suspension or limitation of trading in the shares of Ordinary Shares of the Company on the Principal Trading Market shall have occurred. Any such termination shall be without liability of any party to any other party except that the provisions of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(Expenses),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(Indemnification),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(Survival of Representations), </w:t>
      </w:r>
      <w:r>
        <w:rPr>
          <w:rFonts w:ascii="Arial" w:cs="Arial" w:eastAsia="Arial" w:hAnsi="Arial"/>
          <w:sz w:val="17"/>
          <w:szCs w:val="17"/>
          <w:u w:val="single" w:color="auto"/>
          <w:color w:val="auto"/>
        </w:rPr>
        <w:t>Section 12(f)</w:t>
      </w:r>
      <w:r>
        <w:rPr>
          <w:rFonts w:ascii="Arial" w:cs="Arial" w:eastAsia="Arial" w:hAnsi="Arial"/>
          <w:sz w:val="17"/>
          <w:szCs w:val="17"/>
          <w:color w:val="auto"/>
        </w:rPr>
        <w:t xml:space="preserve"> (Termination),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(Applicable Law; Consent to Jurisdiction) and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(Waiver of Jury Trial) hereof shall remain in full force and effect notwithstanding such termination. If Canaccord elects to terminate this Agreement as provided in this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Canaccord shall provide the required notice as specified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(Notices).</w:t>
      </w:r>
    </w:p>
    <w:p>
      <w:pPr>
        <w:spacing w:after="0" w:line="181"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The Company shall have the right to terminate this Agreement in its sole discretion at any time by giving ten (10) days’ notice as hereinafter specified. Any such termination shall be without liability of any party to any other party except that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7(j)</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hereof shall remain in full force and effect notwithstanding such termination.</w:t>
      </w:r>
    </w:p>
    <w:p>
      <w:pPr>
        <w:spacing w:after="0" w:line="186"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In addition to, and without limiting Canaccord’s rights under </w:t>
      </w:r>
      <w:r>
        <w:rPr>
          <w:rFonts w:ascii="Arial" w:cs="Arial" w:eastAsia="Arial" w:hAnsi="Arial"/>
          <w:sz w:val="17"/>
          <w:szCs w:val="17"/>
          <w:u w:val="single" w:color="auto"/>
          <w:color w:val="auto"/>
        </w:rPr>
        <w:t>Section 12(a)</w:t>
      </w:r>
      <w:r>
        <w:rPr>
          <w:rFonts w:ascii="Arial" w:cs="Arial" w:eastAsia="Arial" w:hAnsi="Arial"/>
          <w:sz w:val="17"/>
          <w:szCs w:val="17"/>
          <w:color w:val="auto"/>
        </w:rPr>
        <w:t xml:space="preserve">, Canaccord shall have the right to terminate this Agreement in its sole discretion at any time after the date of this Agreement by giving ten (10) days’ notice as hereinafter specified. Any such termination shall be without liability of any party to any other party except that the provisions of </w:t>
      </w:r>
      <w:r>
        <w:rPr>
          <w:rFonts w:ascii="Arial" w:cs="Arial" w:eastAsia="Arial" w:hAnsi="Arial"/>
          <w:sz w:val="17"/>
          <w:szCs w:val="17"/>
          <w:u w:val="single" w:color="auto"/>
          <w:color w:val="auto"/>
        </w:rPr>
        <w:t>Section 7(j)</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12(f)</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hereof shall remain in full force and effect notwithstanding such termination.</w:t>
      </w:r>
    </w:p>
    <w:p>
      <w:pPr>
        <w:spacing w:after="0" w:line="171" w:lineRule="exact"/>
        <w:rPr>
          <w:rFonts w:ascii="Arial" w:cs="Arial" w:eastAsia="Arial" w:hAnsi="Arial"/>
          <w:sz w:val="17"/>
          <w:szCs w:val="17"/>
          <w:color w:val="auto"/>
        </w:rPr>
      </w:pPr>
    </w:p>
    <w:p>
      <w:pPr>
        <w:jc w:val="both"/>
        <w:ind w:left="1300" w:hanging="644"/>
        <w:spacing w:after="0" w:line="286" w:lineRule="auto"/>
        <w:tabs>
          <w:tab w:leader="none" w:pos="13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This Agreement shall remain in full force and effect unless terminated pursuant to </w:t>
      </w:r>
      <w:r>
        <w:rPr>
          <w:rFonts w:ascii="Arial" w:cs="Arial" w:eastAsia="Arial" w:hAnsi="Arial"/>
          <w:sz w:val="17"/>
          <w:szCs w:val="17"/>
          <w:u w:val="single" w:color="auto"/>
          <w:color w:val="auto"/>
        </w:rPr>
        <w:t>Sections 12(a)</w:t>
      </w:r>
      <w:r>
        <w:rPr>
          <w:rFonts w:ascii="Arial" w:cs="Arial" w:eastAsia="Arial" w:hAnsi="Arial"/>
          <w:sz w:val="17"/>
          <w:szCs w:val="17"/>
          <w:color w:val="auto"/>
        </w:rPr>
        <w:t xml:space="preserve">, </w:t>
      </w:r>
      <w:r>
        <w:rPr>
          <w:rFonts w:ascii="Arial" w:cs="Arial" w:eastAsia="Arial" w:hAnsi="Arial"/>
          <w:sz w:val="17"/>
          <w:szCs w:val="17"/>
          <w:u w:val="single" w:color="auto"/>
          <w:color w:val="auto"/>
        </w:rPr>
        <w:t>12(b)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12(c)</w:t>
      </w:r>
      <w:r>
        <w:rPr>
          <w:rFonts w:ascii="Arial" w:cs="Arial" w:eastAsia="Arial" w:hAnsi="Arial"/>
          <w:sz w:val="17"/>
          <w:szCs w:val="17"/>
          <w:color w:val="auto"/>
        </w:rPr>
        <w:t xml:space="preserve"> above or otherwise by mutual agreement of the parties; provided that any such termination by mutual agreement shall in all cases be deemed to provide that </w:t>
      </w:r>
      <w:r>
        <w:rPr>
          <w:rFonts w:ascii="Arial" w:cs="Arial" w:eastAsia="Arial" w:hAnsi="Arial"/>
          <w:sz w:val="17"/>
          <w:szCs w:val="17"/>
          <w:u w:val="single" w:color="auto"/>
          <w:color w:val="auto"/>
        </w:rPr>
        <w:t>Section 7(j)</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12(f)</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shall remain in full force and effect.</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left="1300" w:hanging="644"/>
        <w:spacing w:after="0" w:line="259"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termination of this Agreement shall be effective on the date specified in such notice of termination; provided that such termination shall not be effective until the close of business on the date of receipt of such notice by Canaccord or the Company, as the case may be. If such termination shall occur prior to the Settlement Date for any sale of Placement Shares, such Placement Shares shall settle in accordance with the provisions of this Agreement.</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In the event that the Company terminates this Agreement, as permitted under </w:t>
      </w:r>
      <w:r>
        <w:rPr>
          <w:rFonts w:ascii="Arial" w:cs="Arial" w:eastAsia="Arial" w:hAnsi="Arial"/>
          <w:sz w:val="18"/>
          <w:szCs w:val="18"/>
          <w:u w:val="single" w:color="auto"/>
          <w:color w:val="auto"/>
        </w:rPr>
        <w:t>Section 12(b)</w:t>
      </w:r>
      <w:r>
        <w:rPr>
          <w:rFonts w:ascii="Arial" w:cs="Arial" w:eastAsia="Arial" w:hAnsi="Arial"/>
          <w:sz w:val="18"/>
          <w:szCs w:val="18"/>
          <w:color w:val="auto"/>
        </w:rPr>
        <w:t>, the Company shall be under no continuing obligation pursuant to this Agreement to utilize the services of Canaccord in connection with any sale of securities of the Company or to pay any compensation to Canaccord other than compensation with respect to sales of Placement Shares subscribed on or before the termination date and the Company shall be free to engage other placement agents and underwriters from and after the termination date with no continuing obligation to Canaccord.</w:t>
      </w:r>
    </w:p>
    <w:p>
      <w:pPr>
        <w:spacing w:after="0" w:line="188" w:lineRule="exact"/>
        <w:rPr>
          <w:sz w:val="20"/>
          <w:szCs w:val="20"/>
          <w:color w:val="auto"/>
        </w:rPr>
      </w:pPr>
    </w:p>
    <w:p>
      <w:pPr>
        <w:ind w:firstLine="8"/>
        <w:spacing w:after="0" w:line="277" w:lineRule="auto"/>
        <w:tabs>
          <w:tab w:leader="none" w:pos="82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and if sent to Canaccord, shall be delivered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 High Street, Suite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ECM,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John T. Rudy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if sent to the Company, shall be delivered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37 Walnut Street,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Wellesley Hills, MA 02481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Yasin Keshvargar</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ind w:right="80"/>
        <w:spacing w:after="0" w:line="272" w:lineRule="auto"/>
        <w:rPr>
          <w:sz w:val="20"/>
          <w:szCs w:val="20"/>
          <w:color w:val="auto"/>
        </w:rPr>
      </w:pPr>
      <w:r>
        <w:rPr>
          <w:rFonts w:ascii="Arial" w:cs="Arial" w:eastAsia="Arial" w:hAnsi="Arial"/>
          <w:sz w:val="17"/>
          <w:szCs w:val="17"/>
          <w:color w:val="auto"/>
        </w:rPr>
        <w:t>Each party to this Agreement may change such address for notices by sending to the other party to this Agreement written notice of a new address for such purpose. Each such notice or other communication shall be deemed given (i) when delivered personally or by verifiable facsimile transmission (with an original to follow) on or before 4:30 p.m., eastern time, on a Business Day or, if such day is not a Business Day, on the next succeeding Business Day, (ii) on the next Business Day after timely delivery to a nationally-recognized overnight courier, (iii) on the Business Day actually received if deposited in the U.S. mail (certified or registered mail, return receipt requested, postage prepaid), and (iv) if sent by email, on the Business Day on which receipt is confirmed by the individual to whom the notice is sent, other than via auto-reply. For purposes of this Agreement,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any day on which the Principal Trading Market and commercial banks in the city of New York are open for business.</w:t>
      </w:r>
    </w:p>
    <w:p>
      <w:pPr>
        <w:spacing w:after="0" w:line="177" w:lineRule="exact"/>
        <w:rPr>
          <w:sz w:val="20"/>
          <w:szCs w:val="20"/>
          <w:color w:val="auto"/>
        </w:rPr>
      </w:pPr>
    </w:p>
    <w:p>
      <w:pPr>
        <w:jc w:val="both"/>
        <w:ind w:firstLine="8"/>
        <w:spacing w:after="0" w:line="272" w:lineRule="auto"/>
        <w:tabs>
          <w:tab w:leader="none" w:pos="97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This Agreement shall inure to the benefit of and be binding upon the Company and Canaccord and their respective successors and the affiliates, controlling persons, officers and directors referred to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hereof. References to any of either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Canaccord may assign its rights and obligations hereunder to an affiliate of Canaccord without obtaining the Company’s consent.</w:t>
      </w:r>
    </w:p>
    <w:p>
      <w:pPr>
        <w:spacing w:after="0" w:line="177" w:lineRule="exact"/>
        <w:rPr>
          <w:rFonts w:ascii="Arial" w:cs="Arial" w:eastAsia="Arial" w:hAnsi="Arial"/>
          <w:sz w:val="17"/>
          <w:szCs w:val="17"/>
          <w:color w:val="auto"/>
        </w:rPr>
      </w:pPr>
    </w:p>
    <w:p>
      <w:pPr>
        <w:ind w:firstLine="8"/>
        <w:spacing w:after="0" w:line="277" w:lineRule="auto"/>
        <w:tabs>
          <w:tab w:leader="none" w:pos="8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Adjustments for Share Splits</w:t>
      </w:r>
      <w:r>
        <w:rPr>
          <w:rFonts w:ascii="Arial" w:cs="Arial" w:eastAsia="Arial" w:hAnsi="Arial"/>
          <w:sz w:val="18"/>
          <w:szCs w:val="18"/>
          <w:color w:val="auto"/>
        </w:rPr>
        <w:t>. The parties acknowledge and agree that all share related numbers contained in this Agreement shall be adjusted to take into account any share split, share dividend or similar event effected with respect to the Shares.</w:t>
      </w:r>
    </w:p>
    <w:p>
      <w:pPr>
        <w:spacing w:after="0" w:line="170" w:lineRule="exact"/>
        <w:rPr>
          <w:rFonts w:ascii="Arial" w:cs="Arial" w:eastAsia="Arial" w:hAnsi="Arial"/>
          <w:sz w:val="18"/>
          <w:szCs w:val="18"/>
          <w:color w:val="auto"/>
        </w:rPr>
      </w:pPr>
    </w:p>
    <w:p>
      <w:pPr>
        <w:jc w:val="both"/>
        <w:ind w:firstLine="8"/>
        <w:spacing w:after="0" w:line="273" w:lineRule="auto"/>
        <w:tabs>
          <w:tab w:leader="none" w:pos="1057"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 Severability</w:t>
      </w:r>
      <w:r>
        <w:rPr>
          <w:rFonts w:ascii="Arial" w:cs="Arial" w:eastAsia="Arial" w:hAnsi="Arial"/>
          <w:sz w:val="17"/>
          <w:szCs w:val="17"/>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Canaccord.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8"/>
        <w:spacing w:after="0" w:line="270" w:lineRule="auto"/>
        <w:tabs>
          <w:tab w:leader="none" w:pos="868"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Applicable Law; Consent to Jurisdiction</w:t>
      </w:r>
      <w:r>
        <w:rPr>
          <w:rFonts w:ascii="Arial" w:cs="Arial" w:eastAsia="Arial" w:hAnsi="Arial"/>
          <w:sz w:val="17"/>
          <w:szCs w:val="17"/>
          <w:color w:val="auto"/>
        </w:rPr>
        <w:t>.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0" w:lineRule="exact"/>
        <w:rPr>
          <w:rFonts w:ascii="Arial" w:cs="Arial" w:eastAsia="Arial" w:hAnsi="Arial"/>
          <w:sz w:val="17"/>
          <w:szCs w:val="17"/>
          <w:color w:val="auto"/>
        </w:rPr>
      </w:pPr>
    </w:p>
    <w:p>
      <w:pPr>
        <w:ind w:firstLine="8"/>
        <w:spacing w:after="0" w:line="277" w:lineRule="auto"/>
        <w:tabs>
          <w:tab w:leader="none" w:pos="86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Company and Canaccord hereby irrevocably waive any right either may have to a trial by jury in respect of any claim based upon or arising out of this agreement or any transaction contemplated hereby.</w:t>
      </w:r>
    </w:p>
    <w:p>
      <w:pPr>
        <w:spacing w:after="0" w:line="170" w:lineRule="exact"/>
        <w:rPr>
          <w:rFonts w:ascii="Arial" w:cs="Arial" w:eastAsia="Arial" w:hAnsi="Arial"/>
          <w:sz w:val="18"/>
          <w:szCs w:val="18"/>
          <w:color w:val="auto"/>
        </w:rPr>
      </w:pPr>
    </w:p>
    <w:p>
      <w:pPr>
        <w:jc w:val="both"/>
        <w:ind w:firstLine="8"/>
        <w:spacing w:after="0" w:line="288" w:lineRule="auto"/>
        <w:tabs>
          <w:tab w:leader="none" w:pos="99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Absence of Fiduciary Duties</w:t>
      </w:r>
      <w:r>
        <w:rPr>
          <w:rFonts w:ascii="Arial" w:cs="Arial" w:eastAsia="Arial" w:hAnsi="Arial"/>
          <w:sz w:val="16"/>
          <w:szCs w:val="16"/>
          <w:color w:val="auto"/>
        </w:rPr>
        <w:t>. The parties acknowledge that they are sophisticated in business and financial matters and that each of them is solely responsible for making its own independent investigation and analysis of the transactions contemplated by this Agreement. They further acknowledge that Canaccord has not been engaged by the Company to provide, and has not provided, financial advisory services in connection with the terms of the offering and sale of the Shares nor has Canaccord assumed at any time a fiduciary relationship to the Company in connection with such offering and sale. The parties also acknowledge that the provisions of this Agreement fairly allocate the risks of the transactions contemplated hereby among them in light of their respective knowledge of the Company and their respective abilities to investigate its affairs and business in order to assure that full and adequate disclosure has been made in the Registration Statement and the Prospectus (and any amendments and supplements thereto). The Company hereby waives, to the fullest extent permitted by law, any claims it may have against Canaccord for breach of fiduciary duty or alleged breach of fiduciary duty and agrees Canaccord shall have no liability (whether direct or indirect) to the Company in respect of such a fiduciary duty claim or to any person asserting a fiduciary duty claim on behalf of or in right of the Company, including shareholders, employees or creditors of Company.</w:t>
      </w:r>
    </w:p>
    <w:p>
      <w:pPr>
        <w:spacing w:after="0" w:line="168" w:lineRule="exact"/>
        <w:rPr>
          <w:rFonts w:ascii="Arial" w:cs="Arial" w:eastAsia="Arial" w:hAnsi="Arial"/>
          <w:sz w:val="16"/>
          <w:szCs w:val="16"/>
          <w:color w:val="auto"/>
        </w:rPr>
      </w:pPr>
    </w:p>
    <w:p>
      <w:pPr>
        <w:jc w:val="both"/>
        <w:ind w:firstLine="8"/>
        <w:spacing w:after="0" w:line="255" w:lineRule="auto"/>
        <w:tabs>
          <w:tab w:leader="none" w:pos="85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Waiver of Immunity</w:t>
      </w:r>
      <w:r>
        <w:rPr>
          <w:rFonts w:ascii="Arial" w:cs="Arial" w:eastAsia="Arial" w:hAnsi="Arial"/>
          <w:sz w:val="18"/>
          <w:szCs w:val="18"/>
          <w:color w:val="auto"/>
        </w:rPr>
        <w:t>. With respect to any suit or proceeding arising out of or relating to this Agreement or the transactions contemplated hereby, each 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without limitation, any immunity pursuant to the U.S. Foreign Sovereign Immunities Act of 1976, as amended.</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8"/>
        <w:spacing w:after="0" w:line="271" w:lineRule="auto"/>
        <w:tabs>
          <w:tab w:leader="none" w:pos="963"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Judgment of Currency</w:t>
      </w:r>
      <w:r>
        <w:rPr>
          <w:rFonts w:ascii="Arial" w:cs="Arial" w:eastAsia="Arial" w:hAnsi="Arial"/>
          <w:sz w:val="17"/>
          <w:szCs w:val="17"/>
          <w:color w:val="auto"/>
        </w:rPr>
        <w:t>. The obligation of the Company in respect of any sum due to Canaccord under this Agreement shall, notwithstanding any judgment in a currency other than U.S. dollars or any other applicable currency (the “</w:t>
      </w:r>
      <w:r>
        <w:rPr>
          <w:rFonts w:ascii="Arial" w:cs="Arial" w:eastAsia="Arial" w:hAnsi="Arial"/>
          <w:sz w:val="17"/>
          <w:szCs w:val="17"/>
          <w:u w:val="single" w:color="auto"/>
          <w:color w:val="auto"/>
        </w:rPr>
        <w:t>Judgment Currency</w:t>
      </w:r>
      <w:r>
        <w:rPr>
          <w:rFonts w:ascii="Arial" w:cs="Arial" w:eastAsia="Arial" w:hAnsi="Arial"/>
          <w:sz w:val="17"/>
          <w:szCs w:val="17"/>
          <w:color w:val="auto"/>
        </w:rPr>
        <w:t>”), not be discharged until the first business day, following receipt by Canaccord of any sum adjudged to be so due in the Judgment Currency, on which (and only to the extent that) Canaccord may in accordance with normal banking procedures purchase U.S. dollars or any other applicable currency with the Judgment Currency; if the U.S. dollars or other applicable currency so purchased are less than the sum originally due to Canaccord hereunder, the Company agrees, as a separate obligation and notwithstanding any such judgment, to indemnify Canaccord against such loss. If the U.S. dollars or other applicable currency so purchased are greater than the sum originally due to Canaccord hereunder, Canaccord agrees to pay to the Company an amount equal to the excess of the U.S. dollars or other applicable currency so purchased over the sum originally due to Canaccord hereunder.</w:t>
      </w:r>
    </w:p>
    <w:p>
      <w:pPr>
        <w:spacing w:after="0" w:line="178" w:lineRule="exact"/>
        <w:rPr>
          <w:rFonts w:ascii="Arial" w:cs="Arial" w:eastAsia="Arial" w:hAnsi="Arial"/>
          <w:sz w:val="17"/>
          <w:szCs w:val="17"/>
          <w:color w:val="auto"/>
        </w:rPr>
      </w:pPr>
    </w:p>
    <w:p>
      <w:pPr>
        <w:jc w:val="both"/>
        <w:ind w:firstLine="8"/>
        <w:spacing w:after="0" w:line="263" w:lineRule="auto"/>
        <w:tabs>
          <w:tab w:leader="none" w:pos="105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email transmission.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firstLine="648"/>
        <w:spacing w:after="0" w:line="277" w:lineRule="auto"/>
        <w:rPr>
          <w:sz w:val="20"/>
          <w:szCs w:val="20"/>
          <w:color w:val="auto"/>
        </w:rPr>
      </w:pPr>
      <w:r>
        <w:rPr>
          <w:rFonts w:ascii="Arial" w:cs="Arial" w:eastAsia="Arial" w:hAnsi="Arial"/>
          <w:sz w:val="18"/>
          <w:szCs w:val="18"/>
          <w:color w:val="auto"/>
        </w:rPr>
        <w:t>If the foregoing accurately reflects your understanding and agreement with respect to the matters described herein please indicate your agreement by countersigning this Agreement in the space provided below.</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ENTERA BIO LTD.</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Gridley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21513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Adam Gridley</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ACCEPTED as of the date</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first-above written:</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CANACCORD GENUITY LLC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Eugene Rozelman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21513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Eugene Rozelman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60" w:type="dxa"/>
            <w:vAlign w:val="bottom"/>
            <w:gridSpan w:val="2"/>
          </w:tcPr>
          <w:p>
            <w:pPr>
              <w:ind w:left="1340"/>
              <w:spacing w:after="0"/>
              <w:rPr>
                <w:sz w:val="20"/>
                <w:szCs w:val="20"/>
                <w:color w:val="auto"/>
              </w:rPr>
            </w:pPr>
            <w:r>
              <w:rPr>
                <w:rFonts w:ascii="Arial" w:cs="Arial" w:eastAsia="Arial" w:hAnsi="Arial"/>
                <w:sz w:val="18"/>
                <w:szCs w:val="18"/>
                <w:b w:val="1"/>
                <w:bCs w:val="1"/>
                <w:color w:val="auto"/>
                <w:w w:val="96"/>
              </w:rPr>
              <w:t>SCHEDULE 1</w:t>
            </w:r>
          </w:p>
        </w:tc>
      </w:tr>
      <w:tr>
        <w:trPr>
          <w:trHeight w:val="453"/>
        </w:trPr>
        <w:tc>
          <w:tcPr>
            <w:tcW w:w="4620" w:type="dxa"/>
            <w:vAlign w:val="bottom"/>
          </w:tcPr>
          <w:p>
            <w:pPr>
              <w:spacing w:after="0"/>
              <w:rPr>
                <w:sz w:val="20"/>
                <w:szCs w:val="20"/>
                <w:color w:val="auto"/>
              </w:rPr>
            </w:pPr>
            <w:r>
              <w:rPr>
                <w:rFonts w:ascii="Arial" w:cs="Arial" w:eastAsia="Arial" w:hAnsi="Arial"/>
                <w:sz w:val="18"/>
                <w:szCs w:val="18"/>
                <w:color w:val="auto"/>
                <w:w w:val="90"/>
              </w:rPr>
              <w:t>The Authorized Representatives of the Company are as follows:</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Name and Office / Title</w:t>
            </w:r>
          </w:p>
        </w:tc>
        <w:tc>
          <w:tcPr>
            <w:tcW w:w="1760" w:type="dxa"/>
            <w:vAlign w:val="bottom"/>
          </w:tcPr>
          <w:p>
            <w:pPr>
              <w:ind w:left="120"/>
              <w:spacing w:after="0"/>
              <w:rPr>
                <w:sz w:val="20"/>
                <w:szCs w:val="20"/>
                <w:color w:val="auto"/>
              </w:rPr>
            </w:pPr>
            <w:r>
              <w:rPr>
                <w:rFonts w:ascii="Arial" w:cs="Arial" w:eastAsia="Arial" w:hAnsi="Arial"/>
                <w:sz w:val="18"/>
                <w:szCs w:val="18"/>
                <w:color w:val="auto"/>
              </w:rPr>
              <w:t>E-mail Address</w:t>
            </w:r>
          </w:p>
        </w:tc>
        <w:tc>
          <w:tcPr>
            <w:tcW w:w="2400" w:type="dxa"/>
            <w:vAlign w:val="bottom"/>
          </w:tcPr>
          <w:p>
            <w:pPr>
              <w:ind w:left="380"/>
              <w:spacing w:after="0"/>
              <w:rPr>
                <w:sz w:val="20"/>
                <w:szCs w:val="20"/>
                <w:color w:val="auto"/>
              </w:rPr>
            </w:pPr>
            <w:r>
              <w:rPr>
                <w:rFonts w:ascii="Arial" w:cs="Arial" w:eastAsia="Arial" w:hAnsi="Arial"/>
                <w:sz w:val="18"/>
                <w:szCs w:val="18"/>
                <w:color w:val="auto"/>
              </w:rPr>
              <w:t>Telephone Numbers</w:t>
            </w:r>
          </w:p>
        </w:tc>
        <w:tc>
          <w:tcPr>
            <w:tcW w:w="2460" w:type="dxa"/>
            <w:vAlign w:val="bottom"/>
            <w:gridSpan w:val="2"/>
          </w:tcPr>
          <w:p>
            <w:pPr>
              <w:ind w:left="560"/>
              <w:spacing w:after="0"/>
              <w:rPr>
                <w:sz w:val="20"/>
                <w:szCs w:val="20"/>
                <w:color w:val="auto"/>
              </w:rPr>
            </w:pPr>
            <w:r>
              <w:rPr>
                <w:rFonts w:ascii="Arial" w:cs="Arial" w:eastAsia="Arial" w:hAnsi="Arial"/>
                <w:sz w:val="18"/>
                <w:szCs w:val="18"/>
                <w:color w:val="auto"/>
              </w:rPr>
              <w:t>Fax Number</w:t>
            </w: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rPr>
              <w:t>Adam Gridley / CEO</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rPr>
              <w:t>Jonathan Lieber / U.S.-based CFO</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rPr>
              <w:t>Dana Yaacov / Israel-based CFO</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40"/>
        </w:trPr>
        <w:tc>
          <w:tcPr>
            <w:tcW w:w="4620" w:type="dxa"/>
            <w:vAlign w:val="bottom"/>
          </w:tcPr>
          <w:p>
            <w:pPr>
              <w:spacing w:after="0"/>
              <w:rPr>
                <w:sz w:val="20"/>
                <w:szCs w:val="20"/>
                <w:color w:val="auto"/>
              </w:rPr>
            </w:pPr>
            <w:r>
              <w:rPr>
                <w:rFonts w:ascii="Arial" w:cs="Arial" w:eastAsia="Arial" w:hAnsi="Arial"/>
                <w:sz w:val="18"/>
                <w:szCs w:val="18"/>
                <w:color w:val="auto"/>
                <w:w w:val="94"/>
              </w:rPr>
              <w:t>The Authorized Representatives of Canaccord are as follows:</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Name and Office / Title</w:t>
            </w:r>
          </w:p>
        </w:tc>
        <w:tc>
          <w:tcPr>
            <w:tcW w:w="1760" w:type="dxa"/>
            <w:vAlign w:val="bottom"/>
          </w:tcPr>
          <w:p>
            <w:pPr>
              <w:spacing w:after="0"/>
              <w:rPr>
                <w:sz w:val="20"/>
                <w:szCs w:val="20"/>
                <w:color w:val="auto"/>
              </w:rPr>
            </w:pPr>
            <w:r>
              <w:rPr>
                <w:rFonts w:ascii="Arial" w:cs="Arial" w:eastAsia="Arial" w:hAnsi="Arial"/>
                <w:sz w:val="18"/>
                <w:szCs w:val="18"/>
                <w:color w:val="auto"/>
              </w:rPr>
              <w:t>E-mail Address</w:t>
            </w:r>
          </w:p>
        </w:tc>
        <w:tc>
          <w:tcPr>
            <w:tcW w:w="2400" w:type="dxa"/>
            <w:vAlign w:val="bottom"/>
          </w:tcPr>
          <w:p>
            <w:pPr>
              <w:ind w:left="380"/>
              <w:spacing w:after="0"/>
              <w:rPr>
                <w:sz w:val="20"/>
                <w:szCs w:val="20"/>
                <w:color w:val="auto"/>
              </w:rPr>
            </w:pPr>
            <w:r>
              <w:rPr>
                <w:rFonts w:ascii="Arial" w:cs="Arial" w:eastAsia="Arial" w:hAnsi="Arial"/>
                <w:sz w:val="18"/>
                <w:szCs w:val="18"/>
                <w:color w:val="auto"/>
              </w:rPr>
              <w:t>Telephone Numbers</w:t>
            </w:r>
          </w:p>
        </w:tc>
        <w:tc>
          <w:tcPr>
            <w:tcW w:w="2460" w:type="dxa"/>
            <w:vAlign w:val="bottom"/>
            <w:gridSpan w:val="2"/>
          </w:tcPr>
          <w:p>
            <w:pPr>
              <w:ind w:left="660"/>
              <w:spacing w:after="0"/>
              <w:rPr>
                <w:sz w:val="20"/>
                <w:szCs w:val="20"/>
                <w:color w:val="auto"/>
              </w:rPr>
            </w:pPr>
            <w:r>
              <w:rPr>
                <w:rFonts w:ascii="Arial" w:cs="Arial" w:eastAsia="Arial" w:hAnsi="Arial"/>
                <w:sz w:val="18"/>
                <w:szCs w:val="18"/>
                <w:color w:val="auto"/>
              </w:rPr>
              <w:t>Fax Number</w:t>
            </w: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rPr>
              <w:t>Eugene Rozelman / Managing Director</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rPr>
              <w:t>Jennifer Pardi / Managing Director</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4620" w:type="dxa"/>
            <w:vAlign w:val="bottom"/>
          </w:tcPr>
          <w:p>
            <w:pPr>
              <w:spacing w:after="0"/>
              <w:rPr>
                <w:sz w:val="20"/>
                <w:szCs w:val="20"/>
                <w:color w:val="auto"/>
              </w:rPr>
            </w:pPr>
            <w:r>
              <w:rPr>
                <w:rFonts w:ascii="Arial" w:cs="Arial" w:eastAsia="Arial" w:hAnsi="Arial"/>
                <w:sz w:val="18"/>
                <w:szCs w:val="18"/>
                <w:color w:val="auto"/>
              </w:rPr>
              <w:t>Andrew Viles / Managing Director and Internal Counsel</w:t>
            </w: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6"/>
        </w:trPr>
        <w:tc>
          <w:tcPr>
            <w:tcW w:w="4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Schedule 1</w:t>
            </w:r>
          </w:p>
        </w:tc>
        <w:tc>
          <w:tcPr>
            <w:tcW w:w="2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SCHEDULE 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Formation</w:t>
            </w:r>
          </w:p>
        </w:tc>
      </w:tr>
      <w:tr>
        <w:trPr>
          <w:trHeight w:val="115"/>
        </w:trPr>
        <w:tc>
          <w:tcPr>
            <w:tcW w:w="5520" w:type="dxa"/>
            <w:vAlign w:val="bottom"/>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r>
      <w:tr>
        <w:trPr>
          <w:trHeight w:val="540"/>
        </w:trPr>
        <w:tc>
          <w:tcPr>
            <w:tcW w:w="5520" w:type="dxa"/>
            <w:vAlign w:val="bottom"/>
          </w:tcPr>
          <w:p>
            <w:pPr>
              <w:spacing w:after="0"/>
              <w:rPr>
                <w:sz w:val="20"/>
                <w:szCs w:val="20"/>
                <w:color w:val="auto"/>
              </w:rPr>
            </w:pPr>
            <w:r>
              <w:rPr>
                <w:rFonts w:ascii="Arial" w:cs="Arial" w:eastAsia="Arial" w:hAnsi="Arial"/>
                <w:sz w:val="18"/>
                <w:szCs w:val="18"/>
                <w:color w:val="auto"/>
              </w:rPr>
              <w:t>Entera Bio, Inc.</w:t>
            </w:r>
          </w:p>
        </w:tc>
        <w:tc>
          <w:tcPr>
            <w:tcW w:w="5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904"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i w:val="1"/>
          <w:iCs w:val="1"/>
          <w:color w:val="auto"/>
        </w:rPr>
        <w:t>[name of executive officer]</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[title of executive officer]</w:t>
      </w:r>
      <w:r>
        <w:rPr>
          <w:rFonts w:ascii="Arial" w:cs="Arial" w:eastAsia="Arial" w:hAnsi="Arial"/>
          <w:sz w:val="18"/>
          <w:szCs w:val="18"/>
          <w:color w:val="auto"/>
        </w:rPr>
        <w:t xml:space="preserve"> of Entera Bio, Ltd.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 Israeli limited liability company, do hereby certify in such capacity and on behalf of the Company pursuant to </w:t>
      </w:r>
      <w:r>
        <w:rPr>
          <w:rFonts w:ascii="Arial" w:cs="Arial" w:eastAsia="Arial" w:hAnsi="Arial"/>
          <w:sz w:val="18"/>
          <w:szCs w:val="18"/>
          <w:u w:val="single" w:color="auto"/>
          <w:color w:val="auto"/>
        </w:rPr>
        <w:t>Section 7(n)</w:t>
      </w:r>
      <w:r>
        <w:rPr>
          <w:rFonts w:ascii="Arial" w:cs="Arial" w:eastAsia="Arial" w:hAnsi="Arial"/>
          <w:sz w:val="18"/>
          <w:szCs w:val="18"/>
          <w:color w:val="auto"/>
        </w:rPr>
        <w:t xml:space="preserve"> of the Equity Distribution Agreement dated July 13, 2020 (the “</w:t>
      </w:r>
      <w:r>
        <w:rPr>
          <w:rFonts w:ascii="Arial" w:cs="Arial" w:eastAsia="Arial" w:hAnsi="Arial"/>
          <w:sz w:val="18"/>
          <w:szCs w:val="18"/>
          <w:u w:val="single" w:color="auto"/>
          <w:color w:val="auto"/>
        </w:rPr>
        <w:t>Distribution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between the Company and Canaccord Genuity LLC, to the best of my knowledge that:</w:t>
      </w:r>
    </w:p>
    <w:p>
      <w:pPr>
        <w:spacing w:after="0" w:line="184" w:lineRule="exact"/>
        <w:rPr>
          <w:sz w:val="20"/>
          <w:szCs w:val="20"/>
          <w:color w:val="auto"/>
        </w:rPr>
      </w:pPr>
    </w:p>
    <w:p>
      <w:pPr>
        <w:jc w:val="both"/>
        <w:ind w:firstLine="656"/>
        <w:spacing w:after="0" w:line="272" w:lineRule="auto"/>
        <w:tabs>
          <w:tab w:leader="none" w:pos="118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in Section 6 of the Distribution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77" w:lineRule="exact"/>
        <w:rPr>
          <w:rFonts w:ascii="Arial" w:cs="Arial" w:eastAsia="Arial" w:hAnsi="Arial"/>
          <w:sz w:val="17"/>
          <w:szCs w:val="17"/>
          <w:color w:val="auto"/>
        </w:rPr>
      </w:pPr>
    </w:p>
    <w:p>
      <w:pPr>
        <w:ind w:firstLine="656"/>
        <w:spacing w:after="0" w:line="277" w:lineRule="auto"/>
        <w:tabs>
          <w:tab w:leader="none" w:pos="13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has complied with all agreements and satisfied all conditions on its part to be performed or satisfied pursuant to the Distribution Agreement at or prior to the date hereof.</w:t>
      </w:r>
    </w:p>
    <w:p>
      <w:pPr>
        <w:spacing w:after="0" w:line="170"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14605</wp:posOffset>
            </wp:positionV>
            <wp:extent cx="8483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14605</wp:posOffset>
            </wp:positionV>
            <wp:extent cx="8572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Entera Bio Ltd.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as the Company</w:t>
      </w:r>
    </w:p>
    <w:p>
      <w:pPr>
        <w:spacing w:after="0" w:line="24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4780" w:hanging="606"/>
        <w:spacing w:after="0"/>
        <w:tabs>
          <w:tab w:leader="none" w:pos="47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4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Senior Indenture</w:t>
      </w:r>
    </w:p>
    <w:p>
      <w:pPr>
        <w:spacing w:after="0" w:line="248" w:lineRule="exact"/>
        <w:rPr>
          <w:sz w:val="20"/>
          <w:szCs w:val="20"/>
          <w:color w:val="auto"/>
        </w:rPr>
      </w:pPr>
    </w:p>
    <w:p>
      <w:pPr>
        <w:ind w:left="3580"/>
        <w:spacing w:after="0"/>
        <w:tabs>
          <w:tab w:leader="none" w:pos="4780" w:val="left"/>
        </w:tabs>
        <w:rPr>
          <w:sz w:val="20"/>
          <w:szCs w:val="20"/>
          <w:color w:val="auto"/>
        </w:rPr>
      </w:pPr>
      <w:r>
        <w:rPr>
          <w:rFonts w:ascii="Arial" w:cs="Arial" w:eastAsia="Arial" w:hAnsi="Arial"/>
          <w:sz w:val="18"/>
          <w:szCs w:val="18"/>
          <w:b w:val="1"/>
          <w:bCs w:val="1"/>
          <w:color w:val="auto"/>
        </w:rPr>
        <w:t>Dated as of [</w:t>
      </w:r>
      <w:r>
        <w:rPr>
          <w:sz w:val="20"/>
          <w:szCs w:val="20"/>
          <w:color w:val="auto"/>
        </w:rPr>
        <w:tab/>
      </w:r>
      <w:r>
        <w:rPr>
          <w:rFonts w:ascii="Arial" w:cs="Arial" w:eastAsia="Arial" w:hAnsi="Arial"/>
          <w:sz w:val="17"/>
          <w:szCs w:val="17"/>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514350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960120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2">
            <w:col w:w="5160" w:space="220"/>
            <w:col w:w="4740"/>
          </w:cols>
          <w:pgMar w:left="1440" w:top="364"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62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3440" w:type="dxa"/>
            <w:vAlign w:val="bottom"/>
          </w:tcPr>
          <w:p>
            <w:pPr>
              <w:spacing w:after="0"/>
              <w:rPr>
                <w:sz w:val="23"/>
                <w:szCs w:val="23"/>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c>
          <w:tcPr>
            <w:tcW w:w="0" w:type="dxa"/>
            <w:vAlign w:val="bottom"/>
          </w:tcPr>
          <w:p>
            <w:pPr>
              <w:spacing w:after="0"/>
              <w:rPr>
                <w:sz w:val="1"/>
                <w:szCs w:val="1"/>
                <w:color w:val="auto"/>
              </w:rPr>
            </w:pPr>
          </w:p>
        </w:tc>
      </w:tr>
      <w:tr>
        <w:trPr>
          <w:trHeight w:val="498"/>
        </w:trPr>
        <w:tc>
          <w:tcPr>
            <w:tcW w:w="4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4220" w:type="dxa"/>
            <w:vAlign w:val="bottom"/>
          </w:tcPr>
          <w:p>
            <w:pPr>
              <w:spacing w:after="0"/>
              <w:rPr>
                <w:sz w:val="24"/>
                <w:szCs w:val="24"/>
                <w:color w:val="auto"/>
              </w:rPr>
            </w:pPr>
          </w:p>
        </w:tc>
        <w:tc>
          <w:tcPr>
            <w:tcW w:w="6240" w:type="dxa"/>
            <w:vAlign w:val="bottom"/>
            <w:gridSpan w:val="2"/>
          </w:tcPr>
          <w:p>
            <w:pPr>
              <w:jc w:val="center"/>
              <w:ind w:right="3480"/>
              <w:spacing w:after="0"/>
              <w:rPr>
                <w:sz w:val="20"/>
                <w:szCs w:val="20"/>
                <w:color w:val="auto"/>
              </w:rPr>
            </w:pPr>
            <w:r>
              <w:rPr>
                <w:rFonts w:ascii="Arial" w:cs="Arial" w:eastAsia="Arial" w:hAnsi="Arial"/>
                <w:sz w:val="18"/>
                <w:szCs w:val="18"/>
                <w:color w:val="auto"/>
                <w:w w:val="96"/>
              </w:rPr>
              <w:t>ARTICLE 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60" w:type="dxa"/>
            <w:vAlign w:val="bottom"/>
            <w:gridSpan w:val="3"/>
          </w:tcPr>
          <w:p>
            <w:pPr>
              <w:jc w:val="center"/>
              <w:ind w:left="710"/>
              <w:spacing w:after="0"/>
              <w:rPr>
                <w:sz w:val="20"/>
                <w:szCs w:val="20"/>
                <w:color w:val="auto"/>
              </w:rPr>
            </w:pPr>
            <w:r>
              <w:rPr>
                <w:rFonts w:ascii="Arial" w:cs="Arial" w:eastAsia="Arial" w:hAnsi="Arial"/>
                <w:sz w:val="18"/>
                <w:szCs w:val="18"/>
                <w:color w:val="auto"/>
                <w:w w:val="98"/>
              </w:rPr>
              <w:t>D</w:t>
            </w:r>
            <w:r>
              <w:rPr>
                <w:rFonts w:ascii="Arial" w:cs="Arial" w:eastAsia="Arial" w:hAnsi="Arial"/>
                <w:sz w:val="12"/>
                <w:szCs w:val="12"/>
                <w:color w:val="auto"/>
                <w:w w:val="98"/>
              </w:rPr>
              <w:t>EFINITIONS AND</w:t>
            </w:r>
            <w:r>
              <w:rPr>
                <w:rFonts w:ascii="Arial" w:cs="Arial" w:eastAsia="Arial" w:hAnsi="Arial"/>
                <w:sz w:val="18"/>
                <w:szCs w:val="18"/>
                <w:color w:val="auto"/>
                <w:w w:val="98"/>
              </w:rPr>
              <w:t xml:space="preserve"> I</w:t>
            </w:r>
            <w:r>
              <w:rPr>
                <w:rFonts w:ascii="Arial" w:cs="Arial" w:eastAsia="Arial" w:hAnsi="Arial"/>
                <w:sz w:val="12"/>
                <w:szCs w:val="12"/>
                <w:color w:val="auto"/>
                <w:w w:val="98"/>
              </w:rPr>
              <w:t>NCORPORATION BY</w:t>
            </w:r>
            <w:r>
              <w:rPr>
                <w:rFonts w:ascii="Arial" w:cs="Arial" w:eastAsia="Arial" w:hAnsi="Arial"/>
                <w:sz w:val="18"/>
                <w:szCs w:val="18"/>
                <w:color w:val="auto"/>
                <w:w w:val="98"/>
              </w:rPr>
              <w:t xml:space="preserve"> R</w:t>
            </w:r>
            <w:r>
              <w:rPr>
                <w:rFonts w:ascii="Arial" w:cs="Arial" w:eastAsia="Arial" w:hAnsi="Arial"/>
                <w:sz w:val="12"/>
                <w:szCs w:val="12"/>
                <w:color w:val="auto"/>
                <w:w w:val="98"/>
              </w:rPr>
              <w:t>EFERENCE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6240" w:type="dxa"/>
            <w:vAlign w:val="bottom"/>
            <w:gridSpan w:val="2"/>
          </w:tcPr>
          <w:p>
            <w:pPr>
              <w:jc w:val="center"/>
              <w:ind w:right="3480"/>
              <w:spacing w:after="0"/>
              <w:rPr>
                <w:sz w:val="20"/>
                <w:szCs w:val="20"/>
                <w:color w:val="auto"/>
              </w:rPr>
            </w:pPr>
            <w:r>
              <w:rPr>
                <w:rFonts w:ascii="Arial" w:cs="Arial" w:eastAsia="Arial" w:hAnsi="Arial"/>
                <w:sz w:val="18"/>
                <w:szCs w:val="18"/>
                <w:color w:val="auto"/>
                <w:w w:val="96"/>
              </w:rPr>
              <w:t>ARTICLE 2</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p>
        </w:tc>
        <w:tc>
          <w:tcPr>
            <w:tcW w:w="6240" w:type="dxa"/>
            <w:vAlign w:val="bottom"/>
            <w:gridSpan w:val="2"/>
          </w:tcPr>
          <w:p>
            <w:pPr>
              <w:jc w:val="center"/>
              <w:ind w:right="3440"/>
              <w:spacing w:after="0"/>
              <w:rPr>
                <w:sz w:val="20"/>
                <w:szCs w:val="20"/>
                <w:color w:val="auto"/>
              </w:rPr>
            </w:pPr>
            <w:r>
              <w:rPr>
                <w:rFonts w:ascii="Arial" w:cs="Arial" w:eastAsia="Arial" w:hAnsi="Arial"/>
                <w:sz w:val="18"/>
                <w:szCs w:val="18"/>
                <w:color w:val="auto"/>
                <w:w w:val="95"/>
              </w:rPr>
              <w:t>T</w:t>
            </w:r>
            <w:r>
              <w:rPr>
                <w:rFonts w:ascii="Arial" w:cs="Arial" w:eastAsia="Arial" w:hAnsi="Arial"/>
                <w:sz w:val="12"/>
                <w:szCs w:val="12"/>
                <w:color w:val="auto"/>
                <w:w w:val="95"/>
              </w:rPr>
              <w:t>HE</w:t>
            </w:r>
            <w:r>
              <w:rPr>
                <w:rFonts w:ascii="Arial" w:cs="Arial" w:eastAsia="Arial" w:hAnsi="Arial"/>
                <w:sz w:val="18"/>
                <w:szCs w:val="18"/>
                <w:color w:val="auto"/>
                <w:w w:val="95"/>
              </w:rPr>
              <w:t xml:space="preserve"> S</w:t>
            </w:r>
            <w:r>
              <w:rPr>
                <w:rFonts w:ascii="Arial" w:cs="Arial" w:eastAsia="Arial" w:hAnsi="Arial"/>
                <w:sz w:val="12"/>
                <w:szCs w:val="12"/>
                <w:color w:val="auto"/>
                <w:w w:val="95"/>
              </w:rPr>
              <w:t>ECURITIES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Denomination and Date of Securities; Payments of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Registrar and Paying Agent; Agents Generally</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Paying Agent to Hold Money in Trust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Transfer and Exchange</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Replacement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Outstanding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Cancellation</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Defaulted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Series May Include Tranches</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6240" w:type="dxa"/>
            <w:vAlign w:val="bottom"/>
            <w:gridSpan w:val="2"/>
          </w:tcPr>
          <w:p>
            <w:pPr>
              <w:jc w:val="center"/>
              <w:ind w:right="3480"/>
              <w:spacing w:after="0"/>
              <w:rPr>
                <w:sz w:val="20"/>
                <w:szCs w:val="20"/>
                <w:color w:val="auto"/>
              </w:rPr>
            </w:pPr>
            <w:r>
              <w:rPr>
                <w:rFonts w:ascii="Arial" w:cs="Arial" w:eastAsia="Arial" w:hAnsi="Arial"/>
                <w:sz w:val="18"/>
                <w:szCs w:val="18"/>
                <w:color w:val="auto"/>
                <w:w w:val="96"/>
              </w:rPr>
              <w:t>ARTICLE 3</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p>
        </w:tc>
        <w:tc>
          <w:tcPr>
            <w:tcW w:w="6240" w:type="dxa"/>
            <w:vAlign w:val="bottom"/>
            <w:gridSpan w:val="2"/>
          </w:tcPr>
          <w:p>
            <w:pPr>
              <w:jc w:val="center"/>
              <w:ind w:right="3420"/>
              <w:spacing w:after="0"/>
              <w:rPr>
                <w:sz w:val="20"/>
                <w:szCs w:val="20"/>
                <w:color w:val="auto"/>
              </w:rPr>
            </w:pPr>
            <w:r>
              <w:rPr>
                <w:rFonts w:ascii="Arial" w:cs="Arial" w:eastAsia="Arial" w:hAnsi="Arial"/>
                <w:sz w:val="18"/>
                <w:szCs w:val="18"/>
                <w:color w:val="auto"/>
                <w:w w:val="97"/>
              </w:rPr>
              <w:t>R</w:t>
            </w:r>
            <w:r>
              <w:rPr>
                <w:rFonts w:ascii="Arial" w:cs="Arial" w:eastAsia="Arial" w:hAnsi="Arial"/>
                <w:sz w:val="12"/>
                <w:szCs w:val="12"/>
                <w:color w:val="auto"/>
                <w:w w:val="97"/>
              </w:rPr>
              <w:t>EDEMPTION</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Notice of Redemption; Partial Redemptions</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Payment of Securities Called for Redemption</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Exclusion of Certain Securities from Eligibility for Selection for Redemption</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Mandatory and Optional Sinking Funds</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6240" w:type="dxa"/>
            <w:vAlign w:val="bottom"/>
            <w:gridSpan w:val="2"/>
          </w:tcPr>
          <w:p>
            <w:pPr>
              <w:jc w:val="center"/>
              <w:ind w:right="3480"/>
              <w:spacing w:after="0"/>
              <w:rPr>
                <w:sz w:val="20"/>
                <w:szCs w:val="20"/>
                <w:color w:val="auto"/>
              </w:rPr>
            </w:pPr>
            <w:r>
              <w:rPr>
                <w:rFonts w:ascii="Arial" w:cs="Arial" w:eastAsia="Arial" w:hAnsi="Arial"/>
                <w:sz w:val="18"/>
                <w:szCs w:val="18"/>
                <w:color w:val="auto"/>
                <w:w w:val="96"/>
              </w:rPr>
              <w:t>ARTICLE 4</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p>
        </w:tc>
        <w:tc>
          <w:tcPr>
            <w:tcW w:w="6240" w:type="dxa"/>
            <w:vAlign w:val="bottom"/>
            <w:gridSpan w:val="2"/>
          </w:tcPr>
          <w:p>
            <w:pPr>
              <w:jc w:val="center"/>
              <w:ind w:right="3420"/>
              <w:spacing w:after="0"/>
              <w:rPr>
                <w:sz w:val="20"/>
                <w:szCs w:val="20"/>
                <w:color w:val="auto"/>
              </w:rPr>
            </w:pPr>
            <w:r>
              <w:rPr>
                <w:rFonts w:ascii="Arial" w:cs="Arial" w:eastAsia="Arial" w:hAnsi="Arial"/>
                <w:sz w:val="18"/>
                <w:szCs w:val="18"/>
                <w:color w:val="auto"/>
                <w:w w:val="98"/>
              </w:rPr>
              <w:t>C</w:t>
            </w:r>
            <w:r>
              <w:rPr>
                <w:rFonts w:ascii="Arial" w:cs="Arial" w:eastAsia="Arial" w:hAnsi="Arial"/>
                <w:sz w:val="12"/>
                <w:szCs w:val="12"/>
                <w:color w:val="auto"/>
                <w:w w:val="98"/>
              </w:rPr>
              <w:t>OVENANTS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Securityholders’ Lists</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Certificate to Trustee</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Reports by the Company</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Additional Amounts</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8"/>
        </w:trPr>
        <w:tc>
          <w:tcPr>
            <w:tcW w:w="4220" w:type="dxa"/>
            <w:vAlign w:val="bottom"/>
          </w:tcPr>
          <w:p>
            <w:pPr>
              <w:spacing w:after="0"/>
              <w:rPr>
                <w:sz w:val="24"/>
                <w:szCs w:val="24"/>
                <w:color w:val="auto"/>
              </w:rPr>
            </w:pPr>
          </w:p>
        </w:tc>
        <w:tc>
          <w:tcPr>
            <w:tcW w:w="6240" w:type="dxa"/>
            <w:vAlign w:val="bottom"/>
            <w:gridSpan w:val="2"/>
          </w:tcPr>
          <w:p>
            <w:pPr>
              <w:jc w:val="center"/>
              <w:ind w:right="3440"/>
              <w:spacing w:after="0"/>
              <w:rPr>
                <w:sz w:val="20"/>
                <w:szCs w:val="20"/>
                <w:color w:val="auto"/>
              </w:rPr>
            </w:pPr>
            <w:r>
              <w:rPr>
                <w:rFonts w:ascii="Arial" w:cs="Arial" w:eastAsia="Arial" w:hAnsi="Arial"/>
                <w:sz w:val="18"/>
                <w:szCs w:val="18"/>
                <w:color w:val="auto"/>
                <w:w w:val="96"/>
              </w:rPr>
              <w:t>ARTICLE 5</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p>
        </w:tc>
        <w:tc>
          <w:tcPr>
            <w:tcW w:w="6240" w:type="dxa"/>
            <w:vAlign w:val="bottom"/>
            <w:gridSpan w:val="2"/>
          </w:tcPr>
          <w:p>
            <w:pPr>
              <w:jc w:val="center"/>
              <w:ind w:right="3420"/>
              <w:spacing w:after="0"/>
              <w:rPr>
                <w:sz w:val="20"/>
                <w:szCs w:val="20"/>
                <w:color w:val="auto"/>
              </w:rPr>
            </w:pPr>
            <w:r>
              <w:rPr>
                <w:rFonts w:ascii="Arial" w:cs="Arial" w:eastAsia="Arial" w:hAnsi="Arial"/>
                <w:sz w:val="18"/>
                <w:szCs w:val="18"/>
                <w:color w:val="auto"/>
                <w:w w:val="92"/>
              </w:rPr>
              <w:t>S</w:t>
            </w:r>
            <w:r>
              <w:rPr>
                <w:rFonts w:ascii="Arial" w:cs="Arial" w:eastAsia="Arial" w:hAnsi="Arial"/>
                <w:sz w:val="12"/>
                <w:szCs w:val="12"/>
                <w:color w:val="auto"/>
                <w:w w:val="92"/>
              </w:rPr>
              <w:t>UCCESSOR</w:t>
            </w:r>
            <w:r>
              <w:rPr>
                <w:rFonts w:ascii="Arial" w:cs="Arial" w:eastAsia="Arial" w:hAnsi="Arial"/>
                <w:sz w:val="18"/>
                <w:szCs w:val="18"/>
                <w:color w:val="auto"/>
                <w:w w:val="92"/>
              </w:rPr>
              <w:t xml:space="preserve"> C</w:t>
            </w:r>
            <w:r>
              <w:rPr>
                <w:rFonts w:ascii="Arial" w:cs="Arial" w:eastAsia="Arial" w:hAnsi="Arial"/>
                <w:sz w:val="12"/>
                <w:szCs w:val="12"/>
                <w:color w:val="auto"/>
                <w:w w:val="92"/>
              </w:rPr>
              <w:t>ORPORATION</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When Company May Merge, Etc.</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0460" w:type="dxa"/>
            <w:vAlign w:val="bottom"/>
            <w:gridSpan w:val="3"/>
          </w:tcPr>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Substituted</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9440" w:type="dxa"/>
            <w:vAlign w:val="bottom"/>
          </w:tcPr>
          <w:p>
            <w:pPr>
              <w:jc w:val="center"/>
              <w:ind w:left="1710"/>
              <w:spacing w:after="0"/>
              <w:rPr>
                <w:sz w:val="20"/>
                <w:szCs w:val="20"/>
                <w:color w:val="auto"/>
              </w:rPr>
            </w:pPr>
            <w:r>
              <w:rPr>
                <w:rFonts w:ascii="Arial" w:cs="Arial" w:eastAsia="Arial" w:hAnsi="Arial"/>
                <w:sz w:val="18"/>
                <w:szCs w:val="18"/>
                <w:color w:val="auto"/>
                <w:w w:val="96"/>
              </w:rPr>
              <w:t>ARTICLE 6</w:t>
            </w:r>
          </w:p>
        </w:tc>
        <w:tc>
          <w:tcPr>
            <w:tcW w:w="1800" w:type="dxa"/>
            <w:vAlign w:val="bottom"/>
          </w:tcPr>
          <w:p>
            <w:pPr>
              <w:spacing w:after="0"/>
              <w:rPr>
                <w:sz w:val="18"/>
                <w:szCs w:val="18"/>
                <w:color w:val="auto"/>
              </w:rPr>
            </w:pPr>
          </w:p>
        </w:tc>
      </w:tr>
      <w:tr>
        <w:trPr>
          <w:trHeight w:val="230"/>
        </w:trPr>
        <w:tc>
          <w:tcPr>
            <w:tcW w:w="9440" w:type="dxa"/>
            <w:vAlign w:val="bottom"/>
          </w:tcPr>
          <w:p>
            <w:pPr>
              <w:jc w:val="center"/>
              <w:ind w:left="1730"/>
              <w:spacing w:after="0"/>
              <w:rPr>
                <w:sz w:val="20"/>
                <w:szCs w:val="20"/>
                <w:color w:val="auto"/>
              </w:rPr>
            </w:pPr>
            <w:r>
              <w:rPr>
                <w:rFonts w:ascii="Arial" w:cs="Arial" w:eastAsia="Arial" w:hAnsi="Arial"/>
                <w:sz w:val="18"/>
                <w:szCs w:val="18"/>
                <w:color w:val="auto"/>
                <w:w w:val="98"/>
              </w:rPr>
              <w:t>D</w:t>
            </w:r>
            <w:r>
              <w:rPr>
                <w:rFonts w:ascii="Arial" w:cs="Arial" w:eastAsia="Arial" w:hAnsi="Arial"/>
                <w:sz w:val="12"/>
                <w:szCs w:val="12"/>
                <w:color w:val="auto"/>
                <w:w w:val="98"/>
              </w:rPr>
              <w:t>EFAULT AND</w:t>
            </w:r>
            <w:r>
              <w:rPr>
                <w:rFonts w:ascii="Arial" w:cs="Arial" w:eastAsia="Arial" w:hAnsi="Arial"/>
                <w:sz w:val="18"/>
                <w:szCs w:val="18"/>
                <w:color w:val="auto"/>
                <w:w w:val="98"/>
              </w:rPr>
              <w:t xml:space="preserve"> R</w:t>
            </w:r>
            <w:r>
              <w:rPr>
                <w:rFonts w:ascii="Arial" w:cs="Arial" w:eastAsia="Arial" w:hAnsi="Arial"/>
                <w:sz w:val="12"/>
                <w:szCs w:val="12"/>
                <w:color w:val="auto"/>
                <w:w w:val="98"/>
              </w:rPr>
              <w:t>EMEDIES</w:t>
            </w:r>
          </w:p>
        </w:tc>
        <w:tc>
          <w:tcPr>
            <w:tcW w:w="1800" w:type="dxa"/>
            <w:vAlign w:val="bottom"/>
          </w:tcPr>
          <w:p>
            <w:pPr>
              <w:spacing w:after="0"/>
              <w:rPr>
                <w:sz w:val="20"/>
                <w:szCs w:val="20"/>
                <w:color w:val="auto"/>
              </w:rPr>
            </w:pPr>
          </w:p>
        </w:tc>
      </w:tr>
      <w:tr>
        <w:trPr>
          <w:trHeight w:val="418"/>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Control by Majority</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to Receive Payment</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Application of Proceeds</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Undertaking for Costs</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Rights and Remedies Cumulative</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9440" w:type="dxa"/>
            <w:vAlign w:val="bottom"/>
          </w:tcPr>
          <w:p>
            <w:pPr>
              <w:jc w:val="center"/>
              <w:ind w:left="1670"/>
              <w:spacing w:after="0"/>
              <w:rPr>
                <w:sz w:val="20"/>
                <w:szCs w:val="20"/>
                <w:color w:val="auto"/>
              </w:rPr>
            </w:pPr>
            <w:r>
              <w:rPr>
                <w:rFonts w:ascii="Arial" w:cs="Arial" w:eastAsia="Arial" w:hAnsi="Arial"/>
                <w:sz w:val="18"/>
                <w:szCs w:val="18"/>
                <w:color w:val="auto"/>
                <w:w w:val="96"/>
              </w:rPr>
              <w:t>ARTICLE 7</w:t>
            </w:r>
          </w:p>
        </w:tc>
        <w:tc>
          <w:tcPr>
            <w:tcW w:w="1800" w:type="dxa"/>
            <w:vAlign w:val="bottom"/>
          </w:tcPr>
          <w:p>
            <w:pPr>
              <w:spacing w:after="0"/>
              <w:rPr>
                <w:sz w:val="24"/>
                <w:szCs w:val="24"/>
                <w:color w:val="auto"/>
              </w:rPr>
            </w:pPr>
          </w:p>
        </w:tc>
      </w:tr>
      <w:tr>
        <w:trPr>
          <w:trHeight w:val="230"/>
        </w:trPr>
        <w:tc>
          <w:tcPr>
            <w:tcW w:w="9440" w:type="dxa"/>
            <w:vAlign w:val="bottom"/>
          </w:tcPr>
          <w:p>
            <w:pPr>
              <w:jc w:val="center"/>
              <w:ind w:left="1710"/>
              <w:spacing w:after="0"/>
              <w:rPr>
                <w:sz w:val="20"/>
                <w:szCs w:val="20"/>
                <w:color w:val="auto"/>
              </w:rPr>
            </w:pPr>
            <w:r>
              <w:rPr>
                <w:rFonts w:ascii="Arial" w:cs="Arial" w:eastAsia="Arial" w:hAnsi="Arial"/>
                <w:sz w:val="18"/>
                <w:szCs w:val="18"/>
                <w:color w:val="auto"/>
                <w:w w:val="93"/>
              </w:rPr>
              <w:t>T</w:t>
            </w:r>
            <w:r>
              <w:rPr>
                <w:rFonts w:ascii="Arial" w:cs="Arial" w:eastAsia="Arial" w:hAnsi="Arial"/>
                <w:sz w:val="12"/>
                <w:szCs w:val="12"/>
                <w:color w:val="auto"/>
                <w:w w:val="93"/>
              </w:rPr>
              <w:t>RUSTEE</w:t>
            </w:r>
          </w:p>
        </w:tc>
        <w:tc>
          <w:tcPr>
            <w:tcW w:w="1800" w:type="dxa"/>
            <w:vAlign w:val="bottom"/>
          </w:tcPr>
          <w:p>
            <w:pPr>
              <w:spacing w:after="0"/>
              <w:rPr>
                <w:sz w:val="20"/>
                <w:szCs w:val="20"/>
                <w:color w:val="auto"/>
              </w:rPr>
            </w:pPr>
          </w:p>
        </w:tc>
      </w:tr>
      <w:tr>
        <w:trPr>
          <w:trHeight w:val="418"/>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General</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Certain Rights of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Notice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Acceptance of Appointment by Successor</w:t>
            </w:r>
          </w:p>
        </w:tc>
        <w:tc>
          <w:tcPr>
            <w:tcW w:w="1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Successor Trustee By Merger, Etc.</w:t>
            </w: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Eligibility</w:t>
            </w: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Money Held in Trust</w:t>
            </w: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9440" w:type="dxa"/>
            <w:vAlign w:val="bottom"/>
          </w:tcPr>
          <w:p>
            <w:pPr>
              <w:jc w:val="center"/>
              <w:ind w:left="1670"/>
              <w:spacing w:after="0"/>
              <w:rPr>
                <w:sz w:val="20"/>
                <w:szCs w:val="20"/>
                <w:color w:val="auto"/>
              </w:rPr>
            </w:pPr>
            <w:r>
              <w:rPr>
                <w:rFonts w:ascii="Arial" w:cs="Arial" w:eastAsia="Arial" w:hAnsi="Arial"/>
                <w:sz w:val="18"/>
                <w:szCs w:val="18"/>
                <w:color w:val="auto"/>
                <w:w w:val="96"/>
              </w:rPr>
              <w:t>ARTICLE 8</w:t>
            </w:r>
          </w:p>
        </w:tc>
        <w:tc>
          <w:tcPr>
            <w:tcW w:w="1800" w:type="dxa"/>
            <w:vAlign w:val="bottom"/>
          </w:tcPr>
          <w:p>
            <w:pPr>
              <w:spacing w:after="0"/>
              <w:rPr>
                <w:sz w:val="24"/>
                <w:szCs w:val="24"/>
                <w:color w:val="auto"/>
              </w:rPr>
            </w:pPr>
          </w:p>
        </w:tc>
      </w:tr>
      <w:tr>
        <w:trPr>
          <w:trHeight w:val="230"/>
        </w:trPr>
        <w:tc>
          <w:tcPr>
            <w:tcW w:w="9440" w:type="dxa"/>
            <w:vAlign w:val="bottom"/>
          </w:tcPr>
          <w:p>
            <w:pPr>
              <w:jc w:val="center"/>
              <w:ind w:left="1710"/>
              <w:spacing w:after="0"/>
              <w:rPr>
                <w:sz w:val="20"/>
                <w:szCs w:val="20"/>
                <w:color w:val="auto"/>
              </w:rPr>
            </w:pPr>
            <w:r>
              <w:rPr>
                <w:rFonts w:ascii="Arial" w:cs="Arial" w:eastAsia="Arial" w:hAnsi="Arial"/>
                <w:sz w:val="18"/>
                <w:szCs w:val="18"/>
                <w:color w:val="auto"/>
                <w:w w:val="99"/>
              </w:rPr>
              <w:t>S</w:t>
            </w:r>
            <w:r>
              <w:rPr>
                <w:rFonts w:ascii="Arial" w:cs="Arial" w:eastAsia="Arial" w:hAnsi="Arial"/>
                <w:sz w:val="12"/>
                <w:szCs w:val="12"/>
                <w:color w:val="auto"/>
                <w:w w:val="99"/>
              </w:rPr>
              <w:t>ATISFACTION AND</w:t>
            </w:r>
            <w:r>
              <w:rPr>
                <w:rFonts w:ascii="Arial" w:cs="Arial" w:eastAsia="Arial" w:hAnsi="Arial"/>
                <w:sz w:val="18"/>
                <w:szCs w:val="18"/>
                <w:color w:val="auto"/>
                <w:w w:val="99"/>
              </w:rPr>
              <w:t xml:space="preserve"> D</w:t>
            </w:r>
            <w:r>
              <w:rPr>
                <w:rFonts w:ascii="Arial" w:cs="Arial" w:eastAsia="Arial" w:hAnsi="Arial"/>
                <w:sz w:val="12"/>
                <w:szCs w:val="12"/>
                <w:color w:val="auto"/>
                <w:w w:val="99"/>
              </w:rPr>
              <w:t>ISCHARGE OF</w:t>
            </w:r>
            <w:r>
              <w:rPr>
                <w:rFonts w:ascii="Arial" w:cs="Arial" w:eastAsia="Arial" w:hAnsi="Arial"/>
                <w:sz w:val="18"/>
                <w:szCs w:val="18"/>
                <w:color w:val="auto"/>
                <w:w w:val="99"/>
              </w:rPr>
              <w:t xml:space="preserve"> I</w:t>
            </w:r>
            <w:r>
              <w:rPr>
                <w:rFonts w:ascii="Arial" w:cs="Arial" w:eastAsia="Arial" w:hAnsi="Arial"/>
                <w:sz w:val="12"/>
                <w:szCs w:val="12"/>
                <w:color w:val="auto"/>
                <w:w w:val="99"/>
              </w:rPr>
              <w:t>NDENTURE</w:t>
            </w:r>
            <w:r>
              <w:rPr>
                <w:rFonts w:ascii="Arial" w:cs="Arial" w:eastAsia="Arial" w:hAnsi="Arial"/>
                <w:sz w:val="18"/>
                <w:szCs w:val="18"/>
                <w:color w:val="auto"/>
                <w:w w:val="99"/>
              </w:rPr>
              <w:t>; U</w:t>
            </w:r>
            <w:r>
              <w:rPr>
                <w:rFonts w:ascii="Arial" w:cs="Arial" w:eastAsia="Arial" w:hAnsi="Arial"/>
                <w:sz w:val="12"/>
                <w:szCs w:val="12"/>
                <w:color w:val="auto"/>
                <w:w w:val="99"/>
              </w:rPr>
              <w:t>NCLAIMED</w:t>
            </w:r>
            <w:r>
              <w:rPr>
                <w:rFonts w:ascii="Arial" w:cs="Arial" w:eastAsia="Arial" w:hAnsi="Arial"/>
                <w:sz w:val="18"/>
                <w:szCs w:val="18"/>
                <w:color w:val="auto"/>
                <w:w w:val="99"/>
              </w:rPr>
              <w:t xml:space="preserve"> M</w:t>
            </w:r>
            <w:r>
              <w:rPr>
                <w:rFonts w:ascii="Arial" w:cs="Arial" w:eastAsia="Arial" w:hAnsi="Arial"/>
                <w:sz w:val="12"/>
                <w:szCs w:val="12"/>
                <w:color w:val="auto"/>
                <w:w w:val="99"/>
              </w:rPr>
              <w:t>ONEYS</w:t>
            </w:r>
          </w:p>
        </w:tc>
        <w:tc>
          <w:tcPr>
            <w:tcW w:w="1800" w:type="dxa"/>
            <w:vAlign w:val="bottom"/>
          </w:tcPr>
          <w:p>
            <w:pPr>
              <w:spacing w:after="0"/>
              <w:rPr>
                <w:sz w:val="20"/>
                <w:szCs w:val="20"/>
                <w:color w:val="auto"/>
              </w:rPr>
            </w:pPr>
          </w:p>
        </w:tc>
      </w:tr>
      <w:tr>
        <w:trPr>
          <w:trHeight w:val="418"/>
        </w:trPr>
        <w:tc>
          <w:tcPr>
            <w:tcW w:w="9440" w:type="dxa"/>
            <w:vAlign w:val="bottom"/>
          </w:tcPr>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Satisfaction and Discharge of Indenture</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by Trustee of Funds Deposited for Payment of Securities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of Moneys Held by Paying Agent</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Return of Moneys Held by Trustee and Paying Agent Unclaimed for Two Years</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Defeasance and Discharge of Indenture</w:t>
            </w:r>
          </w:p>
        </w:tc>
        <w:tc>
          <w:tcPr>
            <w:tcW w:w="1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Defeasance of Certain Obligations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Indemnity</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Excess Funds</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Qualifying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9440" w:type="dxa"/>
            <w:vAlign w:val="bottom"/>
          </w:tcPr>
          <w:p>
            <w:pPr>
              <w:jc w:val="center"/>
              <w:ind w:left="1670"/>
              <w:spacing w:after="0"/>
              <w:rPr>
                <w:sz w:val="20"/>
                <w:szCs w:val="20"/>
                <w:color w:val="auto"/>
              </w:rPr>
            </w:pPr>
            <w:r>
              <w:rPr>
                <w:rFonts w:ascii="Arial" w:cs="Arial" w:eastAsia="Arial" w:hAnsi="Arial"/>
                <w:sz w:val="18"/>
                <w:szCs w:val="18"/>
                <w:color w:val="auto"/>
                <w:w w:val="96"/>
              </w:rPr>
              <w:t>ARTICLE 9</w:t>
            </w:r>
          </w:p>
        </w:tc>
        <w:tc>
          <w:tcPr>
            <w:tcW w:w="1800" w:type="dxa"/>
            <w:vAlign w:val="bottom"/>
          </w:tcPr>
          <w:p>
            <w:pPr>
              <w:spacing w:after="0"/>
              <w:rPr>
                <w:sz w:val="24"/>
                <w:szCs w:val="24"/>
                <w:color w:val="auto"/>
              </w:rPr>
            </w:pPr>
          </w:p>
        </w:tc>
      </w:tr>
      <w:tr>
        <w:trPr>
          <w:trHeight w:val="230"/>
        </w:trPr>
        <w:tc>
          <w:tcPr>
            <w:tcW w:w="9440" w:type="dxa"/>
            <w:vAlign w:val="bottom"/>
          </w:tcPr>
          <w:p>
            <w:pPr>
              <w:jc w:val="center"/>
              <w:ind w:left="1710"/>
              <w:spacing w:after="0"/>
              <w:rPr>
                <w:sz w:val="20"/>
                <w:szCs w:val="20"/>
                <w:color w:val="auto"/>
              </w:rPr>
            </w:pPr>
            <w:r>
              <w:rPr>
                <w:rFonts w:ascii="Arial" w:cs="Arial" w:eastAsia="Arial" w:hAnsi="Arial"/>
                <w:sz w:val="18"/>
                <w:szCs w:val="18"/>
                <w:color w:val="auto"/>
                <w:w w:val="98"/>
              </w:rPr>
              <w:t>A</w:t>
            </w:r>
            <w:r>
              <w:rPr>
                <w:rFonts w:ascii="Arial" w:cs="Arial" w:eastAsia="Arial" w:hAnsi="Arial"/>
                <w:sz w:val="12"/>
                <w:szCs w:val="12"/>
                <w:color w:val="auto"/>
                <w:w w:val="98"/>
              </w:rPr>
              <w:t>MENDMENTS</w:t>
            </w:r>
            <w:r>
              <w:rPr>
                <w:rFonts w:ascii="Arial" w:cs="Arial" w:eastAsia="Arial" w:hAnsi="Arial"/>
                <w:sz w:val="18"/>
                <w:szCs w:val="18"/>
                <w:color w:val="auto"/>
                <w:w w:val="98"/>
              </w:rPr>
              <w:t>, S</w:t>
            </w:r>
            <w:r>
              <w:rPr>
                <w:rFonts w:ascii="Arial" w:cs="Arial" w:eastAsia="Arial" w:hAnsi="Arial"/>
                <w:sz w:val="12"/>
                <w:szCs w:val="12"/>
                <w:color w:val="auto"/>
                <w:w w:val="98"/>
              </w:rPr>
              <w:t>UPPLEMENTS AND</w:t>
            </w:r>
            <w:r>
              <w:rPr>
                <w:rFonts w:ascii="Arial" w:cs="Arial" w:eastAsia="Arial" w:hAnsi="Arial"/>
                <w:sz w:val="18"/>
                <w:szCs w:val="18"/>
                <w:color w:val="auto"/>
                <w:w w:val="98"/>
              </w:rPr>
              <w:t xml:space="preserve"> W</w:t>
            </w:r>
            <w:r>
              <w:rPr>
                <w:rFonts w:ascii="Arial" w:cs="Arial" w:eastAsia="Arial" w:hAnsi="Arial"/>
                <w:sz w:val="12"/>
                <w:szCs w:val="12"/>
                <w:color w:val="auto"/>
                <w:w w:val="98"/>
              </w:rPr>
              <w:t>AIVERS</w:t>
            </w:r>
          </w:p>
        </w:tc>
        <w:tc>
          <w:tcPr>
            <w:tcW w:w="1800" w:type="dxa"/>
            <w:vAlign w:val="bottom"/>
          </w:tcPr>
          <w:p>
            <w:pPr>
              <w:spacing w:after="0"/>
              <w:rPr>
                <w:sz w:val="20"/>
                <w:szCs w:val="20"/>
                <w:color w:val="auto"/>
              </w:rPr>
            </w:pPr>
          </w:p>
        </w:tc>
      </w:tr>
      <w:tr>
        <w:trPr>
          <w:trHeight w:val="418"/>
        </w:trPr>
        <w:tc>
          <w:tcPr>
            <w:tcW w:w="9440" w:type="dxa"/>
            <w:vAlign w:val="bottom"/>
          </w:tcPr>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Revocation and Effect of Consent</w:t>
            </w: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Securities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p>
        </w:tc>
        <w:tc>
          <w:tcPr>
            <w:tcW w:w="18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Conformity with Trust Indenture Act</w:t>
            </w: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9620" w:type="dxa"/>
            <w:vAlign w:val="bottom"/>
          </w:tcPr>
          <w:p>
            <w:pPr>
              <w:ind w:left="5140"/>
              <w:spacing w:after="0"/>
              <w:rPr>
                <w:sz w:val="20"/>
                <w:szCs w:val="20"/>
                <w:color w:val="auto"/>
              </w:rPr>
            </w:pPr>
            <w:r>
              <w:rPr>
                <w:rFonts w:ascii="Arial" w:cs="Arial" w:eastAsia="Arial" w:hAnsi="Arial"/>
                <w:sz w:val="18"/>
                <w:szCs w:val="18"/>
                <w:color w:val="auto"/>
              </w:rPr>
              <w:t>ARTICLE 10</w:t>
            </w:r>
          </w:p>
        </w:tc>
        <w:tc>
          <w:tcPr>
            <w:tcW w:w="1620" w:type="dxa"/>
            <w:vAlign w:val="bottom"/>
          </w:tcPr>
          <w:p>
            <w:pPr>
              <w:spacing w:after="0"/>
              <w:rPr>
                <w:sz w:val="24"/>
                <w:szCs w:val="24"/>
                <w:color w:val="auto"/>
              </w:rPr>
            </w:pPr>
          </w:p>
        </w:tc>
      </w:tr>
      <w:tr>
        <w:trPr>
          <w:trHeight w:val="230"/>
        </w:trPr>
        <w:tc>
          <w:tcPr>
            <w:tcW w:w="9620" w:type="dxa"/>
            <w:vAlign w:val="bottom"/>
          </w:tcPr>
          <w:p>
            <w:pPr>
              <w:ind w:left="510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tc>
        <w:tc>
          <w:tcPr>
            <w:tcW w:w="1620" w:type="dxa"/>
            <w:vAlign w:val="bottom"/>
          </w:tcPr>
          <w:p>
            <w:pPr>
              <w:spacing w:after="0"/>
              <w:rPr>
                <w:sz w:val="20"/>
                <w:szCs w:val="20"/>
                <w:color w:val="auto"/>
              </w:rPr>
            </w:pPr>
          </w:p>
        </w:tc>
      </w:tr>
      <w:tr>
        <w:trPr>
          <w:trHeight w:val="418"/>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of 1939</w:t>
            </w: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Notices</w:t>
            </w: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Certificate and Opinion as to Conditions Precedent</w:t>
            </w: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Statements Required in Certificate or Opinion</w:t>
            </w: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Evidence of Ownership</w:t>
            </w:r>
          </w:p>
        </w:tc>
        <w:tc>
          <w:tcPr>
            <w:tcW w:w="1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Rules by Trustee, Paying Agent or Registrar</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Payment Date Other Than a Business Day</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Governing Law</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No Adverse Interpretation of Other Agreements</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Successors</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Duplicate Originals</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Separability</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Table of Contents, Headings, Etc.</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Incorporators, Stockholders, Officers and Directors of Company Exempt from Individual Liability</w:t>
            </w:r>
          </w:p>
        </w:tc>
        <w:tc>
          <w:tcPr>
            <w:tcW w:w="1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i w:val="1"/>
                <w:iCs w:val="1"/>
                <w:color w:val="auto"/>
              </w:rPr>
              <w:t>Judgment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Waiver of Jury Trial</w:t>
            </w: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620" w:type="dxa"/>
            <w:vAlign w:val="bottom"/>
          </w:tcPr>
          <w:p>
            <w:pPr>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i w:val="1"/>
                <w:iCs w:val="1"/>
                <w:color w:val="auto"/>
              </w:rPr>
              <w:t>Force Majeure</w:t>
            </w: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7" w:name="page98"/>
    <w:bookmarkEnd w:id="97"/>
    <w:p>
      <w:pPr>
        <w:ind w:left="660"/>
        <w:spacing w:after="0"/>
        <w:tabs>
          <w:tab w:leader="none" w:pos="4140" w:val="left"/>
          <w:tab w:leader="none" w:pos="4640" w:val="left"/>
          <w:tab w:leader="none" w:pos="10040" w:val="left"/>
        </w:tabs>
        <w:rPr>
          <w:sz w:val="20"/>
          <w:szCs w:val="20"/>
          <w:color w:val="auto"/>
        </w:rPr>
      </w:pPr>
      <w:r>
        <w:rPr>
          <w:rFonts w:ascii="Arial" w:cs="Arial" w:eastAsia="Arial" w:hAnsi="Arial"/>
          <w:sz w:val="18"/>
          <w:szCs w:val="18"/>
          <w:color w:val="auto"/>
        </w:rPr>
        <w:t>SENIOR INDENTURE, dated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between Entera Bio Ltd., an Israeli company, as the Company, and [</w:t>
      </w:r>
      <w:r>
        <w:rPr>
          <w:sz w:val="20"/>
          <w:szCs w:val="20"/>
          <w:color w:val="auto"/>
        </w:rPr>
        <w:tab/>
      </w:r>
      <w:r>
        <w:rPr>
          <w:rFonts w:ascii="Arial" w:cs="Arial" w:eastAsia="Arial" w:hAnsi="Arial"/>
          <w:sz w:val="15"/>
          <w:szCs w:val="15"/>
          <w:color w:val="auto"/>
        </w:rPr>
        <w:t>], as Trustee.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WHEREAS, the Company has duly authorized the issue from time to time of its senior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 AND</w:t>
      </w:r>
      <w:r>
        <w:rPr>
          <w:rFonts w:ascii="Arial" w:cs="Arial" w:eastAsia="Arial" w:hAnsi="Arial"/>
          <w:sz w:val="18"/>
          <w:szCs w:val="18"/>
          <w:color w:val="auto"/>
        </w:rPr>
        <w:t xml:space="preserve"> I</w:t>
      </w:r>
      <w:r>
        <w:rPr>
          <w:rFonts w:ascii="Arial" w:cs="Arial" w:eastAsia="Arial" w:hAnsi="Arial"/>
          <w:sz w:val="12"/>
          <w:szCs w:val="12"/>
          <w:color w:val="auto"/>
        </w:rPr>
        <w:t>NCORPORATION BY</w:t>
      </w:r>
      <w:r>
        <w:rPr>
          <w:rFonts w:ascii="Arial" w:cs="Arial" w:eastAsia="Arial" w:hAnsi="Arial"/>
          <w:sz w:val="18"/>
          <w:szCs w:val="18"/>
          <w:color w:val="auto"/>
        </w:rPr>
        <w:t xml:space="preserve"> R</w:t>
      </w:r>
      <w:r>
        <w:rPr>
          <w:rFonts w:ascii="Arial" w:cs="Arial" w:eastAsia="Arial" w:hAnsi="Arial"/>
          <w:sz w:val="12"/>
          <w:szCs w:val="12"/>
          <w:color w:val="auto"/>
        </w:rPr>
        <w:t>EFERENCE</w:t>
      </w:r>
    </w:p>
    <w:p>
      <w:pPr>
        <w:spacing w:after="0" w:line="211"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1"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transfer agent or Authenticating Agent.</w:t>
      </w:r>
    </w:p>
    <w:p>
      <w:pPr>
        <w:spacing w:after="0" w:line="225"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Resolution</w:t>
      </w:r>
      <w:r>
        <w:rPr>
          <w:rFonts w:ascii="Arial" w:cs="Arial" w:eastAsia="Arial" w:hAnsi="Arial"/>
          <w:sz w:val="16"/>
          <w:szCs w:val="16"/>
          <w:color w:val="auto"/>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spacing w:after="0" w:line="116"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Saturday or Sunday, that is neither a legal holiday nor a day on which banking institutions are authorized or required by law or regulation to close (i) with respect to any Security the interest on which is based on the offered quotations in the interbank Eurodollar market for dollar deposits in London or in The City of New York or (ii) with respect to Securities denominated in a specified currency other than United States dollars, in the principal financial center of the country of the specified currency.</w:t>
      </w:r>
    </w:p>
    <w:p>
      <w:pPr>
        <w:spacing w:after="0" w:line="16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until a successor replaces it pursuant to Article 5 of this Indenture and thereafter means the successor.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shall, at any particular time, be administered, which office is, at the date of this Indenture, located at [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Registered Global Securities of that series.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Securityholder</w:t>
      </w:r>
      <w:r>
        <w:rPr>
          <w:rFonts w:ascii="Arial" w:cs="Arial" w:eastAsia="Arial" w:hAnsi="Arial"/>
          <w:sz w:val="18"/>
          <w:szCs w:val="18"/>
          <w:color w:val="auto"/>
        </w:rPr>
        <w:t>” means the registered holder of any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IFRS</w:t>
      </w:r>
      <w:r>
        <w:rPr>
          <w:rFonts w:ascii="Arial" w:cs="Arial" w:eastAsia="Arial" w:hAnsi="Arial"/>
          <w:sz w:val="16"/>
          <w:szCs w:val="16"/>
          <w:color w:val="auto"/>
        </w:rPr>
        <w:t>” means International Financial Reporting Standards as issued by the International Accounting Standards Board, as in effect as of the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spacing w:after="0" w:line="176"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(i) by the chairman of the board of directors,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spacing w:after="0" w:line="151"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spacing w:after="0" w:line="176" w:lineRule="exact"/>
        <w:rPr>
          <w:sz w:val="20"/>
          <w:szCs w:val="20"/>
          <w:color w:val="auto"/>
        </w:rPr>
      </w:pPr>
    </w:p>
    <w:p>
      <w:pPr>
        <w:ind w:right="6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6.02.</w:t>
      </w:r>
    </w:p>
    <w:p>
      <w:pPr>
        <w:spacing w:after="0" w:line="162"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Periodic Offering</w:t>
      </w:r>
      <w:r>
        <w:rPr>
          <w:rFonts w:ascii="Arial" w:cs="Arial" w:eastAsia="Arial" w:hAnsi="Arial"/>
          <w:sz w:val="18"/>
          <w:szCs w:val="18"/>
          <w:color w:val="auto"/>
        </w:rPr>
        <w:t>”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9" w:name="page100"/>
    <w:bookmarkEnd w:id="99"/>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or organization, including a government or political subdivision or an agency or instrumentality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w:t>
      </w:r>
      <w:r>
        <w:rPr>
          <w:rFonts w:ascii="Arial" w:cs="Arial" w:eastAsia="Arial" w:hAnsi="Arial"/>
          <w:sz w:val="17"/>
          <w:szCs w:val="17"/>
          <w:color w:val="auto"/>
        </w:rPr>
        <w:t>” of a Security means the principal amount of, and, unless the context indicates otherwise, includes any premium payable on,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07"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Global Security</w:t>
      </w:r>
      <w:r>
        <w:rPr>
          <w:rFonts w:ascii="Arial" w:cs="Arial" w:eastAsia="Arial" w:hAnsi="Arial"/>
          <w:sz w:val="18"/>
          <w:szCs w:val="18"/>
          <w:color w:val="auto"/>
        </w:rPr>
        <w:t>” means a Security evidencing all or a part of a series of Securities, issued to the Depositary for such series in accordance with Section 2.02, and bearing the legend prescribed in Section 2.02.</w:t>
      </w:r>
    </w:p>
    <w:p>
      <w:pPr>
        <w:spacing w:after="0" w:line="162"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spacing w:after="0" w:line="17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of the securities, as defined in the first paragraph of the recitals hereof, that are authenticated and delivered under this Indenture.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spacing w:after="0" w:line="17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w:t>
      </w:r>
      <w:r>
        <w:rPr>
          <w:rFonts w:ascii="Arial" w:cs="Arial" w:eastAsia="Arial" w:hAnsi="Arial"/>
          <w:sz w:val="17"/>
          <w:szCs w:val="17"/>
          <w:b w:val="1"/>
          <w:bCs w:val="1"/>
          <w:color w:val="auto"/>
        </w:rPr>
        <w:t>Trustee</w:t>
      </w:r>
      <w:r>
        <w:rPr>
          <w:rFonts w:ascii="Arial" w:cs="Arial" w:eastAsia="Arial" w:hAnsi="Arial"/>
          <w:sz w:val="17"/>
          <w:szCs w:val="17"/>
          <w:color w:val="auto"/>
        </w:rPr>
        <w:t>” as used with respect to the Securities of any series shall mean the Trustee with respect to Securities of that series.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Indenture Act</w:t>
      </w:r>
      <w:r>
        <w:rPr>
          <w:rFonts w:ascii="Arial" w:cs="Arial" w:eastAsia="Arial" w:hAnsi="Arial"/>
          <w:sz w:val="16"/>
          <w:szCs w:val="16"/>
          <w:color w:val="auto"/>
        </w:rPr>
        <w:t>” means the Trust Indenture Act of 1939, as amended (15 U.S. Code §§ 77aaa-77bbbb), as it may be amended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Obligations</w:t>
      </w:r>
      <w:r>
        <w:rPr>
          <w:rFonts w:ascii="Arial" w:cs="Arial" w:eastAsia="Arial" w:hAnsi="Arial"/>
          <w:sz w:val="18"/>
          <w:szCs w:val="18"/>
          <w:color w:val="auto"/>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spacing w:after="0" w:line="183"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Yield to Maturity</w:t>
      </w:r>
      <w:r>
        <w:rPr>
          <w:rFonts w:ascii="Arial" w:cs="Arial" w:eastAsia="Arial" w:hAnsi="Arial"/>
          <w:sz w:val="16"/>
          <w:szCs w:val="16"/>
          <w:color w:val="auto"/>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0" w:name="page101"/>
    <w:bookmarkEnd w:id="100"/>
    <w:p>
      <w:pPr>
        <w:ind w:left="660"/>
        <w:spacing w:after="0"/>
        <w:tabs>
          <w:tab w:leader="none" w:pos="21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i w:val="1"/>
          <w:iCs w:val="1"/>
          <w:color w:val="auto"/>
        </w:rPr>
        <w:t>Other Definitions</w:t>
      </w:r>
      <w:r>
        <w:rPr>
          <w:rFonts w:ascii="Arial" w:cs="Arial" w:eastAsia="Arial" w:hAnsi="Arial"/>
          <w:sz w:val="16"/>
          <w:szCs w:val="16"/>
          <w:color w:val="auto"/>
        </w:rPr>
        <w:t>. Each of the following terms is defined in the section set forth opposite such term:</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Term</w:t>
            </w:r>
          </w:p>
        </w:tc>
        <w:tc>
          <w:tcPr>
            <w:tcW w:w="4260" w:type="dxa"/>
            <w:vAlign w:val="bottom"/>
          </w:tcPr>
          <w:p>
            <w:pPr>
              <w:spacing w:after="0"/>
              <w:rPr>
                <w:sz w:val="17"/>
                <w:szCs w:val="17"/>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Section</w:t>
            </w:r>
          </w:p>
        </w:tc>
        <w:tc>
          <w:tcPr>
            <w:tcW w:w="60" w:type="dxa"/>
            <w:vAlign w:val="bottom"/>
          </w:tcPr>
          <w:p>
            <w:pPr>
              <w:spacing w:after="0"/>
              <w:rPr>
                <w:sz w:val="17"/>
                <w:szCs w:val="17"/>
                <w:color w:val="auto"/>
              </w:rPr>
            </w:pPr>
          </w:p>
        </w:tc>
      </w:tr>
      <w:tr>
        <w:trPr>
          <w:trHeight w:val="438"/>
        </w:trPr>
        <w:tc>
          <w:tcPr>
            <w:tcW w:w="4640" w:type="dxa"/>
            <w:vAlign w:val="bottom"/>
            <w:gridSpan w:val="2"/>
          </w:tcPr>
          <w:p>
            <w:pPr>
              <w:spacing w:after="0"/>
              <w:rPr>
                <w:sz w:val="20"/>
                <w:szCs w:val="20"/>
                <w:color w:val="auto"/>
              </w:rPr>
            </w:pPr>
            <w:r>
              <w:rPr>
                <w:rFonts w:ascii="Arial" w:cs="Arial" w:eastAsia="Arial" w:hAnsi="Arial"/>
                <w:sz w:val="18"/>
                <w:szCs w:val="18"/>
                <w:color w:val="auto"/>
              </w:rPr>
              <w:t>Authenticating Agent</w:t>
            </w:r>
          </w:p>
        </w:tc>
        <w:tc>
          <w:tcPr>
            <w:tcW w:w="540" w:type="dxa"/>
            <w:vAlign w:val="bottom"/>
          </w:tcPr>
          <w:p>
            <w:pPr>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24"/>
                <w:szCs w:val="24"/>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cash transaction</w:t>
            </w:r>
          </w:p>
        </w:tc>
        <w:tc>
          <w:tcPr>
            <w:tcW w:w="540" w:type="dxa"/>
            <w:vAlign w:val="bottom"/>
          </w:tcPr>
          <w:p>
            <w:pPr>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540" w:type="dxa"/>
            <w:vAlign w:val="bottom"/>
          </w:tcPr>
          <w:p>
            <w:pPr>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Judgment Currency</w:t>
            </w:r>
          </w:p>
        </w:tc>
        <w:tc>
          <w:tcPr>
            <w:tcW w:w="600" w:type="dxa"/>
            <w:vAlign w:val="bottom"/>
            <w:gridSpan w:val="2"/>
          </w:tcPr>
          <w:p>
            <w:pPr>
              <w:spacing w:after="0"/>
              <w:rPr>
                <w:sz w:val="20"/>
                <w:szCs w:val="20"/>
                <w:color w:val="auto"/>
              </w:rPr>
            </w:pPr>
            <w:r>
              <w:rPr>
                <w:rFonts w:ascii="Arial" w:cs="Arial" w:eastAsia="Arial" w:hAnsi="Arial"/>
                <w:sz w:val="18"/>
                <w:szCs w:val="18"/>
                <w:color w:val="auto"/>
                <w:w w:val="86"/>
              </w:rPr>
              <w:t>10.15(a)</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mandatory sinking fund payment</w:t>
            </w:r>
          </w:p>
        </w:tc>
        <w:tc>
          <w:tcPr>
            <w:tcW w:w="540" w:type="dxa"/>
            <w:vAlign w:val="bottom"/>
          </w:tcPr>
          <w:p>
            <w:pPr>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optional sinking fund payment</w:t>
            </w:r>
          </w:p>
        </w:tc>
        <w:tc>
          <w:tcPr>
            <w:tcW w:w="540" w:type="dxa"/>
            <w:vAlign w:val="bottom"/>
          </w:tcPr>
          <w:p>
            <w:pPr>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540" w:type="dxa"/>
            <w:vAlign w:val="bottom"/>
          </w:tcPr>
          <w:p>
            <w:pPr>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record date</w:t>
            </w:r>
          </w:p>
        </w:tc>
        <w:tc>
          <w:tcPr>
            <w:tcW w:w="540" w:type="dxa"/>
            <w:vAlign w:val="bottom"/>
          </w:tcPr>
          <w:p>
            <w:pPr>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540" w:type="dxa"/>
            <w:vAlign w:val="bottom"/>
          </w:tcPr>
          <w:p>
            <w:pPr>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Required Currency</w:t>
            </w:r>
          </w:p>
        </w:tc>
        <w:tc>
          <w:tcPr>
            <w:tcW w:w="600" w:type="dxa"/>
            <w:vAlign w:val="bottom"/>
            <w:gridSpan w:val="2"/>
          </w:tcPr>
          <w:p>
            <w:pPr>
              <w:spacing w:after="0"/>
              <w:rPr>
                <w:sz w:val="20"/>
                <w:szCs w:val="20"/>
                <w:color w:val="auto"/>
              </w:rPr>
            </w:pPr>
            <w:r>
              <w:rPr>
                <w:rFonts w:ascii="Arial" w:cs="Arial" w:eastAsia="Arial" w:hAnsi="Arial"/>
                <w:sz w:val="18"/>
                <w:szCs w:val="18"/>
                <w:color w:val="auto"/>
                <w:w w:val="86"/>
              </w:rPr>
              <w:t>10.15(a)</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Security Register</w:t>
            </w:r>
          </w:p>
        </w:tc>
        <w:tc>
          <w:tcPr>
            <w:tcW w:w="540" w:type="dxa"/>
            <w:vAlign w:val="bottom"/>
          </w:tcPr>
          <w:p>
            <w:pPr>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self-liquidating paper</w:t>
            </w:r>
          </w:p>
        </w:tc>
        <w:tc>
          <w:tcPr>
            <w:tcW w:w="540" w:type="dxa"/>
            <w:vAlign w:val="bottom"/>
          </w:tcPr>
          <w:p>
            <w:pPr>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sinking fund payment date</w:t>
            </w:r>
          </w:p>
        </w:tc>
        <w:tc>
          <w:tcPr>
            <w:tcW w:w="540" w:type="dxa"/>
            <w:vAlign w:val="bottom"/>
          </w:tcPr>
          <w:p>
            <w:pPr>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600" w:type="dxa"/>
            <w:vAlign w:val="bottom"/>
            <w:gridSpan w:val="2"/>
          </w:tcPr>
          <w:p>
            <w:pPr>
              <w:spacing w:after="0"/>
              <w:rPr>
                <w:sz w:val="20"/>
                <w:szCs w:val="20"/>
                <w:color w:val="auto"/>
              </w:rPr>
            </w:pPr>
            <w:r>
              <w:rPr>
                <w:rFonts w:ascii="Arial" w:cs="Arial" w:eastAsia="Arial" w:hAnsi="Arial"/>
                <w:sz w:val="18"/>
                <w:szCs w:val="18"/>
                <w:color w:val="auto"/>
              </w:rPr>
              <w:t>5.01(a)</w:t>
            </w: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540" w:type="dxa"/>
            <w:vAlign w:val="bottom"/>
          </w:tcPr>
          <w:p>
            <w:pPr>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r>
        <w:rPr>
          <w:rFonts w:ascii="Arial" w:cs="Arial" w:eastAsia="Arial" w:hAnsi="Arial"/>
          <w:sz w:val="18"/>
          <w:szCs w:val="18"/>
          <w:color w:val="auto"/>
        </w:rPr>
        <w:t>. 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Holder or a Securityholder;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on the indenture securities means the Company or any other obligor on the Securities.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spacing w:after="0" w:line="17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Rules of Construction</w:t>
      </w:r>
      <w:r>
        <w:rPr>
          <w:rFonts w:ascii="Arial" w:cs="Arial" w:eastAsia="Arial" w:hAnsi="Arial"/>
          <w:sz w:val="16"/>
          <w:szCs w:val="16"/>
          <w:color w:val="auto"/>
        </w:rPr>
        <w:t>. Unless the context otherwise requires:</w:t>
      </w:r>
    </w:p>
    <w:p>
      <w:pPr>
        <w:spacing w:after="0" w:line="225" w:lineRule="exact"/>
        <w:rPr>
          <w:sz w:val="20"/>
          <w:szCs w:val="20"/>
          <w:color w:val="auto"/>
        </w:rPr>
      </w:pPr>
    </w:p>
    <w:p>
      <w:pPr>
        <w:ind w:left="1400" w:hanging="744"/>
        <w:spacing w:after="0"/>
        <w:tabs>
          <w:tab w:leader="none" w:pos="1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IFRS;</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1" w:lineRule="exact"/>
        <w:rPr>
          <w:rFonts w:ascii="Arial" w:cs="Arial" w:eastAsia="Arial" w:hAnsi="Arial"/>
          <w:sz w:val="18"/>
          <w:szCs w:val="18"/>
          <w:color w:val="auto"/>
        </w:rPr>
      </w:pPr>
    </w:p>
    <w:p>
      <w:pPr>
        <w:ind w:left="1400" w:hanging="744"/>
        <w:spacing w:after="0"/>
        <w:tabs>
          <w:tab w:leader="none" w:pos="14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“herein</w:t>
      </w:r>
      <w:r>
        <w:rPr>
          <w:rFonts w:ascii="Arial" w:cs="Arial" w:eastAsia="Arial" w:hAnsi="Arial"/>
          <w:sz w:val="16"/>
          <w:szCs w:val="16"/>
          <w:b w:val="1"/>
          <w:bCs w:val="1"/>
          <w:color w:val="auto"/>
        </w:rPr>
        <w:t>,</w:t>
      </w:r>
      <w:r>
        <w:rPr>
          <w:rFonts w:ascii="Arial" w:cs="Arial" w:eastAsia="Arial" w:hAnsi="Arial"/>
          <w:sz w:val="16"/>
          <w:szCs w:val="16"/>
          <w:color w:val="auto"/>
        </w:rPr>
        <w:t>” “hereof” and other words of similar import refer to this Indenture as a whole and not to any particular Article, Section or other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subdivision;</w:t>
      </w:r>
    </w:p>
    <w:p>
      <w:pPr>
        <w:spacing w:after="0" w:line="210" w:lineRule="exact"/>
        <w:rPr>
          <w:rFonts w:ascii="Arial" w:cs="Arial" w:eastAsia="Arial" w:hAnsi="Arial"/>
          <w:sz w:val="16"/>
          <w:szCs w:val="16"/>
          <w:color w:val="auto"/>
        </w:rPr>
      </w:pPr>
    </w:p>
    <w:p>
      <w:pPr>
        <w:ind w:left="1400" w:hanging="744"/>
        <w:spacing w:after="0"/>
        <w:tabs>
          <w:tab w:leader="none" w:pos="1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references to Sections or Articles refer to Sections or Articles of this Indenture unless otherwise indicated; and</w:t>
      </w:r>
    </w:p>
    <w:p>
      <w:pPr>
        <w:spacing w:after="0" w:line="225" w:lineRule="exact"/>
        <w:rPr>
          <w:rFonts w:ascii="Arial" w:cs="Arial" w:eastAsia="Arial" w:hAnsi="Arial"/>
          <w:sz w:val="18"/>
          <w:szCs w:val="18"/>
          <w:color w:val="auto"/>
        </w:rPr>
      </w:pPr>
    </w:p>
    <w:p>
      <w:pPr>
        <w:ind w:right="20" w:firstLine="656"/>
        <w:spacing w:after="0" w:line="277" w:lineRule="auto"/>
        <w:tabs>
          <w:tab w:leader="none" w:pos="1387"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use of masculine, feminine or neuter pronouns should not be deemed a limitation, and the use of any such pronouns should be construed to include, where appropriate, the other pronouns.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S</w:t>
      </w:r>
      <w:r>
        <w:rPr>
          <w:rFonts w:ascii="Arial" w:cs="Arial" w:eastAsia="Arial" w:hAnsi="Arial"/>
          <w:sz w:val="12"/>
          <w:szCs w:val="12"/>
          <w:color w:val="auto"/>
        </w:rPr>
        <w:t>ECURITIES</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r>
        <w:rPr>
          <w:rFonts w:ascii="Arial" w:cs="Arial" w:eastAsia="Arial" w:hAnsi="Arial"/>
          <w:sz w:val="18"/>
          <w:szCs w:val="18"/>
          <w:color w:val="auto"/>
        </w:rPr>
        <w:t>.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 Two Officers shall execute the Securities for the Company by facsimile or manual signature in the name and on behalf of the Company. If an Officer whose signature is on a Security no longer holds that office at the time the Security is authenticated, the Security shall nevertheless be valid.</w:t>
      </w:r>
    </w:p>
    <w:p>
      <w:pPr>
        <w:spacing w:after="0" w:line="180"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The Trustee, at the expense of the Company, may appoint an authenticating agent (the “</w:t>
      </w:r>
      <w:r>
        <w:rPr>
          <w:rFonts w:ascii="Arial" w:cs="Arial" w:eastAsia="Arial" w:hAnsi="Arial"/>
          <w:sz w:val="18"/>
          <w:szCs w:val="18"/>
          <w:b w:val="1"/>
          <w:bCs w:val="1"/>
          <w:color w:val="auto"/>
        </w:rPr>
        <w:t>Authenticating Agent</w:t>
      </w:r>
      <w:r>
        <w:rPr>
          <w:rFonts w:ascii="Arial" w:cs="Arial" w:eastAsia="Arial" w:hAnsi="Arial"/>
          <w:sz w:val="18"/>
          <w:szCs w:val="18"/>
          <w:color w:val="auto"/>
        </w:rPr>
        <w:t>”) to authenticate Securities. The Authenticating Agent may authenticate Securities whenever the Trustee may do so. Each reference in this Indenture to authentication by the Trustee includes authentication by such Authenticating Agent.</w:t>
      </w:r>
    </w:p>
    <w:p>
      <w:pPr>
        <w:spacing w:after="0" w:line="18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A Security shall not be valid until the Trustee or Authenticating Agent signs, manually or by facsimile, the certificate of authentication on the Security. The signature shall be conclusive evidence that the Security has been authenticated under this Indenture.</w:t>
      </w:r>
    </w:p>
    <w:p>
      <w:pPr>
        <w:spacing w:after="0" w:line="14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spacing w:after="0" w:line="188" w:lineRule="exact"/>
        <w:rPr>
          <w:sz w:val="20"/>
          <w:szCs w:val="20"/>
          <w:color w:val="auto"/>
        </w:rPr>
      </w:pPr>
    </w:p>
    <w:p>
      <w:pPr>
        <w:ind w:right="200" w:firstLine="656"/>
        <w:spacing w:after="0" w:line="277" w:lineRule="auto"/>
        <w:tabs>
          <w:tab w:leader="none" w:pos="138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Board Resolution and/or executed supplemental indenture referred to in Sections 2.01 and 2.03 by or pursuant to which the forms and terms of the Securities of that series were established;</w:t>
      </w:r>
    </w:p>
    <w:p>
      <w:pPr>
        <w:spacing w:after="0" w:line="170" w:lineRule="exact"/>
        <w:rPr>
          <w:rFonts w:ascii="Arial" w:cs="Arial" w:eastAsia="Arial" w:hAnsi="Arial"/>
          <w:sz w:val="18"/>
          <w:szCs w:val="18"/>
          <w:color w:val="auto"/>
        </w:rPr>
      </w:pPr>
    </w:p>
    <w:p>
      <w:pPr>
        <w:ind w:right="120" w:firstLine="656"/>
        <w:spacing w:after="0" w:line="263" w:lineRule="auto"/>
        <w:tabs>
          <w:tab w:leader="none" w:pos="139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p>
      <w:pPr>
        <w:spacing w:after="0" w:line="183" w:lineRule="exact"/>
        <w:rPr>
          <w:rFonts w:ascii="Arial" w:cs="Arial" w:eastAsia="Arial" w:hAnsi="Arial"/>
          <w:sz w:val="18"/>
          <w:szCs w:val="18"/>
          <w:color w:val="auto"/>
        </w:rPr>
      </w:pPr>
    </w:p>
    <w:p>
      <w:pPr>
        <w:ind w:right="40" w:firstLine="656"/>
        <w:spacing w:after="0" w:line="291" w:lineRule="auto"/>
        <w:tabs>
          <w:tab w:leader="none" w:pos="1387"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2" w:name="page103"/>
    <w:bookmarkEnd w:id="102"/>
    <w:p>
      <w:pPr>
        <w:ind w:right="180" w:firstLine="648"/>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2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spacing w:after="0" w:line="171"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spacing w:after="0" w:line="14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r>
        <w:rPr>
          <w:rFonts w:ascii="Arial" w:cs="Arial" w:eastAsia="Arial" w:hAnsi="Arial"/>
          <w:sz w:val="18"/>
          <w:szCs w:val="18"/>
          <w:color w:val="auto"/>
        </w:rPr>
        <w:t>. The aggregate Principal amount of Securities that may be authenticated and delivered under this Indenture is unlimited.</w:t>
      </w:r>
    </w:p>
    <w:p>
      <w:pPr>
        <w:spacing w:after="0" w:line="17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 xml:space="preserve">The Securities may be issued in one or more series and each such series shall rank equally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other unsecured and unsubordinated debt of the Company. There shall be established in or pursuant to a Board Resolution or one or more indentures supplemental hereto, prior to the initial issuance of Securities of any series, subject to the last sentence of this Section 2.03,</w:t>
      </w:r>
    </w:p>
    <w:p>
      <w:pPr>
        <w:spacing w:after="0" w:line="184" w:lineRule="exact"/>
        <w:rPr>
          <w:sz w:val="20"/>
          <w:szCs w:val="20"/>
          <w:color w:val="auto"/>
        </w:rPr>
      </w:pPr>
    </w:p>
    <w:p>
      <w:pPr>
        <w:ind w:left="1400" w:hanging="744"/>
        <w:spacing w:after="0"/>
        <w:tabs>
          <w:tab w:leader="none" w:pos="14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designation of the Securities of the series, which shall distinguish the Securities of the series from the Securities of all other series;</w:t>
      </w:r>
    </w:p>
    <w:p>
      <w:pPr>
        <w:spacing w:after="0" w:line="248" w:lineRule="exact"/>
        <w:rPr>
          <w:rFonts w:ascii="Arial" w:cs="Arial" w:eastAsia="Arial" w:hAnsi="Arial"/>
          <w:sz w:val="16"/>
          <w:szCs w:val="16"/>
          <w:color w:val="auto"/>
        </w:rPr>
      </w:pPr>
    </w:p>
    <w:p>
      <w:pPr>
        <w:ind w:right="260" w:firstLine="656"/>
        <w:spacing w:after="0" w:line="259" w:lineRule="auto"/>
        <w:tabs>
          <w:tab w:leader="none" w:pos="139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spacing w:after="0" w:line="186" w:lineRule="exact"/>
        <w:rPr>
          <w:rFonts w:ascii="Arial" w:cs="Arial" w:eastAsia="Arial" w:hAnsi="Arial"/>
          <w:sz w:val="18"/>
          <w:szCs w:val="18"/>
          <w:color w:val="auto"/>
        </w:rPr>
      </w:pPr>
    </w:p>
    <w:p>
      <w:pPr>
        <w:ind w:left="1400" w:hanging="744"/>
        <w:spacing w:after="0"/>
        <w:tabs>
          <w:tab w:leader="none" w:pos="14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date or dates on which the Principal of the Securities of the series is payable (which date or dates may be fixed or extendible);</w:t>
      </w:r>
    </w:p>
    <w:p>
      <w:pPr>
        <w:spacing w:after="0" w:line="236" w:lineRule="exact"/>
        <w:rPr>
          <w:rFonts w:ascii="Arial" w:cs="Arial" w:eastAsia="Arial" w:hAnsi="Arial"/>
          <w:sz w:val="17"/>
          <w:szCs w:val="17"/>
          <w:color w:val="auto"/>
        </w:rPr>
      </w:pPr>
    </w:p>
    <w:p>
      <w:pPr>
        <w:ind w:right="160" w:firstLine="656"/>
        <w:spacing w:after="0" w:line="286" w:lineRule="auto"/>
        <w:tabs>
          <w:tab w:leader="none" w:pos="1397"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3" w:name="page104"/>
    <w:bookmarkEnd w:id="103"/>
    <w:p>
      <w:pPr>
        <w:ind w:right="100" w:firstLine="656"/>
        <w:spacing w:after="0" w:line="263" w:lineRule="auto"/>
        <w:tabs>
          <w:tab w:leader="none" w:pos="138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other than as provided in Section 4.02, the place or places where the Principal of and any interest on Securities of the series shall be payable, any Securities of the series may be surrendered for exchange, and notices and demands to or upon the Company in respect of the Securities of the series and this Indenture may be served;</w:t>
      </w:r>
    </w:p>
    <w:p>
      <w:pPr>
        <w:spacing w:after="0" w:line="183" w:lineRule="exact"/>
        <w:rPr>
          <w:rFonts w:ascii="Arial" w:cs="Arial" w:eastAsia="Arial" w:hAnsi="Arial"/>
          <w:sz w:val="18"/>
          <w:szCs w:val="18"/>
          <w:color w:val="auto"/>
        </w:rPr>
      </w:pPr>
    </w:p>
    <w:p>
      <w:pPr>
        <w:ind w:right="180" w:firstLine="656"/>
        <w:spacing w:after="0" w:line="263" w:lineRule="auto"/>
        <w:tabs>
          <w:tab w:leader="none" w:pos="136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spacing w:after="0" w:line="183" w:lineRule="exact"/>
        <w:rPr>
          <w:rFonts w:ascii="Arial" w:cs="Arial" w:eastAsia="Arial" w:hAnsi="Arial"/>
          <w:sz w:val="18"/>
          <w:szCs w:val="18"/>
          <w:color w:val="auto"/>
        </w:rPr>
      </w:pPr>
    </w:p>
    <w:p>
      <w:pPr>
        <w:ind w:right="60" w:firstLine="656"/>
        <w:spacing w:after="0" w:line="311" w:lineRule="auto"/>
        <w:tabs>
          <w:tab w:leader="none" w:pos="139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p>
      <w:pPr>
        <w:spacing w:after="0" w:line="148" w:lineRule="exact"/>
        <w:rPr>
          <w:rFonts w:ascii="Arial" w:cs="Arial" w:eastAsia="Arial" w:hAnsi="Arial"/>
          <w:sz w:val="16"/>
          <w:szCs w:val="16"/>
          <w:color w:val="auto"/>
        </w:rPr>
      </w:pPr>
    </w:p>
    <w:p>
      <w:pPr>
        <w:ind w:left="1400" w:hanging="744"/>
        <w:spacing w:after="0"/>
        <w:tabs>
          <w:tab w:leader="none" w:pos="14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other than denominations of $2,000 and any higher integral multiple of $1,000, the denominations in which Securities of the series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issuable;</w:t>
      </w:r>
    </w:p>
    <w:p>
      <w:pPr>
        <w:spacing w:after="0" w:line="210" w:lineRule="exact"/>
        <w:rPr>
          <w:rFonts w:ascii="Arial" w:cs="Arial" w:eastAsia="Arial" w:hAnsi="Arial"/>
          <w:sz w:val="16"/>
          <w:szCs w:val="16"/>
          <w:color w:val="auto"/>
        </w:rPr>
      </w:pPr>
    </w:p>
    <w:p>
      <w:pPr>
        <w:ind w:right="320" w:firstLine="656"/>
        <w:spacing w:after="0" w:line="277" w:lineRule="auto"/>
        <w:tabs>
          <w:tab w:leader="none" w:pos="135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170" w:lineRule="exact"/>
        <w:rPr>
          <w:rFonts w:ascii="Arial" w:cs="Arial" w:eastAsia="Arial" w:hAnsi="Arial"/>
          <w:sz w:val="18"/>
          <w:szCs w:val="18"/>
          <w:color w:val="auto"/>
        </w:rPr>
      </w:pPr>
    </w:p>
    <w:p>
      <w:pPr>
        <w:ind w:right="220" w:firstLine="656"/>
        <w:spacing w:after="0" w:line="259" w:lineRule="auto"/>
        <w:tabs>
          <w:tab w:leader="none" w:pos="135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spacing w:after="0" w:line="186" w:lineRule="exact"/>
        <w:rPr>
          <w:rFonts w:ascii="Arial" w:cs="Arial" w:eastAsia="Arial" w:hAnsi="Arial"/>
          <w:sz w:val="18"/>
          <w:szCs w:val="18"/>
          <w:color w:val="auto"/>
        </w:rPr>
      </w:pPr>
    </w:p>
    <w:p>
      <w:pPr>
        <w:ind w:firstLine="656"/>
        <w:spacing w:after="0" w:line="263" w:lineRule="auto"/>
        <w:tabs>
          <w:tab w:leader="none" w:pos="139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spacing w:after="0" w:line="183" w:lineRule="exact"/>
        <w:rPr>
          <w:rFonts w:ascii="Arial" w:cs="Arial" w:eastAsia="Arial" w:hAnsi="Arial"/>
          <w:sz w:val="18"/>
          <w:szCs w:val="18"/>
          <w:color w:val="auto"/>
        </w:rPr>
      </w:pPr>
    </w:p>
    <w:p>
      <w:pPr>
        <w:ind w:left="1360" w:hanging="704"/>
        <w:spacing w:after="0"/>
        <w:tabs>
          <w:tab w:leader="none" w:pos="13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whether the Securities of the series or any portion thereof will be issuable as Registered Global Securities;</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whether the Securities of the series may be exchangeable for and/or convertible into the common stock of the Company or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security;</w:t>
      </w:r>
    </w:p>
    <w:p>
      <w:pPr>
        <w:spacing w:after="0" w:line="210" w:lineRule="exact"/>
        <w:rPr>
          <w:rFonts w:ascii="Arial" w:cs="Arial" w:eastAsia="Arial" w:hAnsi="Arial"/>
          <w:sz w:val="16"/>
          <w:szCs w:val="16"/>
          <w:color w:val="auto"/>
        </w:rPr>
      </w:pPr>
    </w:p>
    <w:p>
      <w:pPr>
        <w:ind w:right="80" w:firstLine="656"/>
        <w:spacing w:after="0" w:line="263" w:lineRule="auto"/>
        <w:tabs>
          <w:tab w:leader="none" w:pos="1397"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spacing w:after="0" w:line="183" w:lineRule="exact"/>
        <w:rPr>
          <w:rFonts w:ascii="Arial" w:cs="Arial" w:eastAsia="Arial" w:hAnsi="Arial"/>
          <w:sz w:val="18"/>
          <w:szCs w:val="18"/>
          <w:color w:val="auto"/>
        </w:rPr>
      </w:pPr>
    </w:p>
    <w:p>
      <w:pPr>
        <w:ind w:right="20" w:firstLine="656"/>
        <w:spacing w:after="0" w:line="263" w:lineRule="auto"/>
        <w:tabs>
          <w:tab w:leader="none" w:pos="139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83" w:lineRule="exact"/>
        <w:rPr>
          <w:rFonts w:ascii="Arial" w:cs="Arial" w:eastAsia="Arial" w:hAnsi="Arial"/>
          <w:sz w:val="18"/>
          <w:szCs w:val="18"/>
          <w:color w:val="auto"/>
        </w:rPr>
      </w:pPr>
    </w:p>
    <w:p>
      <w:pPr>
        <w:ind w:right="660" w:firstLine="656"/>
        <w:spacing w:after="0" w:line="277" w:lineRule="auto"/>
        <w:tabs>
          <w:tab w:leader="none" w:pos="139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trustees, depositaries, authenticating or paying agents, transfer agents or the registrar or any other agents with respect to the Securities of the series;</w:t>
      </w:r>
    </w:p>
    <w:p>
      <w:pPr>
        <w:spacing w:after="0" w:line="170" w:lineRule="exact"/>
        <w:rPr>
          <w:rFonts w:ascii="Arial" w:cs="Arial" w:eastAsia="Arial" w:hAnsi="Arial"/>
          <w:sz w:val="18"/>
          <w:szCs w:val="18"/>
          <w:color w:val="auto"/>
        </w:rPr>
      </w:pPr>
    </w:p>
    <w:p>
      <w:pPr>
        <w:ind w:right="20" w:firstLine="656"/>
        <w:spacing w:after="0" w:line="263" w:lineRule="auto"/>
        <w:tabs>
          <w:tab w:leader="none" w:pos="1397"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ind w:right="80" w:firstLine="656"/>
        <w:spacing w:after="0" w:line="277" w:lineRule="auto"/>
        <w:tabs>
          <w:tab w:leader="none" w:pos="1412"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Securities of the series are issuable in whole or in part as one or more Registered Global Securities, the identity of the Depositary or common Depositary for such Registered Global Security or Securities;</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or alternative Events of Default or covenants with respect to the Securities of the series; and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terms of the Securities of the series.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spacing w:after="0" w:line="19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Denomination and Date of Securities; Payments of Interest</w:t>
      </w:r>
      <w:r>
        <w:rPr>
          <w:rFonts w:ascii="Arial" w:cs="Arial" w:eastAsia="Arial" w:hAnsi="Arial"/>
          <w:sz w:val="17"/>
          <w:szCs w:val="17"/>
          <w:color w:val="auto"/>
        </w:rPr>
        <w:t>. 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spacing w:after="0" w:line="17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Unless otherwise specified with respect to a series of Securities, each Security shall be dated the date of its authentication. The Securities of each series shall bear interest, if any, from the date, and such interest shall be payable on the dates, established as contemplated by Section 2.03.</w:t>
      </w:r>
    </w:p>
    <w:p>
      <w:pPr>
        <w:spacing w:after="0" w:line="12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“record date”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the fifteenth day next preceding such interest payment date, whether or not such record date is a Business Day.</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Registrar and Paying Agent; Agents Generally</w:t>
      </w:r>
      <w:r>
        <w:rPr>
          <w:rFonts w:ascii="Arial" w:cs="Arial" w:eastAsia="Arial" w:hAnsi="Arial"/>
          <w:sz w:val="18"/>
          <w:szCs w:val="18"/>
          <w:color w:val="auto"/>
        </w:rPr>
        <w:t>. The Company shall maintain an office or agency where Securities may be presented for registration, registration of transfer or for exchange (the “</w:t>
      </w:r>
      <w:r>
        <w:rPr>
          <w:rFonts w:ascii="Arial" w:cs="Arial" w:eastAsia="Arial" w:hAnsi="Arial"/>
          <w:sz w:val="18"/>
          <w:szCs w:val="18"/>
          <w:b w:val="1"/>
          <w:bCs w:val="1"/>
          <w:color w:val="auto"/>
        </w:rPr>
        <w:t>Registrar</w:t>
      </w:r>
      <w:r>
        <w:rPr>
          <w:rFonts w:ascii="Arial" w:cs="Arial" w:eastAsia="Arial" w:hAnsi="Arial"/>
          <w:sz w:val="18"/>
          <w:szCs w:val="18"/>
          <w:color w:val="auto"/>
        </w:rPr>
        <w:t>”) and an office or agency where Securities may be presented for payment (the “</w:t>
      </w:r>
      <w:r>
        <w:rPr>
          <w:rFonts w:ascii="Arial" w:cs="Arial" w:eastAsia="Arial" w:hAnsi="Arial"/>
          <w:sz w:val="18"/>
          <w:szCs w:val="18"/>
          <w:b w:val="1"/>
          <w:bCs w:val="1"/>
          <w:color w:val="auto"/>
        </w:rPr>
        <w:t>Paying Agent</w:t>
      </w:r>
      <w:r>
        <w:rPr>
          <w:rFonts w:ascii="Arial" w:cs="Arial" w:eastAsia="Arial" w:hAnsi="Arial"/>
          <w:sz w:val="18"/>
          <w:szCs w:val="18"/>
          <w:color w:val="auto"/>
        </w:rPr>
        <w:t>”), which shall be in the United States of America. The Company shall cause the Registrar to keep a register of the Securities and of their registration, transfer and exchange (the “</w:t>
      </w:r>
      <w:r>
        <w:rPr>
          <w:rFonts w:ascii="Arial" w:cs="Arial" w:eastAsia="Arial" w:hAnsi="Arial"/>
          <w:sz w:val="18"/>
          <w:szCs w:val="18"/>
          <w:b w:val="1"/>
          <w:bCs w:val="1"/>
          <w:color w:val="auto"/>
        </w:rPr>
        <w:t>Security Register</w:t>
      </w:r>
      <w:r>
        <w:rPr>
          <w:rFonts w:ascii="Arial" w:cs="Arial" w:eastAsia="Arial" w:hAnsi="Arial"/>
          <w:sz w:val="18"/>
          <w:szCs w:val="18"/>
          <w:color w:val="auto"/>
        </w:rPr>
        <w:t>”). The Company may have one or more additional Paying Agents or transfer agents with respect to any series.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5" w:name="page106"/>
    <w:bookmarkEnd w:id="105"/>
    <w:p>
      <w:pPr>
        <w:ind w:right="40" w:firstLine="648"/>
        <w:spacing w:after="0" w:line="270" w:lineRule="auto"/>
        <w:rPr>
          <w:sz w:val="20"/>
          <w:szCs w:val="20"/>
          <w:color w:val="auto"/>
        </w:rPr>
      </w:pPr>
      <w:r>
        <w:rPr>
          <w:rFonts w:ascii="Arial" w:cs="Arial" w:eastAsia="Arial" w:hAnsi="Arial"/>
          <w:sz w:val="17"/>
          <w:szCs w:val="17"/>
          <w:color w:val="auto"/>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the Company nor an Affiliate of the Company shall act as Paying Agent in connection with the defeasance of the Securities or the discharge of this Indenture under Article 8.</w:t>
      </w:r>
    </w:p>
    <w:p>
      <w:pPr>
        <w:spacing w:after="0" w:line="181"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Paying Agent to Hold Money in Trust</w:t>
      </w:r>
      <w:r>
        <w:rPr>
          <w:rFonts w:ascii="Arial" w:cs="Arial" w:eastAsia="Arial" w:hAnsi="Arial"/>
          <w:sz w:val="16"/>
          <w:szCs w:val="16"/>
          <w:color w:val="auto"/>
        </w:rPr>
        <w:t>.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spacing w:after="0" w:line="17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Transfer and Exchange</w:t>
      </w:r>
      <w:r>
        <w:rPr>
          <w:rFonts w:ascii="Arial" w:cs="Arial" w:eastAsia="Arial" w:hAnsi="Arial"/>
          <w:sz w:val="18"/>
          <w:szCs w:val="18"/>
          <w:color w:val="auto"/>
        </w:rPr>
        <w:t>. 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7"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may require payment of a sum sufficient to cover any tax or other governmental charge that may be imposed in connection with any exchange or registration of transfer of Securities. No service charge shall be made for any such transaction.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ind w:right="100" w:firstLine="648"/>
        <w:spacing w:after="0" w:line="279" w:lineRule="auto"/>
        <w:rPr>
          <w:sz w:val="20"/>
          <w:szCs w:val="20"/>
          <w:color w:val="auto"/>
        </w:rPr>
      </w:pPr>
      <w:r>
        <w:rPr>
          <w:rFonts w:ascii="Arial" w:cs="Arial" w:eastAsia="Arial" w:hAnsi="Arial"/>
          <w:sz w:val="17"/>
          <w:szCs w:val="17"/>
          <w:color w:val="auto"/>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88"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spacing w:after="0" w:line="187" w:lineRule="exact"/>
        <w:rPr>
          <w:sz w:val="20"/>
          <w:szCs w:val="20"/>
          <w:color w:val="auto"/>
        </w:rPr>
      </w:pPr>
    </w:p>
    <w:p>
      <w:pPr>
        <w:ind w:firstLine="656"/>
        <w:spacing w:after="0" w:line="263" w:lineRule="auto"/>
        <w:tabs>
          <w:tab w:leader="none" w:pos="138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139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w:t>
      </w:r>
    </w:p>
    <w:p>
      <w:pPr>
        <w:spacing w:after="0" w:line="18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ind w:right="40" w:firstLine="648"/>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7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spacing w:after="0" w:line="12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Replacement Securities</w:t>
      </w:r>
      <w:r>
        <w:rPr>
          <w:rFonts w:ascii="Arial" w:cs="Arial" w:eastAsia="Arial" w:hAnsi="Arial"/>
          <w:sz w:val="18"/>
          <w:szCs w:val="18"/>
          <w:color w:val="auto"/>
        </w:rPr>
        <w:t>.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spacing w:after="0" w:line="188"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any other rights and remedies with respect to the replacement or payment of mutilated, destroyed, lost or stolen Securities.</w:t>
      </w:r>
    </w:p>
    <w:p>
      <w:pPr>
        <w:spacing w:after="0" w:line="17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Outstanding Securities</w:t>
      </w:r>
      <w:r>
        <w:rPr>
          <w:rFonts w:ascii="Arial" w:cs="Arial" w:eastAsia="Arial" w:hAnsi="Arial"/>
          <w:sz w:val="18"/>
          <w:szCs w:val="18"/>
          <w:color w:val="auto"/>
        </w:rPr>
        <w:t>. 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spacing w:after="0" w:line="184"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If a Security is replaced pursuant to Section 2.08, it ceases to be outstanding unless and until the Trustee and the Company receive proof satisfactory to them that the replaced Security is held by a holder in due course.</w:t>
      </w:r>
    </w:p>
    <w:p>
      <w:pPr>
        <w:spacing w:after="0" w:line="170"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8" w:name="page109"/>
    <w:bookmarkEnd w:id="108"/>
    <w:p>
      <w:pPr>
        <w:ind w:right="60" w:firstLine="648"/>
        <w:spacing w:after="0" w:line="290" w:lineRule="auto"/>
        <w:rPr>
          <w:sz w:val="20"/>
          <w:szCs w:val="20"/>
          <w:color w:val="auto"/>
        </w:rPr>
      </w:pPr>
      <w:r>
        <w:rPr>
          <w:rFonts w:ascii="Arial" w:cs="Arial" w:eastAsia="Arial" w:hAnsi="Arial"/>
          <w:sz w:val="16"/>
          <w:szCs w:val="16"/>
          <w:color w:val="auto"/>
        </w:rPr>
        <w:t xml:space="preserve">A Security does not cease to be outstanding because the Company or one of its affiliates holds such Security,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Temporary Securities</w:t>
      </w:r>
      <w:r>
        <w:rPr>
          <w:rFonts w:ascii="Arial" w:cs="Arial" w:eastAsia="Arial" w:hAnsi="Arial"/>
          <w:sz w:val="17"/>
          <w:szCs w:val="17"/>
          <w:color w:val="auto"/>
        </w:rPr>
        <w:t>.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Cancellation</w:t>
      </w:r>
      <w:r>
        <w:rPr>
          <w:rFonts w:ascii="Arial" w:cs="Arial" w:eastAsia="Arial" w:hAnsi="Arial"/>
          <w:sz w:val="16"/>
          <w:szCs w:val="16"/>
          <w:color w:val="auto"/>
        </w:rPr>
        <w:t>.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spacing w:after="0" w:line="16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CUSIP Numbers</w:t>
      </w:r>
      <w:r>
        <w:rPr>
          <w:rFonts w:ascii="Arial" w:cs="Arial" w:eastAsia="Arial" w:hAnsi="Arial"/>
          <w:sz w:val="16"/>
          <w:szCs w:val="16"/>
          <w:color w:val="auto"/>
        </w:rPr>
        <w:t>. The Company in issuing the Securities may use “CUSIP,” “ISIN” and/or “CINS” numbers (if then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spacing w:after="0" w:line="19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i w:val="1"/>
          <w:iCs w:val="1"/>
          <w:color w:val="auto"/>
        </w:rPr>
        <w:t>Defaulted Interest</w:t>
      </w:r>
      <w:r>
        <w:rPr>
          <w:rFonts w:ascii="Arial" w:cs="Arial" w:eastAsia="Arial" w:hAnsi="Arial"/>
          <w:sz w:val="17"/>
          <w:szCs w:val="17"/>
          <w:color w:val="auto"/>
        </w:rPr>
        <w:t>.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09" w:name="page110"/>
    <w:bookmarkEnd w:id="109"/>
    <w:p>
      <w:pPr>
        <w:ind w:right="40" w:firstLine="648"/>
        <w:spacing w:after="0" w:line="269"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i w:val="1"/>
          <w:iCs w:val="1"/>
          <w:color w:val="auto"/>
        </w:rPr>
        <w:t>Series May Include Tranches</w:t>
      </w:r>
      <w:r>
        <w:rPr>
          <w:rFonts w:ascii="Arial" w:cs="Arial" w:eastAsia="Arial" w:hAnsi="Arial"/>
          <w:sz w:val="17"/>
          <w:szCs w:val="17"/>
          <w:color w:val="auto"/>
        </w:rPr>
        <w:t>. A series of Securities may include one or more tranches (each a “</w:t>
      </w:r>
      <w:r>
        <w:rPr>
          <w:rFonts w:ascii="Arial" w:cs="Arial" w:eastAsia="Arial" w:hAnsi="Arial"/>
          <w:sz w:val="17"/>
          <w:szCs w:val="17"/>
          <w:b w:val="1"/>
          <w:bCs w:val="1"/>
          <w:color w:val="auto"/>
        </w:rPr>
        <w:t>tranche</w:t>
      </w:r>
      <w:r>
        <w:rPr>
          <w:rFonts w:ascii="Arial" w:cs="Arial" w:eastAsia="Arial" w:hAnsi="Arial"/>
          <w:sz w:val="17"/>
          <w:szCs w:val="17"/>
          <w:color w:val="auto"/>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 Notwithstanding any other provision of this Indenture, with respect to Sections 2.02 (other than the fourth, sixth and seventh paragraphs thereof) through 2.04, 2.07, 2.08, 2.10, 3.01 through 3.05, 4.02, 6.01 through 6.14, 8.01 through 8.07, 9.02 and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 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EDEMPTION</w:t>
      </w:r>
    </w:p>
    <w:p>
      <w:pPr>
        <w:spacing w:after="0" w:line="21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The provisions of this Article shall be applicable to the Securities of any series that are redeemable before their maturity or to any sinking fund for the retirement of Securities of a series except as otherwise specified as contemplated by Section 2.03 for Securities of such series.</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i w:val="1"/>
          <w:iCs w:val="1"/>
          <w:color w:val="auto"/>
        </w:rPr>
        <w:t>Notice of Redemption; Partial Redemptions</w:t>
      </w:r>
      <w:r>
        <w:rPr>
          <w:rFonts w:ascii="Arial" w:cs="Arial" w:eastAsia="Arial" w:hAnsi="Arial"/>
          <w:sz w:val="17"/>
          <w:szCs w:val="17"/>
          <w:color w:val="auto"/>
        </w:rPr>
        <w:t>.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spacing w:after="0" w:line="17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Company shall be given by the Company or, at the Company’s request, by the Trustee in the name and at the expense of the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0" w:name="page111"/>
    <w:bookmarkEnd w:id="110"/>
    <w:p>
      <w:pPr>
        <w:ind w:right="40" w:firstLine="648"/>
        <w:spacing w:after="0" w:line="286" w:lineRule="auto"/>
        <w:rPr>
          <w:sz w:val="20"/>
          <w:szCs w:val="20"/>
          <w:color w:val="auto"/>
        </w:rPr>
      </w:pPr>
      <w:r>
        <w:rPr>
          <w:rFonts w:ascii="Arial" w:cs="Arial" w:eastAsia="Arial" w:hAnsi="Arial"/>
          <w:sz w:val="16"/>
          <w:szCs w:val="16"/>
          <w:color w:val="auto"/>
        </w:rPr>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spacing w:after="0" w:line="17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4"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Company at the applicable redemption price, together with interest accrued thereon to the date fixed for redemption; provided that payment of interest becoming due on or prior to the date fixed for redemption shall be payable to the Holders registered as such on the relevant record date subject to the terms and provisions of Sections 2.04 and 2.13 hereof.</w:t>
      </w:r>
    </w:p>
    <w:p>
      <w:pPr>
        <w:spacing w:after="0" w:line="18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8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ind w:right="120" w:firstLine="648"/>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The minimum amount of any sinking fund payment provided for by the terms of Securities of any series is herein referred to as a “mandatory sinking fund payment”, and any payment in excess of such minimum amount provided for by the terms of the Securities of any series is herein referred to as an “optional sinking fund payment.” The date on which a sinking fund payment is to be made is herein referred to as the “sinking fund payment date.”</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spacing w:after="0" w:line="167"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 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ind w:right="140" w:firstLine="648"/>
        <w:spacing w:after="0" w:line="263" w:lineRule="auto"/>
        <w:rPr>
          <w:sz w:val="20"/>
          <w:szCs w:val="20"/>
          <w:color w:val="auto"/>
        </w:rPr>
      </w:pPr>
      <w:r>
        <w:rPr>
          <w:rFonts w:ascii="Arial" w:cs="Arial" w:eastAsia="Arial" w:hAnsi="Arial"/>
          <w:sz w:val="18"/>
          <w:szCs w:val="18"/>
          <w:color w:val="auto"/>
        </w:rPr>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w:t>
      </w:r>
    </w:p>
    <w:p>
      <w:pPr>
        <w:spacing w:after="0" w:line="21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Payment of Securities</w:t>
      </w:r>
      <w:r>
        <w:rPr>
          <w:rFonts w:ascii="Arial" w:cs="Arial" w:eastAsia="Arial" w:hAnsi="Arial"/>
          <w:sz w:val="17"/>
          <w:szCs w:val="17"/>
          <w:color w:val="auto"/>
        </w:rPr>
        <w:t>.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such Holders at their last addresses as they appear on the Security Register of the Company.</w:t>
      </w:r>
    </w:p>
    <w:p>
      <w:pPr>
        <w:spacing w:after="0" w:line="17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right="160" w:firstLine="648"/>
        <w:spacing w:after="0" w:line="277" w:lineRule="auto"/>
        <w:rPr>
          <w:sz w:val="20"/>
          <w:szCs w:val="20"/>
          <w:color w:val="auto"/>
        </w:rPr>
      </w:pPr>
      <w:r>
        <w:rPr>
          <w:rFonts w:ascii="Arial" w:cs="Arial" w:eastAsia="Arial" w:hAnsi="Arial"/>
          <w:sz w:val="18"/>
          <w:szCs w:val="18"/>
          <w:color w:val="auto"/>
        </w:rPr>
        <w:t>The Company shall pay interest on overdue Principal, and interest on overdue installments of interest, to the extent lawful, at the rate per annum specified in the Securities.</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Maintenance of Office or Agency</w:t>
      </w:r>
      <w:r>
        <w:rPr>
          <w:rFonts w:ascii="Arial" w:cs="Arial" w:eastAsia="Arial" w:hAnsi="Arial"/>
          <w:sz w:val="17"/>
          <w:szCs w:val="17"/>
          <w:color w:val="auto"/>
        </w:rPr>
        <w:t>.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spacing w:after="0" w:line="17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Securityholders’ Lists</w:t>
      </w:r>
      <w:r>
        <w:rPr>
          <w:rFonts w:ascii="Arial" w:cs="Arial" w:eastAsia="Arial" w:hAnsi="Arial"/>
          <w:sz w:val="18"/>
          <w:szCs w:val="18"/>
          <w:color w:val="auto"/>
        </w:rPr>
        <w:t>. The Company will furnish or cause to be furnished to the Trustee a list in such form as the Trustee may reasonably require of the names and addresses of the holders of the Securities pursuant to Section 312 of the Trust Indenture Act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w:t>
      </w:r>
    </w:p>
    <w:p>
      <w:pPr>
        <w:spacing w:after="0" w:line="18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i w:val="1"/>
          <w:iCs w:val="1"/>
          <w:color w:val="auto"/>
        </w:rPr>
        <w:t>Certificate to Trustee</w:t>
      </w:r>
      <w:r>
        <w:rPr>
          <w:rFonts w:ascii="Arial" w:cs="Arial" w:eastAsia="Arial" w:hAnsi="Arial"/>
          <w:sz w:val="17"/>
          <w:szCs w:val="17"/>
          <w:color w:val="auto"/>
        </w:rPr>
        <w:t>. 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spacing w:after="0" w:line="176"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Reports by the Company</w:t>
      </w:r>
      <w:r>
        <w:rPr>
          <w:rFonts w:ascii="Arial" w:cs="Arial" w:eastAsia="Arial" w:hAnsi="Arial"/>
          <w:sz w:val="18"/>
          <w:szCs w:val="18"/>
          <w:color w:val="auto"/>
        </w:rPr>
        <w:t>.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UCCESSOR</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1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When Company May Merge, Etc</w:t>
      </w:r>
      <w:r>
        <w:rPr>
          <w:rFonts w:ascii="Arial" w:cs="Arial" w:eastAsia="Arial" w:hAnsi="Arial"/>
          <w:sz w:val="16"/>
          <w:szCs w:val="16"/>
          <w:color w:val="auto"/>
        </w:rPr>
        <w:t>. 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spacing w:after="0" w:line="149" w:lineRule="exact"/>
        <w:rPr>
          <w:sz w:val="20"/>
          <w:szCs w:val="20"/>
          <w:color w:val="auto"/>
        </w:rPr>
      </w:pPr>
    </w:p>
    <w:p>
      <w:pPr>
        <w:ind w:right="300" w:firstLine="850"/>
        <w:spacing w:after="0" w:line="263" w:lineRule="auto"/>
        <w:tabs>
          <w:tab w:leader="none" w:pos="158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Company shall be the continuing Person or, if the Company is not the continuing Person, the resulting, surviving or transferee Person (the “</w:t>
      </w:r>
      <w:r>
        <w:rPr>
          <w:rFonts w:ascii="Arial" w:cs="Arial" w:eastAsia="Arial" w:hAnsi="Arial"/>
          <w:sz w:val="18"/>
          <w:szCs w:val="18"/>
          <w:b w:val="1"/>
          <w:bCs w:val="1"/>
          <w:color w:val="auto"/>
        </w:rPr>
        <w:t>Surviving Entity</w:t>
      </w:r>
      <w:r>
        <w:rPr>
          <w:rFonts w:ascii="Arial" w:cs="Arial" w:eastAsia="Arial" w:hAnsi="Arial"/>
          <w:sz w:val="18"/>
          <w:szCs w:val="18"/>
          <w:color w:val="auto"/>
        </w:rPr>
        <w:t>”) is a company organized and existing under the laws of any member state of the European Union, Israel or the United States of America or any State or territory thereof;</w:t>
      </w:r>
    </w:p>
    <w:p>
      <w:pPr>
        <w:spacing w:after="0" w:line="183" w:lineRule="exact"/>
        <w:rPr>
          <w:rFonts w:ascii="Arial" w:cs="Arial" w:eastAsia="Arial" w:hAnsi="Arial"/>
          <w:sz w:val="18"/>
          <w:szCs w:val="18"/>
          <w:color w:val="auto"/>
        </w:rPr>
      </w:pPr>
    </w:p>
    <w:p>
      <w:pPr>
        <w:ind w:right="220" w:firstLine="850"/>
        <w:spacing w:after="0" w:line="263" w:lineRule="auto"/>
        <w:tabs>
          <w:tab w:leader="none" w:pos="15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p>
      <w:pPr>
        <w:spacing w:after="0" w:line="183" w:lineRule="exact"/>
        <w:rPr>
          <w:rFonts w:ascii="Arial" w:cs="Arial" w:eastAsia="Arial" w:hAnsi="Arial"/>
          <w:sz w:val="18"/>
          <w:szCs w:val="18"/>
          <w:color w:val="auto"/>
        </w:rPr>
      </w:pPr>
    </w:p>
    <w:p>
      <w:pPr>
        <w:ind w:left="1580" w:hanging="730"/>
        <w:spacing w:after="0"/>
        <w:tabs>
          <w:tab w:leader="none" w:pos="1580" w:val="left"/>
        </w:tabs>
        <w:numPr>
          <w:ilvl w:val="1"/>
          <w:numId w:val="93"/>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or series of transactions on a pro forma basis, no Default has occurred and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continuing; and</w:t>
      </w:r>
    </w:p>
    <w:p>
      <w:pPr>
        <w:spacing w:after="0" w:line="210" w:lineRule="exact"/>
        <w:rPr>
          <w:rFonts w:ascii="Arial" w:cs="Arial" w:eastAsia="Arial" w:hAnsi="Arial"/>
          <w:sz w:val="17"/>
          <w:szCs w:val="17"/>
          <w:color w:val="auto"/>
        </w:rPr>
      </w:pPr>
    </w:p>
    <w:p>
      <w:pPr>
        <w:ind w:left="1600" w:hanging="750"/>
        <w:spacing w:after="0"/>
        <w:tabs>
          <w:tab w:leader="none" w:pos="16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Company or the Surviving Entity shall have delivered to the Trustee an Officers’ Certificate and Opinion of Counsel stating that</w:t>
      </w:r>
    </w:p>
    <w:p>
      <w:pPr>
        <w:spacing w:after="0" w:line="46" w:lineRule="exact"/>
        <w:rPr>
          <w:rFonts w:ascii="Arial" w:cs="Arial" w:eastAsia="Arial" w:hAnsi="Arial"/>
          <w:sz w:val="16"/>
          <w:szCs w:val="16"/>
          <w:color w:val="auto"/>
        </w:rPr>
      </w:pPr>
    </w:p>
    <w:p>
      <w:pPr>
        <w:ind w:right="80" w:firstLine="8"/>
        <w:spacing w:after="0" w:line="253"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Substituted</w:t>
      </w:r>
      <w:r>
        <w:rPr>
          <w:rFonts w:ascii="Arial" w:cs="Arial" w:eastAsia="Arial" w:hAnsi="Arial"/>
          <w:sz w:val="18"/>
          <w:szCs w:val="18"/>
          <w:color w:val="auto"/>
        </w:rPr>
        <w:t>. 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EFAULT AND</w:t>
      </w:r>
      <w:r>
        <w:rPr>
          <w:rFonts w:ascii="Arial" w:cs="Arial" w:eastAsia="Arial" w:hAnsi="Arial"/>
          <w:sz w:val="18"/>
          <w:szCs w:val="18"/>
          <w:color w:val="auto"/>
        </w:rPr>
        <w:t xml:space="preserve"> R</w:t>
      </w:r>
      <w:r>
        <w:rPr>
          <w:rFonts w:ascii="Arial" w:cs="Arial" w:eastAsia="Arial" w:hAnsi="Arial"/>
          <w:sz w:val="12"/>
          <w:szCs w:val="12"/>
          <w:color w:val="auto"/>
        </w:rPr>
        <w:t>EMEDIES</w:t>
      </w:r>
    </w:p>
    <w:p>
      <w:pPr>
        <w:spacing w:after="0" w:line="20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 “</w:t>
      </w:r>
      <w:r>
        <w:rPr>
          <w:rFonts w:ascii="Arial" w:cs="Arial" w:eastAsia="Arial" w:hAnsi="Arial"/>
          <w:sz w:val="16"/>
          <w:szCs w:val="16"/>
          <w:b w:val="1"/>
          <w:bCs w:val="1"/>
          <w:color w:val="auto"/>
        </w:rPr>
        <w:t>Event of Default</w:t>
      </w:r>
      <w:r>
        <w:rPr>
          <w:rFonts w:ascii="Arial" w:cs="Arial" w:eastAsia="Arial" w:hAnsi="Arial"/>
          <w:sz w:val="16"/>
          <w:szCs w:val="16"/>
          <w:color w:val="auto"/>
        </w:rPr>
        <w:t>” shall occur with respect to the Securities of any series if:</w:t>
      </w:r>
    </w:p>
    <w:p>
      <w:pPr>
        <w:spacing w:after="0" w:line="229" w:lineRule="exact"/>
        <w:rPr>
          <w:sz w:val="20"/>
          <w:szCs w:val="20"/>
          <w:color w:val="auto"/>
        </w:rPr>
      </w:pPr>
    </w:p>
    <w:p>
      <w:pPr>
        <w:ind w:right="460" w:firstLine="850"/>
        <w:spacing w:after="0" w:line="277" w:lineRule="auto"/>
        <w:tabs>
          <w:tab w:leader="none" w:pos="158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any Security of such series when the same becomes due and payable at maturity, upon acceleration, redemption or mandatory repurchase, including as a sinking fund installment, or otherwise;</w:t>
      </w:r>
    </w:p>
    <w:p>
      <w:pPr>
        <w:spacing w:after="0" w:line="170" w:lineRule="exact"/>
        <w:rPr>
          <w:rFonts w:ascii="Arial" w:cs="Arial" w:eastAsia="Arial" w:hAnsi="Arial"/>
          <w:sz w:val="18"/>
          <w:szCs w:val="18"/>
          <w:color w:val="auto"/>
        </w:rPr>
      </w:pPr>
    </w:p>
    <w:p>
      <w:pPr>
        <w:ind w:right="260" w:firstLine="850"/>
        <w:spacing w:after="0" w:line="277" w:lineRule="auto"/>
        <w:tabs>
          <w:tab w:leader="none" w:pos="159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defaults in the payment of interest on any Security of such series when the same becomes due and payable, and such default continues for a period of 30 days;</w:t>
      </w:r>
    </w:p>
    <w:p>
      <w:pPr>
        <w:spacing w:after="0" w:line="170" w:lineRule="exact"/>
        <w:rPr>
          <w:rFonts w:ascii="Arial" w:cs="Arial" w:eastAsia="Arial" w:hAnsi="Arial"/>
          <w:sz w:val="18"/>
          <w:szCs w:val="18"/>
          <w:color w:val="auto"/>
        </w:rPr>
      </w:pPr>
    </w:p>
    <w:p>
      <w:pPr>
        <w:jc w:val="both"/>
        <w:ind w:right="80" w:firstLine="850"/>
        <w:spacing w:after="0" w:line="296" w:lineRule="auto"/>
        <w:tabs>
          <w:tab w:leader="none" w:pos="1582"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spacing w:after="0" w:line="161" w:lineRule="exact"/>
        <w:rPr>
          <w:rFonts w:ascii="Arial" w:cs="Arial" w:eastAsia="Arial" w:hAnsi="Arial"/>
          <w:sz w:val="16"/>
          <w:szCs w:val="16"/>
          <w:color w:val="auto"/>
        </w:rPr>
      </w:pPr>
    </w:p>
    <w:p>
      <w:pPr>
        <w:ind w:right="20" w:firstLine="850"/>
        <w:spacing w:after="0" w:line="259" w:lineRule="auto"/>
        <w:tabs>
          <w:tab w:leader="none" w:pos="1592"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spacing w:after="0" w:line="186" w:lineRule="exact"/>
        <w:rPr>
          <w:rFonts w:ascii="Arial" w:cs="Arial" w:eastAsia="Arial" w:hAnsi="Arial"/>
          <w:sz w:val="18"/>
          <w:szCs w:val="18"/>
          <w:color w:val="auto"/>
        </w:rPr>
      </w:pPr>
    </w:p>
    <w:p>
      <w:pPr>
        <w:ind w:right="60" w:firstLine="850"/>
        <w:spacing w:after="0" w:line="259" w:lineRule="auto"/>
        <w:tabs>
          <w:tab w:leader="none" w:pos="158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spacing w:after="0" w:line="186" w:lineRule="exact"/>
        <w:rPr>
          <w:rFonts w:ascii="Arial" w:cs="Arial" w:eastAsia="Arial" w:hAnsi="Arial"/>
          <w:sz w:val="18"/>
          <w:szCs w:val="18"/>
          <w:color w:val="auto"/>
        </w:rPr>
      </w:pPr>
    </w:p>
    <w:p>
      <w:pPr>
        <w:ind w:left="1620" w:hanging="770"/>
        <w:spacing w:after="0"/>
        <w:tabs>
          <w:tab w:leader="none" w:pos="16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Event of Default established pursuant to Section 2.03 with respect to the Securities of such series occurs.</w:t>
      </w:r>
    </w:p>
    <w:p>
      <w:pPr>
        <w:spacing w:after="0" w:line="225"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Acceleration</w:t>
      </w:r>
      <w:r>
        <w:rPr>
          <w:rFonts w:ascii="Arial" w:cs="Arial" w:eastAsia="Arial" w:hAnsi="Arial"/>
          <w:sz w:val="16"/>
          <w:szCs w:val="16"/>
          <w:color w:val="auto"/>
        </w:rPr>
        <w:t>. (a) If an Event of Default other than as described in clauses (d) or (e) of Section 6.01 with respect to the Securities of any series then outstanding occurs and is continuing, then, and in each and every such case, except for 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w:t>
      </w:r>
    </w:p>
    <w:p>
      <w:pPr>
        <w:spacing w:after="0" w:line="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2.03) of all Securities of the affected series, and the interest accrued thereon, if any, to be due and payable immediately, and upon any such declaration the same shall become immediately due and payable.</w:t>
      </w:r>
    </w:p>
    <w:p>
      <w:pPr>
        <w:spacing w:after="0" w:line="185" w:lineRule="exact"/>
        <w:rPr>
          <w:sz w:val="20"/>
          <w:szCs w:val="20"/>
          <w:color w:val="auto"/>
        </w:rPr>
      </w:pPr>
    </w:p>
    <w:p>
      <w:pPr>
        <w:ind w:firstLine="850"/>
        <w:spacing w:after="0" w:line="259" w:lineRule="auto"/>
        <w:tabs>
          <w:tab w:leader="none" w:pos="159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declaration, notice or other action by any Holder or the Trustee, to the full extent permitted by applicable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6" w:name="page117"/>
    <w:bookmarkEnd w:id="116"/>
    <w:p>
      <w:pPr>
        <w:ind w:right="20" w:firstLine="648"/>
        <w:spacing w:after="0" w:line="268" w:lineRule="auto"/>
        <w:rPr>
          <w:sz w:val="20"/>
          <w:szCs w:val="20"/>
          <w:color w:val="auto"/>
        </w:rPr>
      </w:pPr>
      <w:r>
        <w:rPr>
          <w:rFonts w:ascii="Arial" w:cs="Arial" w:eastAsia="Arial" w:hAnsi="Arial"/>
          <w:sz w:val="17"/>
          <w:szCs w:val="17"/>
          <w:color w:val="auto"/>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and interest on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82"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r>
        <w:rPr>
          <w:rFonts w:ascii="Arial" w:cs="Arial" w:eastAsia="Arial" w:hAnsi="Arial"/>
          <w:sz w:val="18"/>
          <w:szCs w:val="18"/>
          <w:color w:val="auto"/>
        </w:rPr>
        <w:t>.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Trustee may maintain a proceeding even if it does not possess any of the Securities or does not produce any of them in the proceeding.</w:t>
      </w:r>
    </w:p>
    <w:p>
      <w:pPr>
        <w:spacing w:after="0" w:line="2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Waiver of Past Defaults</w:t>
      </w:r>
      <w:r>
        <w:rPr>
          <w:rFonts w:ascii="Arial" w:cs="Arial" w:eastAsia="Arial" w:hAnsi="Arial"/>
          <w:sz w:val="17"/>
          <w:szCs w:val="17"/>
          <w:color w:val="auto"/>
        </w:rPr>
        <w:t>. 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ind w:firstLine="648"/>
        <w:spacing w:after="0" w:line="291" w:lineRule="auto"/>
        <w:rPr>
          <w:sz w:val="20"/>
          <w:szCs w:val="20"/>
          <w:color w:val="auto"/>
        </w:rPr>
      </w:pPr>
      <w:r>
        <w:rPr>
          <w:rFonts w:ascii="Arial" w:cs="Arial" w:eastAsia="Arial" w:hAnsi="Arial"/>
          <w:sz w:val="16"/>
          <w:szCs w:val="16"/>
          <w:color w:val="auto"/>
        </w:rPr>
        <w:t xml:space="preserve">Section 6.05. Control by Majority. 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spacing w:after="0" w:line="166"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i w:val="1"/>
          <w:iCs w:val="1"/>
          <w:color w:val="auto"/>
        </w:rPr>
        <w:t>Limitation on Suits</w:t>
      </w:r>
      <w:r>
        <w:rPr>
          <w:rFonts w:ascii="Arial" w:cs="Arial" w:eastAsia="Arial" w:hAnsi="Arial"/>
          <w:sz w:val="17"/>
          <w:szCs w:val="17"/>
          <w:color w:val="auto"/>
        </w:rPr>
        <w:t>. No Holder of any Security of any series may institute any proceeding, judicial or otherwise, with respect to this Indenture or the Securities of such series, or for the appointment of a receiver or trustee, or for any other remedy hereunder, unless:</w:t>
      </w:r>
    </w:p>
    <w:p>
      <w:pPr>
        <w:spacing w:after="0" w:line="146" w:lineRule="exact"/>
        <w:rPr>
          <w:sz w:val="20"/>
          <w:szCs w:val="20"/>
          <w:color w:val="auto"/>
        </w:rPr>
      </w:pPr>
    </w:p>
    <w:p>
      <w:pPr>
        <w:ind w:left="1580" w:hanging="730"/>
        <w:spacing w:after="0"/>
        <w:tabs>
          <w:tab w:leader="none" w:pos="15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such Holder has previously given to the Trustee written notice of a continuing Event of Default with respect to the Securities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firstLine="850"/>
        <w:spacing w:after="0" w:line="277" w:lineRule="auto"/>
        <w:tabs>
          <w:tab w:leader="none" w:pos="15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outstanding Securities of all such series affected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140" w:firstLine="850"/>
        <w:spacing w:after="0" w:line="277" w:lineRule="auto"/>
        <w:tabs>
          <w:tab w:leader="none" w:pos="1582"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reasonably satisfactory to it against any costs, liabilities or expenses to be incurred in compliance with such request;</w:t>
      </w:r>
    </w:p>
    <w:p>
      <w:pPr>
        <w:spacing w:after="0" w:line="170" w:lineRule="exact"/>
        <w:rPr>
          <w:rFonts w:ascii="Arial" w:cs="Arial" w:eastAsia="Arial" w:hAnsi="Arial"/>
          <w:sz w:val="18"/>
          <w:szCs w:val="18"/>
          <w:color w:val="auto"/>
        </w:rPr>
      </w:pPr>
    </w:p>
    <w:p>
      <w:pPr>
        <w:ind w:left="1600" w:hanging="750"/>
        <w:spacing w:after="0"/>
        <w:tabs>
          <w:tab w:leader="none" w:pos="16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right="120" w:firstLine="850"/>
        <w:spacing w:after="0" w:line="277" w:lineRule="auto"/>
        <w:tabs>
          <w:tab w:leader="none" w:pos="1582" w:val="left"/>
        </w:tabs>
        <w:numPr>
          <w:ilvl w:val="0"/>
          <w:numId w:val="9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Securities of all such affected series have not given the Trustee a direction that is inconsistent with such written request.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Holder may not use this Indenture to prejudice the rights of another Holder or to obtain a preference or priority over such other Holder.</w:t>
      </w:r>
    </w:p>
    <w:p>
      <w:pPr>
        <w:spacing w:after="0" w:line="23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to Receive Payment</w:t>
      </w:r>
      <w:r>
        <w:rPr>
          <w:rFonts w:ascii="Arial" w:cs="Arial" w:eastAsia="Arial" w:hAnsi="Arial"/>
          <w:sz w:val="18"/>
          <w:szCs w:val="18"/>
          <w:color w:val="auto"/>
        </w:rPr>
        <w:t>.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r>
        <w:rPr>
          <w:rFonts w:ascii="Arial" w:cs="Arial" w:eastAsia="Arial" w:hAnsi="Arial"/>
          <w:sz w:val="18"/>
          <w:szCs w:val="18"/>
          <w:color w:val="auto"/>
        </w:rPr>
        <w:t>. 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8" w:name="page119"/>
    <w:bookmarkEnd w:id="118"/>
    <w:p>
      <w:pPr>
        <w:ind w:right="40" w:firstLine="648"/>
        <w:spacing w:after="0" w:line="25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r>
        <w:rPr>
          <w:rFonts w:ascii="Arial" w:cs="Arial" w:eastAsia="Arial" w:hAnsi="Arial"/>
          <w:sz w:val="18"/>
          <w:szCs w:val="18"/>
          <w:color w:val="auto"/>
        </w:rPr>
        <w:t>. The Trustee may file such proofs of claim and other papers or documents as may be necessary or advisable in order 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9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Application of Proceeds</w:t>
      </w:r>
      <w:r>
        <w:rPr>
          <w:rFonts w:ascii="Arial" w:cs="Arial" w:eastAsia="Arial" w:hAnsi="Arial"/>
          <w:sz w:val="18"/>
          <w:szCs w:val="18"/>
          <w:color w:val="auto"/>
        </w:rPr>
        <w:t>.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FIRST: To the payment of all amounts due the Trustee under Section 7.07 applicable to the Securities of such series in respect of which moneys have been collected;</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 To the payment of the remainder, if any, to the Company or any other person lawfully entitled thereto.</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right="20" w:firstLine="648"/>
        <w:spacing w:after="0" w:line="255" w:lineRule="auto"/>
        <w:rPr>
          <w:sz w:val="20"/>
          <w:szCs w:val="20"/>
          <w:color w:val="auto"/>
        </w:rPr>
      </w:pPr>
      <w:r>
        <w:rPr>
          <w:rFonts w:ascii="Arial" w:cs="Arial" w:eastAsia="Arial" w:hAnsi="Arial"/>
          <w:sz w:val="18"/>
          <w:szCs w:val="18"/>
          <w:color w:val="auto"/>
        </w:rPr>
        <w:t>Section 6.12. Undertaking for Costs.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spacing w:after="0" w:line="192"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i w:val="1"/>
          <w:iCs w:val="1"/>
          <w:color w:val="auto"/>
        </w:rPr>
        <w:t>Rights and Remedies Cumulative</w:t>
      </w:r>
      <w:r>
        <w:rPr>
          <w:rFonts w:ascii="Arial" w:cs="Arial" w:eastAsia="Arial" w:hAnsi="Arial"/>
          <w:sz w:val="16"/>
          <w:szCs w:val="16"/>
          <w:color w:val="auto"/>
        </w:rPr>
        <w:t>. 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r>
        <w:rPr>
          <w:rFonts w:ascii="Arial" w:cs="Arial" w:eastAsia="Arial" w:hAnsi="Arial"/>
          <w:sz w:val="18"/>
          <w:szCs w:val="18"/>
          <w:color w:val="auto"/>
        </w:rPr>
        <w:t>.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RUSTEE</w:t>
      </w:r>
    </w:p>
    <w:p>
      <w:pPr>
        <w:spacing w:after="0" w:line="21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General</w:t>
      </w:r>
      <w:r>
        <w:rPr>
          <w:rFonts w:ascii="Arial" w:cs="Arial" w:eastAsia="Arial" w:hAnsi="Arial"/>
          <w:sz w:val="17"/>
          <w:szCs w:val="17"/>
          <w:color w:val="auto"/>
        </w:rPr>
        <w:t>.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spacing w:after="0" w:line="17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Trust Indenture Act Sections 315(a) through (d):</w:t>
      </w:r>
    </w:p>
    <w:p>
      <w:pPr>
        <w:spacing w:after="0" w:line="225" w:lineRule="exact"/>
        <w:rPr>
          <w:sz w:val="20"/>
          <w:szCs w:val="20"/>
          <w:color w:val="auto"/>
        </w:rPr>
      </w:pPr>
    </w:p>
    <w:p>
      <w:pPr>
        <w:ind w:right="200" w:firstLine="850"/>
        <w:spacing w:after="0" w:line="257" w:lineRule="auto"/>
        <w:tabs>
          <w:tab w:leader="none" w:pos="158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spacing w:after="0" w:line="187" w:lineRule="exact"/>
        <w:rPr>
          <w:rFonts w:ascii="Arial" w:cs="Arial" w:eastAsia="Arial" w:hAnsi="Arial"/>
          <w:sz w:val="18"/>
          <w:szCs w:val="18"/>
          <w:color w:val="auto"/>
        </w:rPr>
      </w:pPr>
    </w:p>
    <w:p>
      <w:pPr>
        <w:ind w:right="40" w:firstLine="850"/>
        <w:spacing w:after="0" w:line="271" w:lineRule="auto"/>
        <w:tabs>
          <w:tab w:leader="none" w:pos="1592" w:val="left"/>
        </w:tabs>
        <w:numPr>
          <w:ilvl w:val="0"/>
          <w:numId w:val="99"/>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ind w:right="320" w:firstLine="850"/>
        <w:spacing w:after="0" w:line="277" w:lineRule="auto"/>
        <w:tabs>
          <w:tab w:leader="none" w:pos="158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not regularly in its employ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right="140" w:firstLine="850"/>
        <w:spacing w:after="0" w:line="263" w:lineRule="auto"/>
        <w:tabs>
          <w:tab w:leader="none" w:pos="15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83" w:lineRule="exact"/>
        <w:rPr>
          <w:rFonts w:ascii="Arial" w:cs="Arial" w:eastAsia="Arial" w:hAnsi="Arial"/>
          <w:sz w:val="18"/>
          <w:szCs w:val="18"/>
          <w:color w:val="auto"/>
        </w:rPr>
      </w:pPr>
    </w:p>
    <w:p>
      <w:pPr>
        <w:jc w:val="both"/>
        <w:ind w:right="200" w:firstLine="850"/>
        <w:spacing w:after="0" w:line="263" w:lineRule="auto"/>
        <w:tabs>
          <w:tab w:leader="none" w:pos="158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Holders, unless such Holders shall have offered to the Trustee security or indemnity reasonably satisfactory to it against any costs, expenses or liabilities that might be incurred by it in compliance with such request or direction;</w:t>
      </w:r>
    </w:p>
    <w:p>
      <w:pPr>
        <w:spacing w:after="0" w:line="183" w:lineRule="exact"/>
        <w:rPr>
          <w:rFonts w:ascii="Arial" w:cs="Arial" w:eastAsia="Arial" w:hAnsi="Arial"/>
          <w:sz w:val="18"/>
          <w:szCs w:val="18"/>
          <w:color w:val="auto"/>
        </w:rPr>
      </w:pPr>
    </w:p>
    <w:p>
      <w:pPr>
        <w:ind w:right="40" w:firstLine="850"/>
        <w:spacing w:after="0" w:line="259" w:lineRule="auto"/>
        <w:tabs>
          <w:tab w:leader="none" w:pos="160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300" w:firstLine="850"/>
        <w:spacing w:after="0" w:line="308" w:lineRule="auto"/>
        <w:tabs>
          <w:tab w:leader="none" w:pos="159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 and</w:t>
      </w:r>
    </w:p>
    <w:p>
      <w:pPr>
        <w:spacing w:after="0" w:line="146" w:lineRule="exact"/>
        <w:rPr>
          <w:rFonts w:ascii="Arial" w:cs="Arial" w:eastAsia="Arial" w:hAnsi="Arial"/>
          <w:sz w:val="17"/>
          <w:szCs w:val="17"/>
          <w:color w:val="auto"/>
        </w:rPr>
      </w:pPr>
    </w:p>
    <w:p>
      <w:pPr>
        <w:ind w:right="40" w:firstLine="850"/>
        <w:spacing w:after="0" w:line="291" w:lineRule="auto"/>
        <w:tabs>
          <w:tab w:leader="none" w:pos="159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p>
      <w:pPr>
        <w:spacing w:after="0" w:line="166"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Individual Rights of Trustee</w:t>
      </w:r>
      <w:r>
        <w:rPr>
          <w:rFonts w:ascii="Arial" w:cs="Arial" w:eastAsia="Arial" w:hAnsi="Arial"/>
          <w:sz w:val="16"/>
          <w:szCs w:val="16"/>
          <w:color w:val="auto"/>
        </w:rPr>
        <w:t>. The Trustee, in its individual or any other capacity, may become the owner or pledgee of Securities and may otherwise deal with the Company or its Affiliates with the same rights it would have if it were not the Trustee. Any Agent may do the same with like rights. However, the Trustee is subject to Trust Indenture Act Sections 310(b) and 311. For purposes of Trust Indenture Act Section 311(b)</w:t>
      </w:r>
    </w:p>
    <w:p>
      <w:pPr>
        <w:spacing w:after="0" w:line="2" w:lineRule="exact"/>
        <w:rPr>
          <w:sz w:val="20"/>
          <w:szCs w:val="20"/>
          <w:color w:val="auto"/>
        </w:rPr>
      </w:pPr>
    </w:p>
    <w:p>
      <w:pPr>
        <w:ind w:left="260" w:hanging="252"/>
        <w:spacing w:after="0"/>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and (6), the following terms shall mean:</w:t>
      </w:r>
    </w:p>
    <w:p>
      <w:pPr>
        <w:spacing w:after="0" w:line="206" w:lineRule="exact"/>
        <w:rPr>
          <w:rFonts w:ascii="Arial" w:cs="Arial" w:eastAsia="Arial" w:hAnsi="Arial"/>
          <w:sz w:val="18"/>
          <w:szCs w:val="18"/>
          <w:color w:val="auto"/>
        </w:rPr>
      </w:pPr>
    </w:p>
    <w:p>
      <w:pPr>
        <w:ind w:right="20" w:firstLine="850"/>
        <w:spacing w:after="0" w:line="312" w:lineRule="auto"/>
        <w:tabs>
          <w:tab w:leader="none" w:pos="1582" w:val="left"/>
        </w:tabs>
        <w:numPr>
          <w:ilvl w:val="1"/>
          <w:numId w:val="1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transaction</w:t>
      </w:r>
      <w:r>
        <w:rPr>
          <w:rFonts w:ascii="Arial" w:cs="Arial" w:eastAsia="Arial" w:hAnsi="Arial"/>
          <w:sz w:val="17"/>
          <w:szCs w:val="17"/>
          <w:color w:val="auto"/>
        </w:rPr>
        <w:t>” means any transaction in which full payment for goods or securities sold is made within seven days after delivery of the goods or securities in currency or in checks or other orders drawn upon banks or bankers and payable upon demand; and</w:t>
      </w:r>
    </w:p>
    <w:p>
      <w:pPr>
        <w:spacing w:after="0" w:line="139" w:lineRule="exact"/>
        <w:rPr>
          <w:rFonts w:ascii="Arial" w:cs="Arial" w:eastAsia="Arial" w:hAnsi="Arial"/>
          <w:sz w:val="17"/>
          <w:szCs w:val="17"/>
          <w:color w:val="auto"/>
        </w:rPr>
      </w:pPr>
    </w:p>
    <w:p>
      <w:pPr>
        <w:ind w:firstLine="850"/>
        <w:spacing w:after="0" w:line="256" w:lineRule="auto"/>
        <w:tabs>
          <w:tab w:leader="none" w:pos="15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self-liquidating paper</w:t>
      </w:r>
      <w:r>
        <w:rPr>
          <w:rFonts w:ascii="Arial" w:cs="Arial" w:eastAsia="Arial" w:hAnsi="Arial"/>
          <w:sz w:val="18"/>
          <w:szCs w:val="18"/>
          <w:color w:val="auto"/>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right="140" w:firstLine="648"/>
        <w:spacing w:after="0" w:line="259" w:lineRule="auto"/>
        <w:rPr>
          <w:sz w:val="20"/>
          <w:szCs w:val="20"/>
          <w:color w:val="auto"/>
        </w:rPr>
      </w:pPr>
      <w:r>
        <w:rPr>
          <w:rFonts w:ascii="Arial" w:cs="Arial" w:eastAsia="Arial" w:hAnsi="Arial"/>
          <w:sz w:val="18"/>
          <w:szCs w:val="18"/>
          <w:color w:val="auto"/>
        </w:rPr>
        <w:t>Section 7.04. Trustee’s Disclaimer.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Notice of Default</w:t>
      </w:r>
      <w:r>
        <w:rPr>
          <w:rFonts w:ascii="Arial" w:cs="Arial" w:eastAsia="Arial" w:hAnsi="Arial"/>
          <w:sz w:val="17"/>
          <w:szCs w:val="17"/>
          <w:color w:val="auto"/>
        </w:rPr>
        <w:t xml:space="preserve">. If any Default with respect to the Securities of any series occurs and is continuing and if such Default is known to the actual knowledge of a Responsible Officer with the Corporate Trust Office of the Trustee, the Trustee shall give to each Holder of Securities of such series notice of such Default within 90 days after it occurs to all Holders of Securities of such series in the manner and to the extent provided in Section 313(a) of the Trust Indenture Act, unless such Default shall have been cured or waived before the mailing of such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a Default in the payment of the Principal of or interest on any Security, the Trustee shall be protected in withholding such notice if the Trustee in good faith determines that the withholding of such notice is in the interests of the Holders.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r>
        <w:rPr>
          <w:rFonts w:ascii="Arial" w:cs="Arial" w:eastAsia="Arial" w:hAnsi="Arial"/>
          <w:sz w:val="18"/>
          <w:szCs w:val="18"/>
          <w:color w:val="auto"/>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187"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spacing w:after="0" w:line="184"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i w:val="1"/>
          <w:iCs w:val="1"/>
          <w:color w:val="auto"/>
        </w:rPr>
        <w:t>Compensation and Indemnity</w:t>
      </w:r>
      <w:r>
        <w:rPr>
          <w:rFonts w:ascii="Arial" w:cs="Arial" w:eastAsia="Arial" w:hAnsi="Arial"/>
          <w:sz w:val="17"/>
          <w:szCs w:val="17"/>
          <w:color w:val="auto"/>
        </w:rPr>
        <w:t>. 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spacing w:after="0" w:line="17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spacing w:after="0" w:line="16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2" w:name="page123"/>
    <w:bookmarkEnd w:id="122"/>
    <w:p>
      <w:pPr>
        <w:ind w:right="280" w:firstLine="648"/>
        <w:spacing w:after="0" w:line="26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r>
        <w:rPr>
          <w:rFonts w:ascii="Arial" w:cs="Arial" w:eastAsia="Arial" w:hAnsi="Arial"/>
          <w:sz w:val="18"/>
          <w:szCs w:val="18"/>
          <w:color w:val="auto"/>
        </w:rPr>
        <w:t>.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spacing w:after="0" w:line="18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 Trustee is adjudged a bankrupt or insolvent; (iii) a receiver or other public officer takes charge of the Trustee or its property; or (iv) the Trustee becomes incapable of acting.</w:t>
      </w:r>
    </w:p>
    <w:p>
      <w:pPr>
        <w:spacing w:after="0" w:line="192"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spacing w:after="0" w:line="18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Notwithstanding replacement of the Trustee with respect to the Securities of any series pursuant to this Section 7.08 and Section 7.09, the Company’s obligations under Section 7.07 shall continue for the benefit of the retiring Trustee.</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i w:val="1"/>
          <w:iCs w:val="1"/>
          <w:color w:val="auto"/>
        </w:rPr>
        <w:t>Acceptance of Appointment by Successor</w:t>
      </w:r>
      <w:r>
        <w:rPr>
          <w:rFonts w:ascii="Arial" w:cs="Arial" w:eastAsia="Arial" w:hAnsi="Arial"/>
          <w:sz w:val="17"/>
          <w:szCs w:val="17"/>
          <w:color w:val="auto"/>
        </w:rPr>
        <w:t>.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ind w:firstLine="648"/>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7"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eligible under this Article and qualified under Section 310(b) of the Trust Indenture Act.</w:t>
      </w:r>
    </w:p>
    <w:p>
      <w:pPr>
        <w:spacing w:after="0" w:line="17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Successor Trustee By Merger, Etc.</w:t>
      </w:r>
      <w:r>
        <w:rPr>
          <w:rFonts w:ascii="Arial" w:cs="Arial" w:eastAsia="Arial" w:hAnsi="Arial"/>
          <w:sz w:val="16"/>
          <w:szCs w:val="16"/>
          <w:color w:val="auto"/>
        </w:rPr>
        <w:t xml:space="preserve">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spacing w:after="0" w:line="14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i w:val="1"/>
          <w:iCs w:val="1"/>
          <w:color w:val="auto"/>
        </w:rPr>
        <w:t>Eligibility</w:t>
      </w:r>
      <w:r>
        <w:rPr>
          <w:rFonts w:ascii="Arial" w:cs="Arial" w:eastAsia="Arial" w:hAnsi="Arial"/>
          <w:sz w:val="16"/>
          <w:szCs w:val="16"/>
          <w:color w:val="auto"/>
        </w:rPr>
        <w:t>. This Indenture shall always have a Trustee who satisfies the requirements of Trust Indenture Act Section 310(a).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Trustee shall have a combined capital and surplus of at least $25,000,000 as set forth in its most recent published annual report of condition.</w:t>
      </w:r>
    </w:p>
    <w:p>
      <w:pPr>
        <w:spacing w:after="0" w:line="22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Money Held in Trust</w:t>
      </w:r>
      <w:r>
        <w:rPr>
          <w:rFonts w:ascii="Arial" w:cs="Arial" w:eastAsia="Arial" w:hAnsi="Arial"/>
          <w:sz w:val="18"/>
          <w:szCs w:val="18"/>
          <w:color w:val="auto"/>
        </w:rPr>
        <w:t>.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center"/>
        <w:ind w:right="-7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ATISFACTION AND</w:t>
      </w:r>
      <w:r>
        <w:rPr>
          <w:rFonts w:ascii="Arial" w:cs="Arial" w:eastAsia="Arial" w:hAnsi="Arial"/>
          <w:sz w:val="18"/>
          <w:szCs w:val="18"/>
          <w:color w:val="auto"/>
        </w:rPr>
        <w:t xml:space="preserve"> D</w:t>
      </w:r>
      <w:r>
        <w:rPr>
          <w:rFonts w:ascii="Arial" w:cs="Arial" w:eastAsia="Arial" w:hAnsi="Arial"/>
          <w:sz w:val="12"/>
          <w:szCs w:val="12"/>
          <w:color w:val="auto"/>
        </w:rPr>
        <w:t>ISCHARGE OF</w:t>
      </w:r>
      <w:r>
        <w:rPr>
          <w:rFonts w:ascii="Arial" w:cs="Arial" w:eastAsia="Arial" w:hAnsi="Arial"/>
          <w:sz w:val="18"/>
          <w:szCs w:val="18"/>
          <w:color w:val="auto"/>
        </w:rPr>
        <w:t xml:space="preserve"> I</w:t>
      </w:r>
      <w:r>
        <w:rPr>
          <w:rFonts w:ascii="Arial" w:cs="Arial" w:eastAsia="Arial" w:hAnsi="Arial"/>
          <w:sz w:val="12"/>
          <w:szCs w:val="12"/>
          <w:color w:val="auto"/>
        </w:rPr>
        <w:t>NDENTURE</w:t>
      </w:r>
      <w:r>
        <w:rPr>
          <w:rFonts w:ascii="Arial" w:cs="Arial" w:eastAsia="Arial" w:hAnsi="Arial"/>
          <w:sz w:val="18"/>
          <w:szCs w:val="18"/>
          <w:color w:val="auto"/>
        </w:rPr>
        <w:t>; U</w:t>
      </w:r>
      <w:r>
        <w:rPr>
          <w:rFonts w:ascii="Arial" w:cs="Arial" w:eastAsia="Arial" w:hAnsi="Arial"/>
          <w:sz w:val="12"/>
          <w:szCs w:val="12"/>
          <w:color w:val="auto"/>
        </w:rPr>
        <w:t>NCLAIMED</w:t>
      </w:r>
      <w:r>
        <w:rPr>
          <w:rFonts w:ascii="Arial" w:cs="Arial" w:eastAsia="Arial" w:hAnsi="Arial"/>
          <w:sz w:val="18"/>
          <w:szCs w:val="18"/>
          <w:color w:val="auto"/>
        </w:rPr>
        <w:t xml:space="preserve"> M</w:t>
      </w:r>
      <w:r>
        <w:rPr>
          <w:rFonts w:ascii="Arial" w:cs="Arial" w:eastAsia="Arial" w:hAnsi="Arial"/>
          <w:sz w:val="12"/>
          <w:szCs w:val="12"/>
          <w:color w:val="auto"/>
        </w:rPr>
        <w:t>ONEYS</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Satisfaction and Discharge of Indenture</w:t>
      </w:r>
      <w:r>
        <w:rPr>
          <w:rFonts w:ascii="Arial" w:cs="Arial" w:eastAsia="Arial" w:hAnsi="Arial"/>
          <w:sz w:val="16"/>
          <w:szCs w:val="16"/>
          <w:color w:val="auto"/>
        </w:rPr>
        <w:t>.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7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by Trustee of Funds Deposited for Payment of Securities</w:t>
      </w:r>
      <w:r>
        <w:rPr>
          <w:rFonts w:ascii="Arial" w:cs="Arial" w:eastAsia="Arial" w:hAnsi="Arial"/>
          <w:sz w:val="18"/>
          <w:szCs w:val="18"/>
          <w:color w:val="auto"/>
        </w:rPr>
        <w:t>. 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Return of Moneys Held by Trustee and Paying Agent Unclaimed for Two Years</w:t>
      </w:r>
      <w:r>
        <w:rPr>
          <w:rFonts w:ascii="Arial" w:cs="Arial" w:eastAsia="Arial" w:hAnsi="Arial"/>
          <w:sz w:val="17"/>
          <w:szCs w:val="17"/>
          <w:color w:val="auto"/>
        </w:rPr>
        <w:t>.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25" w:name="page126"/>
    <w:bookmarkEnd w:id="125"/>
    <w:p>
      <w:pPr>
        <w:ind w:right="80" w:firstLine="648"/>
        <w:spacing w:after="0" w:line="270"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Defeasance and Discharge of Indenture</w:t>
      </w:r>
      <w:r>
        <w:rPr>
          <w:rFonts w:ascii="Arial" w:cs="Arial" w:eastAsia="Arial" w:hAnsi="Arial"/>
          <w:sz w:val="17"/>
          <w:szCs w:val="17"/>
          <w:color w:val="auto"/>
        </w:rPr>
        <w:t>.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Holders of the Securities of such series to receive payments of Principal thereof, premium thereto, and interest thereon, upon the original stated due dates therefor, (b)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(c) the rights, obligations and immunities of the Trustee hereunder, and (d) the defeasance provisions contained in Article 8 of this Indenture; provided that the following conditions shall have been satisfied:</w:t>
      </w:r>
    </w:p>
    <w:p>
      <w:pPr>
        <w:spacing w:after="0" w:line="181" w:lineRule="exact"/>
        <w:rPr>
          <w:sz w:val="20"/>
          <w:szCs w:val="20"/>
          <w:color w:val="auto"/>
        </w:rPr>
      </w:pPr>
    </w:p>
    <w:p>
      <w:pPr>
        <w:jc w:val="both"/>
        <w:ind w:left="660" w:right="160" w:firstLine="968"/>
        <w:spacing w:after="0" w:line="287" w:lineRule="auto"/>
        <w:tabs>
          <w:tab w:leader="none" w:pos="234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with reference to this Section 8.05 the Company irrevocably has deposited or caused to be deposited with the Trustee (or another qualifying trustee satisfying the requirements of Section 7.11) as trust funds in trust, for the purposes of making the following payments, specifically pledged as security for, and dedicated solely to, the benefit of the Holders of the Securities of such series, (A) money in an amount,</w:t>
      </w:r>
    </w:p>
    <w:p>
      <w:pPr>
        <w:spacing w:after="0" w:line="2" w:lineRule="exact"/>
        <w:rPr>
          <w:rFonts w:ascii="Arial" w:cs="Arial" w:eastAsia="Arial" w:hAnsi="Arial"/>
          <w:sz w:val="16"/>
          <w:szCs w:val="16"/>
          <w:color w:val="auto"/>
        </w:rPr>
      </w:pPr>
    </w:p>
    <w:p>
      <w:pPr>
        <w:ind w:left="660" w:hanging="4"/>
        <w:spacing w:after="0" w:line="268" w:lineRule="auto"/>
        <w:tabs>
          <w:tab w:leader="none" w:pos="94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spacing w:after="0" w:line="178" w:lineRule="exact"/>
        <w:rPr>
          <w:rFonts w:ascii="Arial" w:cs="Arial" w:eastAsia="Arial" w:hAnsi="Arial"/>
          <w:sz w:val="17"/>
          <w:szCs w:val="17"/>
          <w:color w:val="auto"/>
        </w:rPr>
      </w:pPr>
    </w:p>
    <w:p>
      <w:pPr>
        <w:ind w:left="660" w:firstLine="968"/>
        <w:spacing w:after="0" w:line="279" w:lineRule="auto"/>
        <w:tabs>
          <w:tab w:leader="none" w:pos="239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Company has delivered to the Trustee an Opinion of Counsel to the effect that, under then applicable U.S. federal income tax law, beneficial owners of Securities of such series will not recognize gain or loss for U.S. federal income tax purposes as a result of the Company’s exercise of its option under this Section 8.05 and will be subject to U.S. federal income tax on the same amount and in the same manner and at the same times as would have been the case if such deposit, defeasance and discharge had not occurred;</w:t>
      </w:r>
    </w:p>
    <w:p>
      <w:pPr>
        <w:spacing w:after="0" w:line="171" w:lineRule="exact"/>
        <w:rPr>
          <w:rFonts w:ascii="Arial" w:cs="Arial" w:eastAsia="Arial" w:hAnsi="Arial"/>
          <w:sz w:val="17"/>
          <w:szCs w:val="17"/>
          <w:color w:val="auto"/>
        </w:rPr>
      </w:pPr>
    </w:p>
    <w:p>
      <w:pPr>
        <w:ind w:left="2440" w:hanging="812"/>
        <w:spacing w:after="0"/>
        <w:tabs>
          <w:tab w:leader="none" w:pos="244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no Default under either clause (d) or clause (e) of Section 6.01 shall have occurred and be continuing at such time;</w:t>
      </w:r>
    </w:p>
    <w:p>
      <w:pPr>
        <w:spacing w:after="0" w:line="236" w:lineRule="exact"/>
        <w:rPr>
          <w:rFonts w:ascii="Arial" w:cs="Arial" w:eastAsia="Arial" w:hAnsi="Arial"/>
          <w:sz w:val="17"/>
          <w:szCs w:val="17"/>
          <w:color w:val="auto"/>
        </w:rPr>
      </w:pPr>
    </w:p>
    <w:p>
      <w:pPr>
        <w:ind w:left="660" w:right="100" w:firstLine="968"/>
        <w:spacing w:after="0" w:line="263" w:lineRule="auto"/>
        <w:tabs>
          <w:tab w:leader="none" w:pos="243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183" w:lineRule="exact"/>
        <w:rPr>
          <w:rFonts w:ascii="Arial" w:cs="Arial" w:eastAsia="Arial" w:hAnsi="Arial"/>
          <w:sz w:val="18"/>
          <w:szCs w:val="18"/>
          <w:color w:val="auto"/>
        </w:rPr>
      </w:pPr>
    </w:p>
    <w:p>
      <w:pPr>
        <w:ind w:left="660" w:right="180" w:firstLine="968"/>
        <w:spacing w:after="0" w:line="277" w:lineRule="auto"/>
        <w:tabs>
          <w:tab w:leader="none" w:pos="238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and discharge under this Section 8.05 have been complied with; and</w:t>
      </w:r>
    </w:p>
    <w:p>
      <w:pPr>
        <w:spacing w:after="0" w:line="170" w:lineRule="exact"/>
        <w:rPr>
          <w:rFonts w:ascii="Arial" w:cs="Arial" w:eastAsia="Arial" w:hAnsi="Arial"/>
          <w:sz w:val="18"/>
          <w:szCs w:val="18"/>
          <w:color w:val="auto"/>
        </w:rPr>
      </w:pPr>
    </w:p>
    <w:p>
      <w:pPr>
        <w:ind w:left="660" w:right="180" w:firstLine="968"/>
        <w:spacing w:after="0" w:line="263" w:lineRule="auto"/>
        <w:tabs>
          <w:tab w:leader="none" w:pos="243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6" w:name="page127"/>
    <w:bookmarkEnd w:id="126"/>
    <w:p>
      <w:pPr>
        <w:ind w:firstLine="648"/>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Defeasance of Certain Obligations</w:t>
      </w:r>
      <w:r>
        <w:rPr>
          <w:rFonts w:ascii="Arial" w:cs="Arial" w:eastAsia="Arial" w:hAnsi="Arial"/>
          <w:sz w:val="18"/>
          <w:szCs w:val="18"/>
          <w:color w:val="auto"/>
        </w:rPr>
        <w:t>. The Company may omit to comply with any term, provision or condition set forth in, and this Indenture will no longer be in effect with respect to, any covenant established pursuant to Section 2.03(s) and clause (c) and clause (f) (with respect to any covenants established pursuant to Section 2.03(s)) of Section 6.01 shall be deemed not to constitute a Default or an Event of Default with respect to Securities of any series, if:</w:t>
      </w:r>
    </w:p>
    <w:p>
      <w:pPr>
        <w:spacing w:after="0" w:line="187" w:lineRule="exact"/>
        <w:rPr>
          <w:sz w:val="20"/>
          <w:szCs w:val="20"/>
          <w:color w:val="auto"/>
        </w:rPr>
      </w:pPr>
    </w:p>
    <w:p>
      <w:pPr>
        <w:ind w:firstLine="850"/>
        <w:spacing w:after="0" w:line="269" w:lineRule="auto"/>
        <w:tabs>
          <w:tab w:leader="none" w:pos="158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p>
      <w:pPr>
        <w:spacing w:after="0" w:line="178" w:lineRule="exact"/>
        <w:rPr>
          <w:rFonts w:ascii="Arial" w:cs="Arial" w:eastAsia="Arial" w:hAnsi="Arial"/>
          <w:sz w:val="17"/>
          <w:szCs w:val="17"/>
          <w:color w:val="auto"/>
        </w:rPr>
      </w:pPr>
    </w:p>
    <w:p>
      <w:pPr>
        <w:ind w:right="120" w:firstLine="850"/>
        <w:spacing w:after="0" w:line="259" w:lineRule="auto"/>
        <w:tabs>
          <w:tab w:leader="none" w:pos="159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has delivered to the Trustee an Opinion of Counsel to the effect that beneficial owners of Securities of such series will not recognize gain or loss for U.S. federal income tax purposes as a result of the Company’s exercise of its option under this Section 8.06 and will be subject to U.S. federal income tax on the same amount and in the same manner and at the same times as would have been the case if such deposit and defeasance had not occurred;</w:t>
      </w:r>
    </w:p>
    <w:p>
      <w:pPr>
        <w:spacing w:after="0" w:line="186" w:lineRule="exact"/>
        <w:rPr>
          <w:rFonts w:ascii="Arial" w:cs="Arial" w:eastAsia="Arial" w:hAnsi="Arial"/>
          <w:sz w:val="18"/>
          <w:szCs w:val="18"/>
          <w:color w:val="auto"/>
        </w:rPr>
      </w:pPr>
    </w:p>
    <w:p>
      <w:pPr>
        <w:ind w:right="120" w:firstLine="850"/>
        <w:spacing w:after="0" w:line="277" w:lineRule="auto"/>
        <w:tabs>
          <w:tab w:leader="none" w:pos="15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Default with respect to the outstanding Securities of such series shall have occurred and be continuing at the time of such deposit immediately after giving effect to such deposit;</w:t>
      </w:r>
    </w:p>
    <w:p>
      <w:pPr>
        <w:spacing w:after="0" w:line="170" w:lineRule="exact"/>
        <w:rPr>
          <w:rFonts w:ascii="Arial" w:cs="Arial" w:eastAsia="Arial" w:hAnsi="Arial"/>
          <w:sz w:val="18"/>
          <w:szCs w:val="18"/>
          <w:color w:val="auto"/>
        </w:rPr>
      </w:pPr>
    </w:p>
    <w:p>
      <w:pPr>
        <w:ind w:right="140" w:firstLine="850"/>
        <w:spacing w:after="0" w:line="342" w:lineRule="auto"/>
        <w:tabs>
          <w:tab w:leader="none" w:pos="159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123" w:lineRule="exact"/>
        <w:rPr>
          <w:rFonts w:ascii="Arial" w:cs="Arial" w:eastAsia="Arial" w:hAnsi="Arial"/>
          <w:sz w:val="16"/>
          <w:szCs w:val="16"/>
          <w:color w:val="auto"/>
        </w:rPr>
      </w:pPr>
    </w:p>
    <w:p>
      <w:pPr>
        <w:ind w:right="180" w:firstLine="850"/>
        <w:spacing w:after="0" w:line="277" w:lineRule="auto"/>
        <w:tabs>
          <w:tab w:leader="none" w:pos="15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under this Section have been complied with; and</w:t>
      </w:r>
    </w:p>
    <w:p>
      <w:pPr>
        <w:spacing w:after="0" w:line="170" w:lineRule="exact"/>
        <w:rPr>
          <w:rFonts w:ascii="Arial" w:cs="Arial" w:eastAsia="Arial" w:hAnsi="Arial"/>
          <w:sz w:val="18"/>
          <w:szCs w:val="18"/>
          <w:color w:val="auto"/>
        </w:rPr>
      </w:pPr>
    </w:p>
    <w:p>
      <w:pPr>
        <w:ind w:right="80" w:firstLine="850"/>
        <w:spacing w:after="0" w:line="263" w:lineRule="auto"/>
        <w:tabs>
          <w:tab w:leader="none" w:pos="160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84"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i w:val="1"/>
          <w:iCs w:val="1"/>
          <w:color w:val="auto"/>
        </w:rPr>
        <w:t>Reinstatement</w:t>
      </w:r>
      <w:r>
        <w:rPr>
          <w:rFonts w:ascii="Arial" w:cs="Arial" w:eastAsia="Arial" w:hAnsi="Arial"/>
          <w:sz w:val="17"/>
          <w:szCs w:val="17"/>
          <w:color w:val="auto"/>
        </w:rPr>
        <w:t xml:space="preserve">. 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7" w:name="page128"/>
    <w:bookmarkEnd w:id="127"/>
    <w:p>
      <w:pPr>
        <w:ind w:firstLine="648"/>
        <w:spacing w:after="0" w:line="259"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Indemnity</w:t>
      </w:r>
      <w:r>
        <w:rPr>
          <w:rFonts w:ascii="Arial" w:cs="Arial" w:eastAsia="Arial" w:hAnsi="Arial"/>
          <w:sz w:val="18"/>
          <w:szCs w:val="18"/>
          <w:color w:val="auto"/>
        </w:rPr>
        <w:t>. The Company shall pay and indemnify the Trustee (or other qualifying trustee, collectively for purposes of this Section 8.08 and Section 8.02, the “</w:t>
      </w:r>
      <w:r>
        <w:rPr>
          <w:rFonts w:ascii="Arial" w:cs="Arial" w:eastAsia="Arial" w:hAnsi="Arial"/>
          <w:sz w:val="18"/>
          <w:szCs w:val="18"/>
          <w:b w:val="1"/>
          <w:bCs w:val="1"/>
          <w:color w:val="auto"/>
        </w:rPr>
        <w:t>Trustee</w:t>
      </w:r>
      <w:r>
        <w:rPr>
          <w:rFonts w:ascii="Arial" w:cs="Arial" w:eastAsia="Arial" w:hAnsi="Arial"/>
          <w:sz w:val="18"/>
          <w:szCs w:val="18"/>
          <w:color w:val="auto"/>
        </w:rPr>
        <w:t>”)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Excess Funds</w:t>
      </w:r>
      <w:r>
        <w:rPr>
          <w:rFonts w:ascii="Arial" w:cs="Arial" w:eastAsia="Arial" w:hAnsi="Arial"/>
          <w:sz w:val="18"/>
          <w:szCs w:val="18"/>
          <w:color w:val="auto"/>
        </w:rPr>
        <w:t>. 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i w:val="1"/>
          <w:iCs w:val="1"/>
          <w:color w:val="auto"/>
        </w:rPr>
        <w:t>Qualifying Trustee</w:t>
      </w:r>
      <w:r>
        <w:rPr>
          <w:rFonts w:ascii="Arial" w:cs="Arial" w:eastAsia="Arial" w:hAnsi="Arial"/>
          <w:sz w:val="17"/>
          <w:szCs w:val="17"/>
          <w:color w:val="auto"/>
        </w:rPr>
        <w:t>. 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MENDMENTS</w:t>
      </w:r>
      <w:r>
        <w:rPr>
          <w:rFonts w:ascii="Arial" w:cs="Arial" w:eastAsia="Arial" w:hAnsi="Arial"/>
          <w:sz w:val="18"/>
          <w:szCs w:val="18"/>
          <w:color w:val="auto"/>
        </w:rPr>
        <w:t>, S</w:t>
      </w:r>
      <w:r>
        <w:rPr>
          <w:rFonts w:ascii="Arial" w:cs="Arial" w:eastAsia="Arial" w:hAnsi="Arial"/>
          <w:sz w:val="12"/>
          <w:szCs w:val="12"/>
          <w:color w:val="auto"/>
        </w:rPr>
        <w:t>UPPLEMENTS AND</w:t>
      </w:r>
      <w:r>
        <w:rPr>
          <w:rFonts w:ascii="Arial" w:cs="Arial" w:eastAsia="Arial" w:hAnsi="Arial"/>
          <w:sz w:val="18"/>
          <w:szCs w:val="18"/>
          <w:color w:val="auto"/>
        </w:rPr>
        <w:t xml:space="preserve"> W</w:t>
      </w:r>
      <w:r>
        <w:rPr>
          <w:rFonts w:ascii="Arial" w:cs="Arial" w:eastAsia="Arial" w:hAnsi="Arial"/>
          <w:sz w:val="12"/>
          <w:szCs w:val="12"/>
          <w:color w:val="auto"/>
        </w:rPr>
        <w:t>AIVERS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r>
        <w:rPr>
          <w:rFonts w:ascii="Arial" w:cs="Arial" w:eastAsia="Arial" w:hAnsi="Arial"/>
          <w:sz w:val="18"/>
          <w:szCs w:val="18"/>
          <w:color w:val="auto"/>
        </w:rPr>
        <w:t>. The Company and the Trustee may amend or supplement this Indenture or the Securities of any series without notice to or the consent of any Holder:</w:t>
      </w:r>
    </w:p>
    <w:p>
      <w:pPr>
        <w:spacing w:after="0" w:line="170" w:lineRule="exact"/>
        <w:rPr>
          <w:sz w:val="20"/>
          <w:szCs w:val="20"/>
          <w:color w:val="auto"/>
        </w:rPr>
      </w:pPr>
    </w:p>
    <w:p>
      <w:pPr>
        <w:ind w:left="1580" w:hanging="730"/>
        <w:spacing w:after="0"/>
        <w:tabs>
          <w:tab w:leader="none" w:pos="1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this Indenture;</w:t>
      </w:r>
    </w:p>
    <w:p>
      <w:pPr>
        <w:spacing w:after="0" w:line="225" w:lineRule="exact"/>
        <w:rPr>
          <w:rFonts w:ascii="Arial" w:cs="Arial" w:eastAsia="Arial" w:hAnsi="Arial"/>
          <w:sz w:val="18"/>
          <w:szCs w:val="18"/>
          <w:color w:val="auto"/>
        </w:rPr>
      </w:pPr>
    </w:p>
    <w:p>
      <w:pPr>
        <w:ind w:left="1600" w:hanging="750"/>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comply with Article 5;</w:t>
      </w:r>
    </w:p>
    <w:p>
      <w:pPr>
        <w:spacing w:after="0" w:line="225" w:lineRule="exact"/>
        <w:rPr>
          <w:rFonts w:ascii="Arial" w:cs="Arial" w:eastAsia="Arial" w:hAnsi="Arial"/>
          <w:sz w:val="18"/>
          <w:szCs w:val="18"/>
          <w:color w:val="auto"/>
        </w:rPr>
      </w:pPr>
    </w:p>
    <w:p>
      <w:pPr>
        <w:ind w:left="1580" w:hanging="730"/>
        <w:spacing w:after="0"/>
        <w:tabs>
          <w:tab w:leader="none" w:pos="1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maintain the qualification of this Indenture under the Trust Indenture Act;</w:t>
      </w:r>
    </w:p>
    <w:p>
      <w:pPr>
        <w:spacing w:after="0" w:line="225" w:lineRule="exact"/>
        <w:rPr>
          <w:rFonts w:ascii="Arial" w:cs="Arial" w:eastAsia="Arial" w:hAnsi="Arial"/>
          <w:sz w:val="18"/>
          <w:szCs w:val="18"/>
          <w:color w:val="auto"/>
        </w:rPr>
      </w:pPr>
    </w:p>
    <w:p>
      <w:pPr>
        <w:ind w:right="20" w:firstLine="850"/>
        <w:spacing w:after="0" w:line="263" w:lineRule="auto"/>
        <w:tabs>
          <w:tab w:leader="none" w:pos="159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spacing w:after="0" w:line="183" w:lineRule="exact"/>
        <w:rPr>
          <w:rFonts w:ascii="Arial" w:cs="Arial" w:eastAsia="Arial" w:hAnsi="Arial"/>
          <w:sz w:val="18"/>
          <w:szCs w:val="18"/>
          <w:color w:val="auto"/>
        </w:rPr>
      </w:pPr>
    </w:p>
    <w:p>
      <w:pPr>
        <w:ind w:left="1580" w:hanging="730"/>
        <w:spacing w:after="0"/>
        <w:tabs>
          <w:tab w:leader="none" w:pos="1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establish the form or forms or terms of Securities of any series as permitted by Section 2.03;</w:t>
      </w:r>
    </w:p>
    <w:p>
      <w:pPr>
        <w:spacing w:after="0" w:line="225" w:lineRule="exact"/>
        <w:rPr>
          <w:rFonts w:ascii="Arial" w:cs="Arial" w:eastAsia="Arial" w:hAnsi="Arial"/>
          <w:sz w:val="18"/>
          <w:szCs w:val="18"/>
          <w:color w:val="auto"/>
        </w:rPr>
      </w:pPr>
    </w:p>
    <w:p>
      <w:pPr>
        <w:ind w:left="1620" w:hanging="770"/>
        <w:spacing w:after="0"/>
        <w:tabs>
          <w:tab w:leader="none" w:pos="1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provide for uncertificated Securities and to make all appropriate changes for such purpose;</w:t>
      </w:r>
    </w:p>
    <w:p>
      <w:pPr>
        <w:spacing w:after="0" w:line="225" w:lineRule="exact"/>
        <w:rPr>
          <w:rFonts w:ascii="Arial" w:cs="Arial" w:eastAsia="Arial" w:hAnsi="Arial"/>
          <w:sz w:val="18"/>
          <w:szCs w:val="18"/>
          <w:color w:val="auto"/>
        </w:rPr>
      </w:pPr>
    </w:p>
    <w:p>
      <w:pPr>
        <w:ind w:left="1600" w:hanging="750"/>
        <w:spacing w:after="0"/>
        <w:tabs>
          <w:tab w:leader="none" w:pos="16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to conform any provision to the applicable corresponding provision set forth in the offering document for the offering of such series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Securities; and</w:t>
      </w:r>
    </w:p>
    <w:p>
      <w:pPr>
        <w:spacing w:after="0" w:line="210" w:lineRule="exact"/>
        <w:rPr>
          <w:rFonts w:ascii="Arial" w:cs="Arial" w:eastAsia="Arial" w:hAnsi="Arial"/>
          <w:sz w:val="16"/>
          <w:szCs w:val="16"/>
          <w:color w:val="auto"/>
        </w:rPr>
      </w:pPr>
    </w:p>
    <w:p>
      <w:pPr>
        <w:ind w:left="1600" w:hanging="750"/>
        <w:spacing w:after="0"/>
        <w:tabs>
          <w:tab w:leader="none" w:pos="1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make any change that does not materially and adversely affect the rights of any Holder.</w:t>
      </w:r>
    </w:p>
    <w:p>
      <w:pPr>
        <w:spacing w:after="0" w:line="225" w:lineRule="exact"/>
        <w:rPr>
          <w:sz w:val="20"/>
          <w:szCs w:val="20"/>
          <w:color w:val="auto"/>
        </w:rPr>
      </w:pPr>
    </w:p>
    <w:p>
      <w:pPr>
        <w:ind w:right="400" w:firstLine="648"/>
        <w:spacing w:after="0" w:line="275"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With Consent of Holders</w:t>
      </w:r>
      <w:r>
        <w:rPr>
          <w:rFonts w:ascii="Arial" w:cs="Arial" w:eastAsia="Arial" w:hAnsi="Arial"/>
          <w:sz w:val="17"/>
          <w:szCs w:val="17"/>
          <w:color w:val="auto"/>
        </w:rPr>
        <w:t>. 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28" w:name="page129"/>
    <w:bookmarkEnd w:id="128"/>
    <w:p>
      <w:pPr>
        <w:ind w:right="300" w:firstLine="648"/>
        <w:spacing w:after="0" w:line="277" w:lineRule="auto"/>
        <w:rPr>
          <w:sz w:val="20"/>
          <w:szCs w:val="20"/>
          <w:color w:val="auto"/>
        </w:rPr>
      </w:pPr>
      <w:r>
        <w:rPr>
          <w:rFonts w:ascii="Arial" w:cs="Arial" w:eastAsia="Arial" w:hAnsi="Arial"/>
          <w:sz w:val="18"/>
          <w:szCs w:val="18"/>
          <w:color w:val="auto"/>
        </w:rPr>
        <w:t>Notwithstanding the provisions of this Section 9.02, without the consent of each Holder affected thereby, an amendment or waiver, including a waiver pursuant to Section 6.04, may not:</w:t>
      </w:r>
    </w:p>
    <w:p>
      <w:pPr>
        <w:spacing w:after="0" w:line="170" w:lineRule="exact"/>
        <w:rPr>
          <w:sz w:val="20"/>
          <w:szCs w:val="20"/>
          <w:color w:val="auto"/>
        </w:rPr>
      </w:pPr>
    </w:p>
    <w:p>
      <w:pPr>
        <w:ind w:left="1580" w:hanging="730"/>
        <w:spacing w:after="0"/>
        <w:tabs>
          <w:tab w:leader="none" w:pos="1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sinking fund obligation or any installment of interest on, such Holder’s Security,</w:t>
      </w:r>
    </w:p>
    <w:p>
      <w:pPr>
        <w:spacing w:after="0" w:line="248" w:lineRule="exact"/>
        <w:rPr>
          <w:rFonts w:ascii="Arial" w:cs="Arial" w:eastAsia="Arial" w:hAnsi="Arial"/>
          <w:sz w:val="16"/>
          <w:szCs w:val="16"/>
          <w:color w:val="auto"/>
        </w:rPr>
      </w:pPr>
    </w:p>
    <w:p>
      <w:pPr>
        <w:ind w:left="1600" w:hanging="750"/>
        <w:spacing w:after="0"/>
        <w:tabs>
          <w:tab w:leader="none" w:pos="1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reduce the Principal amount thereof or the rate of interest thereon (including any amount in respect of original issue discount);</w:t>
      </w:r>
    </w:p>
    <w:p>
      <w:pPr>
        <w:spacing w:after="0" w:line="236" w:lineRule="exact"/>
        <w:rPr>
          <w:rFonts w:ascii="Arial" w:cs="Arial" w:eastAsia="Arial" w:hAnsi="Arial"/>
          <w:sz w:val="17"/>
          <w:szCs w:val="17"/>
          <w:color w:val="auto"/>
        </w:rPr>
      </w:pPr>
    </w:p>
    <w:p>
      <w:pPr>
        <w:ind w:right="520" w:firstLine="850"/>
        <w:spacing w:after="0" w:line="277" w:lineRule="auto"/>
        <w:tabs>
          <w:tab w:leader="none" w:pos="158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reduce the above stated percentage of outstanding Securities the consent of whose holders is necessary to modify or amend the Indenture with respect to the Securities of the relevant series; and</w:t>
      </w:r>
    </w:p>
    <w:p>
      <w:pPr>
        <w:spacing w:after="0" w:line="170" w:lineRule="exact"/>
        <w:rPr>
          <w:rFonts w:ascii="Arial" w:cs="Arial" w:eastAsia="Arial" w:hAnsi="Arial"/>
          <w:sz w:val="18"/>
          <w:szCs w:val="18"/>
          <w:color w:val="auto"/>
        </w:rPr>
      </w:pPr>
    </w:p>
    <w:p>
      <w:pPr>
        <w:ind w:right="240" w:firstLine="850"/>
        <w:spacing w:after="0" w:line="263" w:lineRule="auto"/>
        <w:tabs>
          <w:tab w:leader="none" w:pos="159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6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It shall not be necessary for the consent of any Holder under this Section 9.02 to approve the particular form of any proposed amendment, supplement or waiver, but it shall be sufficient if such consent approves the substance thereof.</w:t>
      </w:r>
    </w:p>
    <w:p>
      <w:pPr>
        <w:spacing w:after="0" w:line="17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Revocation and Effect of Consent</w:t>
      </w:r>
      <w:r>
        <w:rPr>
          <w:rFonts w:ascii="Arial" w:cs="Arial" w:eastAsia="Arial" w:hAnsi="Arial"/>
          <w:sz w:val="17"/>
          <w:szCs w:val="17"/>
          <w:color w:val="auto"/>
        </w:rPr>
        <w:t>.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 consent previously given, whether or not such Persons continue to be such Holders after such record date. No such consent shall be valid or effective for more than 90 days after such record date.</w:t>
      </w:r>
    </w:p>
    <w:p>
      <w:pPr>
        <w:spacing w:after="0" w:line="19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9" w:name="page130"/>
    <w:bookmarkEnd w:id="129"/>
    <w:p>
      <w:pPr>
        <w:ind w:right="60" w:firstLine="648"/>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Securities</w:t>
      </w:r>
      <w:r>
        <w:rPr>
          <w:rFonts w:ascii="Arial" w:cs="Arial" w:eastAsia="Arial" w:hAnsi="Arial"/>
          <w:sz w:val="18"/>
          <w:szCs w:val="18"/>
          <w:color w:val="auto"/>
        </w:rPr>
        <w:t>.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r>
        <w:rPr>
          <w:rFonts w:ascii="Arial" w:cs="Arial" w:eastAsia="Arial" w:hAnsi="Arial"/>
          <w:sz w:val="18"/>
          <w:szCs w:val="18"/>
          <w:color w:val="auto"/>
        </w:rPr>
        <w:t>. 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spacing w:after="0" w:line="19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Every supplemental indenture executed pursuant to this Article 9 shall conform to the requirements of the Trust Indenture Act as then in effect.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of 1939</w:t>
      </w:r>
      <w:r>
        <w:rPr>
          <w:rFonts w:ascii="Arial" w:cs="Arial" w:eastAsia="Arial" w:hAnsi="Arial"/>
          <w:sz w:val="18"/>
          <w:szCs w:val="18"/>
          <w:color w:val="auto"/>
        </w:rPr>
        <w:t>. This Indenture shall incorporate and be governed by the provisions of the Trust Indenture Act that are required to be part of and to govern indentures qualified under the Trust Indenture Act.</w:t>
      </w:r>
    </w:p>
    <w:p>
      <w:pPr>
        <w:spacing w:after="0" w:line="17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 Any notice or communication shall be sufficiently given if written and (a) if delivered in person, when received or</w:t>
      </w:r>
    </w:p>
    <w:p>
      <w:pPr>
        <w:spacing w:after="0" w:line="23" w:lineRule="exact"/>
        <w:rPr>
          <w:sz w:val="20"/>
          <w:szCs w:val="20"/>
          <w:color w:val="auto"/>
        </w:rPr>
      </w:pPr>
    </w:p>
    <w:p>
      <w:pPr>
        <w:ind w:firstLine="8"/>
        <w:spacing w:after="0" w:line="260" w:lineRule="auto"/>
        <w:tabs>
          <w:tab w:leader="none" w:pos="2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mailed by first class mail, 5 days after mailing, or (c) as between the Company and the Trustee if sent by facsimile transmission, when transmission is confirmed, in each case addressed as follows: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37 Walnut Street, Suite 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Wellesley Hills, MA 02481</w:t>
      </w:r>
    </w:p>
    <w:p>
      <w:pPr>
        <w:spacing w:after="0" w:line="9" w:lineRule="exact"/>
        <w:rPr>
          <w:sz w:val="20"/>
          <w:szCs w:val="20"/>
          <w:color w:val="auto"/>
        </w:rPr>
      </w:pPr>
    </w:p>
    <w:p>
      <w:pPr>
        <w:ind w:left="1300"/>
        <w:spacing w:after="0"/>
        <w:tabs>
          <w:tab w:leader="none" w:pos="2460" w:val="left"/>
        </w:tabs>
        <w:rPr>
          <w:sz w:val="20"/>
          <w:szCs w:val="20"/>
          <w:color w:val="auto"/>
        </w:rPr>
      </w:pPr>
      <w:r>
        <w:rPr>
          <w:rFonts w:ascii="Arial" w:cs="Arial" w:eastAsia="Arial" w:hAnsi="Arial"/>
          <w:sz w:val="18"/>
          <w:szCs w:val="18"/>
          <w:color w:val="auto"/>
        </w:rPr>
        <w:t>Facsimile: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2260" w:hanging="956"/>
        <w:spacing w:after="0"/>
        <w:tabs>
          <w:tab w:leader="none" w:pos="22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p>
      <w:pPr>
        <w:ind w:left="2260" w:hanging="956"/>
        <w:spacing w:after="0"/>
        <w:tabs>
          <w:tab w:leader="none" w:pos="2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260" w:hanging="956"/>
        <w:spacing w:after="0"/>
        <w:tabs>
          <w:tab w:leader="none" w:pos="22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1200"/>
          </w:cols>
          <w:pgMar w:left="320" w:top="908" w:right="379" w:bottom="1440" w:gutter="0" w:footer="0" w:header="0"/>
        </w:sectPr>
      </w:pP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Facsimile: [</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160" w:space="380"/>
            <w:col w:w="8660"/>
          </w:cols>
          <w:pgMar w:left="320" w:top="908" w:right="379" w:bottom="1440" w:gutter="0" w:footer="0" w:header="0"/>
          <w:type w:val="continuous"/>
        </w:sectPr>
      </w:pPr>
    </w:p>
    <w:p>
      <w:pPr>
        <w:spacing w:after="0" w:line="11"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The Company or the Trustee by written notice to the other may designate additional or different addresses for subsequent notices or communications.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type w:val="continuous"/>
        </w:sectPr>
      </w:pPr>
    </w:p>
    <w:bookmarkStart w:id="130" w:name="page131"/>
    <w:bookmarkEnd w:id="130"/>
    <w:p>
      <w:pPr>
        <w:ind w:firstLine="648"/>
        <w:spacing w:after="0" w:line="263" w:lineRule="auto"/>
        <w:rPr>
          <w:sz w:val="20"/>
          <w:szCs w:val="20"/>
          <w:color w:val="auto"/>
        </w:rPr>
      </w:pPr>
      <w:r>
        <w:rPr>
          <w:rFonts w:ascii="Arial" w:cs="Arial" w:eastAsia="Arial" w:hAnsi="Arial"/>
          <w:sz w:val="18"/>
          <w:szCs w:val="18"/>
          <w:color w:val="auto"/>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case it shall be impracticable to give notice as herein contemplated, then such notification as shall be made with the approval of the Trustee shall constitute a sufficient notification for every purpose hereunder.</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Upon any request or application by the Company to the Trustee to take any action under this Indenture, the Company shall furnish to the Trustee:</w:t>
      </w:r>
    </w:p>
    <w:p>
      <w:pPr>
        <w:spacing w:after="0" w:line="170" w:lineRule="exact"/>
        <w:rPr>
          <w:sz w:val="20"/>
          <w:szCs w:val="20"/>
          <w:color w:val="auto"/>
        </w:rPr>
      </w:pPr>
    </w:p>
    <w:p>
      <w:pPr>
        <w:ind w:right="540" w:firstLine="850"/>
        <w:spacing w:after="0" w:line="277" w:lineRule="auto"/>
        <w:tabs>
          <w:tab w:leader="none" w:pos="158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1600" w:hanging="750"/>
        <w:spacing w:after="0"/>
        <w:tabs>
          <w:tab w:leader="none" w:pos="16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 Opinion of Counsel stating that, in the opinion of such counsel, all such conditions precedent have been complied with.</w:t>
      </w:r>
    </w:p>
    <w:p>
      <w:pPr>
        <w:spacing w:after="0" w:line="23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(other than the certificate required by Section 4.04) shall include:</w:t>
      </w:r>
    </w:p>
    <w:p>
      <w:pPr>
        <w:spacing w:after="0" w:line="170" w:lineRule="exact"/>
        <w:rPr>
          <w:sz w:val="20"/>
          <w:szCs w:val="20"/>
          <w:color w:val="auto"/>
        </w:rPr>
      </w:pPr>
    </w:p>
    <w:p>
      <w:pPr>
        <w:ind w:left="1580" w:hanging="730"/>
        <w:spacing w:after="0"/>
        <w:tabs>
          <w:tab w:leader="none" w:pos="15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statement that each person signing such certificate or opinion has read such covenant or condition and the definitions herein relating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380" w:firstLine="850"/>
        <w:spacing w:after="0" w:line="277" w:lineRule="auto"/>
        <w:tabs>
          <w:tab w:leader="none" w:pos="159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such certificate or opinion is based;</w:t>
      </w:r>
    </w:p>
    <w:p>
      <w:pPr>
        <w:spacing w:after="0" w:line="170" w:lineRule="exact"/>
        <w:rPr>
          <w:rFonts w:ascii="Arial" w:cs="Arial" w:eastAsia="Arial" w:hAnsi="Arial"/>
          <w:sz w:val="18"/>
          <w:szCs w:val="18"/>
          <w:color w:val="auto"/>
        </w:rPr>
      </w:pPr>
    </w:p>
    <w:p>
      <w:pPr>
        <w:ind w:right="200" w:firstLine="850"/>
        <w:spacing w:after="0" w:line="277" w:lineRule="auto"/>
        <w:tabs>
          <w:tab w:leader="none" w:pos="158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statement that, in the opinion of each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right="240" w:firstLine="850"/>
        <w:spacing w:after="0" w:line="308" w:lineRule="auto"/>
        <w:tabs>
          <w:tab w:leader="none" w:pos="159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each such person, such condition or covenant has been complied 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matters of fact, an Opinion of Counsel may rely on an Officers’ Certificate or certificates of public officials.</w:t>
      </w:r>
    </w:p>
    <w:p>
      <w:pPr>
        <w:spacing w:after="0" w:line="146" w:lineRule="exact"/>
        <w:rPr>
          <w:sz w:val="20"/>
          <w:szCs w:val="20"/>
          <w:color w:val="auto"/>
        </w:rPr>
      </w:pPr>
    </w:p>
    <w:p>
      <w:pPr>
        <w:ind w:right="280" w:firstLine="648"/>
        <w:spacing w:after="0" w:line="275"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Evidence of Ownership</w:t>
      </w:r>
      <w:r>
        <w:rPr>
          <w:rFonts w:ascii="Arial" w:cs="Arial" w:eastAsia="Arial" w:hAnsi="Arial"/>
          <w:sz w:val="17"/>
          <w:szCs w:val="17"/>
          <w:color w:val="auto"/>
        </w:rPr>
        <w:t>.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left="660"/>
        <w:spacing w:after="0"/>
        <w:tabs>
          <w:tab w:leader="none" w:pos="212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color w:val="auto"/>
        </w:rPr>
        <w:t>Rules by Trustee, Paying Agent or Registrar. The Trustee may make reasonable rules for action by or at a meeting of 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Paying Agent or Registrar may make reasonable rules for its functions.</w:t>
      </w:r>
    </w:p>
    <w:p>
      <w:pPr>
        <w:spacing w:after="0" w:line="211"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i w:val="1"/>
          <w:iCs w:val="1"/>
          <w:color w:val="auto"/>
        </w:rPr>
        <w:t>Payment Date Other Than a Business Day</w:t>
      </w:r>
      <w:r>
        <w:rPr>
          <w:rFonts w:ascii="Arial" w:cs="Arial" w:eastAsia="Arial" w:hAnsi="Arial"/>
          <w:sz w:val="16"/>
          <w:szCs w:val="16"/>
          <w:color w:val="auto"/>
        </w:rPr>
        <w:t>. 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spacing w:after="0" w:line="15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i w:val="1"/>
          <w:iCs w:val="1"/>
          <w:color w:val="auto"/>
        </w:rPr>
        <w:t>Governing Law</w:t>
      </w:r>
      <w:r>
        <w:rPr>
          <w:rFonts w:ascii="Arial" w:cs="Arial" w:eastAsia="Arial" w:hAnsi="Arial"/>
          <w:sz w:val="16"/>
          <w:szCs w:val="16"/>
          <w:color w:val="auto"/>
        </w:rPr>
        <w:t>. The laws of the State of New York shall govern this Indenture and the Securities.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i w:val="1"/>
          <w:iCs w:val="1"/>
          <w:color w:val="auto"/>
        </w:rPr>
        <w:t>No Adverse Interpretation of Other Agreements</w:t>
      </w:r>
      <w:r>
        <w:rPr>
          <w:rFonts w:ascii="Arial" w:cs="Arial" w:eastAsia="Arial" w:hAnsi="Arial"/>
          <w:sz w:val="17"/>
          <w:szCs w:val="17"/>
          <w:color w:val="auto"/>
        </w:rPr>
        <w:t>. This Indenture may not be used to interpret another indenture or loan or debt agreement of the Company or any Subsidiary of the Company. Any such indenture or agreement may not be used to interpret this Indenture.</w:t>
      </w:r>
    </w:p>
    <w:p>
      <w:pPr>
        <w:spacing w:after="0" w:line="14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Successors</w:t>
      </w:r>
      <w:r>
        <w:rPr>
          <w:rFonts w:ascii="Arial" w:cs="Arial" w:eastAsia="Arial" w:hAnsi="Arial"/>
          <w:sz w:val="18"/>
          <w:szCs w:val="18"/>
          <w:color w:val="auto"/>
        </w:rPr>
        <w:t>. All agreements of the Company in this Indenture and the Securities shall bind its successors. All agreements of the Trustee in this Indenture shall bind its successors.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Duplicate Originals</w:t>
      </w:r>
      <w:r>
        <w:rPr>
          <w:rFonts w:ascii="Arial" w:cs="Arial" w:eastAsia="Arial" w:hAnsi="Arial"/>
          <w:sz w:val="18"/>
          <w:szCs w:val="18"/>
          <w:color w:val="auto"/>
        </w:rPr>
        <w:t>. The parties may sign any number of copies of this Indenture. Each signed copy shall be an original, but all of them together represent the same agreement.</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Separability</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The Table of Contents and headings of the Articles and Sections of this Indenture have been inserted for convenience of reference only, are not to be considered a part hereof and shall in no way modify or restrict any of the terms and provisions hereof.</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Incorporators, Stockholders, Officers and Directors of Company Exempt from Individual Liability</w:t>
      </w:r>
      <w:r>
        <w:rPr>
          <w:rFonts w:ascii="Arial" w:cs="Arial" w:eastAsia="Arial" w:hAnsi="Arial"/>
          <w:sz w:val="16"/>
          <w:szCs w:val="16"/>
          <w:color w:val="auto"/>
        </w:rPr>
        <w:t>.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ind w:firstLine="648"/>
        <w:spacing w:after="0" w:line="268"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i w:val="1"/>
          <w:iCs w:val="1"/>
          <w:color w:val="auto"/>
        </w:rPr>
        <w:t>Judgment Currency</w:t>
      </w:r>
      <w:r>
        <w:rPr>
          <w:rFonts w:ascii="Arial" w:cs="Arial" w:eastAsia="Arial" w:hAnsi="Arial"/>
          <w:sz w:val="17"/>
          <w:szCs w:val="17"/>
          <w:color w:val="auto"/>
        </w:rPr>
        <w:t>. 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Arial" w:cs="Arial" w:eastAsia="Arial" w:hAnsi="Arial"/>
          <w:sz w:val="17"/>
          <w:szCs w:val="17"/>
          <w:b w:val="1"/>
          <w:bCs w:val="1"/>
          <w:color w:val="auto"/>
        </w:rPr>
        <w:t>Required Currency</w:t>
      </w:r>
      <w:r>
        <w:rPr>
          <w:rFonts w:ascii="Arial" w:cs="Arial" w:eastAsia="Arial" w:hAnsi="Arial"/>
          <w:sz w:val="17"/>
          <w:szCs w:val="17"/>
          <w:color w:val="auto"/>
        </w:rPr>
        <w:t>”) into a currency in which a judgment will be rendered (the “</w:t>
      </w:r>
      <w:r>
        <w:rPr>
          <w:rFonts w:ascii="Arial" w:cs="Arial" w:eastAsia="Arial" w:hAnsi="Arial"/>
          <w:sz w:val="17"/>
          <w:szCs w:val="17"/>
          <w:b w:val="1"/>
          <w:bCs w:val="1"/>
          <w:color w:val="auto"/>
        </w:rPr>
        <w:t>Judgment Currency</w:t>
      </w:r>
      <w:r>
        <w:rPr>
          <w:rFonts w:ascii="Arial" w:cs="Arial" w:eastAsia="Arial" w:hAnsi="Arial"/>
          <w:sz w:val="17"/>
          <w:szCs w:val="17"/>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8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COMPANY AND THE TRUSTEE IRREVOCABLY WAIVES, TO THE FULLEST EXTENT PERMITTED BY APPLICABLE LAW, ANY AND ALL RIGHT TO TRIAL BY JURY IN ANY LEGAL PROCEEDING ARISING OUT OF OR RELATING TO THIS INDENTURE, THE SECURITIES OR THE TRANSACTIONS CONTEMPLATED HEREBY.</w:t>
      </w:r>
    </w:p>
    <w:p>
      <w:pPr>
        <w:spacing w:after="0" w:line="184"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 xml:space="preserve">Section 10.17. </w:t>
      </w:r>
      <w:r>
        <w:rPr>
          <w:rFonts w:ascii="Arial" w:cs="Arial" w:eastAsia="Arial" w:hAnsi="Arial"/>
          <w:sz w:val="16"/>
          <w:szCs w:val="16"/>
          <w:i w:val="1"/>
          <w:iCs w:val="1"/>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date first written above.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8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Borders>
              <w:top w:val="single" w:sz="8" w:color="auto"/>
            </w:tcBorders>
          </w:tcPr>
          <w:p>
            <w:pPr>
              <w:spacing w:after="0"/>
              <w:rPr>
                <w:sz w:val="16"/>
                <w:szCs w:val="16"/>
                <w:color w:val="auto"/>
              </w:rPr>
            </w:pPr>
          </w:p>
        </w:tc>
      </w:tr>
      <w:tr>
        <w:trPr>
          <w:trHeight w:val="230"/>
        </w:trPr>
        <w:tc>
          <w:tcPr>
            <w:tcW w:w="596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p>
        </w:tc>
      </w:tr>
      <w:tr>
        <w:trPr>
          <w:trHeight w:val="418"/>
        </w:trPr>
        <w:tc>
          <w:tcPr>
            <w:tcW w:w="5960" w:type="dxa"/>
            <w:vAlign w:val="bottom"/>
          </w:tcPr>
          <w:p>
            <w:pPr>
              <w:ind w:left="5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0" w:type="dxa"/>
            <w:vAlign w:val="bottom"/>
          </w:tcPr>
          <w:p>
            <w:pPr>
              <w:jc w:val="right"/>
              <w:ind w:right="405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3"/>
          </w:tcPr>
          <w:p>
            <w:pPr>
              <w:ind w:left="5640"/>
              <w:spacing w:after="0"/>
              <w:rPr>
                <w:sz w:val="20"/>
                <w:szCs w:val="20"/>
                <w:color w:val="auto"/>
              </w:rPr>
            </w:pPr>
            <w:r>
              <w:rPr>
                <w:rFonts w:ascii="Arial" w:cs="Arial" w:eastAsia="Arial" w:hAnsi="Arial"/>
                <w:sz w:val="18"/>
                <w:szCs w:val="18"/>
                <w:color w:val="auto"/>
              </w:rPr>
              <w:t>as the Trustee</w:t>
            </w:r>
          </w:p>
        </w:tc>
        <w:tc>
          <w:tcPr>
            <w:tcW w:w="4400" w:type="dxa"/>
            <w:vAlign w:val="bottom"/>
          </w:tcPr>
          <w:p>
            <w:pPr>
              <w:spacing w:after="0"/>
              <w:rPr>
                <w:sz w:val="20"/>
                <w:szCs w:val="20"/>
                <w:color w:val="auto"/>
              </w:rPr>
            </w:pPr>
          </w:p>
        </w:tc>
      </w:tr>
      <w:tr>
        <w:trPr>
          <w:trHeight w:val="432"/>
        </w:trPr>
        <w:tc>
          <w:tcPr>
            <w:tcW w:w="6840" w:type="dxa"/>
            <w:vAlign w:val="bottom"/>
            <w:gridSpan w:val="3"/>
          </w:tcPr>
          <w:p>
            <w:pPr>
              <w:ind w:left="5640"/>
              <w:spacing w:after="0"/>
              <w:rPr>
                <w:sz w:val="20"/>
                <w:szCs w:val="20"/>
                <w:color w:val="auto"/>
              </w:rPr>
            </w:pPr>
            <w:r>
              <w:rPr>
                <w:rFonts w:ascii="Arial" w:cs="Arial" w:eastAsia="Arial" w:hAnsi="Arial"/>
                <w:sz w:val="18"/>
                <w:szCs w:val="18"/>
                <w:color w:val="auto"/>
              </w:rPr>
              <w:t>By:</w:t>
            </w:r>
          </w:p>
        </w:tc>
        <w:tc>
          <w:tcPr>
            <w:tcW w:w="4400" w:type="dxa"/>
            <w:vAlign w:val="bottom"/>
          </w:tcPr>
          <w:p>
            <w:pPr>
              <w:spacing w:after="0"/>
              <w:rPr>
                <w:sz w:val="24"/>
                <w:szCs w:val="24"/>
                <w:color w:val="auto"/>
              </w:rPr>
            </w:pPr>
          </w:p>
        </w:tc>
      </w:tr>
      <w:tr>
        <w:trPr>
          <w:trHeight w:val="19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Borders>
              <w:top w:val="single" w:sz="8" w:color="auto"/>
            </w:tcBorders>
          </w:tcPr>
          <w:p>
            <w:pPr>
              <w:spacing w:after="0"/>
              <w:rPr>
                <w:sz w:val="16"/>
                <w:szCs w:val="16"/>
                <w:color w:val="auto"/>
              </w:rPr>
            </w:pPr>
          </w:p>
        </w:tc>
      </w:tr>
      <w:tr>
        <w:trPr>
          <w:trHeight w:val="230"/>
        </w:trPr>
        <w:tc>
          <w:tcPr>
            <w:tcW w:w="596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p>
        </w:tc>
      </w:tr>
      <w:tr>
        <w:trPr>
          <w:trHeight w:val="675"/>
        </w:trPr>
        <w:tc>
          <w:tcPr>
            <w:tcW w:w="5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Entera Bio Ltd.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the Company</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4820" w:hanging="691"/>
        <w:spacing w:after="0"/>
        <w:tabs>
          <w:tab w:leader="none" w:pos="482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4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Subordinated Indenture</w:t>
      </w:r>
    </w:p>
    <w:p>
      <w:pPr>
        <w:spacing w:after="0" w:line="248" w:lineRule="exact"/>
        <w:rPr>
          <w:sz w:val="20"/>
          <w:szCs w:val="20"/>
          <w:color w:val="auto"/>
        </w:rPr>
      </w:pPr>
    </w:p>
    <w:p>
      <w:pPr>
        <w:ind w:left="3640"/>
        <w:spacing w:after="0"/>
        <w:tabs>
          <w:tab w:leader="none" w:pos="4800" w:val="left"/>
          <w:tab w:leader="none" w:pos="5280" w:val="left"/>
        </w:tabs>
        <w:rPr>
          <w:sz w:val="20"/>
          <w:szCs w:val="20"/>
          <w:color w:val="auto"/>
        </w:rPr>
      </w:pPr>
      <w:r>
        <w:rPr>
          <w:rFonts w:ascii="Arial" w:cs="Arial" w:eastAsia="Arial" w:hAnsi="Arial"/>
          <w:sz w:val="18"/>
          <w:szCs w:val="18"/>
          <w:b w:val="1"/>
          <w:bCs w:val="1"/>
          <w:color w:val="auto"/>
        </w:rPr>
        <w:t>Dated as of [</w:t>
        <w:tab/>
        <w:t>],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411480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900430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2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3440" w:type="dxa"/>
            <w:vAlign w:val="bottom"/>
          </w:tcPr>
          <w:p>
            <w:pPr>
              <w:spacing w:after="0"/>
              <w:rPr>
                <w:sz w:val="23"/>
                <w:szCs w:val="23"/>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c>
          <w:tcPr>
            <w:tcW w:w="0" w:type="dxa"/>
            <w:vAlign w:val="bottom"/>
          </w:tcPr>
          <w:p>
            <w:pPr>
              <w:spacing w:after="0"/>
              <w:rPr>
                <w:sz w:val="1"/>
                <w:szCs w:val="1"/>
                <w:color w:val="auto"/>
              </w:rPr>
            </w:pPr>
          </w:p>
        </w:tc>
      </w:tr>
      <w:tr>
        <w:trPr>
          <w:trHeight w:val="525"/>
        </w:trPr>
        <w:tc>
          <w:tcPr>
            <w:tcW w:w="1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1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2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rPr>
              <w:t>ARTICLE 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9400" w:type="dxa"/>
            <w:vAlign w:val="bottom"/>
            <w:gridSpan w:val="3"/>
          </w:tcPr>
          <w:p>
            <w:pPr>
              <w:jc w:val="center"/>
              <w:ind w:right="260"/>
              <w:spacing w:after="0"/>
              <w:rPr>
                <w:sz w:val="20"/>
                <w:szCs w:val="20"/>
                <w:color w:val="auto"/>
              </w:rPr>
            </w:pPr>
            <w:r>
              <w:rPr>
                <w:rFonts w:ascii="Arial" w:cs="Arial" w:eastAsia="Arial" w:hAnsi="Arial"/>
                <w:sz w:val="18"/>
                <w:szCs w:val="18"/>
                <w:color w:val="auto"/>
                <w:w w:val="97"/>
              </w:rPr>
              <w:t>D</w:t>
            </w:r>
            <w:r>
              <w:rPr>
                <w:rFonts w:ascii="Arial" w:cs="Arial" w:eastAsia="Arial" w:hAnsi="Arial"/>
                <w:sz w:val="12"/>
                <w:szCs w:val="12"/>
                <w:color w:val="auto"/>
                <w:w w:val="97"/>
              </w:rPr>
              <w:t>EFINITIONS</w:t>
            </w:r>
            <w:r>
              <w:rPr>
                <w:rFonts w:ascii="Arial" w:cs="Arial" w:eastAsia="Arial" w:hAnsi="Arial"/>
                <w:sz w:val="18"/>
                <w:szCs w:val="18"/>
                <w:color w:val="auto"/>
                <w:w w:val="97"/>
              </w:rPr>
              <w:t xml:space="preserve"> A</w:t>
            </w:r>
            <w:r>
              <w:rPr>
                <w:rFonts w:ascii="Arial" w:cs="Arial" w:eastAsia="Arial" w:hAnsi="Arial"/>
                <w:sz w:val="12"/>
                <w:szCs w:val="12"/>
                <w:color w:val="auto"/>
                <w:w w:val="97"/>
              </w:rPr>
              <w:t>ND</w:t>
            </w:r>
            <w:r>
              <w:rPr>
                <w:rFonts w:ascii="Arial" w:cs="Arial" w:eastAsia="Arial" w:hAnsi="Arial"/>
                <w:sz w:val="18"/>
                <w:szCs w:val="18"/>
                <w:color w:val="auto"/>
                <w:w w:val="97"/>
              </w:rPr>
              <w:t xml:space="preserve"> I</w:t>
            </w:r>
            <w:r>
              <w:rPr>
                <w:rFonts w:ascii="Arial" w:cs="Arial" w:eastAsia="Arial" w:hAnsi="Arial"/>
                <w:sz w:val="12"/>
                <w:szCs w:val="12"/>
                <w:color w:val="auto"/>
                <w:w w:val="97"/>
              </w:rPr>
              <w:t>NCORPORATION</w:t>
            </w:r>
            <w:r>
              <w:rPr>
                <w:rFonts w:ascii="Arial" w:cs="Arial" w:eastAsia="Arial" w:hAnsi="Arial"/>
                <w:sz w:val="18"/>
                <w:szCs w:val="18"/>
                <w:color w:val="auto"/>
                <w:w w:val="97"/>
              </w:rPr>
              <w:t xml:space="preserve"> B</w:t>
            </w:r>
            <w:r>
              <w:rPr>
                <w:rFonts w:ascii="Arial" w:cs="Arial" w:eastAsia="Arial" w:hAnsi="Arial"/>
                <w:sz w:val="12"/>
                <w:szCs w:val="12"/>
                <w:color w:val="auto"/>
                <w:w w:val="97"/>
              </w:rPr>
              <w:t>Y</w:t>
            </w:r>
            <w:r>
              <w:rPr>
                <w:rFonts w:ascii="Arial" w:cs="Arial" w:eastAsia="Arial" w:hAnsi="Arial"/>
                <w:sz w:val="18"/>
                <w:szCs w:val="18"/>
                <w:color w:val="auto"/>
                <w:w w:val="97"/>
              </w:rPr>
              <w:t xml:space="preserve"> R</w:t>
            </w:r>
            <w:r>
              <w:rPr>
                <w:rFonts w:ascii="Arial" w:cs="Arial" w:eastAsia="Arial" w:hAnsi="Arial"/>
                <w:sz w:val="12"/>
                <w:szCs w:val="12"/>
                <w:color w:val="auto"/>
                <w:w w:val="97"/>
              </w:rPr>
              <w:t>EFERENCE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1.01.</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Definitions</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1.02.</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Other Definitions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62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rPr>
              <w:t>ARTICLE 2</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240" w:type="dxa"/>
            <w:vAlign w:val="bottom"/>
            <w:gridSpan w:val="2"/>
          </w:tcPr>
          <w:p>
            <w:pPr>
              <w:jc w:val="center"/>
              <w:ind w:right="3440"/>
              <w:spacing w:after="0"/>
              <w:rPr>
                <w:sz w:val="20"/>
                <w:szCs w:val="20"/>
                <w:color w:val="auto"/>
              </w:rPr>
            </w:pPr>
            <w:r>
              <w:rPr>
                <w:rFonts w:ascii="Arial" w:cs="Arial" w:eastAsia="Arial" w:hAnsi="Arial"/>
                <w:sz w:val="18"/>
                <w:szCs w:val="18"/>
                <w:color w:val="auto"/>
                <w:w w:val="95"/>
              </w:rPr>
              <w:t>T</w:t>
            </w:r>
            <w:r>
              <w:rPr>
                <w:rFonts w:ascii="Arial" w:cs="Arial" w:eastAsia="Arial" w:hAnsi="Arial"/>
                <w:sz w:val="12"/>
                <w:szCs w:val="12"/>
                <w:color w:val="auto"/>
                <w:w w:val="95"/>
              </w:rPr>
              <w:t>HE</w:t>
            </w:r>
            <w:r>
              <w:rPr>
                <w:rFonts w:ascii="Arial" w:cs="Arial" w:eastAsia="Arial" w:hAnsi="Arial"/>
                <w:sz w:val="18"/>
                <w:szCs w:val="18"/>
                <w:color w:val="auto"/>
                <w:w w:val="95"/>
              </w:rPr>
              <w:t xml:space="preserve"> S</w:t>
            </w:r>
            <w:r>
              <w:rPr>
                <w:rFonts w:ascii="Arial" w:cs="Arial" w:eastAsia="Arial" w:hAnsi="Arial"/>
                <w:sz w:val="12"/>
                <w:szCs w:val="12"/>
                <w:color w:val="auto"/>
                <w:w w:val="95"/>
              </w:rPr>
              <w:t>ECURITIES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Denomination and Date of Securities; Payments of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Registrar and Paying Agent; Agents Generally</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Paying Agent to Hold Money in Trust</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Transfer and Exchange</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2.08.</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Replacement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2.09.</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Outstanding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2.10.</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Temporary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2.11.</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Cancellation</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2.12.</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CUSIP Numbers</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2.13.</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Defaulted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Series May Include Tranches</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62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rPr>
              <w:t>ARTICLE 3</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240" w:type="dxa"/>
            <w:vAlign w:val="bottom"/>
            <w:gridSpan w:val="2"/>
          </w:tcPr>
          <w:p>
            <w:pPr>
              <w:jc w:val="center"/>
              <w:ind w:right="3420"/>
              <w:spacing w:after="0"/>
              <w:rPr>
                <w:sz w:val="20"/>
                <w:szCs w:val="20"/>
                <w:color w:val="auto"/>
              </w:rPr>
            </w:pPr>
            <w:r>
              <w:rPr>
                <w:rFonts w:ascii="Arial" w:cs="Arial" w:eastAsia="Arial" w:hAnsi="Arial"/>
                <w:sz w:val="18"/>
                <w:szCs w:val="18"/>
                <w:color w:val="auto"/>
                <w:w w:val="97"/>
              </w:rPr>
              <w:t>R</w:t>
            </w:r>
            <w:r>
              <w:rPr>
                <w:rFonts w:ascii="Arial" w:cs="Arial" w:eastAsia="Arial" w:hAnsi="Arial"/>
                <w:sz w:val="12"/>
                <w:szCs w:val="12"/>
                <w:color w:val="auto"/>
                <w:w w:val="97"/>
              </w:rPr>
              <w:t>EDEMPTION</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Notice of Redemption; Partial Redemptions</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Payment of Securities Called for Redemption</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Exclusion of Certain Securities from Eligibility for Selection for Redemption</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Mandatory and Optional Sinking Funds</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62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rPr>
              <w:t>ARTICLE 4</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240" w:type="dxa"/>
            <w:vAlign w:val="bottom"/>
            <w:gridSpan w:val="2"/>
          </w:tcPr>
          <w:p>
            <w:pPr>
              <w:jc w:val="center"/>
              <w:ind w:right="3420"/>
              <w:spacing w:after="0"/>
              <w:rPr>
                <w:sz w:val="20"/>
                <w:szCs w:val="20"/>
                <w:color w:val="auto"/>
              </w:rPr>
            </w:pPr>
            <w:r>
              <w:rPr>
                <w:rFonts w:ascii="Arial" w:cs="Arial" w:eastAsia="Arial" w:hAnsi="Arial"/>
                <w:sz w:val="18"/>
                <w:szCs w:val="18"/>
                <w:color w:val="auto"/>
                <w:w w:val="98"/>
              </w:rPr>
              <w:t>C</w:t>
            </w:r>
            <w:r>
              <w:rPr>
                <w:rFonts w:ascii="Arial" w:cs="Arial" w:eastAsia="Arial" w:hAnsi="Arial"/>
                <w:sz w:val="12"/>
                <w:szCs w:val="12"/>
                <w:color w:val="auto"/>
                <w:w w:val="98"/>
              </w:rPr>
              <w:t>OVENANTS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4.03.</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Securityholders’ Lists</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Certificate to Trustee</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Reports by the Company</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4.06.</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Additional Amounts</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62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rPr>
              <w:t>ARTICLE 5</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240" w:type="dxa"/>
            <w:vAlign w:val="bottom"/>
            <w:gridSpan w:val="2"/>
          </w:tcPr>
          <w:p>
            <w:pPr>
              <w:jc w:val="center"/>
              <w:ind w:right="3420"/>
              <w:spacing w:after="0"/>
              <w:rPr>
                <w:sz w:val="20"/>
                <w:szCs w:val="20"/>
                <w:color w:val="auto"/>
              </w:rPr>
            </w:pPr>
            <w:r>
              <w:rPr>
                <w:rFonts w:ascii="Arial" w:cs="Arial" w:eastAsia="Arial" w:hAnsi="Arial"/>
                <w:sz w:val="18"/>
                <w:szCs w:val="18"/>
                <w:color w:val="auto"/>
                <w:w w:val="92"/>
              </w:rPr>
              <w:t>S</w:t>
            </w:r>
            <w:r>
              <w:rPr>
                <w:rFonts w:ascii="Arial" w:cs="Arial" w:eastAsia="Arial" w:hAnsi="Arial"/>
                <w:sz w:val="12"/>
                <w:szCs w:val="12"/>
                <w:color w:val="auto"/>
                <w:w w:val="92"/>
              </w:rPr>
              <w:t>UCCESSOR</w:t>
            </w:r>
            <w:r>
              <w:rPr>
                <w:rFonts w:ascii="Arial" w:cs="Arial" w:eastAsia="Arial" w:hAnsi="Arial"/>
                <w:sz w:val="18"/>
                <w:szCs w:val="18"/>
                <w:color w:val="auto"/>
                <w:w w:val="92"/>
              </w:rPr>
              <w:t xml:space="preserve"> C</w:t>
            </w:r>
            <w:r>
              <w:rPr>
                <w:rFonts w:ascii="Arial" w:cs="Arial" w:eastAsia="Arial" w:hAnsi="Arial"/>
                <w:sz w:val="12"/>
                <w:szCs w:val="12"/>
                <w:color w:val="auto"/>
                <w:w w:val="92"/>
              </w:rPr>
              <w:t>ORPORATION</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When Company May Merge, Etc.</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5.02.</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Successor Substituted</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6240" w:type="dxa"/>
            <w:vAlign w:val="bottom"/>
            <w:gridSpan w:val="2"/>
          </w:tcPr>
          <w:p>
            <w:pPr>
              <w:jc w:val="center"/>
              <w:ind w:right="3440"/>
              <w:spacing w:after="0"/>
              <w:rPr>
                <w:sz w:val="20"/>
                <w:szCs w:val="20"/>
                <w:color w:val="auto"/>
              </w:rPr>
            </w:pPr>
            <w:r>
              <w:rPr>
                <w:rFonts w:ascii="Arial" w:cs="Arial" w:eastAsia="Arial" w:hAnsi="Arial"/>
                <w:sz w:val="18"/>
                <w:szCs w:val="18"/>
                <w:b w:val="1"/>
                <w:bCs w:val="1"/>
                <w:color w:val="auto"/>
              </w:rPr>
              <w:t>ARTICLE 6</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240" w:type="dxa"/>
            <w:vAlign w:val="bottom"/>
            <w:gridSpan w:val="2"/>
          </w:tcPr>
          <w:p>
            <w:pPr>
              <w:jc w:val="center"/>
              <w:ind w:right="3420"/>
              <w:spacing w:after="0"/>
              <w:rPr>
                <w:sz w:val="20"/>
                <w:szCs w:val="20"/>
                <w:color w:val="auto"/>
              </w:rPr>
            </w:pPr>
            <w:r>
              <w:rPr>
                <w:rFonts w:ascii="Arial" w:cs="Arial" w:eastAsia="Arial" w:hAnsi="Arial"/>
                <w:sz w:val="18"/>
                <w:szCs w:val="18"/>
                <w:color w:val="auto"/>
                <w:w w:val="98"/>
              </w:rPr>
              <w:t>D</w:t>
            </w:r>
            <w:r>
              <w:rPr>
                <w:rFonts w:ascii="Arial" w:cs="Arial" w:eastAsia="Arial" w:hAnsi="Arial"/>
                <w:sz w:val="12"/>
                <w:szCs w:val="12"/>
                <w:color w:val="auto"/>
                <w:w w:val="98"/>
              </w:rPr>
              <w:t>EFAULT AND</w:t>
            </w:r>
            <w:r>
              <w:rPr>
                <w:rFonts w:ascii="Arial" w:cs="Arial" w:eastAsia="Arial" w:hAnsi="Arial"/>
                <w:sz w:val="18"/>
                <w:szCs w:val="18"/>
                <w:color w:val="auto"/>
                <w:w w:val="98"/>
              </w:rPr>
              <w:t xml:space="preserve"> R</w:t>
            </w:r>
            <w:r>
              <w:rPr>
                <w:rFonts w:ascii="Arial" w:cs="Arial" w:eastAsia="Arial" w:hAnsi="Arial"/>
                <w:sz w:val="12"/>
                <w:szCs w:val="12"/>
                <w:color w:val="auto"/>
                <w:w w:val="98"/>
              </w:rPr>
              <w:t>EMEDIES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6.02.</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Acceleration</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6.03.</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Other Remedies</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10460" w:type="dxa"/>
            <w:vAlign w:val="bottom"/>
            <w:gridSpan w:val="4"/>
          </w:tcPr>
          <w:p>
            <w:pPr>
              <w:ind w:left="4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Control by Majority</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1060" w:type="dxa"/>
            <w:vAlign w:val="bottom"/>
          </w:tcPr>
          <w:p>
            <w:pPr>
              <w:ind w:left="40"/>
              <w:spacing w:after="0"/>
              <w:rPr>
                <w:sz w:val="20"/>
                <w:szCs w:val="20"/>
                <w:color w:val="auto"/>
              </w:rPr>
            </w:pPr>
            <w:r>
              <w:rPr>
                <w:rFonts w:ascii="Arial" w:cs="Arial" w:eastAsia="Arial" w:hAnsi="Arial"/>
                <w:sz w:val="18"/>
                <w:szCs w:val="18"/>
                <w:color w:val="auto"/>
                <w:w w:val="95"/>
              </w:rPr>
              <w:t>Section 6.06.</w:t>
            </w:r>
          </w:p>
        </w:tc>
        <w:tc>
          <w:tcPr>
            <w:tcW w:w="9400" w:type="dxa"/>
            <w:vAlign w:val="bottom"/>
            <w:gridSpan w:val="3"/>
          </w:tcPr>
          <w:p>
            <w:pPr>
              <w:ind w:left="60"/>
              <w:spacing w:after="0"/>
              <w:rPr>
                <w:sz w:val="20"/>
                <w:szCs w:val="20"/>
                <w:color w:val="auto"/>
              </w:rPr>
            </w:pPr>
            <w:r>
              <w:rPr>
                <w:rFonts w:ascii="Arial" w:cs="Arial" w:eastAsia="Arial" w:hAnsi="Arial"/>
                <w:sz w:val="18"/>
                <w:szCs w:val="18"/>
                <w:i w:val="1"/>
                <w:iCs w:val="1"/>
                <w:color w:val="auto"/>
              </w:rPr>
              <w:t>Limitation on Suits</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743"/>
        </w:trPr>
        <w:tc>
          <w:tcPr>
            <w:tcW w:w="10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406"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to Receive Payment</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Trustee May File Proofs of Claim</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Application of Proceeds</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Undertaking for Costs</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Section 6.13. Rights and Remedies Cumulative</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6"/>
        </w:trPr>
        <w:tc>
          <w:tcPr>
            <w:tcW w:w="1100" w:type="dxa"/>
            <w:vAlign w:val="bottom"/>
          </w:tcPr>
          <w:p>
            <w:pPr>
              <w:spacing w:after="0"/>
              <w:rPr>
                <w:sz w:val="22"/>
                <w:szCs w:val="22"/>
                <w:color w:val="auto"/>
              </w:rPr>
            </w:pPr>
          </w:p>
        </w:tc>
        <w:tc>
          <w:tcPr>
            <w:tcW w:w="8340" w:type="dxa"/>
            <w:vAlign w:val="bottom"/>
          </w:tcPr>
          <w:p>
            <w:pPr>
              <w:jc w:val="center"/>
              <w:ind w:left="610"/>
              <w:spacing w:after="0"/>
              <w:rPr>
                <w:sz w:val="20"/>
                <w:szCs w:val="20"/>
                <w:color w:val="auto"/>
              </w:rPr>
            </w:pPr>
            <w:r>
              <w:rPr>
                <w:rFonts w:ascii="Arial" w:cs="Arial" w:eastAsia="Arial" w:hAnsi="Arial"/>
                <w:sz w:val="18"/>
                <w:szCs w:val="18"/>
                <w:b w:val="1"/>
                <w:bCs w:val="1"/>
                <w:color w:val="auto"/>
              </w:rPr>
              <w:t>ARTICLE 7</w:t>
            </w:r>
          </w:p>
        </w:tc>
        <w:tc>
          <w:tcPr>
            <w:tcW w:w="180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8340" w:type="dxa"/>
            <w:vAlign w:val="bottom"/>
          </w:tcPr>
          <w:p>
            <w:pPr>
              <w:jc w:val="center"/>
              <w:ind w:left="610"/>
              <w:spacing w:after="0"/>
              <w:rPr>
                <w:sz w:val="20"/>
                <w:szCs w:val="20"/>
                <w:color w:val="auto"/>
              </w:rPr>
            </w:pPr>
            <w:r>
              <w:rPr>
                <w:rFonts w:ascii="Arial" w:cs="Arial" w:eastAsia="Arial" w:hAnsi="Arial"/>
                <w:sz w:val="18"/>
                <w:szCs w:val="18"/>
                <w:color w:val="auto"/>
                <w:w w:val="93"/>
              </w:rPr>
              <w:t>T</w:t>
            </w:r>
            <w:r>
              <w:rPr>
                <w:rFonts w:ascii="Arial" w:cs="Arial" w:eastAsia="Arial" w:hAnsi="Arial"/>
                <w:sz w:val="12"/>
                <w:szCs w:val="12"/>
                <w:color w:val="auto"/>
                <w:w w:val="93"/>
              </w:rPr>
              <w:t>RUSTEE</w:t>
            </w:r>
          </w:p>
        </w:tc>
        <w:tc>
          <w:tcPr>
            <w:tcW w:w="1800" w:type="dxa"/>
            <w:vAlign w:val="bottom"/>
          </w:tcPr>
          <w:p>
            <w:pPr>
              <w:spacing w:after="0"/>
              <w:rPr>
                <w:sz w:val="20"/>
                <w:szCs w:val="20"/>
                <w:color w:val="auto"/>
              </w:rPr>
            </w:pPr>
          </w:p>
        </w:tc>
      </w:tr>
      <w:tr>
        <w:trPr>
          <w:trHeight w:val="270"/>
        </w:trPr>
        <w:tc>
          <w:tcPr>
            <w:tcW w:w="1100" w:type="dxa"/>
            <w:vAlign w:val="bottom"/>
          </w:tcPr>
          <w:p>
            <w:pPr>
              <w:ind w:left="40"/>
              <w:spacing w:after="0"/>
              <w:rPr>
                <w:sz w:val="20"/>
                <w:szCs w:val="20"/>
                <w:color w:val="auto"/>
              </w:rPr>
            </w:pPr>
            <w:r>
              <w:rPr>
                <w:rFonts w:ascii="Arial" w:cs="Arial" w:eastAsia="Arial" w:hAnsi="Arial"/>
                <w:sz w:val="18"/>
                <w:szCs w:val="18"/>
                <w:color w:val="auto"/>
                <w:w w:val="98"/>
              </w:rPr>
              <w:t>Section 7.01.</w:t>
            </w:r>
          </w:p>
        </w:tc>
        <w:tc>
          <w:tcPr>
            <w:tcW w:w="8340" w:type="dxa"/>
            <w:vAlign w:val="bottom"/>
          </w:tcPr>
          <w:p>
            <w:pPr>
              <w:ind w:left="20"/>
              <w:spacing w:after="0"/>
              <w:rPr>
                <w:sz w:val="20"/>
                <w:szCs w:val="20"/>
                <w:color w:val="auto"/>
              </w:rPr>
            </w:pPr>
            <w:r>
              <w:rPr>
                <w:rFonts w:ascii="Arial" w:cs="Arial" w:eastAsia="Arial" w:hAnsi="Arial"/>
                <w:sz w:val="18"/>
                <w:szCs w:val="18"/>
                <w:i w:val="1"/>
                <w:iCs w:val="1"/>
                <w:color w:val="auto"/>
              </w:rPr>
              <w:t>General</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Certain Rights of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100" w:type="dxa"/>
            <w:vAlign w:val="bottom"/>
          </w:tcPr>
          <w:p>
            <w:pPr>
              <w:ind w:left="40"/>
              <w:spacing w:after="0"/>
              <w:rPr>
                <w:sz w:val="20"/>
                <w:szCs w:val="20"/>
                <w:color w:val="auto"/>
              </w:rPr>
            </w:pPr>
            <w:r>
              <w:rPr>
                <w:rFonts w:ascii="Arial" w:cs="Arial" w:eastAsia="Arial" w:hAnsi="Arial"/>
                <w:sz w:val="18"/>
                <w:szCs w:val="18"/>
                <w:color w:val="auto"/>
                <w:w w:val="98"/>
              </w:rPr>
              <w:t>Section 7.04.</w:t>
            </w:r>
          </w:p>
        </w:tc>
        <w:tc>
          <w:tcPr>
            <w:tcW w:w="8340" w:type="dxa"/>
            <w:vAlign w:val="bottom"/>
          </w:tcPr>
          <w:p>
            <w:pPr>
              <w:ind w:left="20"/>
              <w:spacing w:after="0"/>
              <w:rPr>
                <w:sz w:val="20"/>
                <w:szCs w:val="20"/>
                <w:color w:val="auto"/>
              </w:rPr>
            </w:pPr>
            <w:r>
              <w:rPr>
                <w:rFonts w:ascii="Arial" w:cs="Arial" w:eastAsia="Arial" w:hAnsi="Arial"/>
                <w:sz w:val="18"/>
                <w:szCs w:val="18"/>
                <w:i w:val="1"/>
                <w:iCs w:val="1"/>
                <w:color w:val="auto"/>
              </w:rPr>
              <w:t>Trustee’s Disclaimer</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Notice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Acceptance of Appointment by Successor</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Successor Trustee By Merger, Etc.</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100" w:type="dxa"/>
            <w:vAlign w:val="bottom"/>
          </w:tcPr>
          <w:p>
            <w:pPr>
              <w:ind w:left="40"/>
              <w:spacing w:after="0"/>
              <w:rPr>
                <w:sz w:val="20"/>
                <w:szCs w:val="20"/>
                <w:color w:val="auto"/>
              </w:rPr>
            </w:pPr>
            <w:r>
              <w:rPr>
                <w:rFonts w:ascii="Arial" w:cs="Arial" w:eastAsia="Arial" w:hAnsi="Arial"/>
                <w:sz w:val="18"/>
                <w:szCs w:val="18"/>
                <w:color w:val="auto"/>
                <w:w w:val="98"/>
              </w:rPr>
              <w:t>Section 7.11.</w:t>
            </w:r>
          </w:p>
        </w:tc>
        <w:tc>
          <w:tcPr>
            <w:tcW w:w="8340" w:type="dxa"/>
            <w:vAlign w:val="bottom"/>
          </w:tcPr>
          <w:p>
            <w:pPr>
              <w:ind w:left="20"/>
              <w:spacing w:after="0"/>
              <w:rPr>
                <w:sz w:val="20"/>
                <w:szCs w:val="20"/>
                <w:color w:val="auto"/>
              </w:rPr>
            </w:pPr>
            <w:r>
              <w:rPr>
                <w:rFonts w:ascii="Arial" w:cs="Arial" w:eastAsia="Arial" w:hAnsi="Arial"/>
                <w:sz w:val="18"/>
                <w:szCs w:val="18"/>
                <w:i w:val="1"/>
                <w:iCs w:val="1"/>
                <w:color w:val="auto"/>
              </w:rPr>
              <w:t>Eligibility</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Money Held in Trust</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6"/>
        </w:trPr>
        <w:tc>
          <w:tcPr>
            <w:tcW w:w="1100" w:type="dxa"/>
            <w:vAlign w:val="bottom"/>
          </w:tcPr>
          <w:p>
            <w:pPr>
              <w:spacing w:after="0"/>
              <w:rPr>
                <w:sz w:val="22"/>
                <w:szCs w:val="22"/>
                <w:color w:val="auto"/>
              </w:rPr>
            </w:pPr>
          </w:p>
        </w:tc>
        <w:tc>
          <w:tcPr>
            <w:tcW w:w="8340" w:type="dxa"/>
            <w:vAlign w:val="bottom"/>
          </w:tcPr>
          <w:p>
            <w:pPr>
              <w:jc w:val="center"/>
              <w:ind w:left="610"/>
              <w:spacing w:after="0"/>
              <w:rPr>
                <w:sz w:val="20"/>
                <w:szCs w:val="20"/>
                <w:color w:val="auto"/>
              </w:rPr>
            </w:pPr>
            <w:r>
              <w:rPr>
                <w:rFonts w:ascii="Arial" w:cs="Arial" w:eastAsia="Arial" w:hAnsi="Arial"/>
                <w:sz w:val="18"/>
                <w:szCs w:val="18"/>
                <w:b w:val="1"/>
                <w:bCs w:val="1"/>
                <w:color w:val="auto"/>
              </w:rPr>
              <w:t>ARTICLE 8</w:t>
            </w:r>
          </w:p>
        </w:tc>
        <w:tc>
          <w:tcPr>
            <w:tcW w:w="180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8340" w:type="dxa"/>
            <w:vAlign w:val="bottom"/>
          </w:tcPr>
          <w:p>
            <w:pPr>
              <w:jc w:val="center"/>
              <w:ind w:left="610"/>
              <w:spacing w:after="0"/>
              <w:rPr>
                <w:sz w:val="20"/>
                <w:szCs w:val="20"/>
                <w:color w:val="auto"/>
              </w:rPr>
            </w:pPr>
            <w:r>
              <w:rPr>
                <w:rFonts w:ascii="Arial" w:cs="Arial" w:eastAsia="Arial" w:hAnsi="Arial"/>
                <w:sz w:val="18"/>
                <w:szCs w:val="18"/>
                <w:color w:val="auto"/>
                <w:w w:val="98"/>
              </w:rPr>
              <w:t>S</w:t>
            </w:r>
            <w:r>
              <w:rPr>
                <w:rFonts w:ascii="Arial" w:cs="Arial" w:eastAsia="Arial" w:hAnsi="Arial"/>
                <w:sz w:val="12"/>
                <w:szCs w:val="12"/>
                <w:color w:val="auto"/>
                <w:w w:val="98"/>
              </w:rPr>
              <w:t>ATISFACTION</w:t>
            </w:r>
            <w:r>
              <w:rPr>
                <w:rFonts w:ascii="Arial" w:cs="Arial" w:eastAsia="Arial" w:hAnsi="Arial"/>
                <w:sz w:val="18"/>
                <w:szCs w:val="18"/>
                <w:color w:val="auto"/>
                <w:w w:val="98"/>
              </w:rPr>
              <w:t xml:space="preserve"> A</w:t>
            </w:r>
            <w:r>
              <w:rPr>
                <w:rFonts w:ascii="Arial" w:cs="Arial" w:eastAsia="Arial" w:hAnsi="Arial"/>
                <w:sz w:val="12"/>
                <w:szCs w:val="12"/>
                <w:color w:val="auto"/>
                <w:w w:val="98"/>
              </w:rPr>
              <w:t>ND</w:t>
            </w:r>
            <w:r>
              <w:rPr>
                <w:rFonts w:ascii="Arial" w:cs="Arial" w:eastAsia="Arial" w:hAnsi="Arial"/>
                <w:sz w:val="18"/>
                <w:szCs w:val="18"/>
                <w:color w:val="auto"/>
                <w:w w:val="98"/>
              </w:rPr>
              <w:t xml:space="preserve"> D</w:t>
            </w:r>
            <w:r>
              <w:rPr>
                <w:rFonts w:ascii="Arial" w:cs="Arial" w:eastAsia="Arial" w:hAnsi="Arial"/>
                <w:sz w:val="12"/>
                <w:szCs w:val="12"/>
                <w:color w:val="auto"/>
                <w:w w:val="98"/>
              </w:rPr>
              <w:t>ISCHARGE OF</w:t>
            </w:r>
            <w:r>
              <w:rPr>
                <w:rFonts w:ascii="Arial" w:cs="Arial" w:eastAsia="Arial" w:hAnsi="Arial"/>
                <w:sz w:val="18"/>
                <w:szCs w:val="18"/>
                <w:color w:val="auto"/>
                <w:w w:val="98"/>
              </w:rPr>
              <w:t xml:space="preserve"> I</w:t>
            </w:r>
            <w:r>
              <w:rPr>
                <w:rFonts w:ascii="Arial" w:cs="Arial" w:eastAsia="Arial" w:hAnsi="Arial"/>
                <w:sz w:val="12"/>
                <w:szCs w:val="12"/>
                <w:color w:val="auto"/>
                <w:w w:val="98"/>
              </w:rPr>
              <w:t>NDENTURE</w:t>
            </w:r>
            <w:r>
              <w:rPr>
                <w:rFonts w:ascii="Arial" w:cs="Arial" w:eastAsia="Arial" w:hAnsi="Arial"/>
                <w:sz w:val="18"/>
                <w:szCs w:val="18"/>
                <w:color w:val="auto"/>
                <w:w w:val="98"/>
              </w:rPr>
              <w:t>; U</w:t>
            </w:r>
            <w:r>
              <w:rPr>
                <w:rFonts w:ascii="Arial" w:cs="Arial" w:eastAsia="Arial" w:hAnsi="Arial"/>
                <w:sz w:val="12"/>
                <w:szCs w:val="12"/>
                <w:color w:val="auto"/>
                <w:w w:val="98"/>
              </w:rPr>
              <w:t>NCLAIMED</w:t>
            </w:r>
            <w:r>
              <w:rPr>
                <w:rFonts w:ascii="Arial" w:cs="Arial" w:eastAsia="Arial" w:hAnsi="Arial"/>
                <w:sz w:val="18"/>
                <w:szCs w:val="18"/>
                <w:color w:val="auto"/>
                <w:w w:val="98"/>
              </w:rPr>
              <w:t xml:space="preserve"> M</w:t>
            </w:r>
            <w:r>
              <w:rPr>
                <w:rFonts w:ascii="Arial" w:cs="Arial" w:eastAsia="Arial" w:hAnsi="Arial"/>
                <w:sz w:val="12"/>
                <w:szCs w:val="12"/>
                <w:color w:val="auto"/>
                <w:w w:val="98"/>
              </w:rPr>
              <w:t>ONEYS</w:t>
            </w:r>
          </w:p>
        </w:tc>
        <w:tc>
          <w:tcPr>
            <w:tcW w:w="1800" w:type="dxa"/>
            <w:vAlign w:val="bottom"/>
          </w:tcPr>
          <w:p>
            <w:pPr>
              <w:spacing w:after="0"/>
              <w:rPr>
                <w:sz w:val="20"/>
                <w:szCs w:val="20"/>
                <w:color w:val="auto"/>
              </w:rPr>
            </w:pP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Satisfaction and Discharge of Indenture</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by Trustee of Funds Deposited for Payment of Securities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of Moneys Held by Paying Agent</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Return of Moneys Held by Trustee and Paying Agent Unclaimed for Two Years</w:t>
            </w:r>
          </w:p>
        </w:tc>
        <w:tc>
          <w:tcPr>
            <w:tcW w:w="1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Defeasance and Discharge of Indenture</w:t>
            </w:r>
          </w:p>
        </w:tc>
        <w:tc>
          <w:tcPr>
            <w:tcW w:w="1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Defeasance of Certain Obligations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1100" w:type="dxa"/>
            <w:vAlign w:val="bottom"/>
          </w:tcPr>
          <w:p>
            <w:pPr>
              <w:ind w:left="40"/>
              <w:spacing w:after="0"/>
              <w:rPr>
                <w:sz w:val="20"/>
                <w:szCs w:val="20"/>
                <w:color w:val="auto"/>
              </w:rPr>
            </w:pPr>
            <w:r>
              <w:rPr>
                <w:rFonts w:ascii="Arial" w:cs="Arial" w:eastAsia="Arial" w:hAnsi="Arial"/>
                <w:sz w:val="18"/>
                <w:szCs w:val="18"/>
                <w:color w:val="auto"/>
                <w:w w:val="98"/>
              </w:rPr>
              <w:t>Section 8.07.</w:t>
            </w:r>
          </w:p>
        </w:tc>
        <w:tc>
          <w:tcPr>
            <w:tcW w:w="8340" w:type="dxa"/>
            <w:vAlign w:val="bottom"/>
          </w:tcPr>
          <w:p>
            <w:pPr>
              <w:ind w:left="20"/>
              <w:spacing w:after="0"/>
              <w:rPr>
                <w:sz w:val="20"/>
                <w:szCs w:val="20"/>
                <w:color w:val="auto"/>
              </w:rPr>
            </w:pPr>
            <w:r>
              <w:rPr>
                <w:rFonts w:ascii="Arial" w:cs="Arial" w:eastAsia="Arial" w:hAnsi="Arial"/>
                <w:sz w:val="18"/>
                <w:szCs w:val="18"/>
                <w:i w:val="1"/>
                <w:iCs w:val="1"/>
                <w:color w:val="auto"/>
              </w:rPr>
              <w:t>Reinstatement</w:t>
            </w: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100" w:type="dxa"/>
            <w:vAlign w:val="bottom"/>
          </w:tcPr>
          <w:p>
            <w:pPr>
              <w:ind w:left="40"/>
              <w:spacing w:after="0"/>
              <w:rPr>
                <w:sz w:val="20"/>
                <w:szCs w:val="20"/>
                <w:color w:val="auto"/>
              </w:rPr>
            </w:pPr>
            <w:r>
              <w:rPr>
                <w:rFonts w:ascii="Arial" w:cs="Arial" w:eastAsia="Arial" w:hAnsi="Arial"/>
                <w:sz w:val="18"/>
                <w:szCs w:val="18"/>
                <w:color w:val="auto"/>
                <w:w w:val="98"/>
              </w:rPr>
              <w:t>Section 8.08.</w:t>
            </w:r>
          </w:p>
        </w:tc>
        <w:tc>
          <w:tcPr>
            <w:tcW w:w="8340" w:type="dxa"/>
            <w:vAlign w:val="bottom"/>
          </w:tcPr>
          <w:p>
            <w:pPr>
              <w:ind w:left="20"/>
              <w:spacing w:after="0"/>
              <w:rPr>
                <w:sz w:val="20"/>
                <w:szCs w:val="20"/>
                <w:color w:val="auto"/>
              </w:rPr>
            </w:pPr>
            <w:r>
              <w:rPr>
                <w:rFonts w:ascii="Arial" w:cs="Arial" w:eastAsia="Arial" w:hAnsi="Arial"/>
                <w:sz w:val="18"/>
                <w:szCs w:val="18"/>
                <w:i w:val="1"/>
                <w:iCs w:val="1"/>
                <w:color w:val="auto"/>
              </w:rPr>
              <w:t>Indemnity</w:t>
            </w: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1100" w:type="dxa"/>
            <w:vAlign w:val="bottom"/>
          </w:tcPr>
          <w:p>
            <w:pPr>
              <w:ind w:left="40"/>
              <w:spacing w:after="0"/>
              <w:rPr>
                <w:sz w:val="20"/>
                <w:szCs w:val="20"/>
                <w:color w:val="auto"/>
              </w:rPr>
            </w:pPr>
            <w:r>
              <w:rPr>
                <w:rFonts w:ascii="Arial" w:cs="Arial" w:eastAsia="Arial" w:hAnsi="Arial"/>
                <w:sz w:val="18"/>
                <w:szCs w:val="18"/>
                <w:color w:val="auto"/>
                <w:w w:val="98"/>
              </w:rPr>
              <w:t>Section 8.09.</w:t>
            </w:r>
          </w:p>
        </w:tc>
        <w:tc>
          <w:tcPr>
            <w:tcW w:w="8340" w:type="dxa"/>
            <w:vAlign w:val="bottom"/>
          </w:tcPr>
          <w:p>
            <w:pPr>
              <w:ind w:left="20"/>
              <w:spacing w:after="0"/>
              <w:rPr>
                <w:sz w:val="20"/>
                <w:szCs w:val="20"/>
                <w:color w:val="auto"/>
              </w:rPr>
            </w:pPr>
            <w:r>
              <w:rPr>
                <w:rFonts w:ascii="Arial" w:cs="Arial" w:eastAsia="Arial" w:hAnsi="Arial"/>
                <w:sz w:val="18"/>
                <w:szCs w:val="18"/>
                <w:i w:val="1"/>
                <w:iCs w:val="1"/>
                <w:color w:val="auto"/>
              </w:rPr>
              <w:t>Excess Funds</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100" w:type="dxa"/>
            <w:vAlign w:val="bottom"/>
          </w:tcPr>
          <w:p>
            <w:pPr>
              <w:ind w:left="40"/>
              <w:spacing w:after="0"/>
              <w:rPr>
                <w:sz w:val="20"/>
                <w:szCs w:val="20"/>
                <w:color w:val="auto"/>
              </w:rPr>
            </w:pPr>
            <w:r>
              <w:rPr>
                <w:rFonts w:ascii="Arial" w:cs="Arial" w:eastAsia="Arial" w:hAnsi="Arial"/>
                <w:sz w:val="18"/>
                <w:szCs w:val="18"/>
                <w:color w:val="auto"/>
                <w:w w:val="98"/>
              </w:rPr>
              <w:t>Section 8.10.</w:t>
            </w:r>
          </w:p>
        </w:tc>
        <w:tc>
          <w:tcPr>
            <w:tcW w:w="8340" w:type="dxa"/>
            <w:vAlign w:val="bottom"/>
          </w:tcPr>
          <w:p>
            <w:pPr>
              <w:ind w:left="20"/>
              <w:spacing w:after="0"/>
              <w:rPr>
                <w:sz w:val="20"/>
                <w:szCs w:val="20"/>
                <w:color w:val="auto"/>
              </w:rPr>
            </w:pPr>
            <w:r>
              <w:rPr>
                <w:rFonts w:ascii="Arial" w:cs="Arial" w:eastAsia="Arial" w:hAnsi="Arial"/>
                <w:sz w:val="18"/>
                <w:szCs w:val="18"/>
                <w:i w:val="1"/>
                <w:iCs w:val="1"/>
                <w:color w:val="auto"/>
              </w:rPr>
              <w:t>Qualifying Trustee</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6"/>
        </w:trPr>
        <w:tc>
          <w:tcPr>
            <w:tcW w:w="1100" w:type="dxa"/>
            <w:vAlign w:val="bottom"/>
          </w:tcPr>
          <w:p>
            <w:pPr>
              <w:spacing w:after="0"/>
              <w:rPr>
                <w:sz w:val="22"/>
                <w:szCs w:val="22"/>
                <w:color w:val="auto"/>
              </w:rPr>
            </w:pPr>
          </w:p>
        </w:tc>
        <w:tc>
          <w:tcPr>
            <w:tcW w:w="8340" w:type="dxa"/>
            <w:vAlign w:val="bottom"/>
          </w:tcPr>
          <w:p>
            <w:pPr>
              <w:jc w:val="center"/>
              <w:ind w:left="610"/>
              <w:spacing w:after="0"/>
              <w:rPr>
                <w:sz w:val="20"/>
                <w:szCs w:val="20"/>
                <w:color w:val="auto"/>
              </w:rPr>
            </w:pPr>
            <w:r>
              <w:rPr>
                <w:rFonts w:ascii="Arial" w:cs="Arial" w:eastAsia="Arial" w:hAnsi="Arial"/>
                <w:sz w:val="18"/>
                <w:szCs w:val="18"/>
                <w:b w:val="1"/>
                <w:bCs w:val="1"/>
                <w:color w:val="auto"/>
              </w:rPr>
              <w:t>ARTICLE 9</w:t>
            </w:r>
          </w:p>
        </w:tc>
        <w:tc>
          <w:tcPr>
            <w:tcW w:w="180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8340" w:type="dxa"/>
            <w:vAlign w:val="bottom"/>
          </w:tcPr>
          <w:p>
            <w:pPr>
              <w:jc w:val="center"/>
              <w:ind w:left="610"/>
              <w:spacing w:after="0"/>
              <w:rPr>
                <w:sz w:val="20"/>
                <w:szCs w:val="20"/>
                <w:color w:val="auto"/>
              </w:rPr>
            </w:pPr>
            <w:r>
              <w:rPr>
                <w:rFonts w:ascii="Arial" w:cs="Arial" w:eastAsia="Arial" w:hAnsi="Arial"/>
                <w:sz w:val="18"/>
                <w:szCs w:val="18"/>
                <w:color w:val="auto"/>
                <w:w w:val="98"/>
              </w:rPr>
              <w:t>A</w:t>
            </w:r>
            <w:r>
              <w:rPr>
                <w:rFonts w:ascii="Arial" w:cs="Arial" w:eastAsia="Arial" w:hAnsi="Arial"/>
                <w:sz w:val="12"/>
                <w:szCs w:val="12"/>
                <w:color w:val="auto"/>
                <w:w w:val="98"/>
              </w:rPr>
              <w:t>MENDMENTS</w:t>
            </w:r>
            <w:r>
              <w:rPr>
                <w:rFonts w:ascii="Arial" w:cs="Arial" w:eastAsia="Arial" w:hAnsi="Arial"/>
                <w:sz w:val="18"/>
                <w:szCs w:val="18"/>
                <w:color w:val="auto"/>
                <w:w w:val="98"/>
              </w:rPr>
              <w:t>, S</w:t>
            </w:r>
            <w:r>
              <w:rPr>
                <w:rFonts w:ascii="Arial" w:cs="Arial" w:eastAsia="Arial" w:hAnsi="Arial"/>
                <w:sz w:val="12"/>
                <w:szCs w:val="12"/>
                <w:color w:val="auto"/>
                <w:w w:val="98"/>
              </w:rPr>
              <w:t>UPPLEMENTS AND</w:t>
            </w:r>
            <w:r>
              <w:rPr>
                <w:rFonts w:ascii="Arial" w:cs="Arial" w:eastAsia="Arial" w:hAnsi="Arial"/>
                <w:sz w:val="18"/>
                <w:szCs w:val="18"/>
                <w:color w:val="auto"/>
                <w:w w:val="98"/>
              </w:rPr>
              <w:t xml:space="preserve"> W</w:t>
            </w:r>
            <w:r>
              <w:rPr>
                <w:rFonts w:ascii="Arial" w:cs="Arial" w:eastAsia="Arial" w:hAnsi="Arial"/>
                <w:sz w:val="12"/>
                <w:szCs w:val="12"/>
                <w:color w:val="auto"/>
                <w:w w:val="98"/>
              </w:rPr>
              <w:t>AIVERS</w:t>
            </w:r>
          </w:p>
        </w:tc>
        <w:tc>
          <w:tcPr>
            <w:tcW w:w="1800" w:type="dxa"/>
            <w:vAlign w:val="bottom"/>
          </w:tcPr>
          <w:p>
            <w:pPr>
              <w:spacing w:after="0"/>
              <w:rPr>
                <w:sz w:val="20"/>
                <w:szCs w:val="20"/>
                <w:color w:val="auto"/>
              </w:rPr>
            </w:pP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Revocation and Effect of Consent</w:t>
            </w:r>
          </w:p>
        </w:tc>
        <w:tc>
          <w:tcPr>
            <w:tcW w:w="1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Securities</w:t>
            </w:r>
          </w:p>
        </w:tc>
        <w:tc>
          <w:tcPr>
            <w:tcW w:w="1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p>
        </w:tc>
        <w:tc>
          <w:tcPr>
            <w:tcW w:w="1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Conformity with Trust Indenture Act</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56"/>
        </w:trPr>
        <w:tc>
          <w:tcPr>
            <w:tcW w:w="1100" w:type="dxa"/>
            <w:vAlign w:val="bottom"/>
          </w:tcPr>
          <w:p>
            <w:pPr>
              <w:spacing w:after="0"/>
              <w:rPr>
                <w:sz w:val="22"/>
                <w:szCs w:val="22"/>
                <w:color w:val="auto"/>
              </w:rPr>
            </w:pPr>
          </w:p>
        </w:tc>
        <w:tc>
          <w:tcPr>
            <w:tcW w:w="8340" w:type="dxa"/>
            <w:vAlign w:val="bottom"/>
          </w:tcPr>
          <w:p>
            <w:pPr>
              <w:jc w:val="center"/>
              <w:ind w:left="610"/>
              <w:spacing w:after="0"/>
              <w:rPr>
                <w:sz w:val="20"/>
                <w:szCs w:val="20"/>
                <w:color w:val="auto"/>
              </w:rPr>
            </w:pPr>
            <w:r>
              <w:rPr>
                <w:rFonts w:ascii="Arial" w:cs="Arial" w:eastAsia="Arial" w:hAnsi="Arial"/>
                <w:sz w:val="18"/>
                <w:szCs w:val="18"/>
                <w:b w:val="1"/>
                <w:bCs w:val="1"/>
                <w:color w:val="auto"/>
              </w:rPr>
              <w:t>ARTICLE 10</w:t>
            </w:r>
          </w:p>
        </w:tc>
        <w:tc>
          <w:tcPr>
            <w:tcW w:w="1800" w:type="dxa"/>
            <w:vAlign w:val="bottom"/>
          </w:tcPr>
          <w:p>
            <w:pPr>
              <w:spacing w:after="0"/>
              <w:rPr>
                <w:sz w:val="22"/>
                <w:szCs w:val="22"/>
                <w:color w:val="auto"/>
              </w:rPr>
            </w:pPr>
          </w:p>
        </w:tc>
      </w:tr>
      <w:tr>
        <w:trPr>
          <w:trHeight w:val="230"/>
        </w:trPr>
        <w:tc>
          <w:tcPr>
            <w:tcW w:w="1100" w:type="dxa"/>
            <w:vAlign w:val="bottom"/>
          </w:tcPr>
          <w:p>
            <w:pPr>
              <w:spacing w:after="0"/>
              <w:rPr>
                <w:sz w:val="20"/>
                <w:szCs w:val="20"/>
                <w:color w:val="auto"/>
              </w:rPr>
            </w:pPr>
          </w:p>
        </w:tc>
        <w:tc>
          <w:tcPr>
            <w:tcW w:w="8340" w:type="dxa"/>
            <w:vAlign w:val="bottom"/>
          </w:tcPr>
          <w:p>
            <w:pPr>
              <w:jc w:val="center"/>
              <w:ind w:left="630"/>
              <w:spacing w:after="0"/>
              <w:rPr>
                <w:sz w:val="20"/>
                <w:szCs w:val="20"/>
                <w:color w:val="auto"/>
              </w:rPr>
            </w:pPr>
            <w:r>
              <w:rPr>
                <w:rFonts w:ascii="Arial" w:cs="Arial" w:eastAsia="Arial" w:hAnsi="Arial"/>
                <w:sz w:val="18"/>
                <w:szCs w:val="18"/>
                <w:color w:val="auto"/>
                <w:w w:val="98"/>
              </w:rPr>
              <w:t>M</w:t>
            </w:r>
            <w:r>
              <w:rPr>
                <w:rFonts w:ascii="Arial" w:cs="Arial" w:eastAsia="Arial" w:hAnsi="Arial"/>
                <w:sz w:val="12"/>
                <w:szCs w:val="12"/>
                <w:color w:val="auto"/>
                <w:w w:val="98"/>
              </w:rPr>
              <w:t>ISCELLANEOUS</w:t>
            </w:r>
          </w:p>
        </w:tc>
        <w:tc>
          <w:tcPr>
            <w:tcW w:w="1800" w:type="dxa"/>
            <w:vAlign w:val="bottom"/>
          </w:tcPr>
          <w:p>
            <w:pPr>
              <w:spacing w:after="0"/>
              <w:rPr>
                <w:sz w:val="20"/>
                <w:szCs w:val="20"/>
                <w:color w:val="auto"/>
              </w:rPr>
            </w:pP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of 1939</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100" w:type="dxa"/>
            <w:vAlign w:val="bottom"/>
          </w:tcPr>
          <w:p>
            <w:pPr>
              <w:ind w:left="40"/>
              <w:spacing w:after="0"/>
              <w:rPr>
                <w:sz w:val="20"/>
                <w:szCs w:val="20"/>
                <w:color w:val="auto"/>
              </w:rPr>
            </w:pPr>
            <w:r>
              <w:rPr>
                <w:rFonts w:ascii="Arial" w:cs="Arial" w:eastAsia="Arial" w:hAnsi="Arial"/>
                <w:sz w:val="18"/>
                <w:szCs w:val="18"/>
                <w:color w:val="auto"/>
                <w:w w:val="90"/>
              </w:rPr>
              <w:t>Section 10.02.</w:t>
            </w:r>
          </w:p>
        </w:tc>
        <w:tc>
          <w:tcPr>
            <w:tcW w:w="8340" w:type="dxa"/>
            <w:vAlign w:val="bottom"/>
          </w:tcPr>
          <w:p>
            <w:pPr>
              <w:ind w:left="120"/>
              <w:spacing w:after="0"/>
              <w:rPr>
                <w:sz w:val="20"/>
                <w:szCs w:val="20"/>
                <w:color w:val="auto"/>
              </w:rPr>
            </w:pPr>
            <w:r>
              <w:rPr>
                <w:rFonts w:ascii="Arial" w:cs="Arial" w:eastAsia="Arial" w:hAnsi="Arial"/>
                <w:sz w:val="18"/>
                <w:szCs w:val="18"/>
                <w:i w:val="1"/>
                <w:iCs w:val="1"/>
                <w:color w:val="auto"/>
              </w:rPr>
              <w:t>Notices</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Certificate and Opinion as to Conditions Precedent</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Statements Required in Certificate or Opinion</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Evidence of Ownership</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Rules by Trustee, Paying Agent or Registrar</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Payment Date Other Than a Business Day</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100" w:type="dxa"/>
            <w:vAlign w:val="bottom"/>
          </w:tcPr>
          <w:p>
            <w:pPr>
              <w:ind w:left="40"/>
              <w:spacing w:after="0"/>
              <w:rPr>
                <w:sz w:val="20"/>
                <w:szCs w:val="20"/>
                <w:color w:val="auto"/>
              </w:rPr>
            </w:pPr>
            <w:r>
              <w:rPr>
                <w:rFonts w:ascii="Arial" w:cs="Arial" w:eastAsia="Arial" w:hAnsi="Arial"/>
                <w:sz w:val="18"/>
                <w:szCs w:val="18"/>
                <w:color w:val="auto"/>
                <w:w w:val="90"/>
              </w:rPr>
              <w:t>Section 10.08.</w:t>
            </w:r>
          </w:p>
        </w:tc>
        <w:tc>
          <w:tcPr>
            <w:tcW w:w="8340" w:type="dxa"/>
            <w:vAlign w:val="bottom"/>
          </w:tcPr>
          <w:p>
            <w:pPr>
              <w:ind w:left="120"/>
              <w:spacing w:after="0"/>
              <w:rPr>
                <w:sz w:val="20"/>
                <w:szCs w:val="20"/>
                <w:color w:val="auto"/>
              </w:rPr>
            </w:pPr>
            <w:r>
              <w:rPr>
                <w:rFonts w:ascii="Arial" w:cs="Arial" w:eastAsia="Arial" w:hAnsi="Arial"/>
                <w:sz w:val="18"/>
                <w:szCs w:val="18"/>
                <w:i w:val="1"/>
                <w:iCs w:val="1"/>
                <w:color w:val="auto"/>
              </w:rPr>
              <w:t>Governing Law</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No Adverse Interpretation of Other Agreements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100" w:type="dxa"/>
            <w:vAlign w:val="bottom"/>
          </w:tcPr>
          <w:p>
            <w:pPr>
              <w:ind w:left="40"/>
              <w:spacing w:after="0"/>
              <w:rPr>
                <w:sz w:val="20"/>
                <w:szCs w:val="20"/>
                <w:color w:val="auto"/>
              </w:rPr>
            </w:pPr>
            <w:r>
              <w:rPr>
                <w:rFonts w:ascii="Arial" w:cs="Arial" w:eastAsia="Arial" w:hAnsi="Arial"/>
                <w:sz w:val="18"/>
                <w:szCs w:val="18"/>
                <w:color w:val="auto"/>
                <w:w w:val="90"/>
              </w:rPr>
              <w:t>Section 10.10.</w:t>
            </w:r>
          </w:p>
        </w:tc>
        <w:tc>
          <w:tcPr>
            <w:tcW w:w="8340" w:type="dxa"/>
            <w:vAlign w:val="bottom"/>
          </w:tcPr>
          <w:p>
            <w:pPr>
              <w:ind w:left="120"/>
              <w:spacing w:after="0"/>
              <w:rPr>
                <w:sz w:val="20"/>
                <w:szCs w:val="20"/>
                <w:color w:val="auto"/>
              </w:rPr>
            </w:pPr>
            <w:r>
              <w:rPr>
                <w:rFonts w:ascii="Arial" w:cs="Arial" w:eastAsia="Arial" w:hAnsi="Arial"/>
                <w:sz w:val="18"/>
                <w:szCs w:val="18"/>
                <w:i w:val="1"/>
                <w:iCs w:val="1"/>
                <w:color w:val="auto"/>
              </w:rPr>
              <w:t>Successors</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29"/>
        </w:trPr>
        <w:tc>
          <w:tcPr>
            <w:tcW w:w="110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62" w:right="339" w:bottom="244"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ind w:left="40"/>
              <w:spacing w:after="0"/>
              <w:rPr>
                <w:sz w:val="20"/>
                <w:szCs w:val="20"/>
                <w:color w:val="auto"/>
              </w:rPr>
            </w:pPr>
            <w:r>
              <w:rPr>
                <w:rFonts w:ascii="Arial" w:cs="Arial" w:eastAsia="Arial" w:hAnsi="Arial"/>
                <w:sz w:val="18"/>
                <w:szCs w:val="18"/>
                <w:color w:val="auto"/>
                <w:w w:val="93"/>
              </w:rPr>
              <w:t>Section 10.11.</w:t>
            </w:r>
          </w:p>
        </w:tc>
        <w:tc>
          <w:tcPr>
            <w:tcW w:w="8520" w:type="dxa"/>
            <w:vAlign w:val="bottom"/>
          </w:tcPr>
          <w:p>
            <w:pPr>
              <w:ind w:left="60"/>
              <w:spacing w:after="0"/>
              <w:rPr>
                <w:sz w:val="20"/>
                <w:szCs w:val="20"/>
                <w:color w:val="auto"/>
              </w:rPr>
            </w:pPr>
            <w:r>
              <w:rPr>
                <w:rFonts w:ascii="Arial" w:cs="Arial" w:eastAsia="Arial" w:hAnsi="Arial"/>
                <w:sz w:val="18"/>
                <w:szCs w:val="18"/>
                <w:i w:val="1"/>
                <w:iCs w:val="1"/>
                <w:color w:val="auto"/>
              </w:rPr>
              <w:t>Duplicate Originals</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140" w:type="dxa"/>
            <w:vAlign w:val="bottom"/>
          </w:tcPr>
          <w:p>
            <w:pPr>
              <w:ind w:left="40"/>
              <w:spacing w:after="0"/>
              <w:rPr>
                <w:sz w:val="20"/>
                <w:szCs w:val="20"/>
                <w:color w:val="auto"/>
              </w:rPr>
            </w:pPr>
            <w:r>
              <w:rPr>
                <w:rFonts w:ascii="Arial" w:cs="Arial" w:eastAsia="Arial" w:hAnsi="Arial"/>
                <w:sz w:val="18"/>
                <w:szCs w:val="18"/>
                <w:color w:val="auto"/>
                <w:w w:val="93"/>
              </w:rPr>
              <w:t>Section 10.12.</w:t>
            </w:r>
          </w:p>
        </w:tc>
        <w:tc>
          <w:tcPr>
            <w:tcW w:w="8520" w:type="dxa"/>
            <w:vAlign w:val="bottom"/>
          </w:tcPr>
          <w:p>
            <w:pPr>
              <w:ind w:left="80"/>
              <w:spacing w:after="0"/>
              <w:rPr>
                <w:sz w:val="20"/>
                <w:szCs w:val="20"/>
                <w:color w:val="auto"/>
              </w:rPr>
            </w:pPr>
            <w:r>
              <w:rPr>
                <w:rFonts w:ascii="Arial" w:cs="Arial" w:eastAsia="Arial" w:hAnsi="Arial"/>
                <w:sz w:val="18"/>
                <w:szCs w:val="18"/>
                <w:i w:val="1"/>
                <w:iCs w:val="1"/>
                <w:color w:val="auto"/>
              </w:rPr>
              <w:t>Separability</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66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Table of Contents, Headings, Etc.</w:t>
            </w:r>
          </w:p>
        </w:tc>
        <w:tc>
          <w:tcPr>
            <w:tcW w:w="15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66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Incorporators, Stockholders, Officers and Directors of Company Exempt from Individual Liability</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140" w:type="dxa"/>
            <w:vAlign w:val="bottom"/>
          </w:tcPr>
          <w:p>
            <w:pPr>
              <w:ind w:left="40"/>
              <w:spacing w:after="0"/>
              <w:rPr>
                <w:sz w:val="20"/>
                <w:szCs w:val="20"/>
                <w:color w:val="auto"/>
              </w:rPr>
            </w:pPr>
            <w:r>
              <w:rPr>
                <w:rFonts w:ascii="Arial" w:cs="Arial" w:eastAsia="Arial" w:hAnsi="Arial"/>
                <w:sz w:val="18"/>
                <w:szCs w:val="18"/>
                <w:color w:val="auto"/>
                <w:w w:val="93"/>
              </w:rPr>
              <w:t>Section 10.15.</w:t>
            </w:r>
          </w:p>
        </w:tc>
        <w:tc>
          <w:tcPr>
            <w:tcW w:w="8520" w:type="dxa"/>
            <w:vAlign w:val="bottom"/>
          </w:tcPr>
          <w:p>
            <w:pPr>
              <w:ind w:left="80"/>
              <w:spacing w:after="0"/>
              <w:rPr>
                <w:sz w:val="20"/>
                <w:szCs w:val="20"/>
                <w:color w:val="auto"/>
              </w:rPr>
            </w:pPr>
            <w:r>
              <w:rPr>
                <w:rFonts w:ascii="Arial" w:cs="Arial" w:eastAsia="Arial" w:hAnsi="Arial"/>
                <w:sz w:val="18"/>
                <w:szCs w:val="18"/>
                <w:i w:val="1"/>
                <w:iCs w:val="1"/>
                <w:color w:val="auto"/>
              </w:rPr>
              <w:t>Judgment Currency</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966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Waiver of Jury Trial</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140" w:type="dxa"/>
            <w:vAlign w:val="bottom"/>
          </w:tcPr>
          <w:p>
            <w:pPr>
              <w:ind w:left="40"/>
              <w:spacing w:after="0"/>
              <w:rPr>
                <w:sz w:val="20"/>
                <w:szCs w:val="20"/>
                <w:color w:val="auto"/>
              </w:rPr>
            </w:pPr>
            <w:r>
              <w:rPr>
                <w:rFonts w:ascii="Arial" w:cs="Arial" w:eastAsia="Arial" w:hAnsi="Arial"/>
                <w:sz w:val="18"/>
                <w:szCs w:val="18"/>
                <w:color w:val="auto"/>
                <w:w w:val="93"/>
              </w:rPr>
              <w:t>Section 10.17.</w:t>
            </w:r>
          </w:p>
        </w:tc>
        <w:tc>
          <w:tcPr>
            <w:tcW w:w="8520" w:type="dxa"/>
            <w:vAlign w:val="bottom"/>
          </w:tcPr>
          <w:p>
            <w:pPr>
              <w:ind w:left="80"/>
              <w:spacing w:after="0"/>
              <w:rPr>
                <w:sz w:val="20"/>
                <w:szCs w:val="20"/>
                <w:color w:val="auto"/>
              </w:rPr>
            </w:pPr>
            <w:r>
              <w:rPr>
                <w:rFonts w:ascii="Arial" w:cs="Arial" w:eastAsia="Arial" w:hAnsi="Arial"/>
                <w:sz w:val="18"/>
                <w:szCs w:val="18"/>
                <w:i w:val="1"/>
                <w:iCs w:val="1"/>
                <w:color w:val="auto"/>
              </w:rPr>
              <w:t>Force Majeure</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6"/>
        </w:trPr>
        <w:tc>
          <w:tcPr>
            <w:tcW w:w="1140" w:type="dxa"/>
            <w:vAlign w:val="bottom"/>
          </w:tcPr>
          <w:p>
            <w:pPr>
              <w:spacing w:after="0"/>
              <w:rPr>
                <w:sz w:val="22"/>
                <w:szCs w:val="22"/>
                <w:color w:val="auto"/>
              </w:rPr>
            </w:pPr>
          </w:p>
        </w:tc>
        <w:tc>
          <w:tcPr>
            <w:tcW w:w="8520" w:type="dxa"/>
            <w:vAlign w:val="bottom"/>
          </w:tcPr>
          <w:p>
            <w:pPr>
              <w:ind w:left="3960"/>
              <w:spacing w:after="0"/>
              <w:rPr>
                <w:sz w:val="20"/>
                <w:szCs w:val="20"/>
                <w:color w:val="auto"/>
              </w:rPr>
            </w:pPr>
            <w:r>
              <w:rPr>
                <w:rFonts w:ascii="Arial" w:cs="Arial" w:eastAsia="Arial" w:hAnsi="Arial"/>
                <w:sz w:val="18"/>
                <w:szCs w:val="18"/>
                <w:b w:val="1"/>
                <w:bCs w:val="1"/>
                <w:color w:val="auto"/>
              </w:rPr>
              <w:t>ARTICLE 11</w:t>
            </w:r>
          </w:p>
        </w:tc>
        <w:tc>
          <w:tcPr>
            <w:tcW w:w="1580" w:type="dxa"/>
            <w:vAlign w:val="bottom"/>
          </w:tcPr>
          <w:p>
            <w:pPr>
              <w:spacing w:after="0"/>
              <w:rPr>
                <w:sz w:val="22"/>
                <w:szCs w:val="22"/>
                <w:color w:val="auto"/>
              </w:rPr>
            </w:pPr>
          </w:p>
        </w:tc>
      </w:tr>
      <w:tr>
        <w:trPr>
          <w:trHeight w:val="230"/>
        </w:trPr>
        <w:tc>
          <w:tcPr>
            <w:tcW w:w="1140" w:type="dxa"/>
            <w:vAlign w:val="bottom"/>
          </w:tcPr>
          <w:p>
            <w:pPr>
              <w:spacing w:after="0"/>
              <w:rPr>
                <w:sz w:val="20"/>
                <w:szCs w:val="20"/>
                <w:color w:val="auto"/>
              </w:rPr>
            </w:pPr>
          </w:p>
        </w:tc>
        <w:tc>
          <w:tcPr>
            <w:tcW w:w="8520" w:type="dxa"/>
            <w:vAlign w:val="bottom"/>
          </w:tcPr>
          <w:p>
            <w:pPr>
              <w:ind w:left="39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UBORDINATION</w:t>
            </w:r>
          </w:p>
        </w:tc>
        <w:tc>
          <w:tcPr>
            <w:tcW w:w="1580" w:type="dxa"/>
            <w:vAlign w:val="bottom"/>
          </w:tcPr>
          <w:p>
            <w:pPr>
              <w:spacing w:after="0"/>
              <w:rPr>
                <w:sz w:val="20"/>
                <w:szCs w:val="20"/>
                <w:color w:val="auto"/>
              </w:rPr>
            </w:pPr>
          </w:p>
        </w:tc>
      </w:tr>
      <w:tr>
        <w:trPr>
          <w:trHeight w:val="270"/>
        </w:trPr>
        <w:tc>
          <w:tcPr>
            <w:tcW w:w="966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Agreement to Subordinate</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966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Payments to Securityholders</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140" w:type="dxa"/>
            <w:vAlign w:val="bottom"/>
          </w:tcPr>
          <w:p>
            <w:pPr>
              <w:ind w:left="40"/>
              <w:spacing w:after="0"/>
              <w:rPr>
                <w:sz w:val="20"/>
                <w:szCs w:val="20"/>
                <w:color w:val="auto"/>
              </w:rPr>
            </w:pPr>
            <w:r>
              <w:rPr>
                <w:rFonts w:ascii="Arial" w:cs="Arial" w:eastAsia="Arial" w:hAnsi="Arial"/>
                <w:sz w:val="18"/>
                <w:szCs w:val="18"/>
                <w:color w:val="auto"/>
                <w:w w:val="93"/>
              </w:rPr>
              <w:t>Section 11.03.</w:t>
            </w:r>
          </w:p>
        </w:tc>
        <w:tc>
          <w:tcPr>
            <w:tcW w:w="8520" w:type="dxa"/>
            <w:vAlign w:val="bottom"/>
          </w:tcPr>
          <w:p>
            <w:pPr>
              <w:ind w:left="60"/>
              <w:spacing w:after="0"/>
              <w:rPr>
                <w:sz w:val="20"/>
                <w:szCs w:val="20"/>
                <w:color w:val="auto"/>
              </w:rPr>
            </w:pPr>
            <w:r>
              <w:rPr>
                <w:rFonts w:ascii="Arial" w:cs="Arial" w:eastAsia="Arial" w:hAnsi="Arial"/>
                <w:sz w:val="18"/>
                <w:szCs w:val="18"/>
                <w:i w:val="1"/>
                <w:iCs w:val="1"/>
                <w:color w:val="auto"/>
              </w:rPr>
              <w:t>Subrogation</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966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Authorization by Securityholders</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966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Notice to Trustee</w:t>
            </w:r>
          </w:p>
        </w:tc>
        <w:tc>
          <w:tcPr>
            <w:tcW w:w="1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9660" w:type="dxa"/>
            <w:vAlign w:val="bottom"/>
            <w:gridSpan w:val="2"/>
          </w:tcPr>
          <w:p>
            <w:pPr>
              <w:ind w:left="40"/>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Trustee’s Relation to Senior Indebtedness</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1140" w:type="dxa"/>
            <w:vAlign w:val="bottom"/>
          </w:tcPr>
          <w:p>
            <w:pPr>
              <w:ind w:left="40"/>
              <w:spacing w:after="0"/>
              <w:rPr>
                <w:sz w:val="20"/>
                <w:szCs w:val="20"/>
                <w:color w:val="auto"/>
              </w:rPr>
            </w:pPr>
            <w:r>
              <w:rPr>
                <w:rFonts w:ascii="Arial" w:cs="Arial" w:eastAsia="Arial" w:hAnsi="Arial"/>
                <w:sz w:val="18"/>
                <w:szCs w:val="18"/>
                <w:color w:val="auto"/>
                <w:w w:val="93"/>
              </w:rPr>
              <w:t>Section 11.07.</w:t>
            </w:r>
          </w:p>
        </w:tc>
        <w:tc>
          <w:tcPr>
            <w:tcW w:w="8520" w:type="dxa"/>
            <w:vAlign w:val="bottom"/>
          </w:tcPr>
          <w:p>
            <w:pPr>
              <w:ind w:left="60"/>
              <w:spacing w:after="0"/>
              <w:rPr>
                <w:sz w:val="20"/>
                <w:szCs w:val="20"/>
                <w:color w:val="auto"/>
              </w:rPr>
            </w:pPr>
            <w:r>
              <w:rPr>
                <w:rFonts w:ascii="Arial" w:cs="Arial" w:eastAsia="Arial" w:hAnsi="Arial"/>
                <w:sz w:val="18"/>
                <w:szCs w:val="18"/>
                <w:i w:val="1"/>
                <w:iCs w:val="1"/>
                <w:color w:val="auto"/>
              </w:rPr>
              <w:t>No Impairment of Subordination</w:t>
            </w: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702"/>
        </w:trPr>
        <w:tc>
          <w:tcPr>
            <w:tcW w:w="114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62" w:right="339" w:bottom="1440" w:gutter="0" w:footer="0" w:header="0"/>
        </w:sectPr>
      </w:pPr>
    </w:p>
    <w:bookmarkStart w:id="138" w:name="page139"/>
    <w:bookmarkEnd w:id="138"/>
    <w:p>
      <w:pPr>
        <w:ind w:left="340"/>
        <w:spacing w:after="0"/>
        <w:tabs>
          <w:tab w:leader="none" w:pos="4020" w:val="left"/>
          <w:tab w:leader="none" w:pos="4360" w:val="left"/>
          <w:tab w:leader="none" w:pos="9860" w:val="left"/>
        </w:tabs>
        <w:rPr>
          <w:sz w:val="20"/>
          <w:szCs w:val="20"/>
          <w:color w:val="auto"/>
        </w:rPr>
      </w:pPr>
      <w:r>
        <w:rPr>
          <w:rFonts w:ascii="Arial" w:cs="Arial" w:eastAsia="Arial" w:hAnsi="Arial"/>
          <w:sz w:val="18"/>
          <w:szCs w:val="18"/>
          <w:color w:val="auto"/>
        </w:rPr>
        <w:t>SUBORDINATED INDENTURE, dated as of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between Entera Bio Ltd., an Israeli company, as the Company, and [</w:t>
      </w:r>
      <w:r>
        <w:rPr>
          <w:sz w:val="20"/>
          <w:szCs w:val="20"/>
          <w:color w:val="auto"/>
        </w:rPr>
        <w:tab/>
      </w:r>
      <w:r>
        <w:rPr>
          <w:rFonts w:ascii="Arial" w:cs="Arial" w:eastAsia="Arial" w:hAnsi="Arial"/>
          <w:sz w:val="16"/>
          <w:szCs w:val="16"/>
          <w:color w:val="auto"/>
        </w:rPr>
        <w:t>], as Trustee.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WHEREAS, the Company has duly authorized the issue from time to time of its subordinated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NOW, THEREFORE:</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r>
        <w:rPr>
          <w:rFonts w:ascii="Arial" w:cs="Arial" w:eastAsia="Arial" w:hAnsi="Arial"/>
          <w:sz w:val="18"/>
          <w:szCs w:val="18"/>
          <w:color w:val="auto"/>
        </w:rPr>
        <w:t xml:space="preserve"> A</w:t>
      </w:r>
      <w:r>
        <w:rPr>
          <w:rFonts w:ascii="Arial" w:cs="Arial" w:eastAsia="Arial" w:hAnsi="Arial"/>
          <w:sz w:val="12"/>
          <w:szCs w:val="12"/>
          <w:color w:val="auto"/>
        </w:rPr>
        <w:t>ND</w:t>
      </w:r>
      <w:r>
        <w:rPr>
          <w:rFonts w:ascii="Arial" w:cs="Arial" w:eastAsia="Arial" w:hAnsi="Arial"/>
          <w:sz w:val="18"/>
          <w:szCs w:val="18"/>
          <w:color w:val="auto"/>
        </w:rPr>
        <w:t xml:space="preserve"> I</w:t>
      </w:r>
      <w:r>
        <w:rPr>
          <w:rFonts w:ascii="Arial" w:cs="Arial" w:eastAsia="Arial" w:hAnsi="Arial"/>
          <w:sz w:val="12"/>
          <w:szCs w:val="12"/>
          <w:color w:val="auto"/>
        </w:rPr>
        <w:t>NCORPORATION</w:t>
      </w:r>
      <w:r>
        <w:rPr>
          <w:rFonts w:ascii="Arial" w:cs="Arial" w:eastAsia="Arial" w:hAnsi="Arial"/>
          <w:sz w:val="18"/>
          <w:szCs w:val="18"/>
          <w:color w:val="auto"/>
        </w:rPr>
        <w:t xml:space="preserve"> B</w:t>
      </w:r>
      <w:r>
        <w:rPr>
          <w:rFonts w:ascii="Arial" w:cs="Arial" w:eastAsia="Arial" w:hAnsi="Arial"/>
          <w:sz w:val="12"/>
          <w:szCs w:val="12"/>
          <w:color w:val="auto"/>
        </w:rPr>
        <w:t>Y</w:t>
      </w:r>
      <w:r>
        <w:rPr>
          <w:rFonts w:ascii="Arial" w:cs="Arial" w:eastAsia="Arial" w:hAnsi="Arial"/>
          <w:sz w:val="18"/>
          <w:szCs w:val="18"/>
          <w:color w:val="auto"/>
        </w:rPr>
        <w:t xml:space="preserve"> R</w:t>
      </w:r>
      <w:r>
        <w:rPr>
          <w:rFonts w:ascii="Arial" w:cs="Arial" w:eastAsia="Arial" w:hAnsi="Arial"/>
          <w:sz w:val="12"/>
          <w:szCs w:val="12"/>
          <w:color w:val="auto"/>
        </w:rPr>
        <w:t>EFERENCE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transfer agent or Authenticating Agent.</w:t>
      </w:r>
    </w:p>
    <w:p>
      <w:pPr>
        <w:spacing w:after="0" w:line="225" w:lineRule="exact"/>
        <w:rPr>
          <w:sz w:val="20"/>
          <w:szCs w:val="20"/>
          <w:color w:val="auto"/>
        </w:rPr>
      </w:pPr>
    </w:p>
    <w:p>
      <w:pPr>
        <w:ind w:right="320" w:firstLine="32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Resolution</w:t>
      </w:r>
      <w:r>
        <w:rPr>
          <w:rFonts w:ascii="Arial" w:cs="Arial" w:eastAsia="Arial" w:hAnsi="Arial"/>
          <w:sz w:val="16"/>
          <w:szCs w:val="16"/>
          <w:color w:val="auto"/>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spacing w:after="0" w:line="116"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Sunday, that is neither a legal holiday nor a day on which banking institutions are authorized or required by law or regulation to close (i) with respect to any Security the interest on which is based on the offered quotations in the interbank Eurodollar market for dollar deposits in London or in The City of New York or (ii) with respect to Securities denominated in a specified currency other than United States dollars, in the principal financial center of the country of the specified currency.</w:t>
      </w:r>
    </w:p>
    <w:p>
      <w:pPr>
        <w:spacing w:after="0" w:line="180"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until a successor replaces it pursuant to Article 5 of this Indenture and thereafter means the successor.</w:t>
      </w:r>
    </w:p>
    <w:p>
      <w:pPr>
        <w:spacing w:after="0" w:line="162" w:lineRule="exact"/>
        <w:rPr>
          <w:sz w:val="20"/>
          <w:szCs w:val="20"/>
          <w:color w:val="auto"/>
        </w:rPr>
      </w:pPr>
    </w:p>
    <w:p>
      <w:pPr>
        <w:ind w:right="7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shall, at any particular time, be administered, which office is, at the date of this Indenture, located at [ ].</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each Person who is then a Depositary hereunder, and if at any time there is more than one such Person, “</w:t>
      </w:r>
      <w:r>
        <w:rPr>
          <w:rFonts w:ascii="Arial" w:cs="Arial" w:eastAsia="Arial" w:hAnsi="Arial"/>
          <w:sz w:val="18"/>
          <w:szCs w:val="18"/>
          <w:b w:val="1"/>
          <w:bCs w:val="1"/>
          <w:color w:val="auto"/>
        </w:rPr>
        <w:t>Depositary</w:t>
      </w:r>
      <w:r>
        <w:rPr>
          <w:rFonts w:ascii="Arial" w:cs="Arial" w:eastAsia="Arial" w:hAnsi="Arial"/>
          <w:sz w:val="18"/>
          <w:szCs w:val="18"/>
          <w:color w:val="auto"/>
        </w:rPr>
        <w:t>” as used with respect to the Securities of any such series shall mean the Depositary with respect to the Registered Global Securities of that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324"/>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by any Person means any obligation, contingent or otherwise, of such Person directly or indirectly guaranteeing any Indebtedness or other obligation of any other Person and, without limiting the generality of the foregoing, any obligation, direct or indirect, contingent or otherwise, of such Person (i) to purchase or pay (or advance or supply funds for the purchase or payment of) such Indebtedness or other obligation (whether arising by virtue of partnership arrangements, by agreement to keep-well, to purchase assets, goods, securities or services, to take-or-pay, or to maintain financial statement conditions or otherwise) or (ii) entered into for the purpose of assuring in any other manner the obligee of such Indebtedness or other obligation of the payment thereof or to protect such obligee against loss in respect thereof (in whole or in part), provided that the term Guarantee shall not include endorsements for collection or deposit in the ordinary course of business. The term “Guarantee” when used as a verb has a corresponding meaning.</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Securityholder</w:t>
      </w:r>
      <w:r>
        <w:rPr>
          <w:rFonts w:ascii="Arial" w:cs="Arial" w:eastAsia="Arial" w:hAnsi="Arial"/>
          <w:sz w:val="18"/>
          <w:szCs w:val="18"/>
          <w:color w:val="auto"/>
        </w:rPr>
        <w:t>” means the registered holder of any Security.</w:t>
      </w:r>
    </w:p>
    <w:p>
      <w:pPr>
        <w:spacing w:after="0" w:line="225"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at any date, without duplication (i) all obligations of such Person for borrowed money, (ii) all obligations of such Person evidenced by bonds, debentures, notes or similar instruments, (iii) all obligations of such Person in respect of letters of credit or other similar instruments (or reimbursement obligations with respect thereto), (iv) all obligations of such Person to pay the deferred purchase price of property or services, except Trade Payables, (v) all obligations of such Person as a lessee under capital leases, (vi) all Indebtedness of others secured by a lien on any asset of such Person, whether or not such Indebtedness is assumed by such Person, (vii) all Indebtedness of others Guaranteed by such Person.</w:t>
      </w:r>
    </w:p>
    <w:p>
      <w:pPr>
        <w:spacing w:after="0" w:line="154" w:lineRule="exact"/>
        <w:rPr>
          <w:sz w:val="20"/>
          <w:szCs w:val="20"/>
          <w:color w:val="auto"/>
        </w:rPr>
      </w:pPr>
    </w:p>
    <w:p>
      <w:pPr>
        <w:ind w:right="4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Financial Reporting Standards as issued by the International Accounting Standards Board, as in effect as of the date hereof.</w:t>
      </w:r>
    </w:p>
    <w:p>
      <w:pPr>
        <w:spacing w:after="0" w:line="162" w:lineRule="exact"/>
        <w:rPr>
          <w:sz w:val="20"/>
          <w:szCs w:val="20"/>
          <w:color w:val="auto"/>
        </w:rPr>
      </w:pPr>
    </w:p>
    <w:p>
      <w:pPr>
        <w:jc w:val="both"/>
        <w:ind w:right="20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spacing w:after="0" w:line="176"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spacing w:after="0" w:line="176" w:lineRule="exact"/>
        <w:rPr>
          <w:sz w:val="20"/>
          <w:szCs w:val="20"/>
          <w:color w:val="auto"/>
        </w:rPr>
      </w:pPr>
    </w:p>
    <w:p>
      <w:pPr>
        <w:ind w:right="20" w:firstLine="32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(i) by the chairman of the board of directors,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spacing w:after="0" w:line="151"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spacing w:after="0" w:line="176" w:lineRule="exact"/>
        <w:rPr>
          <w:sz w:val="20"/>
          <w:szCs w:val="20"/>
          <w:color w:val="auto"/>
        </w:rPr>
      </w:pPr>
    </w:p>
    <w:p>
      <w:pPr>
        <w:ind w:right="400" w:firstLine="32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original issue date</w:t>
      </w:r>
      <w:r>
        <w:rPr>
          <w:rFonts w:ascii="Arial" w:cs="Arial" w:eastAsia="Arial" w:hAnsi="Arial"/>
          <w:sz w:val="17"/>
          <w:szCs w:val="17"/>
          <w:color w:val="auto"/>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spacing w:after="0" w:line="140" w:lineRule="exact"/>
        <w:rPr>
          <w:sz w:val="20"/>
          <w:szCs w:val="20"/>
          <w:color w:val="auto"/>
        </w:rPr>
      </w:pPr>
    </w:p>
    <w:p>
      <w:pPr>
        <w:ind w:right="36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6.02.</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0" w:name="page141"/>
    <w:bookmarkEnd w:id="140"/>
    <w:p>
      <w:pPr>
        <w:ind w:right="4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Periodic Offering</w:t>
      </w:r>
      <w:r>
        <w:rPr>
          <w:rFonts w:ascii="Arial" w:cs="Arial" w:eastAsia="Arial" w:hAnsi="Arial"/>
          <w:sz w:val="18"/>
          <w:szCs w:val="18"/>
          <w:color w:val="auto"/>
        </w:rPr>
        <w:t>”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w:t>
      </w:r>
    </w:p>
    <w:p>
      <w:pPr>
        <w:spacing w:after="0" w:line="176"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or organization, including a government or political subdivision or an agency or instrumentality thereof.</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of a Security means the principal amount of, and, unless the context indicates otherwise, includes any premium payable on, the Security.</w:t>
      </w:r>
    </w:p>
    <w:p>
      <w:pPr>
        <w:spacing w:after="0" w:line="248"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Global Security</w:t>
      </w:r>
      <w:r>
        <w:rPr>
          <w:rFonts w:ascii="Arial" w:cs="Arial" w:eastAsia="Arial" w:hAnsi="Arial"/>
          <w:sz w:val="18"/>
          <w:szCs w:val="18"/>
          <w:color w:val="auto"/>
        </w:rPr>
        <w:t>” means a Security evidencing all or a part of a series of Securities, issued to the Depositary for such series in accordance with Section 2.02, and bearing the legend prescribed in Section 2.02.</w:t>
      </w:r>
    </w:p>
    <w:p>
      <w:pPr>
        <w:spacing w:after="0" w:line="162" w:lineRule="exact"/>
        <w:rPr>
          <w:sz w:val="20"/>
          <w:szCs w:val="20"/>
          <w:color w:val="auto"/>
        </w:rPr>
      </w:pPr>
    </w:p>
    <w:p>
      <w:pPr>
        <w:jc w:val="both"/>
        <w:ind w:right="60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spacing w:after="0" w:line="176" w:lineRule="exact"/>
        <w:rPr>
          <w:sz w:val="20"/>
          <w:szCs w:val="20"/>
          <w:color w:val="auto"/>
        </w:rPr>
      </w:pPr>
    </w:p>
    <w:p>
      <w:pPr>
        <w:ind w:right="70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of the securities, as defined in the first paragraph of the recitals hereof, that are authenticated and delivered under this Indenture.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Indebtedness</w:t>
      </w:r>
      <w:r>
        <w:rPr>
          <w:rFonts w:ascii="Arial" w:cs="Arial" w:eastAsia="Arial" w:hAnsi="Arial"/>
          <w:sz w:val="18"/>
          <w:szCs w:val="18"/>
          <w:color w:val="auto"/>
        </w:rPr>
        <w:t>” means all Indebtedness of the Company (other than the Securities) including principal and interest (including, without limitation, any interest that would accrue but for the filing of a petition initiating any proceeding referred to in Section 11.02 hereof) on such Indebtedness, created, incurred or assumed on or after the date of the first issuance of any Securities, unless such Indebtedness, but its terms or the terms of the instrument creating or evidencing it, is subordinate in right of payment to, or pari passu with, the Securities; provided, that the term Senior Indebtedness shall not include (a) any Indebtedness of the Company which, when incurred and without respect to any election under Section 111(b) of Title II, United States Code, with or without recourse to the Company, (b) any Indebtedness of the Company to a Subsidiary, (c) Indebtedness to any employee of the Company and (d) Trade Payables.</w:t>
      </w:r>
    </w:p>
    <w:p>
      <w:pPr>
        <w:spacing w:after="0" w:line="189" w:lineRule="exact"/>
        <w:rPr>
          <w:sz w:val="20"/>
          <w:szCs w:val="20"/>
          <w:color w:val="auto"/>
        </w:rPr>
      </w:pPr>
    </w:p>
    <w:p>
      <w:pPr>
        <w:jc w:val="both"/>
        <w:ind w:right="12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spacing w:after="0" w:line="176" w:lineRule="exact"/>
        <w:rPr>
          <w:sz w:val="20"/>
          <w:szCs w:val="20"/>
          <w:color w:val="auto"/>
        </w:rPr>
      </w:pPr>
    </w:p>
    <w:p>
      <w:pPr>
        <w:ind w:right="140" w:firstLine="32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 Payables</w:t>
      </w:r>
      <w:r>
        <w:rPr>
          <w:rFonts w:ascii="Arial" w:cs="Arial" w:eastAsia="Arial" w:hAnsi="Arial"/>
          <w:sz w:val="17"/>
          <w:szCs w:val="17"/>
          <w:color w:val="auto"/>
        </w:rPr>
        <w:t>” means accounts payable for any other indebtedness or monetary obligations to trade creditors created or assumed by the Company or any subsidiary of the Company in the ordinary course of business in connection with the obtaining of materials or services.</w:t>
      </w:r>
    </w:p>
    <w:p>
      <w:pPr>
        <w:spacing w:after="0" w:line="140" w:lineRule="exact"/>
        <w:rPr>
          <w:sz w:val="20"/>
          <w:szCs w:val="20"/>
          <w:color w:val="auto"/>
        </w:rPr>
      </w:pPr>
    </w:p>
    <w:p>
      <w:pPr>
        <w:ind w:right="40" w:firstLine="32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Indenture Act</w:t>
      </w:r>
      <w:r>
        <w:rPr>
          <w:rFonts w:ascii="Arial" w:cs="Arial" w:eastAsia="Arial" w:hAnsi="Arial"/>
          <w:sz w:val="16"/>
          <w:szCs w:val="16"/>
          <w:color w:val="auto"/>
        </w:rPr>
        <w:t>” means the Trust Indenture Act of 1939, as amended (15 U.S. Code §§ 77aaa-77bbbb), as it may be amended from time to time.</w:t>
      </w:r>
    </w:p>
    <w:p>
      <w:pPr>
        <w:spacing w:after="0" w:line="248"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Obligations</w:t>
      </w:r>
      <w:r>
        <w:rPr>
          <w:rFonts w:ascii="Arial" w:cs="Arial" w:eastAsia="Arial" w:hAnsi="Arial"/>
          <w:sz w:val="18"/>
          <w:szCs w:val="18"/>
          <w:color w:val="auto"/>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ind w:right="40" w:firstLine="32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Yield to Maturity</w:t>
      </w:r>
      <w:r>
        <w:rPr>
          <w:rFonts w:ascii="Arial" w:cs="Arial" w:eastAsia="Arial" w:hAnsi="Arial"/>
          <w:sz w:val="16"/>
          <w:szCs w:val="16"/>
          <w:color w:val="auto"/>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Definitions</w:t>
      </w:r>
      <w:r>
        <w:rPr>
          <w:rFonts w:ascii="Arial" w:cs="Arial" w:eastAsia="Arial" w:hAnsi="Arial"/>
          <w:sz w:val="18"/>
          <w:szCs w:val="18"/>
          <w:color w:val="auto"/>
        </w:rPr>
        <w:t>. Each of the following terms is defined in the section set forth opposite such term:</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b w:val="1"/>
                <w:bCs w:val="1"/>
                <w:color w:val="auto"/>
                <w:w w:val="90"/>
              </w:rPr>
              <w:t>Term</w:t>
            </w:r>
          </w:p>
        </w:tc>
        <w:tc>
          <w:tcPr>
            <w:tcW w:w="4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86"/>
              </w:rPr>
              <w:t>Section</w:t>
            </w:r>
          </w:p>
        </w:tc>
      </w:tr>
      <w:tr>
        <w:trPr>
          <w:trHeight w:val="20"/>
        </w:trPr>
        <w:tc>
          <w:tcPr>
            <w:tcW w:w="4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Authenticating Agent</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2.02</w:t>
            </w:r>
          </w:p>
        </w:tc>
        <w:tc>
          <w:tcPr>
            <w:tcW w:w="20" w:type="dxa"/>
            <w:vAlign w:val="bottom"/>
          </w:tcPr>
          <w:p>
            <w:pPr>
              <w:spacing w:after="0"/>
              <w:rPr>
                <w:sz w:val="19"/>
                <w:szCs w:val="19"/>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cash transaction</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7.03</w:t>
            </w:r>
          </w:p>
        </w:tc>
        <w:tc>
          <w:tcPr>
            <w:tcW w:w="2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6.01</w:t>
            </w:r>
          </w:p>
        </w:tc>
        <w:tc>
          <w:tcPr>
            <w:tcW w:w="2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Judgment Currency</w:t>
            </w:r>
          </w:p>
        </w:tc>
        <w:tc>
          <w:tcPr>
            <w:tcW w:w="2860" w:type="dxa"/>
            <w:vAlign w:val="bottom"/>
            <w:gridSpan w:val="3"/>
          </w:tcPr>
          <w:p>
            <w:pPr>
              <w:jc w:val="center"/>
              <w:ind w:left="2170"/>
              <w:spacing w:after="0"/>
              <w:rPr>
                <w:sz w:val="20"/>
                <w:szCs w:val="20"/>
                <w:color w:val="auto"/>
              </w:rPr>
            </w:pPr>
            <w:r>
              <w:rPr>
                <w:rFonts w:ascii="Arial" w:cs="Arial" w:eastAsia="Arial" w:hAnsi="Arial"/>
                <w:sz w:val="18"/>
                <w:szCs w:val="18"/>
                <w:color w:val="auto"/>
                <w:w w:val="89"/>
              </w:rPr>
              <w:t>10.15(a)</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mandatory sinking fund payment</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3.05</w:t>
            </w:r>
          </w:p>
        </w:tc>
        <w:tc>
          <w:tcPr>
            <w:tcW w:w="2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optional sinking fund payment</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3.05</w:t>
            </w:r>
          </w:p>
        </w:tc>
        <w:tc>
          <w:tcPr>
            <w:tcW w:w="2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Paying Agent</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2.05</w:t>
            </w:r>
          </w:p>
        </w:tc>
        <w:tc>
          <w:tcPr>
            <w:tcW w:w="2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record date</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2.04</w:t>
            </w:r>
          </w:p>
        </w:tc>
        <w:tc>
          <w:tcPr>
            <w:tcW w:w="2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Registrar</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2.05</w:t>
            </w:r>
          </w:p>
        </w:tc>
        <w:tc>
          <w:tcPr>
            <w:tcW w:w="2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Required Currency</w:t>
            </w:r>
          </w:p>
        </w:tc>
        <w:tc>
          <w:tcPr>
            <w:tcW w:w="2860" w:type="dxa"/>
            <w:vAlign w:val="bottom"/>
            <w:gridSpan w:val="3"/>
          </w:tcPr>
          <w:p>
            <w:pPr>
              <w:jc w:val="center"/>
              <w:ind w:left="2170"/>
              <w:spacing w:after="0"/>
              <w:rPr>
                <w:sz w:val="20"/>
                <w:szCs w:val="20"/>
                <w:color w:val="auto"/>
              </w:rPr>
            </w:pPr>
            <w:r>
              <w:rPr>
                <w:rFonts w:ascii="Arial" w:cs="Arial" w:eastAsia="Arial" w:hAnsi="Arial"/>
                <w:sz w:val="18"/>
                <w:szCs w:val="18"/>
                <w:color w:val="auto"/>
                <w:w w:val="89"/>
              </w:rPr>
              <w:t>10.15(a)</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Security Register</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2.05</w:t>
            </w:r>
          </w:p>
        </w:tc>
        <w:tc>
          <w:tcPr>
            <w:tcW w:w="2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self-liquidating paper</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7.03</w:t>
            </w:r>
          </w:p>
        </w:tc>
        <w:tc>
          <w:tcPr>
            <w:tcW w:w="2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sinking fund payment date</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3.05</w:t>
            </w:r>
          </w:p>
        </w:tc>
        <w:tc>
          <w:tcPr>
            <w:tcW w:w="20" w:type="dxa"/>
            <w:vAlign w:val="bottom"/>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2280" w:type="dxa"/>
            <w:vAlign w:val="bottom"/>
          </w:tcPr>
          <w:p>
            <w:pPr>
              <w:spacing w:after="0"/>
              <w:rPr>
                <w:sz w:val="18"/>
                <w:szCs w:val="18"/>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5.01(a)</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tranche</w:t>
            </w:r>
          </w:p>
        </w:tc>
        <w:tc>
          <w:tcPr>
            <w:tcW w:w="2840" w:type="dxa"/>
            <w:vAlign w:val="bottom"/>
            <w:gridSpan w:val="2"/>
          </w:tcPr>
          <w:p>
            <w:pPr>
              <w:jc w:val="center"/>
              <w:ind w:left="2190"/>
              <w:spacing w:after="0"/>
              <w:rPr>
                <w:sz w:val="20"/>
                <w:szCs w:val="20"/>
                <w:color w:val="auto"/>
              </w:rPr>
            </w:pPr>
            <w:r>
              <w:rPr>
                <w:rFonts w:ascii="Arial" w:cs="Arial" w:eastAsia="Arial" w:hAnsi="Arial"/>
                <w:sz w:val="18"/>
                <w:szCs w:val="18"/>
                <w:color w:val="auto"/>
                <w:w w:val="91"/>
              </w:rPr>
              <w:t>2.14</w:t>
            </w:r>
          </w:p>
        </w:tc>
        <w:tc>
          <w:tcPr>
            <w:tcW w:w="20" w:type="dxa"/>
            <w:vAlign w:val="bottom"/>
          </w:tcPr>
          <w:p>
            <w:pPr>
              <w:spacing w:after="0"/>
              <w:rPr>
                <w:sz w:val="20"/>
                <w:szCs w:val="20"/>
                <w:color w:val="auto"/>
              </w:rPr>
            </w:pPr>
          </w:p>
        </w:tc>
      </w:tr>
    </w:tbl>
    <w:p>
      <w:pPr>
        <w:spacing w:after="0" w:line="202" w:lineRule="exact"/>
        <w:rPr>
          <w:sz w:val="20"/>
          <w:szCs w:val="20"/>
          <w:color w:val="auto"/>
        </w:rPr>
      </w:pPr>
    </w:p>
    <w:p>
      <w:pPr>
        <w:jc w:val="both"/>
        <w:ind w:right="580" w:firstLine="324"/>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Incorporation by Reference of Trust Indenture Act</w:t>
      </w:r>
      <w:r>
        <w:rPr>
          <w:rFonts w:ascii="Arial" w:cs="Arial" w:eastAsia="Arial" w:hAnsi="Arial"/>
          <w:sz w:val="18"/>
          <w:szCs w:val="18"/>
          <w:color w:val="auto"/>
        </w:rPr>
        <w:t>. 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Holder or a Securityholder;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 and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on the indenture securities means the Company or any other obligor on the Securities.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Rules of Construction</w:t>
      </w:r>
      <w:r>
        <w:rPr>
          <w:rFonts w:ascii="Arial" w:cs="Arial" w:eastAsia="Arial" w:hAnsi="Arial"/>
          <w:sz w:val="18"/>
          <w:szCs w:val="18"/>
          <w:color w:val="auto"/>
        </w:rPr>
        <w:t>. Unless the context otherwise requires:</w:t>
      </w:r>
    </w:p>
    <w:p>
      <w:pPr>
        <w:spacing w:after="0" w:line="225" w:lineRule="exact"/>
        <w:rPr>
          <w:sz w:val="20"/>
          <w:szCs w:val="20"/>
          <w:color w:val="auto"/>
        </w:rPr>
      </w:pPr>
    </w:p>
    <w:p>
      <w:pPr>
        <w:ind w:left="580" w:hanging="248"/>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IFRS;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rFonts w:ascii="Arial" w:cs="Arial" w:eastAsia="Arial" w:hAnsi="Arial"/>
          <w:sz w:val="18"/>
          <w:szCs w:val="18"/>
          <w:color w:val="auto"/>
        </w:rPr>
      </w:pPr>
    </w:p>
    <w:p>
      <w:pPr>
        <w:ind w:right="820" w:firstLine="332"/>
        <w:spacing w:after="0" w:line="277" w:lineRule="auto"/>
        <w:tabs>
          <w:tab w:leader="none" w:pos="56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“herein,” “hereof” and other words of similar import refer to this Indenture as a whole and not to any particular Article, Section or other subdivision;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references to Sections or Articles refer to Sections or Articles of this Indenture unless otherwise indicated; and</w:t>
      </w:r>
    </w:p>
    <w:p>
      <w:pPr>
        <w:spacing w:after="0" w:line="225" w:lineRule="exact"/>
        <w:rPr>
          <w:rFonts w:ascii="Arial" w:cs="Arial" w:eastAsia="Arial" w:hAnsi="Arial"/>
          <w:sz w:val="18"/>
          <w:szCs w:val="18"/>
          <w:color w:val="auto"/>
        </w:rPr>
      </w:pPr>
    </w:p>
    <w:p>
      <w:pPr>
        <w:ind w:firstLine="332"/>
        <w:spacing w:after="0" w:line="277" w:lineRule="auto"/>
        <w:tabs>
          <w:tab w:leader="none" w:pos="56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use of masculine, feminine or neuter pronouns should not be deemed a limitation, and the use of any such pronouns should be construed to include, where appropriate, the other pronouns.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S</w:t>
      </w:r>
      <w:r>
        <w:rPr>
          <w:rFonts w:ascii="Arial" w:cs="Arial" w:eastAsia="Arial" w:hAnsi="Arial"/>
          <w:sz w:val="12"/>
          <w:szCs w:val="12"/>
          <w:color w:val="auto"/>
        </w:rPr>
        <w:t>ECURITIES</w:t>
      </w:r>
    </w:p>
    <w:p>
      <w:pPr>
        <w:spacing w:after="0" w:line="21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r>
        <w:rPr>
          <w:rFonts w:ascii="Arial" w:cs="Arial" w:eastAsia="Arial" w:hAnsi="Arial"/>
          <w:sz w:val="18"/>
          <w:szCs w:val="18"/>
          <w:color w:val="auto"/>
        </w:rPr>
        <w:t>.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w:t>
      </w:r>
    </w:p>
    <w:p>
      <w:pPr>
        <w:spacing w:after="0" w:line="19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 Two Officers shall execute the Securities for the Company by facsimile or manual signature in the name and on behalf of the Company. If an Officer whose signature is on a Security no longer holds that office at the time the Security is authenticated, the Security shall nevertheless be valid.</w:t>
      </w:r>
    </w:p>
    <w:p>
      <w:pPr>
        <w:spacing w:after="0" w:line="184" w:lineRule="exact"/>
        <w:rPr>
          <w:sz w:val="20"/>
          <w:szCs w:val="20"/>
          <w:color w:val="auto"/>
        </w:rPr>
      </w:pPr>
    </w:p>
    <w:p>
      <w:pPr>
        <w:ind w:right="580" w:firstLine="324"/>
        <w:spacing w:after="0" w:line="263" w:lineRule="auto"/>
        <w:rPr>
          <w:sz w:val="20"/>
          <w:szCs w:val="20"/>
          <w:color w:val="auto"/>
        </w:rPr>
      </w:pPr>
      <w:r>
        <w:rPr>
          <w:rFonts w:ascii="Arial" w:cs="Arial" w:eastAsia="Arial" w:hAnsi="Arial"/>
          <w:sz w:val="18"/>
          <w:szCs w:val="18"/>
          <w:color w:val="auto"/>
        </w:rPr>
        <w:t>The Trustee, at the expense of the Company, may appoint an authenticating agent (the “Authenticating Agent”) to authenticate Securities. The Authenticating Agent may authenticate Securities whenever the Trustee may do so. Each reference in this Indenture to authentication by the Trustee includes authentication by such Authenticating Agent.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Security shall not be valid until the Trustee or Authenticating Agent signs, manually or by facsimile, the certificate of authentication on the Security.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signature shall be conclusive evidence that the Security has been authenticated under this Indenture.</w:t>
      </w:r>
    </w:p>
    <w:p>
      <w:pPr>
        <w:spacing w:after="0" w:line="21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spacing w:after="0" w:line="188" w:lineRule="exact"/>
        <w:rPr>
          <w:sz w:val="20"/>
          <w:szCs w:val="20"/>
          <w:color w:val="auto"/>
        </w:rPr>
      </w:pPr>
    </w:p>
    <w:p>
      <w:pPr>
        <w:ind w:right="80" w:firstLine="332"/>
        <w:spacing w:after="0" w:line="277" w:lineRule="auto"/>
        <w:tabs>
          <w:tab w:leader="none" w:pos="56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Board Resolution and/or executed supplemental indenture referred to in Sections 2.01 and 2.03 by or pursuant to which the forms and terms of the Securities of that series were established;</w:t>
      </w:r>
    </w:p>
    <w:p>
      <w:pPr>
        <w:spacing w:after="0" w:line="170" w:lineRule="exact"/>
        <w:rPr>
          <w:rFonts w:ascii="Arial" w:cs="Arial" w:eastAsia="Arial" w:hAnsi="Arial"/>
          <w:sz w:val="18"/>
          <w:szCs w:val="18"/>
          <w:color w:val="auto"/>
        </w:rPr>
      </w:pPr>
    </w:p>
    <w:p>
      <w:pPr>
        <w:ind w:right="40" w:firstLine="332"/>
        <w:spacing w:after="0" w:line="263" w:lineRule="auto"/>
        <w:tabs>
          <w:tab w:leader="none" w:pos="57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p>
      <w:pPr>
        <w:spacing w:after="0" w:line="183" w:lineRule="exact"/>
        <w:rPr>
          <w:rFonts w:ascii="Arial" w:cs="Arial" w:eastAsia="Arial" w:hAnsi="Arial"/>
          <w:sz w:val="18"/>
          <w:szCs w:val="18"/>
          <w:color w:val="auto"/>
        </w:rPr>
      </w:pPr>
    </w:p>
    <w:p>
      <w:pPr>
        <w:ind w:firstLine="332"/>
        <w:spacing w:after="0" w:line="291" w:lineRule="auto"/>
        <w:tabs>
          <w:tab w:leader="none" w:pos="56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spacing w:after="0" w:line="166"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24"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right="520" w:firstLine="324"/>
        <w:spacing w:after="0" w:line="311" w:lineRule="auto"/>
        <w:rPr>
          <w:sz w:val="20"/>
          <w:szCs w:val="20"/>
          <w:color w:val="auto"/>
        </w:rPr>
      </w:pPr>
      <w:r>
        <w:rPr>
          <w:rFonts w:ascii="Arial" w:cs="Arial" w:eastAsia="Arial" w:hAnsi="Arial"/>
          <w:sz w:val="16"/>
          <w:szCs w:val="16"/>
          <w:color w:val="auto"/>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spacing w:after="0" w:line="14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w:t>
      </w:r>
    </w:p>
    <w:p>
      <w:pPr>
        <w:ind w:right="20" w:firstLine="8"/>
        <w:spacing w:after="0" w:line="252" w:lineRule="auto"/>
        <w:tabs>
          <w:tab w:leader="none" w:pos="2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9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r>
        <w:rPr>
          <w:rFonts w:ascii="Arial" w:cs="Arial" w:eastAsia="Arial" w:hAnsi="Arial"/>
          <w:sz w:val="18"/>
          <w:szCs w:val="18"/>
          <w:color w:val="auto"/>
        </w:rPr>
        <w:t>. The aggregate Principal amount of Securities that may be authenticated and delivered under this Indenture is unlimited.</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Securities may be issued in one or more series and each such series shall rank equally and pari passu with the Securities of each other series, but all Securities hereunder shall be subordinate and junior in right of payment, to the extent and manner set forth in Article 11, to all Senior Indebtedness. There shall be established in or pursuant to a Board Resolution or one or more indentures supplemental hereto, prior to the initial issuance of Securities of any series, subject to the last sentence of this Section 2.03,</w:t>
      </w:r>
    </w:p>
    <w:p>
      <w:pPr>
        <w:spacing w:after="0" w:line="187" w:lineRule="exact"/>
        <w:rPr>
          <w:sz w:val="20"/>
          <w:szCs w:val="20"/>
          <w:color w:val="auto"/>
        </w:rPr>
      </w:pPr>
    </w:p>
    <w:p>
      <w:pPr>
        <w:ind w:left="720" w:hanging="388"/>
        <w:spacing w:after="0"/>
        <w:tabs>
          <w:tab w:leader="none" w:pos="7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designation of the Securities of the series, which shall distinguish the Securities of the series from the Securities of all other series;</w:t>
      </w:r>
    </w:p>
    <w:p>
      <w:pPr>
        <w:spacing w:after="0" w:line="236" w:lineRule="exact"/>
        <w:rPr>
          <w:rFonts w:ascii="Arial" w:cs="Arial" w:eastAsia="Arial" w:hAnsi="Arial"/>
          <w:sz w:val="17"/>
          <w:szCs w:val="17"/>
          <w:color w:val="auto"/>
        </w:rPr>
      </w:pPr>
    </w:p>
    <w:p>
      <w:pPr>
        <w:ind w:right="40" w:firstLine="332"/>
        <w:spacing w:after="0" w:line="259" w:lineRule="auto"/>
        <w:tabs>
          <w:tab w:leader="none" w:pos="7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spacing w:after="0" w:line="186" w:lineRule="exact"/>
        <w:rPr>
          <w:rFonts w:ascii="Arial" w:cs="Arial" w:eastAsia="Arial" w:hAnsi="Arial"/>
          <w:sz w:val="18"/>
          <w:szCs w:val="18"/>
          <w:color w:val="auto"/>
        </w:rPr>
      </w:pPr>
    </w:p>
    <w:p>
      <w:pPr>
        <w:ind w:left="720" w:hanging="388"/>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(which date or dates may be fixed or extendible);</w:t>
      </w:r>
    </w:p>
    <w:p>
      <w:pPr>
        <w:spacing w:after="0" w:line="225" w:lineRule="exact"/>
        <w:rPr>
          <w:rFonts w:ascii="Arial" w:cs="Arial" w:eastAsia="Arial" w:hAnsi="Arial"/>
          <w:sz w:val="18"/>
          <w:szCs w:val="18"/>
          <w:color w:val="auto"/>
        </w:rPr>
      </w:pPr>
    </w:p>
    <w:p>
      <w:pPr>
        <w:ind w:right="120" w:firstLine="332"/>
        <w:spacing w:after="0" w:line="263" w:lineRule="auto"/>
        <w:tabs>
          <w:tab w:leader="none" w:pos="7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p>
      <w:pPr>
        <w:spacing w:after="0" w:line="183" w:lineRule="exact"/>
        <w:rPr>
          <w:rFonts w:ascii="Arial" w:cs="Arial" w:eastAsia="Arial" w:hAnsi="Arial"/>
          <w:sz w:val="18"/>
          <w:szCs w:val="18"/>
          <w:color w:val="auto"/>
        </w:rPr>
      </w:pPr>
    </w:p>
    <w:p>
      <w:pPr>
        <w:ind w:firstLine="332"/>
        <w:spacing w:after="0" w:line="263" w:lineRule="auto"/>
        <w:tabs>
          <w:tab w:leader="none" w:pos="70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other than as provided in Section 4.02, the place or places where the Principal of and any interest on Securities of the series shall be payable, any Securities of the series may be surrendered for exchange, and notices and demands to or upon the Company in respect of the Securities of the series and this Indenture may be served;</w:t>
      </w:r>
    </w:p>
    <w:p>
      <w:pPr>
        <w:spacing w:after="0" w:line="183" w:lineRule="exact"/>
        <w:rPr>
          <w:rFonts w:ascii="Arial" w:cs="Arial" w:eastAsia="Arial" w:hAnsi="Arial"/>
          <w:sz w:val="18"/>
          <w:szCs w:val="18"/>
          <w:color w:val="auto"/>
        </w:rPr>
      </w:pPr>
    </w:p>
    <w:p>
      <w:pPr>
        <w:jc w:val="both"/>
        <w:ind w:right="180" w:firstLine="332"/>
        <w:spacing w:after="0" w:line="342" w:lineRule="auto"/>
        <w:tabs>
          <w:tab w:leader="none" w:pos="72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spacing w:after="0" w:line="123" w:lineRule="exact"/>
        <w:rPr>
          <w:rFonts w:ascii="Arial" w:cs="Arial" w:eastAsia="Arial" w:hAnsi="Arial"/>
          <w:sz w:val="16"/>
          <w:szCs w:val="16"/>
          <w:color w:val="auto"/>
        </w:rPr>
      </w:pPr>
    </w:p>
    <w:p>
      <w:pPr>
        <w:ind w:right="120" w:firstLine="332"/>
        <w:spacing w:after="0" w:line="311" w:lineRule="auto"/>
        <w:tabs>
          <w:tab w:leader="none" w:pos="75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ind w:left="720" w:hanging="388"/>
        <w:spacing w:after="0"/>
        <w:tabs>
          <w:tab w:leader="none" w:pos="7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other than denominations of $2,000 and any higher integral multiple of $1,000, the denominations in which Securities of the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210" w:lineRule="exact"/>
        <w:rPr>
          <w:rFonts w:ascii="Arial" w:cs="Arial" w:eastAsia="Arial" w:hAnsi="Arial"/>
          <w:sz w:val="16"/>
          <w:szCs w:val="16"/>
          <w:color w:val="auto"/>
        </w:rPr>
      </w:pPr>
    </w:p>
    <w:p>
      <w:pPr>
        <w:ind w:right="100" w:firstLine="332"/>
        <w:spacing w:after="0" w:line="277" w:lineRule="auto"/>
        <w:tabs>
          <w:tab w:leader="none" w:pos="71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w:t>
      </w:r>
    </w:p>
    <w:p>
      <w:pPr>
        <w:spacing w:after="0" w:line="170" w:lineRule="exact"/>
        <w:rPr>
          <w:rFonts w:ascii="Arial" w:cs="Arial" w:eastAsia="Arial" w:hAnsi="Arial"/>
          <w:sz w:val="18"/>
          <w:szCs w:val="18"/>
          <w:color w:val="auto"/>
        </w:rPr>
      </w:pPr>
    </w:p>
    <w:p>
      <w:pPr>
        <w:jc w:val="both"/>
        <w:ind w:right="60" w:firstLine="332"/>
        <w:spacing w:after="0" w:line="259" w:lineRule="auto"/>
        <w:tabs>
          <w:tab w:leader="none" w:pos="71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spacing w:after="0" w:line="186" w:lineRule="exact"/>
        <w:rPr>
          <w:rFonts w:ascii="Arial" w:cs="Arial" w:eastAsia="Arial" w:hAnsi="Arial"/>
          <w:sz w:val="18"/>
          <w:szCs w:val="18"/>
          <w:color w:val="auto"/>
        </w:rPr>
      </w:pPr>
    </w:p>
    <w:p>
      <w:pPr>
        <w:ind w:right="160" w:firstLine="332"/>
        <w:spacing w:after="0" w:line="263" w:lineRule="auto"/>
        <w:tabs>
          <w:tab w:leader="none" w:pos="75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spacing w:after="0" w:line="183" w:lineRule="exact"/>
        <w:rPr>
          <w:rFonts w:ascii="Arial" w:cs="Arial" w:eastAsia="Arial" w:hAnsi="Arial"/>
          <w:sz w:val="18"/>
          <w:szCs w:val="18"/>
          <w:color w:val="auto"/>
        </w:rPr>
      </w:pPr>
    </w:p>
    <w:p>
      <w:pPr>
        <w:ind w:left="780" w:hanging="448"/>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whether the Securities of the series or any portion thereof will be issuable as Registered Global Securities;</w:t>
      </w:r>
    </w:p>
    <w:p>
      <w:pPr>
        <w:spacing w:after="0" w:line="225" w:lineRule="exact"/>
        <w:rPr>
          <w:rFonts w:ascii="Arial" w:cs="Arial" w:eastAsia="Arial" w:hAnsi="Arial"/>
          <w:sz w:val="18"/>
          <w:szCs w:val="18"/>
          <w:color w:val="auto"/>
        </w:rPr>
      </w:pPr>
    </w:p>
    <w:p>
      <w:pPr>
        <w:ind w:left="780" w:hanging="448"/>
        <w:spacing w:after="0"/>
        <w:tabs>
          <w:tab w:leader="none" w:pos="7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whether the Securities of the series may be exchangeable for and/or convertible into the common stock of the Company or any other security;</w:t>
      </w:r>
    </w:p>
    <w:p>
      <w:pPr>
        <w:spacing w:after="0" w:line="248" w:lineRule="exact"/>
        <w:rPr>
          <w:rFonts w:ascii="Arial" w:cs="Arial" w:eastAsia="Arial" w:hAnsi="Arial"/>
          <w:sz w:val="16"/>
          <w:szCs w:val="16"/>
          <w:color w:val="auto"/>
        </w:rPr>
      </w:pPr>
    </w:p>
    <w:p>
      <w:pPr>
        <w:ind w:right="40" w:firstLine="332"/>
        <w:spacing w:after="0" w:line="263" w:lineRule="auto"/>
        <w:tabs>
          <w:tab w:leader="none" w:pos="75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spacing w:after="0" w:line="183" w:lineRule="exact"/>
        <w:rPr>
          <w:rFonts w:ascii="Arial" w:cs="Arial" w:eastAsia="Arial" w:hAnsi="Arial"/>
          <w:sz w:val="18"/>
          <w:szCs w:val="18"/>
          <w:color w:val="auto"/>
        </w:rPr>
      </w:pPr>
    </w:p>
    <w:p>
      <w:pPr>
        <w:jc w:val="both"/>
        <w:ind w:right="60" w:firstLine="332"/>
        <w:spacing w:after="0" w:line="263" w:lineRule="auto"/>
        <w:tabs>
          <w:tab w:leader="none" w:pos="75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83" w:lineRule="exact"/>
        <w:rPr>
          <w:rFonts w:ascii="Arial" w:cs="Arial" w:eastAsia="Arial" w:hAnsi="Arial"/>
          <w:sz w:val="18"/>
          <w:szCs w:val="18"/>
          <w:color w:val="auto"/>
        </w:rPr>
      </w:pPr>
    </w:p>
    <w:p>
      <w:pPr>
        <w:ind w:left="760" w:hanging="428"/>
        <w:spacing w:after="0"/>
        <w:tabs>
          <w:tab w:leader="none" w:pos="7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trustees, depositaries, authenticating or paying agents, transfer agents or the registrar or any other agents with respect to the Securities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210" w:lineRule="exact"/>
        <w:rPr>
          <w:rFonts w:ascii="Arial" w:cs="Arial" w:eastAsia="Arial" w:hAnsi="Arial"/>
          <w:sz w:val="16"/>
          <w:szCs w:val="16"/>
          <w:color w:val="auto"/>
        </w:rPr>
      </w:pPr>
    </w:p>
    <w:p>
      <w:pPr>
        <w:jc w:val="both"/>
        <w:ind w:right="140" w:firstLine="332"/>
        <w:spacing w:after="0" w:line="342" w:lineRule="auto"/>
        <w:tabs>
          <w:tab w:leader="none" w:pos="75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spacing w:after="0" w:line="123" w:lineRule="exact"/>
        <w:rPr>
          <w:rFonts w:ascii="Arial" w:cs="Arial" w:eastAsia="Arial" w:hAnsi="Arial"/>
          <w:sz w:val="16"/>
          <w:szCs w:val="16"/>
          <w:color w:val="auto"/>
        </w:rPr>
      </w:pPr>
    </w:p>
    <w:p>
      <w:pPr>
        <w:ind w:right="520" w:firstLine="332"/>
        <w:spacing w:after="0" w:line="277" w:lineRule="auto"/>
        <w:tabs>
          <w:tab w:leader="none" w:pos="77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Securities of the series are issuable in whole or in part as one or more Registered Global Securities, the identity of the Depositary or common Depositary for such Registered Global Security or Securities;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other or alternative Events of Default or covenants with respect to the Securities of the series; and</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other terms of the Securities of the series.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spacing w:after="0" w:line="192"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spacing w:after="0" w:line="12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Denomination and Date of Securities; Payments of Interest</w:t>
      </w:r>
      <w:r>
        <w:rPr>
          <w:rFonts w:ascii="Arial" w:cs="Arial" w:eastAsia="Arial" w:hAnsi="Arial"/>
          <w:sz w:val="17"/>
          <w:szCs w:val="17"/>
          <w:color w:val="auto"/>
        </w:rPr>
        <w:t>. 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5" w:name="page146"/>
    <w:bookmarkEnd w:id="145"/>
    <w:p>
      <w:pPr>
        <w:ind w:firstLine="324"/>
        <w:spacing w:after="0" w:line="308" w:lineRule="auto"/>
        <w:rPr>
          <w:sz w:val="20"/>
          <w:szCs w:val="20"/>
          <w:color w:val="auto"/>
        </w:rPr>
      </w:pPr>
      <w:r>
        <w:rPr>
          <w:rFonts w:ascii="Arial" w:cs="Arial" w:eastAsia="Arial" w:hAnsi="Arial"/>
          <w:sz w:val="17"/>
          <w:szCs w:val="17"/>
          <w:color w:val="auto"/>
        </w:rPr>
        <w:t>Unless otherwise specified with respect to a series of Securities, each Security shall be dated the date of its authentication. The Securities of each series shall bear interest, if any, from the date, and such interest shall be payable on the dates, established as contemplated by Section 2.03.</w:t>
      </w:r>
    </w:p>
    <w:p>
      <w:pPr>
        <w:spacing w:after="0" w:line="146"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w:t>
      </w:r>
      <w:r>
        <w:rPr>
          <w:rFonts w:ascii="Arial" w:cs="Arial" w:eastAsia="Arial" w:hAnsi="Arial"/>
          <w:sz w:val="16"/>
          <w:szCs w:val="16"/>
          <w:b w:val="1"/>
          <w:bCs w:val="1"/>
          <w:color w:val="auto"/>
        </w:rPr>
        <w:t>record date</w:t>
      </w:r>
      <w:r>
        <w:rPr>
          <w:rFonts w:ascii="Arial" w:cs="Arial" w:eastAsia="Arial" w:hAnsi="Arial"/>
          <w:sz w:val="16"/>
          <w:szCs w:val="16"/>
          <w:color w:val="auto"/>
        </w:rPr>
        <w:t>”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the fifteenth day next preceding such interest payment date, whether or not such record date is a Business Day.</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Registrar and Paying Agent; Agents Generally</w:t>
      </w:r>
      <w:r>
        <w:rPr>
          <w:rFonts w:ascii="Arial" w:cs="Arial" w:eastAsia="Arial" w:hAnsi="Arial"/>
          <w:sz w:val="18"/>
          <w:szCs w:val="18"/>
          <w:color w:val="auto"/>
        </w:rPr>
        <w:t>. The Company shall maintain an office or agency where Securities may be presented for registration, registration of transfer or for exchange (the “</w:t>
      </w:r>
      <w:r>
        <w:rPr>
          <w:rFonts w:ascii="Arial" w:cs="Arial" w:eastAsia="Arial" w:hAnsi="Arial"/>
          <w:sz w:val="18"/>
          <w:szCs w:val="18"/>
          <w:b w:val="1"/>
          <w:bCs w:val="1"/>
          <w:color w:val="auto"/>
        </w:rPr>
        <w:t>Registrar</w:t>
      </w:r>
      <w:r>
        <w:rPr>
          <w:rFonts w:ascii="Arial" w:cs="Arial" w:eastAsia="Arial" w:hAnsi="Arial"/>
          <w:sz w:val="18"/>
          <w:szCs w:val="18"/>
          <w:color w:val="auto"/>
        </w:rPr>
        <w:t>”) and an office or agency where Securities may be presented for payment (the “</w:t>
      </w:r>
      <w:r>
        <w:rPr>
          <w:rFonts w:ascii="Arial" w:cs="Arial" w:eastAsia="Arial" w:hAnsi="Arial"/>
          <w:sz w:val="18"/>
          <w:szCs w:val="18"/>
          <w:b w:val="1"/>
          <w:bCs w:val="1"/>
          <w:color w:val="auto"/>
        </w:rPr>
        <w:t>Paying</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 which shall be in the United States of America. The Company shall cause the Registrar to keep a register of the Securities and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transfer and exchange (the “</w:t>
      </w:r>
      <w:r>
        <w:rPr>
          <w:rFonts w:ascii="Arial" w:cs="Arial" w:eastAsia="Arial" w:hAnsi="Arial"/>
          <w:sz w:val="18"/>
          <w:szCs w:val="18"/>
          <w:b w:val="1"/>
          <w:bCs w:val="1"/>
          <w:color w:val="auto"/>
        </w:rPr>
        <w:t>Security Register</w:t>
      </w:r>
      <w:r>
        <w:rPr>
          <w:rFonts w:ascii="Arial" w:cs="Arial" w:eastAsia="Arial" w:hAnsi="Arial"/>
          <w:sz w:val="18"/>
          <w:szCs w:val="18"/>
          <w:color w:val="auto"/>
        </w:rPr>
        <w:t>”). The Company may have one or more additional Paying Agents or transfer agents with respect to any series.</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provided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provided that neither the Company nor an Affiliate of the Company shall act as Paying Agent in connection with the defeasance of the Securities or the discharge of this Indenture under Article 8.</w:t>
      </w:r>
    </w:p>
    <w:p>
      <w:pPr>
        <w:spacing w:after="0" w:line="18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spacing w:after="0" w:line="184"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Paying Agent to Hold Money in Trust</w:t>
      </w:r>
      <w:r>
        <w:rPr>
          <w:rFonts w:ascii="Arial" w:cs="Arial" w:eastAsia="Arial" w:hAnsi="Arial"/>
          <w:sz w:val="16"/>
          <w:szCs w:val="16"/>
          <w:color w:val="auto"/>
        </w:rPr>
        <w:t>.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6" w:name="page147"/>
    <w:bookmarkEnd w:id="146"/>
    <w:p>
      <w:pPr>
        <w:ind w:right="80" w:firstLine="324"/>
        <w:spacing w:after="0" w:line="270" w:lineRule="auto"/>
        <w:rPr>
          <w:sz w:val="20"/>
          <w:szCs w:val="20"/>
          <w:color w:val="auto"/>
        </w:rPr>
      </w:pPr>
      <w:r>
        <w:rPr>
          <w:rFonts w:ascii="Arial" w:cs="Arial" w:eastAsia="Arial" w:hAnsi="Arial"/>
          <w:sz w:val="17"/>
          <w:szCs w:val="17"/>
          <w:color w:val="auto"/>
        </w:rPr>
        <w:t>Section 2.07. T</w:t>
      </w:r>
      <w:r>
        <w:rPr>
          <w:rFonts w:ascii="Arial" w:cs="Arial" w:eastAsia="Arial" w:hAnsi="Arial"/>
          <w:sz w:val="17"/>
          <w:szCs w:val="17"/>
          <w:i w:val="1"/>
          <w:iCs w:val="1"/>
          <w:color w:val="auto"/>
        </w:rPr>
        <w:t>ransfer and Exchange</w:t>
      </w:r>
      <w:r>
        <w:rPr>
          <w:rFonts w:ascii="Arial" w:cs="Arial" w:eastAsia="Arial" w:hAnsi="Arial"/>
          <w:sz w:val="17"/>
          <w:szCs w:val="17"/>
          <w:color w:val="auto"/>
        </w:rPr>
        <w:t>. 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 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spacing w:after="0" w:line="18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 may require payment of a sum sufficient to cover any tax or other governmental charge that may be imposed in connection with any exchange or registration of transfer of Securities. No service charge shall be made for any such transaction.</w:t>
      </w:r>
    </w:p>
    <w:p>
      <w:pPr>
        <w:spacing w:after="0" w:line="17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spacing w:after="0" w:line="18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spacing w:after="0" w:line="18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ind w:right="220" w:firstLine="332"/>
        <w:spacing w:after="0" w:line="342" w:lineRule="auto"/>
        <w:tabs>
          <w:tab w:leader="none" w:pos="56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p>
      <w:pPr>
        <w:spacing w:after="0" w:line="123" w:lineRule="exact"/>
        <w:rPr>
          <w:rFonts w:ascii="Arial" w:cs="Arial" w:eastAsia="Arial" w:hAnsi="Arial"/>
          <w:sz w:val="16"/>
          <w:szCs w:val="16"/>
          <w:color w:val="auto"/>
        </w:rPr>
      </w:pPr>
    </w:p>
    <w:p>
      <w:pPr>
        <w:ind w:right="380" w:firstLine="332"/>
        <w:spacing w:after="0" w:line="263" w:lineRule="auto"/>
        <w:tabs>
          <w:tab w:leader="none" w:pos="57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w:t>
      </w:r>
    </w:p>
    <w:p>
      <w:pPr>
        <w:spacing w:after="0" w:line="18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70"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spacing w:after="0" w:line="124"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Replacement Securities</w:t>
      </w:r>
      <w:r>
        <w:rPr>
          <w:rFonts w:ascii="Arial" w:cs="Arial" w:eastAsia="Arial" w:hAnsi="Arial"/>
          <w:sz w:val="18"/>
          <w:szCs w:val="18"/>
          <w:color w:val="auto"/>
        </w:rPr>
        <w:t>.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spacing w:after="0" w:line="188"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any other rights and remedies with respect to the replacement or payment of mutilated, destroyed, lost or stolen Securities.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Outstanding Securities</w:t>
      </w:r>
      <w:r>
        <w:rPr>
          <w:rFonts w:ascii="Arial" w:cs="Arial" w:eastAsia="Arial" w:hAnsi="Arial"/>
          <w:sz w:val="18"/>
          <w:szCs w:val="18"/>
          <w:color w:val="auto"/>
        </w:rPr>
        <w:t>. Securities outstanding at any time are all Securities that have been authenticated by the Trustee except for those cancelled by it, those delivered to it for cancellation, those described in this Section as not outstanding and those that have been defeased pursuant to Section 8.05. If a Security is replaced pursuant to Section 2.08, it ceases to be outstanding unless and until the Trustee and the Company receive proof satisfactory to them that the replaced Security is held by a holder in due course.</w:t>
      </w:r>
    </w:p>
    <w:p>
      <w:pPr>
        <w:spacing w:after="0" w:line="187"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ind w:right="20" w:firstLine="324"/>
        <w:spacing w:after="0" w:line="290" w:lineRule="auto"/>
        <w:rPr>
          <w:sz w:val="20"/>
          <w:szCs w:val="20"/>
          <w:color w:val="auto"/>
        </w:rPr>
      </w:pPr>
      <w:r>
        <w:rPr>
          <w:rFonts w:ascii="Arial" w:cs="Arial" w:eastAsia="Arial" w:hAnsi="Arial"/>
          <w:sz w:val="16"/>
          <w:szCs w:val="16"/>
          <w:color w:val="auto"/>
        </w:rPr>
        <w:t xml:space="preserve">A Security does not cease to be outstanding because the Company or one of its affiliates holds such Security,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spacing w:after="0" w:line="16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Temporary Securities</w:t>
      </w:r>
      <w:r>
        <w:rPr>
          <w:rFonts w:ascii="Arial" w:cs="Arial" w:eastAsia="Arial" w:hAnsi="Arial"/>
          <w:sz w:val="17"/>
          <w:szCs w:val="17"/>
          <w:color w:val="auto"/>
        </w:rPr>
        <w:t>.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spacing w:after="0" w:line="18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Cancellation</w:t>
      </w:r>
      <w:r>
        <w:rPr>
          <w:rFonts w:ascii="Arial" w:cs="Arial" w:eastAsia="Arial" w:hAnsi="Arial"/>
          <w:sz w:val="16"/>
          <w:szCs w:val="16"/>
          <w:color w:val="auto"/>
        </w:rPr>
        <w:t>.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spacing w:after="0" w:line="16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r>
        <w:rPr>
          <w:rFonts w:ascii="Arial" w:cs="Arial" w:eastAsia="Arial" w:hAnsi="Arial"/>
          <w:sz w:val="18"/>
          <w:szCs w:val="18"/>
          <w:color w:val="auto"/>
        </w:rPr>
        <w:t>. 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i w:val="1"/>
          <w:iCs w:val="1"/>
          <w:color w:val="auto"/>
        </w:rPr>
        <w:t>Defaulted Interest</w:t>
      </w:r>
      <w:r>
        <w:rPr>
          <w:rFonts w:ascii="Arial" w:cs="Arial" w:eastAsia="Arial" w:hAnsi="Arial"/>
          <w:sz w:val="17"/>
          <w:szCs w:val="17"/>
          <w:color w:val="auto"/>
        </w:rPr>
        <w:t>.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spacing w:after="0" w:line="174"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i w:val="1"/>
          <w:iCs w:val="1"/>
          <w:color w:val="auto"/>
        </w:rPr>
        <w:t>Series May Include Tranches</w:t>
      </w:r>
      <w:r>
        <w:rPr>
          <w:rFonts w:ascii="Arial" w:cs="Arial" w:eastAsia="Arial" w:hAnsi="Arial"/>
          <w:sz w:val="17"/>
          <w:szCs w:val="17"/>
          <w:color w:val="auto"/>
        </w:rPr>
        <w:t>. A series of Securities may include one or more tranches (each a “</w:t>
      </w:r>
      <w:r>
        <w:rPr>
          <w:rFonts w:ascii="Arial" w:cs="Arial" w:eastAsia="Arial" w:hAnsi="Arial"/>
          <w:sz w:val="17"/>
          <w:szCs w:val="17"/>
          <w:b w:val="1"/>
          <w:bCs w:val="1"/>
          <w:color w:val="auto"/>
        </w:rPr>
        <w:t>tranche</w:t>
      </w:r>
      <w:r>
        <w:rPr>
          <w:rFonts w:ascii="Arial" w:cs="Arial" w:eastAsia="Arial" w:hAnsi="Arial"/>
          <w:sz w:val="17"/>
          <w:szCs w:val="17"/>
          <w:color w:val="auto"/>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 Notwithstanding any other provision of this Indenture, with respect to Sections 2.02 (other than the fourth, sixth and seventh paragraphs thereof) through 2.04, 2.07, 2.08, 2.10, 3.01 through 3.05, 4.02, 6.01 through 6.14, 8.01 through 8.07, 9.02 and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 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EDEMPTION</w:t>
      </w:r>
    </w:p>
    <w:p>
      <w:pPr>
        <w:spacing w:after="0" w:line="21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The provisions of this Article shall be applicable to the Securities of any series that are redeemable before their maturity or to any sinking fund for the retirement of Securities of a series except as otherwise specified as contemplated by Section 2.03 for Securities of such series.</w:t>
      </w:r>
    </w:p>
    <w:p>
      <w:pPr>
        <w:spacing w:after="0" w:line="18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i w:val="1"/>
          <w:iCs w:val="1"/>
          <w:color w:val="auto"/>
        </w:rPr>
        <w:t>Notice of Redemption; Partial Redemptions</w:t>
      </w:r>
      <w:r>
        <w:rPr>
          <w:rFonts w:ascii="Arial" w:cs="Arial" w:eastAsia="Arial" w:hAnsi="Arial"/>
          <w:sz w:val="17"/>
          <w:szCs w:val="17"/>
          <w:color w:val="auto"/>
        </w:rPr>
        <w:t>.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7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spacing w:after="0" w:line="17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notice of redemption of Securities of any series to be redeemed at the option of the Company shall be given by the Company or, at the Company’s request, by the Trustee in the name and at the expense of the Company.</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firstLine="324"/>
        <w:spacing w:after="0" w:line="293" w:lineRule="auto"/>
        <w:rPr>
          <w:sz w:val="20"/>
          <w:szCs w:val="20"/>
          <w:color w:val="auto"/>
        </w:rPr>
      </w:pPr>
      <w:r>
        <w:rPr>
          <w:rFonts w:ascii="Arial" w:cs="Arial" w:eastAsia="Arial" w:hAnsi="Arial"/>
          <w:sz w:val="16"/>
          <w:szCs w:val="16"/>
          <w:color w:val="auto"/>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4" w:lineRule="exact"/>
        <w:rPr>
          <w:sz w:val="20"/>
          <w:szCs w:val="20"/>
          <w:color w:val="auto"/>
        </w:rPr>
      </w:pPr>
    </w:p>
    <w:p>
      <w:pPr>
        <w:ind w:right="220" w:firstLine="324"/>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Company at the applicable redemption price, together with interest accrued thereon to the date fixed for redemption; provided that payment of interest becoming due on or prior to the date fixed for redemption shall be payable to the Holders registered as such on the relevant record date subject to the terms and provisions of Sections 2.04 and 2.13 hereof.</w:t>
      </w:r>
    </w:p>
    <w:p>
      <w:pPr>
        <w:spacing w:after="0" w:line="18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84"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spacing w:after="0" w:line="184"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Exclusion of Certain Securities from Eligibility for Selection for Redemption</w:t>
      </w:r>
      <w:r>
        <w:rPr>
          <w:rFonts w:ascii="Arial" w:cs="Arial" w:eastAsia="Arial" w:hAnsi="Arial"/>
          <w:sz w:val="16"/>
          <w:szCs w:val="16"/>
          <w:color w:val="auto"/>
        </w:rPr>
        <w:t>.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spacing w:after="0" w:line="16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The minimum amount of any sinking fund payment provided for by the terms of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the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Company may at its option</w:t>
      </w:r>
    </w:p>
    <w:p>
      <w:pPr>
        <w:spacing w:after="0" w:line="46" w:lineRule="exact"/>
        <w:rPr>
          <w:sz w:val="20"/>
          <w:szCs w:val="20"/>
          <w:color w:val="auto"/>
        </w:rPr>
      </w:pPr>
    </w:p>
    <w:p>
      <w:pPr>
        <w:ind w:right="20" w:firstLine="8"/>
        <w:spacing w:after="0" w:line="270" w:lineRule="auto"/>
        <w:tabs>
          <w:tab w:leader="none" w:pos="24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1" w:name="page152"/>
    <w:bookmarkEnd w:id="151"/>
    <w:p>
      <w:pPr>
        <w:ind w:firstLine="324"/>
        <w:spacing w:after="0" w:line="286" w:lineRule="auto"/>
        <w:rPr>
          <w:sz w:val="20"/>
          <w:szCs w:val="20"/>
          <w:color w:val="auto"/>
        </w:rPr>
      </w:pPr>
      <w:r>
        <w:rPr>
          <w:rFonts w:ascii="Arial" w:cs="Arial" w:eastAsia="Arial" w:hAnsi="Arial"/>
          <w:sz w:val="16"/>
          <w:szCs w:val="16"/>
          <w:color w:val="auto"/>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spacing w:after="0" w:line="167" w:lineRule="exact"/>
        <w:rPr>
          <w:sz w:val="20"/>
          <w:szCs w:val="20"/>
          <w:color w:val="auto"/>
        </w:rPr>
      </w:pPr>
    </w:p>
    <w:p>
      <w:pPr>
        <w:ind w:right="60" w:firstLine="324"/>
        <w:spacing w:after="0" w:line="267" w:lineRule="auto"/>
        <w:rPr>
          <w:sz w:val="20"/>
          <w:szCs w:val="20"/>
          <w:color w:val="auto"/>
        </w:rPr>
      </w:pPr>
      <w:r>
        <w:rPr>
          <w:rFonts w:ascii="Arial" w:cs="Arial" w:eastAsia="Arial" w:hAnsi="Arial"/>
          <w:sz w:val="17"/>
          <w:szCs w:val="17"/>
          <w:color w:val="auto"/>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 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88"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spacing w:after="0" w:line="18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OVENANTS</w:t>
      </w:r>
    </w:p>
    <w:p>
      <w:pPr>
        <w:spacing w:after="0" w:line="21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Payment of Securities</w:t>
      </w:r>
      <w:r>
        <w:rPr>
          <w:rFonts w:ascii="Arial" w:cs="Arial" w:eastAsia="Arial" w:hAnsi="Arial"/>
          <w:sz w:val="17"/>
          <w:szCs w:val="17"/>
          <w:color w:val="auto"/>
        </w:rPr>
        <w:t>.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such Holders at their last addresses as they appear on the Security Register of the Company.</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spacing w:after="0" w:line="17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Company shall pay interest on overdue Principal, and interest on overdue installments of interest, to the extent lawful, at the rate per annum specified in the Securities.</w:t>
      </w:r>
    </w:p>
    <w:p>
      <w:pPr>
        <w:spacing w:after="0" w:line="170"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Maintenance of Office or Agency</w:t>
      </w:r>
      <w:r>
        <w:rPr>
          <w:rFonts w:ascii="Arial" w:cs="Arial" w:eastAsia="Arial" w:hAnsi="Arial"/>
          <w:sz w:val="17"/>
          <w:szCs w:val="17"/>
          <w:color w:val="auto"/>
        </w:rPr>
        <w:t>.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spacing w:after="0" w:line="178"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spacing w:after="0" w:line="15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Securityholders’ Lists</w:t>
      </w:r>
      <w:r>
        <w:rPr>
          <w:rFonts w:ascii="Arial" w:cs="Arial" w:eastAsia="Arial" w:hAnsi="Arial"/>
          <w:sz w:val="18"/>
          <w:szCs w:val="18"/>
          <w:color w:val="auto"/>
        </w:rPr>
        <w:t>. The Company will furnish or cause to be furnished to the Trustee a list in such form as the Trustee may reasonably require of the names and addresses of the holders of the Securities pursuant to Section 312 of the Trust Indenture Act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ind w:right="80" w:firstLine="324"/>
        <w:spacing w:after="0" w:line="25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Certificate to Trustee</w:t>
      </w:r>
      <w:r>
        <w:rPr>
          <w:rFonts w:ascii="Arial" w:cs="Arial" w:eastAsia="Arial" w:hAnsi="Arial"/>
          <w:sz w:val="18"/>
          <w:szCs w:val="18"/>
          <w:color w:val="auto"/>
        </w:rPr>
        <w:t>. 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spacing w:after="0" w:line="188"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Reports by the Company</w:t>
      </w:r>
      <w:r>
        <w:rPr>
          <w:rFonts w:ascii="Arial" w:cs="Arial" w:eastAsia="Arial" w:hAnsi="Arial"/>
          <w:sz w:val="18"/>
          <w:szCs w:val="18"/>
          <w:color w:val="auto"/>
        </w:rPr>
        <w:t>.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UCCESSOR</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1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When Company May Merge, Etc.</w:t>
      </w:r>
      <w:r>
        <w:rPr>
          <w:rFonts w:ascii="Arial" w:cs="Arial" w:eastAsia="Arial" w:hAnsi="Arial"/>
          <w:sz w:val="16"/>
          <w:szCs w:val="16"/>
          <w:color w:val="auto"/>
        </w:rPr>
        <w:t xml:space="preserve"> 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spacing w:after="0" w:line="149" w:lineRule="exact"/>
        <w:rPr>
          <w:sz w:val="20"/>
          <w:szCs w:val="20"/>
          <w:color w:val="auto"/>
        </w:rPr>
      </w:pPr>
    </w:p>
    <w:p>
      <w:pPr>
        <w:ind w:right="480" w:firstLine="332"/>
        <w:spacing w:after="0" w:line="263" w:lineRule="auto"/>
        <w:tabs>
          <w:tab w:leader="none" w:pos="56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shall be the continuing Person or, if the Company is not the continuing Person, the resulting, surviving or transferee Person (the “</w:t>
      </w:r>
      <w:r>
        <w:rPr>
          <w:rFonts w:ascii="Arial" w:cs="Arial" w:eastAsia="Arial" w:hAnsi="Arial"/>
          <w:sz w:val="18"/>
          <w:szCs w:val="18"/>
          <w:b w:val="1"/>
          <w:bCs w:val="1"/>
          <w:color w:val="auto"/>
        </w:rPr>
        <w:t>Surviving Entity</w:t>
      </w:r>
      <w:r>
        <w:rPr>
          <w:rFonts w:ascii="Arial" w:cs="Arial" w:eastAsia="Arial" w:hAnsi="Arial"/>
          <w:sz w:val="18"/>
          <w:szCs w:val="18"/>
          <w:color w:val="auto"/>
        </w:rPr>
        <w:t>”) is a company organized and existing under the laws of any member state of the European Union, Israel or the United States of America or any State or territory thereof;</w:t>
      </w:r>
    </w:p>
    <w:p>
      <w:pPr>
        <w:spacing w:after="0" w:line="183" w:lineRule="exact"/>
        <w:rPr>
          <w:rFonts w:ascii="Arial" w:cs="Arial" w:eastAsia="Arial" w:hAnsi="Arial"/>
          <w:sz w:val="18"/>
          <w:szCs w:val="18"/>
          <w:color w:val="auto"/>
        </w:rPr>
      </w:pPr>
    </w:p>
    <w:p>
      <w:pPr>
        <w:ind w:firstLine="332"/>
        <w:spacing w:after="0" w:line="263" w:lineRule="auto"/>
        <w:tabs>
          <w:tab w:leader="none" w:pos="57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p>
      <w:pPr>
        <w:spacing w:after="0" w:line="183" w:lineRule="exact"/>
        <w:rPr>
          <w:rFonts w:ascii="Arial" w:cs="Arial" w:eastAsia="Arial" w:hAnsi="Arial"/>
          <w:sz w:val="18"/>
          <w:szCs w:val="18"/>
          <w:color w:val="auto"/>
        </w:rPr>
      </w:pPr>
    </w:p>
    <w:p>
      <w:pPr>
        <w:ind w:left="580" w:hanging="248"/>
        <w:spacing w:after="0"/>
        <w:tabs>
          <w:tab w:leader="none" w:pos="5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4" w:name="page155"/>
    <w:bookmarkEnd w:id="154"/>
    <w:p>
      <w:pPr>
        <w:ind w:right="80" w:firstLine="332"/>
        <w:spacing w:after="0" w:line="257" w:lineRule="auto"/>
        <w:tabs>
          <w:tab w:leader="none" w:pos="57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or the Surviving Entity shall have delivered to the Trustee an Officers’ Certificate and Opinion of Counsel stating that (x) 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Substituted</w:t>
      </w:r>
      <w:r>
        <w:rPr>
          <w:rFonts w:ascii="Arial" w:cs="Arial" w:eastAsia="Arial" w:hAnsi="Arial"/>
          <w:sz w:val="18"/>
          <w:szCs w:val="18"/>
          <w:color w:val="auto"/>
        </w:rPr>
        <w:t>. 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EFAULT AND</w:t>
      </w:r>
      <w:r>
        <w:rPr>
          <w:rFonts w:ascii="Arial" w:cs="Arial" w:eastAsia="Arial" w:hAnsi="Arial"/>
          <w:sz w:val="18"/>
          <w:szCs w:val="18"/>
          <w:color w:val="auto"/>
        </w:rPr>
        <w:t xml:space="preserve"> R</w:t>
      </w:r>
      <w:r>
        <w:rPr>
          <w:rFonts w:ascii="Arial" w:cs="Arial" w:eastAsia="Arial" w:hAnsi="Arial"/>
          <w:sz w:val="12"/>
          <w:szCs w:val="12"/>
          <w:color w:val="auto"/>
        </w:rPr>
        <w:t>EMEDIES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 with respect to the Securities of any series if:</w:t>
      </w:r>
    </w:p>
    <w:p>
      <w:pPr>
        <w:spacing w:after="0" w:line="229" w:lineRule="exact"/>
        <w:rPr>
          <w:sz w:val="20"/>
          <w:szCs w:val="20"/>
          <w:color w:val="auto"/>
        </w:rPr>
      </w:pPr>
    </w:p>
    <w:p>
      <w:pPr>
        <w:ind w:right="360" w:firstLine="332"/>
        <w:spacing w:after="0" w:line="277" w:lineRule="auto"/>
        <w:tabs>
          <w:tab w:leader="none" w:pos="56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any Security of such series when the same becomes due and payable at maturity, upon acceleration, redemption or mandatory repurchase, including as a sinking fund installment, or otherwise;</w:t>
      </w:r>
    </w:p>
    <w:p>
      <w:pPr>
        <w:spacing w:after="0" w:line="170" w:lineRule="exact"/>
        <w:rPr>
          <w:rFonts w:ascii="Arial" w:cs="Arial" w:eastAsia="Arial" w:hAnsi="Arial"/>
          <w:sz w:val="18"/>
          <w:szCs w:val="18"/>
          <w:color w:val="auto"/>
        </w:rPr>
      </w:pPr>
    </w:p>
    <w:p>
      <w:pPr>
        <w:ind w:right="700" w:firstLine="332"/>
        <w:spacing w:after="0" w:line="277" w:lineRule="auto"/>
        <w:tabs>
          <w:tab w:leader="none" w:pos="57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defaults in the payment of interest on any Security of such series when the same becomes due and payable, and such default continues for a period of 30 days;</w:t>
      </w:r>
    </w:p>
    <w:p>
      <w:pPr>
        <w:spacing w:after="0" w:line="170" w:lineRule="exact"/>
        <w:rPr>
          <w:rFonts w:ascii="Arial" w:cs="Arial" w:eastAsia="Arial" w:hAnsi="Arial"/>
          <w:sz w:val="18"/>
          <w:szCs w:val="18"/>
          <w:color w:val="auto"/>
        </w:rPr>
      </w:pPr>
    </w:p>
    <w:p>
      <w:pPr>
        <w:ind w:right="80" w:firstLine="332"/>
        <w:spacing w:after="0" w:line="296" w:lineRule="auto"/>
        <w:tabs>
          <w:tab w:leader="none" w:pos="56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spacing w:after="0" w:line="161" w:lineRule="exact"/>
        <w:rPr>
          <w:rFonts w:ascii="Arial" w:cs="Arial" w:eastAsia="Arial" w:hAnsi="Arial"/>
          <w:sz w:val="16"/>
          <w:szCs w:val="16"/>
          <w:color w:val="auto"/>
        </w:rPr>
      </w:pPr>
    </w:p>
    <w:p>
      <w:pPr>
        <w:ind w:right="140" w:firstLine="332"/>
        <w:spacing w:after="0" w:line="259" w:lineRule="auto"/>
        <w:tabs>
          <w:tab w:leader="none" w:pos="57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spacing w:after="0" w:line="186" w:lineRule="exact"/>
        <w:rPr>
          <w:rFonts w:ascii="Arial" w:cs="Arial" w:eastAsia="Arial" w:hAnsi="Arial"/>
          <w:sz w:val="18"/>
          <w:szCs w:val="18"/>
          <w:color w:val="auto"/>
        </w:rPr>
      </w:pPr>
    </w:p>
    <w:p>
      <w:pPr>
        <w:ind w:right="80" w:firstLine="332"/>
        <w:spacing w:after="0" w:line="259" w:lineRule="auto"/>
        <w:tabs>
          <w:tab w:leader="none" w:pos="56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spacing w:after="0" w:line="186" w:lineRule="exact"/>
        <w:rPr>
          <w:rFonts w:ascii="Arial" w:cs="Arial" w:eastAsia="Arial" w:hAnsi="Arial"/>
          <w:sz w:val="18"/>
          <w:szCs w:val="18"/>
          <w:color w:val="auto"/>
        </w:rPr>
      </w:pPr>
    </w:p>
    <w:p>
      <w:pPr>
        <w:ind w:left="560" w:hanging="228"/>
        <w:spacing w:after="0"/>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other Event of Default established pursuant to Section 2.03 with respect to the Securities of such series occurs.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Acceleration</w:t>
      </w:r>
      <w:r>
        <w:rPr>
          <w:rFonts w:ascii="Arial" w:cs="Arial" w:eastAsia="Arial" w:hAnsi="Arial"/>
          <w:sz w:val="17"/>
          <w:szCs w:val="17"/>
          <w:color w:val="auto"/>
        </w:rPr>
        <w:t>. (a) If an Event of Default other than as described in clauses (d) or (e) of Section 6.01 with respect to the Securities of any series then outstanding occurs and is continuing, then, and in each and every such case, except for 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the affected series, and the interest accrued thereon, if any, to be due and payable immediately, and upon any such declaration the same shall become immediately due and payable.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5" w:name="page156"/>
    <w:bookmarkEnd w:id="155"/>
    <w:p>
      <w:pPr>
        <w:jc w:val="both"/>
        <w:ind w:right="80" w:firstLine="332"/>
        <w:spacing w:after="0" w:line="259" w:lineRule="auto"/>
        <w:tabs>
          <w:tab w:leader="none" w:pos="57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declaration, notice or other action by any Holder or the Trustee, to the full extent permitted by applicable law.</w:t>
      </w:r>
    </w:p>
    <w:p>
      <w:pPr>
        <w:spacing w:after="0" w:line="187"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and interest on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8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2"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Other Remedies</w:t>
      </w:r>
      <w:r>
        <w:rPr>
          <w:rFonts w:ascii="Arial" w:cs="Arial" w:eastAsia="Arial" w:hAnsi="Arial"/>
          <w:sz w:val="16"/>
          <w:szCs w:val="16"/>
          <w:color w:val="auto"/>
        </w:rPr>
        <w:t>.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Trustee may maintain a proceeding even if it does not possess any of the Securities or does not produce any of them in the proceeding.</w:t>
      </w:r>
    </w:p>
    <w:p>
      <w:pPr>
        <w:spacing w:after="0" w:line="23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Waiver of Past Defaults</w:t>
      </w:r>
      <w:r>
        <w:rPr>
          <w:rFonts w:ascii="Arial" w:cs="Arial" w:eastAsia="Arial" w:hAnsi="Arial"/>
          <w:sz w:val="17"/>
          <w:szCs w:val="17"/>
          <w:color w:val="auto"/>
        </w:rPr>
        <w:t>. 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ind w:right="40" w:firstLine="324"/>
        <w:spacing w:after="0" w:line="291" w:lineRule="auto"/>
        <w:rPr>
          <w:sz w:val="20"/>
          <w:szCs w:val="20"/>
          <w:color w:val="auto"/>
        </w:rPr>
      </w:pPr>
      <w:r>
        <w:rPr>
          <w:rFonts w:ascii="Arial" w:cs="Arial" w:eastAsia="Arial" w:hAnsi="Arial"/>
          <w:sz w:val="16"/>
          <w:szCs w:val="16"/>
          <w:color w:val="auto"/>
        </w:rPr>
        <w:t>Section 6.05. C</w:t>
      </w:r>
      <w:r>
        <w:rPr>
          <w:rFonts w:ascii="Arial" w:cs="Arial" w:eastAsia="Arial" w:hAnsi="Arial"/>
          <w:sz w:val="16"/>
          <w:szCs w:val="16"/>
          <w:i w:val="1"/>
          <w:iCs w:val="1"/>
          <w:color w:val="auto"/>
        </w:rPr>
        <w:t>ontrol by Majority</w:t>
      </w:r>
      <w:r>
        <w:rPr>
          <w:rFonts w:ascii="Arial" w:cs="Arial" w:eastAsia="Arial" w:hAnsi="Arial"/>
          <w:sz w:val="16"/>
          <w:szCs w:val="16"/>
          <w:color w:val="auto"/>
        </w:rPr>
        <w:t>. 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provided,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i w:val="1"/>
          <w:iCs w:val="1"/>
          <w:color w:val="auto"/>
        </w:rPr>
        <w:t>Limitation on Suits</w:t>
      </w:r>
      <w:r>
        <w:rPr>
          <w:rFonts w:ascii="Arial" w:cs="Arial" w:eastAsia="Arial" w:hAnsi="Arial"/>
          <w:sz w:val="17"/>
          <w:szCs w:val="17"/>
          <w:color w:val="auto"/>
        </w:rPr>
        <w:t>. No Holder of any Security of any series may institute any proceeding, judicial or otherwise, with respect to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 or the Securities of such series, or for the appointment of a receiver or trustee, or for any other remedy hereunder, unless:</w:t>
      </w:r>
    </w:p>
    <w:p>
      <w:pPr>
        <w:spacing w:after="0" w:line="211" w:lineRule="exact"/>
        <w:rPr>
          <w:sz w:val="20"/>
          <w:szCs w:val="20"/>
          <w:color w:val="auto"/>
        </w:rPr>
      </w:pPr>
    </w:p>
    <w:p>
      <w:pPr>
        <w:ind w:left="580" w:hanging="248"/>
        <w:spacing w:after="0"/>
        <w:tabs>
          <w:tab w:leader="none" w:pos="5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such Holder has previously given to the Trustee written notice of a continuing Event of Default with respect to the Securities of such series;</w:t>
      </w:r>
    </w:p>
    <w:p>
      <w:pPr>
        <w:spacing w:after="0" w:line="236" w:lineRule="exact"/>
        <w:rPr>
          <w:rFonts w:ascii="Arial" w:cs="Arial" w:eastAsia="Arial" w:hAnsi="Arial"/>
          <w:sz w:val="17"/>
          <w:szCs w:val="17"/>
          <w:color w:val="auto"/>
        </w:rPr>
      </w:pPr>
    </w:p>
    <w:p>
      <w:pPr>
        <w:ind w:right="20" w:firstLine="332"/>
        <w:spacing w:after="0" w:line="277" w:lineRule="auto"/>
        <w:tabs>
          <w:tab w:leader="none" w:pos="57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outstanding Securities of all such series affected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80" w:firstLine="332"/>
        <w:spacing w:after="0" w:line="277" w:lineRule="auto"/>
        <w:tabs>
          <w:tab w:leader="none" w:pos="56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reasonably satisfactory to it against any costs, liabilities or expenses to be incurred in compliance with such request;</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25" w:lineRule="exact"/>
        <w:rPr>
          <w:rFonts w:ascii="Arial" w:cs="Arial" w:eastAsia="Arial" w:hAnsi="Arial"/>
          <w:sz w:val="18"/>
          <w:szCs w:val="18"/>
          <w:color w:val="auto"/>
        </w:rPr>
      </w:pPr>
    </w:p>
    <w:p>
      <w:pPr>
        <w:ind w:right="40" w:firstLine="332"/>
        <w:spacing w:after="0" w:line="277" w:lineRule="auto"/>
        <w:tabs>
          <w:tab w:leader="none" w:pos="56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Securities of all such affected series have not given the Trustee a direction that is inconsistent with such written request.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Holder may not use this Indenture to prejudice the rights of another Holder or to obtain a preference or priority over such other Holder.</w:t>
      </w:r>
    </w:p>
    <w:p>
      <w:pPr>
        <w:spacing w:after="0" w:line="225"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spacing w:after="0" w:line="14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r>
        <w:rPr>
          <w:rFonts w:ascii="Arial" w:cs="Arial" w:eastAsia="Arial" w:hAnsi="Arial"/>
          <w:sz w:val="18"/>
          <w:szCs w:val="18"/>
          <w:color w:val="auto"/>
        </w:rPr>
        <w:t>. 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spacing w:after="0" w:line="19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Trustee May File Proofs of Claim</w:t>
      </w:r>
      <w:r>
        <w:rPr>
          <w:rFonts w:ascii="Arial" w:cs="Arial" w:eastAsia="Arial" w:hAnsi="Arial"/>
          <w:sz w:val="16"/>
          <w:szCs w:val="16"/>
          <w:color w:val="auto"/>
        </w:rPr>
        <w:t>. The Trustee may file such proofs of claim and other papers or documents as may be necessary or advisable in order 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ind w:right="120" w:firstLine="324"/>
        <w:spacing w:after="0" w:line="25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Application of Proceeds</w:t>
      </w:r>
      <w:r>
        <w:rPr>
          <w:rFonts w:ascii="Arial" w:cs="Arial" w:eastAsia="Arial" w:hAnsi="Arial"/>
          <w:sz w:val="18"/>
          <w:szCs w:val="18"/>
          <w:color w:val="auto"/>
        </w:rPr>
        <w:t>.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spacing w:after="0" w:line="18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FIRST: To the payment of all amounts due the Trustee under Section 7.07 applicable to the Securities of such series in respect of which moneys have been collected;</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8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FOURTH: To the payment of the remainder, if any, to the Company or any other person lawfully entitled thereto.</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r>
        <w:rPr>
          <w:rFonts w:ascii="Arial" w:cs="Arial" w:eastAsia="Arial" w:hAnsi="Arial"/>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Undertaking for Costs</w:t>
      </w:r>
      <w:r>
        <w:rPr>
          <w:rFonts w:ascii="Arial" w:cs="Arial" w:eastAsia="Arial" w:hAnsi="Arial"/>
          <w:sz w:val="18"/>
          <w:szCs w:val="18"/>
          <w:color w:val="auto"/>
        </w:rPr>
        <w:t>.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spacing w:after="0" w:line="192"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i w:val="1"/>
          <w:iCs w:val="1"/>
          <w:color w:val="auto"/>
        </w:rPr>
        <w:t>Rights and Remedies Cumulative</w:t>
      </w:r>
      <w:r>
        <w:rPr>
          <w:rFonts w:ascii="Arial" w:cs="Arial" w:eastAsia="Arial" w:hAnsi="Arial"/>
          <w:sz w:val="17"/>
          <w:szCs w:val="17"/>
          <w:color w:val="auto"/>
        </w:rPr>
        <w:t>. 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ind w:right="60" w:firstLine="324"/>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r>
        <w:rPr>
          <w:rFonts w:ascii="Arial" w:cs="Arial" w:eastAsia="Arial" w:hAnsi="Arial"/>
          <w:sz w:val="18"/>
          <w:szCs w:val="18"/>
          <w:color w:val="auto"/>
        </w:rPr>
        <w:t>.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RUSTEE</w:t>
      </w:r>
    </w:p>
    <w:p>
      <w:pPr>
        <w:spacing w:after="0" w:line="21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General</w:t>
      </w:r>
      <w:r>
        <w:rPr>
          <w:rFonts w:ascii="Arial" w:cs="Arial" w:eastAsia="Arial" w:hAnsi="Arial"/>
          <w:sz w:val="17"/>
          <w:szCs w:val="17"/>
          <w:color w:val="auto"/>
        </w:rPr>
        <w:t>.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Certain Rights of Trustee</w:t>
      </w:r>
      <w:r>
        <w:rPr>
          <w:rFonts w:ascii="Arial" w:cs="Arial" w:eastAsia="Arial" w:hAnsi="Arial"/>
          <w:sz w:val="18"/>
          <w:szCs w:val="18"/>
          <w:color w:val="auto"/>
        </w:rPr>
        <w:t>. Subject to Trust Indenture Act Sections 315(a) through (d):</w:t>
      </w:r>
    </w:p>
    <w:p>
      <w:pPr>
        <w:spacing w:after="0" w:line="225" w:lineRule="exact"/>
        <w:rPr>
          <w:sz w:val="20"/>
          <w:szCs w:val="20"/>
          <w:color w:val="auto"/>
        </w:rPr>
      </w:pPr>
    </w:p>
    <w:p>
      <w:pPr>
        <w:ind w:right="20" w:firstLine="332"/>
        <w:spacing w:after="0" w:line="257" w:lineRule="auto"/>
        <w:tabs>
          <w:tab w:leader="none" w:pos="56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spacing w:after="0" w:line="187" w:lineRule="exact"/>
        <w:rPr>
          <w:rFonts w:ascii="Arial" w:cs="Arial" w:eastAsia="Arial" w:hAnsi="Arial"/>
          <w:sz w:val="18"/>
          <w:szCs w:val="18"/>
          <w:color w:val="auto"/>
        </w:rPr>
      </w:pPr>
    </w:p>
    <w:p>
      <w:pPr>
        <w:ind w:firstLine="332"/>
        <w:spacing w:after="0" w:line="254" w:lineRule="auto"/>
        <w:tabs>
          <w:tab w:leader="none" w:pos="57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91" w:lineRule="exact"/>
        <w:rPr>
          <w:rFonts w:ascii="Arial" w:cs="Arial" w:eastAsia="Arial" w:hAnsi="Arial"/>
          <w:sz w:val="18"/>
          <w:szCs w:val="18"/>
          <w:color w:val="auto"/>
        </w:rPr>
      </w:pPr>
    </w:p>
    <w:p>
      <w:pPr>
        <w:ind w:firstLine="332"/>
        <w:spacing w:after="0" w:line="277" w:lineRule="auto"/>
        <w:tabs>
          <w:tab w:leader="none" w:pos="56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not regularly in its employ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right="60" w:firstLine="332"/>
        <w:spacing w:after="0" w:line="263" w:lineRule="auto"/>
        <w:tabs>
          <w:tab w:leader="none" w:pos="57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83" w:lineRule="exact"/>
        <w:rPr>
          <w:rFonts w:ascii="Arial" w:cs="Arial" w:eastAsia="Arial" w:hAnsi="Arial"/>
          <w:sz w:val="18"/>
          <w:szCs w:val="18"/>
          <w:color w:val="auto"/>
        </w:rPr>
      </w:pPr>
    </w:p>
    <w:p>
      <w:pPr>
        <w:ind w:right="40" w:firstLine="332"/>
        <w:spacing w:after="0" w:line="263" w:lineRule="auto"/>
        <w:tabs>
          <w:tab w:leader="none" w:pos="56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order or direction of any of the Holders, unless such Holders shall have offered to the Trustee security or indemnity reasonably satisfactory to it against any costs, expenses or liabilities that might be incurred by it in compliance with such request or direction;</w:t>
      </w:r>
    </w:p>
    <w:p>
      <w:pPr>
        <w:spacing w:after="0" w:line="183" w:lineRule="exact"/>
        <w:rPr>
          <w:rFonts w:ascii="Arial" w:cs="Arial" w:eastAsia="Arial" w:hAnsi="Arial"/>
          <w:sz w:val="18"/>
          <w:szCs w:val="18"/>
          <w:color w:val="auto"/>
        </w:rPr>
      </w:pPr>
    </w:p>
    <w:p>
      <w:pPr>
        <w:ind w:right="180" w:firstLine="332"/>
        <w:spacing w:after="0" w:line="259" w:lineRule="auto"/>
        <w:tabs>
          <w:tab w:leader="none" w:pos="54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59" w:name="page160"/>
    <w:bookmarkEnd w:id="159"/>
    <w:p>
      <w:pPr>
        <w:ind w:firstLine="332"/>
        <w:spacing w:after="0" w:line="277" w:lineRule="auto"/>
        <w:tabs>
          <w:tab w:leader="none" w:pos="57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 and</w:t>
      </w:r>
    </w:p>
    <w:p>
      <w:pPr>
        <w:spacing w:after="0" w:line="170" w:lineRule="exact"/>
        <w:rPr>
          <w:rFonts w:ascii="Arial" w:cs="Arial" w:eastAsia="Arial" w:hAnsi="Arial"/>
          <w:sz w:val="18"/>
          <w:szCs w:val="18"/>
          <w:color w:val="auto"/>
        </w:rPr>
      </w:pPr>
    </w:p>
    <w:p>
      <w:pPr>
        <w:ind w:right="60" w:firstLine="332"/>
        <w:spacing w:after="0" w:line="291" w:lineRule="auto"/>
        <w:tabs>
          <w:tab w:leader="none" w:pos="57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p>
      <w:pPr>
        <w:spacing w:after="0" w:line="16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r>
        <w:rPr>
          <w:rFonts w:ascii="Arial" w:cs="Arial" w:eastAsia="Arial" w:hAnsi="Arial"/>
          <w:sz w:val="18"/>
          <w:szCs w:val="18"/>
          <w:color w:val="auto"/>
        </w:rPr>
        <w:t>. The Trustee, in its individual or any other capacity, may become the owner or pledgee of Securities and may otherwise deal with the Company or its Affiliates with the same rights it would have if it were not the Trustee. Any Agent may do the same with like rights. However, the Trustee is subject to Trust Indenture Act Sections 310(b) and 311. For purposes of Trust Indenture Act Section 311(b)(4) and (6), the following terms shall mean:</w:t>
      </w:r>
    </w:p>
    <w:p>
      <w:pPr>
        <w:spacing w:after="0" w:line="183" w:lineRule="exact"/>
        <w:rPr>
          <w:sz w:val="20"/>
          <w:szCs w:val="20"/>
          <w:color w:val="auto"/>
        </w:rPr>
      </w:pPr>
    </w:p>
    <w:p>
      <w:pPr>
        <w:ind w:right="100" w:firstLine="332"/>
        <w:spacing w:after="0" w:line="282" w:lineRule="auto"/>
        <w:tabs>
          <w:tab w:leader="none" w:pos="56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transaction</w:t>
      </w:r>
      <w:r>
        <w:rPr>
          <w:rFonts w:ascii="Arial" w:cs="Arial" w:eastAsia="Arial" w:hAnsi="Arial"/>
          <w:sz w:val="18"/>
          <w:szCs w:val="18"/>
          <w:color w:val="auto"/>
        </w:rPr>
        <w:t>” means any transaction in which full payment for goods or securities sold is made within seven days after delivery of the goods or securities in currency or in checks or other orders drawn upon banks or bankers and payable upon demand; and</w:t>
      </w:r>
    </w:p>
    <w:p>
      <w:pPr>
        <w:spacing w:after="0" w:line="161" w:lineRule="exact"/>
        <w:rPr>
          <w:rFonts w:ascii="Arial" w:cs="Arial" w:eastAsia="Arial" w:hAnsi="Arial"/>
          <w:sz w:val="18"/>
          <w:szCs w:val="18"/>
          <w:color w:val="auto"/>
        </w:rPr>
      </w:pPr>
    </w:p>
    <w:p>
      <w:pPr>
        <w:ind w:right="20" w:firstLine="332"/>
        <w:spacing w:after="0" w:line="298" w:lineRule="auto"/>
        <w:tabs>
          <w:tab w:leader="none" w:pos="57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self-liquidating paper</w:t>
      </w:r>
      <w:r>
        <w:rPr>
          <w:rFonts w:ascii="Arial" w:cs="Arial" w:eastAsia="Arial" w:hAnsi="Arial"/>
          <w:sz w:val="16"/>
          <w:szCs w:val="16"/>
          <w:color w:val="auto"/>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r>
        <w:rPr>
          <w:rFonts w:ascii="Arial" w:cs="Arial" w:eastAsia="Arial" w:hAnsi="Arial"/>
          <w:sz w:val="18"/>
          <w:szCs w:val="18"/>
          <w:color w:val="auto"/>
        </w:rPr>
        <w:t>.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spacing w:after="0" w:line="18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Notice of Default</w:t>
      </w:r>
      <w:r>
        <w:rPr>
          <w:rFonts w:ascii="Arial" w:cs="Arial" w:eastAsia="Arial" w:hAnsi="Arial"/>
          <w:sz w:val="17"/>
          <w:szCs w:val="17"/>
          <w:color w:val="auto"/>
        </w:rPr>
        <w:t>. If any Default with respect to the Securities of any series occurs and is continuing and if such Default is known to the actual knowledge of a Responsible Officer with the Corporate Trust Office of the Trustee, the Trustee shall give to each Holder of Securities of such series notice of such Default within 90 days after it occurs to all Holders of Securities of such series in the manner and to the extent provided in Section 313(a) of the Trust Indenture Act, unless such Default shall have been cured or waived before the mailing of such notice; provided, however, that, except in the case of a Default in the payment of the Principal of or interest on any Security, the Trustee shall be protected in withholding such notice if the Trustee in good faith determines that the withholding of such notice is in the interests of the Holders.</w:t>
      </w:r>
    </w:p>
    <w:p>
      <w:pPr>
        <w:spacing w:after="0" w:line="17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Reports by Trustee to Holders</w:t>
      </w:r>
      <w:r>
        <w:rPr>
          <w:rFonts w:ascii="Arial" w:cs="Arial" w:eastAsia="Arial" w:hAnsi="Arial"/>
          <w:sz w:val="18"/>
          <w:szCs w:val="18"/>
          <w:color w:val="auto"/>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spacing w:after="0" w:line="187"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right="20" w:firstLine="324"/>
        <w:spacing w:after="0" w:line="275" w:lineRule="auto"/>
        <w:rPr>
          <w:sz w:val="20"/>
          <w:szCs w:val="20"/>
          <w:color w:val="auto"/>
        </w:rPr>
      </w:pPr>
      <w:r>
        <w:rPr>
          <w:rFonts w:ascii="Arial" w:cs="Arial" w:eastAsia="Arial" w:hAnsi="Arial"/>
          <w:sz w:val="17"/>
          <w:szCs w:val="17"/>
          <w:color w:val="auto"/>
        </w:rPr>
        <w:t>Section 7.07. C</w:t>
      </w:r>
      <w:r>
        <w:rPr>
          <w:rFonts w:ascii="Arial" w:cs="Arial" w:eastAsia="Arial" w:hAnsi="Arial"/>
          <w:sz w:val="17"/>
          <w:szCs w:val="17"/>
          <w:i w:val="1"/>
          <w:iCs w:val="1"/>
          <w:color w:val="auto"/>
        </w:rPr>
        <w:t>ompensation and Indemnity</w:t>
      </w:r>
      <w:r>
        <w:rPr>
          <w:rFonts w:ascii="Arial" w:cs="Arial" w:eastAsia="Arial" w:hAnsi="Arial"/>
          <w:sz w:val="17"/>
          <w:szCs w:val="17"/>
          <w:color w:val="auto"/>
        </w:rPr>
        <w:t>. 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spacing w:after="0" w:line="17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spacing w:after="0" w:line="161"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spacing w:after="0" w:line="124"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spacing w:after="0" w:line="17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Replacement of Trustee</w:t>
      </w:r>
      <w:r>
        <w:rPr>
          <w:rFonts w:ascii="Arial" w:cs="Arial" w:eastAsia="Arial" w:hAnsi="Arial"/>
          <w:sz w:val="18"/>
          <w:szCs w:val="18"/>
          <w:color w:val="auto"/>
        </w:rPr>
        <w:t>.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spacing w:after="0" w:line="18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 Trustee is adjudged a bankrupt or insolvent; (iii) a receiver or other public officer takes charge of the Trustee or its property; or (iv) the Trustee becomes incapable of acting.</w:t>
      </w:r>
    </w:p>
    <w:p>
      <w:pPr>
        <w:spacing w:after="0" w:line="19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spacing w:after="0" w:line="177"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1" w:name="page162"/>
    <w:bookmarkEnd w:id="161"/>
    <w:p>
      <w:pPr>
        <w:ind w:right="140" w:firstLine="324"/>
        <w:spacing w:after="0" w:line="277" w:lineRule="auto"/>
        <w:rPr>
          <w:sz w:val="20"/>
          <w:szCs w:val="20"/>
          <w:color w:val="auto"/>
        </w:rPr>
      </w:pPr>
      <w:r>
        <w:rPr>
          <w:rFonts w:ascii="Arial" w:cs="Arial" w:eastAsia="Arial" w:hAnsi="Arial"/>
          <w:sz w:val="18"/>
          <w:szCs w:val="18"/>
          <w:color w:val="auto"/>
        </w:rPr>
        <w:t>Notwithstanding replacement of the Trustee with respect to the Securities of any series pursuant to this Section 7.08 and Section 7.09, the Company’s obligations under Section 7.07 shall continue for the benefit of the retiring Trustee.</w:t>
      </w:r>
    </w:p>
    <w:p>
      <w:pPr>
        <w:spacing w:after="0" w:line="17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i w:val="1"/>
          <w:iCs w:val="1"/>
          <w:color w:val="auto"/>
        </w:rPr>
        <w:t>Acceptance of Appointment by Successor</w:t>
      </w:r>
      <w:r>
        <w:rPr>
          <w:rFonts w:ascii="Arial" w:cs="Arial" w:eastAsia="Arial" w:hAnsi="Arial"/>
          <w:sz w:val="17"/>
          <w:szCs w:val="17"/>
          <w:color w:val="auto"/>
        </w:rPr>
        <w:t>.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7"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4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eligible under this Article and qualified under Section 310(b) of the Trust Indenture Act.</w:t>
      </w:r>
    </w:p>
    <w:p>
      <w:pPr>
        <w:spacing w:after="0" w:line="170" w:lineRule="exact"/>
        <w:rPr>
          <w:sz w:val="20"/>
          <w:szCs w:val="20"/>
          <w:color w:val="auto"/>
        </w:rPr>
      </w:pPr>
    </w:p>
    <w:p>
      <w:pPr>
        <w:ind w:right="360" w:firstLine="324"/>
        <w:spacing w:after="0" w:line="340"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i w:val="1"/>
          <w:iCs w:val="1"/>
          <w:color w:val="auto"/>
        </w:rPr>
        <w:t>Successor Trustee By Merger, Etc.</w:t>
      </w:r>
      <w:r>
        <w:rPr>
          <w:rFonts w:ascii="Arial" w:cs="Arial" w:eastAsia="Arial" w:hAnsi="Arial"/>
          <w:sz w:val="15"/>
          <w:szCs w:val="15"/>
          <w:color w:val="auto"/>
        </w:rPr>
        <w:t xml:space="preserve">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spacing w:after="0" w:line="13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i w:val="1"/>
          <w:iCs w:val="1"/>
          <w:color w:val="auto"/>
        </w:rPr>
        <w:t>Eligibility</w:t>
      </w:r>
      <w:r>
        <w:rPr>
          <w:rFonts w:ascii="Arial" w:cs="Arial" w:eastAsia="Arial" w:hAnsi="Arial"/>
          <w:sz w:val="17"/>
          <w:szCs w:val="17"/>
          <w:color w:val="auto"/>
        </w:rPr>
        <w:t>. This Indenture shall always have a Trustee who satisfies the requirements of Trust Indenture Act Section 310(a). The Trustee shall have a combined capital and surplus of at least $25,000,000 as set forth in its most recent published annual report of condition.</w:t>
      </w:r>
    </w:p>
    <w:p>
      <w:pPr>
        <w:spacing w:after="0" w:line="14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Money Held in Trust</w:t>
      </w:r>
      <w:r>
        <w:rPr>
          <w:rFonts w:ascii="Arial" w:cs="Arial" w:eastAsia="Arial" w:hAnsi="Arial"/>
          <w:sz w:val="18"/>
          <w:szCs w:val="18"/>
          <w:color w:val="auto"/>
        </w:rPr>
        <w:t>.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ATISFACTION</w:t>
      </w:r>
      <w:r>
        <w:rPr>
          <w:rFonts w:ascii="Arial" w:cs="Arial" w:eastAsia="Arial" w:hAnsi="Arial"/>
          <w:sz w:val="18"/>
          <w:szCs w:val="18"/>
          <w:color w:val="auto"/>
        </w:rPr>
        <w:t xml:space="preserve"> A</w:t>
      </w:r>
      <w:r>
        <w:rPr>
          <w:rFonts w:ascii="Arial" w:cs="Arial" w:eastAsia="Arial" w:hAnsi="Arial"/>
          <w:sz w:val="12"/>
          <w:szCs w:val="12"/>
          <w:color w:val="auto"/>
        </w:rPr>
        <w:t>ND</w:t>
      </w:r>
      <w:r>
        <w:rPr>
          <w:rFonts w:ascii="Arial" w:cs="Arial" w:eastAsia="Arial" w:hAnsi="Arial"/>
          <w:sz w:val="18"/>
          <w:szCs w:val="18"/>
          <w:color w:val="auto"/>
        </w:rPr>
        <w:t xml:space="preserve"> D</w:t>
      </w:r>
      <w:r>
        <w:rPr>
          <w:rFonts w:ascii="Arial" w:cs="Arial" w:eastAsia="Arial" w:hAnsi="Arial"/>
          <w:sz w:val="12"/>
          <w:szCs w:val="12"/>
          <w:color w:val="auto"/>
        </w:rPr>
        <w:t>ISCHARGE OF</w:t>
      </w:r>
      <w:r>
        <w:rPr>
          <w:rFonts w:ascii="Arial" w:cs="Arial" w:eastAsia="Arial" w:hAnsi="Arial"/>
          <w:sz w:val="18"/>
          <w:szCs w:val="18"/>
          <w:color w:val="auto"/>
        </w:rPr>
        <w:t xml:space="preserve"> I</w:t>
      </w:r>
      <w:r>
        <w:rPr>
          <w:rFonts w:ascii="Arial" w:cs="Arial" w:eastAsia="Arial" w:hAnsi="Arial"/>
          <w:sz w:val="12"/>
          <w:szCs w:val="12"/>
          <w:color w:val="auto"/>
        </w:rPr>
        <w:t>NDENTURE</w:t>
      </w:r>
      <w:r>
        <w:rPr>
          <w:rFonts w:ascii="Arial" w:cs="Arial" w:eastAsia="Arial" w:hAnsi="Arial"/>
          <w:sz w:val="18"/>
          <w:szCs w:val="18"/>
          <w:color w:val="auto"/>
        </w:rPr>
        <w:t>; U</w:t>
      </w:r>
      <w:r>
        <w:rPr>
          <w:rFonts w:ascii="Arial" w:cs="Arial" w:eastAsia="Arial" w:hAnsi="Arial"/>
          <w:sz w:val="12"/>
          <w:szCs w:val="12"/>
          <w:color w:val="auto"/>
        </w:rPr>
        <w:t>NCLAIMED</w:t>
      </w:r>
      <w:r>
        <w:rPr>
          <w:rFonts w:ascii="Arial" w:cs="Arial" w:eastAsia="Arial" w:hAnsi="Arial"/>
          <w:sz w:val="18"/>
          <w:szCs w:val="18"/>
          <w:color w:val="auto"/>
        </w:rPr>
        <w:t xml:space="preserve"> M</w:t>
      </w:r>
      <w:r>
        <w:rPr>
          <w:rFonts w:ascii="Arial" w:cs="Arial" w:eastAsia="Arial" w:hAnsi="Arial"/>
          <w:sz w:val="12"/>
          <w:szCs w:val="12"/>
          <w:color w:val="auto"/>
        </w:rPr>
        <w:t>ONEYS</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Satisfaction and Discharge of Indenture</w:t>
      </w:r>
      <w:r>
        <w:rPr>
          <w:rFonts w:ascii="Arial" w:cs="Arial" w:eastAsia="Arial" w:hAnsi="Arial"/>
          <w:sz w:val="16"/>
          <w:szCs w:val="16"/>
          <w:color w:val="auto"/>
        </w:rPr>
        <w:t>.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39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by Trustee of Funds Deposited for Payment of Securities</w:t>
      </w:r>
      <w:r>
        <w:rPr>
          <w:rFonts w:ascii="Arial" w:cs="Arial" w:eastAsia="Arial" w:hAnsi="Arial"/>
          <w:sz w:val="18"/>
          <w:szCs w:val="18"/>
          <w:color w:val="auto"/>
        </w:rPr>
        <w:t>. 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spacing w:after="0" w:line="18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Return of Moneys Held by Trustee and Paying Agent Unclaimed for Two Years</w:t>
      </w:r>
      <w:r>
        <w:rPr>
          <w:rFonts w:ascii="Arial" w:cs="Arial" w:eastAsia="Arial" w:hAnsi="Arial"/>
          <w:sz w:val="17"/>
          <w:szCs w:val="17"/>
          <w:color w:val="auto"/>
        </w:rPr>
        <w:t>.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3" w:name="page164"/>
    <w:bookmarkEnd w:id="163"/>
    <w:p>
      <w:pPr>
        <w:ind w:right="80" w:firstLine="324"/>
        <w:spacing w:after="0" w:line="270"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Defeasance and Discharge of Indenture</w:t>
      </w:r>
      <w:r>
        <w:rPr>
          <w:rFonts w:ascii="Arial" w:cs="Arial" w:eastAsia="Arial" w:hAnsi="Arial"/>
          <w:sz w:val="17"/>
          <w:szCs w:val="17"/>
          <w:color w:val="auto"/>
        </w:rPr>
        <w:t xml:space="preserve">.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Holders of the Securities of such series to receive payments of Principal thereof, premium thereto, and interest thereon, upon the original stated due dates therefor, (b)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(c) the rights, obligations and immunities of the Trustee hereunder, and (d) the defeasance provisions contained in Article 8 of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conditions shall have been satisfied:</w:t>
      </w:r>
    </w:p>
    <w:p>
      <w:pPr>
        <w:spacing w:after="0" w:line="181" w:lineRule="exact"/>
        <w:rPr>
          <w:sz w:val="20"/>
          <w:szCs w:val="20"/>
          <w:color w:val="auto"/>
        </w:rPr>
      </w:pPr>
    </w:p>
    <w:p>
      <w:pPr>
        <w:ind w:firstLine="332"/>
        <w:spacing w:after="0" w:line="269" w:lineRule="auto"/>
        <w:tabs>
          <w:tab w:leader="none" w:pos="53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with reference to this Section 8.05 the Company irrevocably has deposited or caused to be deposited with the Trustee (or another qualifying trustee satisfying the requirements of Section 7.11) as trust funds in trust, for the purposes of making the following payments, specifically pledged as security for, and dedicated solely to, the benefit of the Holders of the Securities of such series, (A) money in an amount, (B) 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spacing w:after="0" w:line="178" w:lineRule="exact"/>
        <w:rPr>
          <w:rFonts w:ascii="Arial" w:cs="Arial" w:eastAsia="Arial" w:hAnsi="Arial"/>
          <w:sz w:val="17"/>
          <w:szCs w:val="17"/>
          <w:color w:val="auto"/>
        </w:rPr>
      </w:pPr>
    </w:p>
    <w:p>
      <w:pPr>
        <w:ind w:right="180" w:firstLine="332"/>
        <w:spacing w:after="0" w:line="259" w:lineRule="auto"/>
        <w:tabs>
          <w:tab w:leader="none" w:pos="58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has delivered to the Trustee an Opinion of Counsel to the effect that, under then applicable U.S. federal income tax law, beneficial owners of Securities of such series will not recognize gain or loss for U.S. federal income tax purposes as a result of the Company’s exercise of its option under this Section 8.05 and will be subject to U.S. federal income tax on the same amount and in the same manner and at the same times as would have been the case if such deposit, defeasance and discharge had not occurred;</w:t>
      </w:r>
    </w:p>
    <w:p>
      <w:pPr>
        <w:spacing w:after="0" w:line="186" w:lineRule="exact"/>
        <w:rPr>
          <w:rFonts w:ascii="Arial" w:cs="Arial" w:eastAsia="Arial" w:hAnsi="Arial"/>
          <w:sz w:val="18"/>
          <w:szCs w:val="18"/>
          <w:color w:val="auto"/>
        </w:rPr>
      </w:pPr>
    </w:p>
    <w:p>
      <w:pPr>
        <w:ind w:left="640" w:hanging="308"/>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Default under either clause (d) or clause (e) of Section 6.01 shall have occurred and be continuing at such time;</w:t>
      </w:r>
    </w:p>
    <w:p>
      <w:pPr>
        <w:spacing w:after="0" w:line="225" w:lineRule="exact"/>
        <w:rPr>
          <w:rFonts w:ascii="Arial" w:cs="Arial" w:eastAsia="Arial" w:hAnsi="Arial"/>
          <w:sz w:val="18"/>
          <w:szCs w:val="18"/>
          <w:color w:val="auto"/>
        </w:rPr>
      </w:pPr>
    </w:p>
    <w:p>
      <w:pPr>
        <w:ind w:right="260" w:firstLine="332"/>
        <w:spacing w:after="0" w:line="308" w:lineRule="auto"/>
        <w:tabs>
          <w:tab w:leader="none" w:pos="62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146" w:lineRule="exact"/>
        <w:rPr>
          <w:rFonts w:ascii="Arial" w:cs="Arial" w:eastAsia="Arial" w:hAnsi="Arial"/>
          <w:sz w:val="17"/>
          <w:szCs w:val="17"/>
          <w:color w:val="auto"/>
        </w:rPr>
      </w:pPr>
    </w:p>
    <w:p>
      <w:pPr>
        <w:ind w:firstLine="332"/>
        <w:spacing w:after="0" w:line="277" w:lineRule="auto"/>
        <w:tabs>
          <w:tab w:leader="none" w:pos="57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and discharge under this Section 8.05 have been complied with; and</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the Securities of such series are to be redeemed prior to the final maturity thereof (other than from mandatory sinking fund payments or</w:t>
      </w:r>
    </w:p>
    <w:p>
      <w:pPr>
        <w:spacing w:after="0" w:line="34" w:lineRule="exact"/>
        <w:rPr>
          <w:rFonts w:ascii="Arial" w:cs="Arial" w:eastAsia="Arial" w:hAnsi="Arial"/>
          <w:sz w:val="17"/>
          <w:szCs w:val="17"/>
          <w:color w:val="auto"/>
        </w:rPr>
      </w:pPr>
    </w:p>
    <w:p>
      <w:pPr>
        <w:ind w:right="60"/>
        <w:spacing w:after="0" w:line="260" w:lineRule="auto"/>
        <w:rPr>
          <w:rFonts w:ascii="Arial" w:cs="Arial" w:eastAsia="Arial" w:hAnsi="Arial"/>
          <w:sz w:val="17"/>
          <w:szCs w:val="17"/>
          <w:color w:val="auto"/>
        </w:rPr>
      </w:pPr>
      <w:r>
        <w:rPr>
          <w:rFonts w:ascii="Arial" w:cs="Arial" w:eastAsia="Arial" w:hAnsi="Arial"/>
          <w:sz w:val="18"/>
          <w:szCs w:val="18"/>
          <w:color w:val="auto"/>
        </w:rPr>
        <w:t>analogous payments), notice of such redemption shall have been duly given pursuant to this Indenture or provision therefor satisfactory to the Trustee shall have been made.</w:t>
      </w:r>
    </w:p>
    <w:p>
      <w:pPr>
        <w:spacing w:after="0" w:line="18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Defeasance of Certain Obligations</w:t>
      </w:r>
      <w:r>
        <w:rPr>
          <w:rFonts w:ascii="Arial" w:cs="Arial" w:eastAsia="Arial" w:hAnsi="Arial"/>
          <w:sz w:val="18"/>
          <w:szCs w:val="18"/>
          <w:color w:val="auto"/>
        </w:rPr>
        <w:t>. The Company may omit to comply with any term, provision or condition set forth in, and this Indenture will no longer be in effect with respect to, any covenant established pursuant to Section 2.03(s) and clause (c) and clause (f) (with respect to any covenants established pursuant to Section 2.03(s)) of Section 6.01 shall be deemed not to constitute a Default or an Event of Default with respect to Securities of any series, if:</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4" w:name="page165"/>
    <w:bookmarkEnd w:id="164"/>
    <w:p>
      <w:pPr>
        <w:ind w:right="20" w:firstLine="332"/>
        <w:spacing w:after="0" w:line="269" w:lineRule="auto"/>
        <w:tabs>
          <w:tab w:leader="none" w:pos="56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p>
      <w:pPr>
        <w:spacing w:after="0" w:line="178" w:lineRule="exact"/>
        <w:rPr>
          <w:rFonts w:ascii="Arial" w:cs="Arial" w:eastAsia="Arial" w:hAnsi="Arial"/>
          <w:sz w:val="17"/>
          <w:szCs w:val="17"/>
          <w:color w:val="auto"/>
        </w:rPr>
      </w:pPr>
    </w:p>
    <w:p>
      <w:pPr>
        <w:ind w:right="140" w:firstLine="332"/>
        <w:spacing w:after="0" w:line="259" w:lineRule="auto"/>
        <w:tabs>
          <w:tab w:leader="none" w:pos="57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has delivered to the Trustee an Opinion of Counsel to the effect that beneficial owners of Securities of such series will not recognize gain or loss for U.S. federal income tax purposes as a result of the Company’s exercise of its option under this Section 8.06 and will be subject to U.S. federal income tax on the same amount and in the same manner and at the same times as would have been the case if such deposit and defeasance had not occurred;</w:t>
      </w:r>
    </w:p>
    <w:p>
      <w:pPr>
        <w:spacing w:after="0" w:line="186" w:lineRule="exact"/>
        <w:rPr>
          <w:rFonts w:ascii="Arial" w:cs="Arial" w:eastAsia="Arial" w:hAnsi="Arial"/>
          <w:sz w:val="18"/>
          <w:szCs w:val="18"/>
          <w:color w:val="auto"/>
        </w:rPr>
      </w:pPr>
    </w:p>
    <w:p>
      <w:pPr>
        <w:ind w:right="200" w:firstLine="332"/>
        <w:spacing w:after="0" w:line="277" w:lineRule="auto"/>
        <w:tabs>
          <w:tab w:leader="none" w:pos="56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 Default with respect to the outstanding Securities of such series shall have occurred and be continuing at the time of such deposit immediately after giving effect to such deposit;</w:t>
      </w:r>
    </w:p>
    <w:p>
      <w:pPr>
        <w:spacing w:after="0" w:line="170" w:lineRule="exact"/>
        <w:rPr>
          <w:rFonts w:ascii="Arial" w:cs="Arial" w:eastAsia="Arial" w:hAnsi="Arial"/>
          <w:sz w:val="18"/>
          <w:szCs w:val="18"/>
          <w:color w:val="auto"/>
        </w:rPr>
      </w:pPr>
    </w:p>
    <w:p>
      <w:pPr>
        <w:ind w:right="340" w:firstLine="332"/>
        <w:spacing w:after="0" w:line="308" w:lineRule="auto"/>
        <w:tabs>
          <w:tab w:leader="none" w:pos="57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spacing w:after="0" w:line="146" w:lineRule="exact"/>
        <w:rPr>
          <w:rFonts w:ascii="Arial" w:cs="Arial" w:eastAsia="Arial" w:hAnsi="Arial"/>
          <w:sz w:val="17"/>
          <w:szCs w:val="17"/>
          <w:color w:val="auto"/>
        </w:rPr>
      </w:pPr>
    </w:p>
    <w:p>
      <w:pPr>
        <w:ind w:right="20" w:firstLine="332"/>
        <w:spacing w:after="0" w:line="277" w:lineRule="auto"/>
        <w:tabs>
          <w:tab w:leader="none" w:pos="56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to the defeasance under this Section have been complied with; and</w:t>
      </w:r>
    </w:p>
    <w:p>
      <w:pPr>
        <w:spacing w:after="0" w:line="170" w:lineRule="exact"/>
        <w:rPr>
          <w:rFonts w:ascii="Arial" w:cs="Arial" w:eastAsia="Arial" w:hAnsi="Arial"/>
          <w:sz w:val="18"/>
          <w:szCs w:val="18"/>
          <w:color w:val="auto"/>
        </w:rPr>
      </w:pPr>
    </w:p>
    <w:p>
      <w:pPr>
        <w:ind w:firstLine="332"/>
        <w:spacing w:after="0" w:line="263" w:lineRule="auto"/>
        <w:tabs>
          <w:tab w:leader="none" w:pos="54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spacing w:after="0" w:line="18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r>
        <w:rPr>
          <w:rFonts w:ascii="Arial" w:cs="Arial" w:eastAsia="Arial" w:hAnsi="Arial"/>
          <w:sz w:val="18"/>
          <w:szCs w:val="18"/>
          <w:color w:val="auto"/>
        </w:rPr>
        <w:t>. 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provided, however,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spacing w:after="0" w:line="19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i w:val="1"/>
          <w:iCs w:val="1"/>
          <w:color w:val="auto"/>
        </w:rPr>
        <w:t>Indemnity</w:t>
      </w:r>
      <w:r>
        <w:rPr>
          <w:rFonts w:ascii="Arial" w:cs="Arial" w:eastAsia="Arial" w:hAnsi="Arial"/>
          <w:sz w:val="18"/>
          <w:szCs w:val="18"/>
          <w:color w:val="auto"/>
        </w:rPr>
        <w:t>. The Company shall pay and indemnify the Trustee (or other qualifying trustee, collectively for purposes of this Section 8.08 and Section 8.02, the “Trustee”)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ind w:right="140" w:firstLine="324"/>
        <w:spacing w:after="0" w:line="25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Excess Funds</w:t>
      </w:r>
      <w:r>
        <w:rPr>
          <w:rFonts w:ascii="Arial" w:cs="Arial" w:eastAsia="Arial" w:hAnsi="Arial"/>
          <w:sz w:val="18"/>
          <w:szCs w:val="18"/>
          <w:color w:val="auto"/>
        </w:rPr>
        <w:t>. 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spacing w:after="0" w:line="18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i w:val="1"/>
          <w:iCs w:val="1"/>
          <w:color w:val="auto"/>
        </w:rPr>
        <w:t>Qualifying Trustee</w:t>
      </w:r>
      <w:r>
        <w:rPr>
          <w:rFonts w:ascii="Arial" w:cs="Arial" w:eastAsia="Arial" w:hAnsi="Arial"/>
          <w:sz w:val="17"/>
          <w:szCs w:val="17"/>
          <w:color w:val="auto"/>
        </w:rPr>
        <w:t>. 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MENDMENTS</w:t>
      </w:r>
      <w:r>
        <w:rPr>
          <w:rFonts w:ascii="Arial" w:cs="Arial" w:eastAsia="Arial" w:hAnsi="Arial"/>
          <w:sz w:val="18"/>
          <w:szCs w:val="18"/>
          <w:color w:val="auto"/>
        </w:rPr>
        <w:t>, S</w:t>
      </w:r>
      <w:r>
        <w:rPr>
          <w:rFonts w:ascii="Arial" w:cs="Arial" w:eastAsia="Arial" w:hAnsi="Arial"/>
          <w:sz w:val="12"/>
          <w:szCs w:val="12"/>
          <w:color w:val="auto"/>
        </w:rPr>
        <w:t>UPPLEMENTS AND</w:t>
      </w:r>
      <w:r>
        <w:rPr>
          <w:rFonts w:ascii="Arial" w:cs="Arial" w:eastAsia="Arial" w:hAnsi="Arial"/>
          <w:sz w:val="18"/>
          <w:szCs w:val="18"/>
          <w:color w:val="auto"/>
        </w:rPr>
        <w:t xml:space="preserve"> W</w:t>
      </w:r>
      <w:r>
        <w:rPr>
          <w:rFonts w:ascii="Arial" w:cs="Arial" w:eastAsia="Arial" w:hAnsi="Arial"/>
          <w:sz w:val="12"/>
          <w:szCs w:val="12"/>
          <w:color w:val="auto"/>
        </w:rPr>
        <w:t>AIVERS</w:t>
      </w:r>
    </w:p>
    <w:p>
      <w:pPr>
        <w:spacing w:after="0" w:line="21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w:t>
      </w:r>
      <w:r>
        <w:rPr>
          <w:rFonts w:ascii="Arial" w:cs="Arial" w:eastAsia="Arial" w:hAnsi="Arial"/>
          <w:sz w:val="18"/>
          <w:szCs w:val="18"/>
          <w:color w:val="auto"/>
        </w:rPr>
        <w:t>. The Company and the Trustee may amend or supplement this Indenture or the Securities of any series without notice to or the consent of any Holder:</w:t>
      </w:r>
    </w:p>
    <w:p>
      <w:pPr>
        <w:spacing w:after="0" w:line="170" w:lineRule="exact"/>
        <w:rPr>
          <w:sz w:val="20"/>
          <w:szCs w:val="20"/>
          <w:color w:val="auto"/>
        </w:rPr>
      </w:pPr>
    </w:p>
    <w:p>
      <w:pPr>
        <w:ind w:left="580" w:hanging="248"/>
        <w:spacing w:after="0"/>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this Indenture;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comply with Article 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maintain the qualification of this Indenture under the Trust Indenture Act;</w:t>
      </w:r>
    </w:p>
    <w:p>
      <w:pPr>
        <w:spacing w:after="0" w:line="225" w:lineRule="exact"/>
        <w:rPr>
          <w:rFonts w:ascii="Arial" w:cs="Arial" w:eastAsia="Arial" w:hAnsi="Arial"/>
          <w:sz w:val="18"/>
          <w:szCs w:val="18"/>
          <w:color w:val="auto"/>
        </w:rPr>
      </w:pPr>
    </w:p>
    <w:p>
      <w:pPr>
        <w:ind w:firstLine="332"/>
        <w:spacing w:after="0" w:line="263" w:lineRule="auto"/>
        <w:tabs>
          <w:tab w:leader="none" w:pos="57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spacing w:after="0" w:line="183" w:lineRule="exact"/>
        <w:rPr>
          <w:rFonts w:ascii="Arial" w:cs="Arial" w:eastAsia="Arial" w:hAnsi="Arial"/>
          <w:sz w:val="18"/>
          <w:szCs w:val="18"/>
          <w:color w:val="auto"/>
        </w:rPr>
      </w:pPr>
    </w:p>
    <w:p>
      <w:pPr>
        <w:ind w:left="580" w:hanging="248"/>
        <w:spacing w:after="0"/>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establish the form or forms or terms of Securities of any series as permitted by Section 2.03;</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provide for uncertificated Securities and to make all appropriate changes for such purpose;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conform any provision to the applicable corresponding provision set forth in the offering document for the offering of such series of Securities;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580" w:hanging="248"/>
        <w:spacing w:after="0"/>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make any change that does not materially and adversely affect the rights of any Holder.</w:t>
      </w:r>
    </w:p>
    <w:p>
      <w:pPr>
        <w:spacing w:after="0" w:line="22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With Consent of Holders</w:t>
      </w:r>
      <w:r>
        <w:rPr>
          <w:rFonts w:ascii="Arial" w:cs="Arial" w:eastAsia="Arial" w:hAnsi="Arial"/>
          <w:sz w:val="17"/>
          <w:szCs w:val="17"/>
          <w:color w:val="auto"/>
        </w:rPr>
        <w:t>. 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w:t>
      </w:r>
    </w:p>
    <w:p>
      <w:pPr>
        <w:spacing w:after="0" w:line="1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Notwithstanding the provisions of this Section 9.02, without the consent of each Holder affected thereby, an amendment or waiver, including a waiver pursuant to Section 6.04, may not:</w:t>
      </w:r>
    </w:p>
    <w:p>
      <w:pPr>
        <w:spacing w:after="0" w:line="170" w:lineRule="exact"/>
        <w:rPr>
          <w:sz w:val="20"/>
          <w:szCs w:val="20"/>
          <w:color w:val="auto"/>
        </w:rPr>
      </w:pPr>
    </w:p>
    <w:p>
      <w:pPr>
        <w:ind w:left="580" w:hanging="248"/>
        <w:spacing w:after="0"/>
        <w:tabs>
          <w:tab w:leader="none" w:pos="5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sinking fund obligation or any installment of interest on, such Holder’s Security,</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(including any amount in respect of original issue discount);</w:t>
      </w:r>
    </w:p>
    <w:p>
      <w:pPr>
        <w:spacing w:after="0" w:line="225" w:lineRule="exact"/>
        <w:rPr>
          <w:rFonts w:ascii="Arial" w:cs="Arial" w:eastAsia="Arial" w:hAnsi="Arial"/>
          <w:sz w:val="18"/>
          <w:szCs w:val="18"/>
          <w:color w:val="auto"/>
        </w:rPr>
      </w:pPr>
    </w:p>
    <w:p>
      <w:pPr>
        <w:ind w:right="420" w:firstLine="332"/>
        <w:spacing w:after="0" w:line="277" w:lineRule="auto"/>
        <w:tabs>
          <w:tab w:leader="none" w:pos="56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 the above stated percentage of outstanding Securities the consent of whose holders is necessary to modify or amend the Indenture with respect to the Securities of the relevant series; and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6" w:name="page167"/>
    <w:bookmarkEnd w:id="166"/>
    <w:p>
      <w:pPr>
        <w:ind w:right="40" w:firstLine="332"/>
        <w:spacing w:after="0" w:line="263" w:lineRule="auto"/>
        <w:tabs>
          <w:tab w:leader="none" w:pos="57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spacing w:after="0" w:line="184"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65"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It shall not be necessary for the consent of any Holder under this Section 9.02 to approve the particular form of any proposed amendment, supplement or waiver, but it shall be sufficient if such consent approves the substance thereof.</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Revocation and Effect of Consent</w:t>
      </w:r>
      <w:r>
        <w:rPr>
          <w:rFonts w:ascii="Arial" w:cs="Arial" w:eastAsia="Arial" w:hAnsi="Arial"/>
          <w:sz w:val="17"/>
          <w:szCs w:val="17"/>
          <w:color w:val="auto"/>
        </w:rPr>
        <w:t>.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 consent previously given, whether or not such Persons continue to be such Holders after such record date. No such consent shall be valid or effective for more than 90 days after such record date.</w:t>
      </w:r>
    </w:p>
    <w:p>
      <w:pPr>
        <w:spacing w:after="0" w:line="19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Notation on or Exchange of Securities</w:t>
      </w:r>
      <w:r>
        <w:rPr>
          <w:rFonts w:ascii="Arial" w:cs="Arial" w:eastAsia="Arial" w:hAnsi="Arial"/>
          <w:sz w:val="18"/>
          <w:szCs w:val="18"/>
          <w:color w:val="auto"/>
        </w:rPr>
        <w:t>.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Trustee to Sign Amendments, Etc.</w:t>
      </w:r>
      <w:r>
        <w:rPr>
          <w:rFonts w:ascii="Arial" w:cs="Arial" w:eastAsia="Arial" w:hAnsi="Arial"/>
          <w:sz w:val="18"/>
          <w:szCs w:val="18"/>
          <w:color w:val="auto"/>
        </w:rPr>
        <w:t xml:space="preserve"> 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ind w:right="960" w:firstLine="324"/>
        <w:spacing w:after="0" w:line="277" w:lineRule="auto"/>
        <w:rPr>
          <w:sz w:val="20"/>
          <w:szCs w:val="20"/>
          <w:color w:val="auto"/>
        </w:rPr>
      </w:pPr>
      <w:r>
        <w:rPr>
          <w:rFonts w:ascii="Arial" w:cs="Arial" w:eastAsia="Arial" w:hAnsi="Arial"/>
          <w:sz w:val="18"/>
          <w:szCs w:val="18"/>
          <w:color w:val="auto"/>
        </w:rPr>
        <w:t>Section 9.06. C</w:t>
      </w:r>
      <w:r>
        <w:rPr>
          <w:rFonts w:ascii="Arial" w:cs="Arial" w:eastAsia="Arial" w:hAnsi="Arial"/>
          <w:sz w:val="18"/>
          <w:szCs w:val="18"/>
          <w:i w:val="1"/>
          <w:iCs w:val="1"/>
          <w:color w:val="auto"/>
        </w:rPr>
        <w:t>onformity with Trust Indenture Act</w:t>
      </w:r>
      <w:r>
        <w:rPr>
          <w:rFonts w:ascii="Arial" w:cs="Arial" w:eastAsia="Arial" w:hAnsi="Arial"/>
          <w:sz w:val="18"/>
          <w:szCs w:val="18"/>
          <w:color w:val="auto"/>
        </w:rPr>
        <w:t>. Every supplemental indenture executed pursuant to this Article 9 shall conform to the requirements of the Trust Indenture Act as then in effect.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Trust Indenture Act of 1939</w:t>
      </w:r>
      <w:r>
        <w:rPr>
          <w:rFonts w:ascii="Arial" w:cs="Arial" w:eastAsia="Arial" w:hAnsi="Arial"/>
          <w:sz w:val="18"/>
          <w:szCs w:val="18"/>
          <w:color w:val="auto"/>
        </w:rPr>
        <w:t>. This Indenture shall incorporate and be governed by the provisions of the Trust Indenture Act that are required to be part of and to govern indentures qualified under the Trust Indenture Act.</w:t>
      </w:r>
    </w:p>
    <w:p>
      <w:pPr>
        <w:spacing w:after="0" w:line="170" w:lineRule="exact"/>
        <w:rPr>
          <w:sz w:val="20"/>
          <w:szCs w:val="20"/>
          <w:color w:val="auto"/>
        </w:rPr>
      </w:pPr>
    </w:p>
    <w:p>
      <w:pPr>
        <w:jc w:val="both"/>
        <w:ind w:right="420" w:firstLine="324"/>
        <w:spacing w:after="0" w:line="263"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Notices</w:t>
      </w:r>
      <w:r>
        <w:rPr>
          <w:rFonts w:ascii="Arial" w:cs="Arial" w:eastAsia="Arial" w:hAnsi="Arial"/>
          <w:sz w:val="18"/>
          <w:szCs w:val="18"/>
          <w:color w:val="auto"/>
        </w:rPr>
        <w:t>. 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37 Walnut Street, Suite 300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Wellesley Hills, MA 02481</w:t>
      </w:r>
    </w:p>
    <w:p>
      <w:pPr>
        <w:spacing w:after="0" w:line="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Facsimile: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Trustee:</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Facsimile: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2">
            <w:col w:w="1520" w:space="540"/>
            <w:col w:w="9180"/>
          </w:cols>
          <w:pgMar w:left="320" w:top="908" w:right="33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Attention: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00" w:space="480"/>
            <w:col w:w="9260"/>
          </w:cols>
          <w:pgMar w:left="320" w:top="908" w:right="339" w:bottom="144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or the Trustee by written notice to the other may designate additional or different addresses for subsequent notices or communications.</w:t>
      </w:r>
    </w:p>
    <w:p>
      <w:pPr>
        <w:spacing w:after="0" w:line="248"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spacing w:after="0" w:line="18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case it shall be impracticable to give notice as herein contemplated, then such notification as shall be made with the approval of the Trustee shall constitute a sufficient notification for every purpose hereunder.</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Upon any request or application by the Company to the Trustee to take any action under this Indenture, the Company shall furnish to the Trustee:</w:t>
      </w:r>
    </w:p>
    <w:p>
      <w:pPr>
        <w:spacing w:after="0" w:line="170" w:lineRule="exact"/>
        <w:rPr>
          <w:sz w:val="20"/>
          <w:szCs w:val="20"/>
          <w:color w:val="auto"/>
        </w:rPr>
      </w:pPr>
    </w:p>
    <w:p>
      <w:pPr>
        <w:ind w:right="500" w:firstLine="332"/>
        <w:spacing w:after="0" w:line="277" w:lineRule="auto"/>
        <w:tabs>
          <w:tab w:leader="none" w:pos="56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68" w:name="page169"/>
    <w:bookmarkEnd w:id="168"/>
    <w:p>
      <w:pPr>
        <w:ind w:right="320" w:firstLine="324"/>
        <w:spacing w:after="0" w:line="277" w:lineRule="auto"/>
        <w:rPr>
          <w:sz w:val="20"/>
          <w:szCs w:val="20"/>
          <w:color w:val="auto"/>
        </w:rPr>
      </w:pPr>
      <w:r>
        <w:rPr>
          <w:rFonts w:ascii="Arial" w:cs="Arial" w:eastAsia="Arial" w:hAnsi="Arial"/>
          <w:sz w:val="18"/>
          <w:szCs w:val="18"/>
          <w:color w:val="auto"/>
        </w:rPr>
        <w:t>Section 10.04. S</w:t>
      </w:r>
      <w:r>
        <w:rPr>
          <w:rFonts w:ascii="Arial" w:cs="Arial" w:eastAsia="Arial" w:hAnsi="Arial"/>
          <w:sz w:val="18"/>
          <w:szCs w:val="18"/>
          <w:i w:val="1"/>
          <w:iCs w:val="1"/>
          <w:color w:val="auto"/>
        </w:rPr>
        <w:t>tatements Required in Certificate or Opinion</w:t>
      </w:r>
      <w:r>
        <w:rPr>
          <w:rFonts w:ascii="Arial" w:cs="Arial" w:eastAsia="Arial" w:hAnsi="Arial"/>
          <w:sz w:val="18"/>
          <w:szCs w:val="18"/>
          <w:color w:val="auto"/>
        </w:rPr>
        <w:t>. Each certificate or opinion with respect to compliance with a condition or covenant provided for in this Indenture (other than the certificate required by Section 4.04) shall include:</w:t>
      </w:r>
    </w:p>
    <w:p>
      <w:pPr>
        <w:spacing w:after="0" w:line="170" w:lineRule="exact"/>
        <w:rPr>
          <w:sz w:val="20"/>
          <w:szCs w:val="20"/>
          <w:color w:val="auto"/>
        </w:rPr>
      </w:pPr>
    </w:p>
    <w:p>
      <w:pPr>
        <w:ind w:left="580" w:hanging="248"/>
        <w:spacing w:after="0"/>
        <w:tabs>
          <w:tab w:leader="none" w:pos="5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statement that each person signing such certificate or opinion has read such covenant or condition and the definitions herein relating thereto;</w:t>
      </w:r>
    </w:p>
    <w:p>
      <w:pPr>
        <w:spacing w:after="0" w:line="248" w:lineRule="exact"/>
        <w:rPr>
          <w:rFonts w:ascii="Arial" w:cs="Arial" w:eastAsia="Arial" w:hAnsi="Arial"/>
          <w:sz w:val="16"/>
          <w:szCs w:val="16"/>
          <w:color w:val="auto"/>
        </w:rPr>
      </w:pPr>
    </w:p>
    <w:p>
      <w:pPr>
        <w:ind w:right="60" w:firstLine="332"/>
        <w:spacing w:after="0" w:line="277" w:lineRule="auto"/>
        <w:tabs>
          <w:tab w:leader="none" w:pos="57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such certificate or opinion is based;</w:t>
      </w:r>
    </w:p>
    <w:p>
      <w:pPr>
        <w:spacing w:after="0" w:line="170" w:lineRule="exact"/>
        <w:rPr>
          <w:rFonts w:ascii="Arial" w:cs="Arial" w:eastAsia="Arial" w:hAnsi="Arial"/>
          <w:sz w:val="18"/>
          <w:szCs w:val="18"/>
          <w:color w:val="auto"/>
        </w:rPr>
      </w:pPr>
    </w:p>
    <w:p>
      <w:pPr>
        <w:ind w:right="400" w:firstLine="332"/>
        <w:spacing w:after="0" w:line="277" w:lineRule="auto"/>
        <w:tabs>
          <w:tab w:leader="none" w:pos="56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statement that, in the opinion of each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right="200" w:firstLine="332"/>
        <w:spacing w:after="0" w:line="277" w:lineRule="auto"/>
        <w:tabs>
          <w:tab w:leader="none" w:pos="57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 statement as to whether or not, in the opinion of each such person, such condition or covenant has been complied with; </w:t>
      </w:r>
      <w:r>
        <w:rPr>
          <w:rFonts w:ascii="Arial" w:cs="Arial" w:eastAsia="Arial" w:hAnsi="Arial"/>
          <w:sz w:val="18"/>
          <w:szCs w:val="18"/>
          <w:i w:val="1"/>
          <w:iCs w:val="1"/>
          <w:color w:val="auto"/>
        </w:rPr>
        <w:t>provided, however</w:t>
      </w:r>
      <w:r>
        <w:rPr>
          <w:rFonts w:ascii="Arial" w:cs="Arial" w:eastAsia="Arial" w:hAnsi="Arial"/>
          <w:sz w:val="18"/>
          <w:szCs w:val="18"/>
          <w:color w:val="auto"/>
        </w:rPr>
        <w:t>, that, with respect to matters of fact, an Opinion of Counsel may rely on an Officers’ Certificate or certificates of public officials.</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i w:val="1"/>
          <w:iCs w:val="1"/>
          <w:color w:val="auto"/>
        </w:rPr>
        <w:t>Evidence of Ownership</w:t>
      </w:r>
      <w:r>
        <w:rPr>
          <w:rFonts w:ascii="Arial" w:cs="Arial" w:eastAsia="Arial" w:hAnsi="Arial"/>
          <w:sz w:val="17"/>
          <w:szCs w:val="17"/>
          <w:color w:val="auto"/>
        </w:rPr>
        <w:t>.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spacing w:after="0" w:line="17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Rules by Trustee, Paying Agent or Registrar</w:t>
      </w:r>
      <w:r>
        <w:rPr>
          <w:rFonts w:ascii="Arial" w:cs="Arial" w:eastAsia="Arial" w:hAnsi="Arial"/>
          <w:sz w:val="18"/>
          <w:szCs w:val="18"/>
          <w:color w:val="auto"/>
        </w:rPr>
        <w:t>. The Trustee may make reasonable rules for action by or at a meeting of Holders. The Paying Agent or Registrar may make reasonable rules for its functions.</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i w:val="1"/>
          <w:iCs w:val="1"/>
          <w:color w:val="auto"/>
        </w:rPr>
        <w:t>Payment Date Other Than a Business Day</w:t>
      </w:r>
      <w:r>
        <w:rPr>
          <w:rFonts w:ascii="Arial" w:cs="Arial" w:eastAsia="Arial" w:hAnsi="Arial"/>
          <w:sz w:val="17"/>
          <w:szCs w:val="17"/>
          <w:color w:val="auto"/>
        </w:rPr>
        <w:t>. 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spacing w:after="0" w:line="171" w:lineRule="exact"/>
        <w:rPr>
          <w:sz w:val="20"/>
          <w:szCs w:val="20"/>
          <w:color w:val="auto"/>
        </w:rPr>
      </w:pPr>
    </w:p>
    <w:p>
      <w:pPr>
        <w:ind w:left="340"/>
        <w:spacing w:after="0"/>
        <w:tabs>
          <w:tab w:leader="none" w:pos="152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i w:val="1"/>
          <w:iCs w:val="1"/>
          <w:color w:val="auto"/>
        </w:rPr>
        <w:t>Governing Law</w:t>
      </w:r>
      <w:r>
        <w:rPr>
          <w:rFonts w:ascii="Arial" w:cs="Arial" w:eastAsia="Arial" w:hAnsi="Arial"/>
          <w:sz w:val="16"/>
          <w:szCs w:val="16"/>
          <w:color w:val="auto"/>
        </w:rPr>
        <w:t>. The laws of the State of New York shall govern this Indenture and the Securities.</w:t>
      </w:r>
    </w:p>
    <w:p>
      <w:pPr>
        <w:spacing w:after="0" w:line="225" w:lineRule="exact"/>
        <w:rPr>
          <w:sz w:val="20"/>
          <w:szCs w:val="20"/>
          <w:color w:val="auto"/>
        </w:rPr>
      </w:pPr>
    </w:p>
    <w:p>
      <w:pPr>
        <w:ind w:right="660" w:firstLine="324"/>
        <w:spacing w:after="0" w:line="342"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i w:val="1"/>
          <w:iCs w:val="1"/>
          <w:color w:val="auto"/>
        </w:rPr>
        <w:t>No Adverse Interpretation of Other Agreements</w:t>
      </w:r>
      <w:r>
        <w:rPr>
          <w:rFonts w:ascii="Arial" w:cs="Arial" w:eastAsia="Arial" w:hAnsi="Arial"/>
          <w:sz w:val="16"/>
          <w:szCs w:val="16"/>
          <w:color w:val="auto"/>
        </w:rPr>
        <w:t>. This Indenture may not be used to interpret another indenture or loan or debt agreement of the Company or any Subsidiary of the Company. Any such indenture or agreement may not be used to interpret this Indenture.</w:t>
      </w:r>
    </w:p>
    <w:p>
      <w:pPr>
        <w:spacing w:after="0" w:line="124"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Successors</w:t>
      </w:r>
      <w:r>
        <w:rPr>
          <w:rFonts w:ascii="Arial" w:cs="Arial" w:eastAsia="Arial" w:hAnsi="Arial"/>
          <w:sz w:val="18"/>
          <w:szCs w:val="18"/>
          <w:color w:val="auto"/>
        </w:rPr>
        <w:t>. All agreements of the Company in this Indenture and the Securities shall bind its successors. All agreements of the Trustee in this Indenture shall bind its successors.</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Duplicate Originals</w:t>
      </w:r>
      <w:r>
        <w:rPr>
          <w:rFonts w:ascii="Arial" w:cs="Arial" w:eastAsia="Arial" w:hAnsi="Arial"/>
          <w:sz w:val="18"/>
          <w:szCs w:val="18"/>
          <w:color w:val="auto"/>
        </w:rPr>
        <w:t>. The parties may sign any number of copies of this Indenture. Each signed copy shall be an original, but all of them together represent the same agreement.</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i w:val="1"/>
          <w:iCs w:val="1"/>
          <w:color w:val="auto"/>
        </w:rPr>
        <w:t>Separability</w:t>
      </w:r>
      <w:r>
        <w:rPr>
          <w:rFonts w:ascii="Arial" w:cs="Arial" w:eastAsia="Arial" w:hAnsi="Arial"/>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xml:space="preserve"> The Table of Contents and headings of the Articles and Sections of this Indenture have been inserted for convenience of reference only, are not to be considered a part hereof and shall in no way modify or restrict any of the terms and provisions 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ind w:right="40" w:firstLine="324"/>
        <w:spacing w:after="0" w:line="293" w:lineRule="auto"/>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i w:val="1"/>
          <w:iCs w:val="1"/>
          <w:color w:val="auto"/>
        </w:rPr>
        <w:t>Incorporators, Stockholders, Officers and Directors of Company Exempt from Individual Liability</w:t>
      </w:r>
      <w:r>
        <w:rPr>
          <w:rFonts w:ascii="Arial" w:cs="Arial" w:eastAsia="Arial" w:hAnsi="Arial"/>
          <w:sz w:val="16"/>
          <w:szCs w:val="16"/>
          <w:color w:val="auto"/>
        </w:rPr>
        <w:t>.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6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i w:val="1"/>
          <w:iCs w:val="1"/>
          <w:color w:val="auto"/>
        </w:rPr>
        <w:t>Judgment Currency</w:t>
      </w:r>
      <w:r>
        <w:rPr>
          <w:rFonts w:ascii="Arial" w:cs="Arial" w:eastAsia="Arial" w:hAnsi="Arial"/>
          <w:sz w:val="17"/>
          <w:szCs w:val="17"/>
          <w:color w:val="auto"/>
        </w:rPr>
        <w:t>. 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Arial" w:cs="Arial" w:eastAsia="Arial" w:hAnsi="Arial"/>
          <w:sz w:val="17"/>
          <w:szCs w:val="17"/>
          <w:b w:val="1"/>
          <w:bCs w:val="1"/>
          <w:color w:val="auto"/>
        </w:rPr>
        <w:t>Required Currency</w:t>
      </w:r>
      <w:r>
        <w:rPr>
          <w:rFonts w:ascii="Arial" w:cs="Arial" w:eastAsia="Arial" w:hAnsi="Arial"/>
          <w:sz w:val="17"/>
          <w:szCs w:val="17"/>
          <w:color w:val="auto"/>
        </w:rPr>
        <w:t>”) into a currency in which a judgment will be rendered (the “</w:t>
      </w:r>
      <w:r>
        <w:rPr>
          <w:rFonts w:ascii="Arial" w:cs="Arial" w:eastAsia="Arial" w:hAnsi="Arial"/>
          <w:sz w:val="17"/>
          <w:szCs w:val="17"/>
          <w:b w:val="1"/>
          <w:bCs w:val="1"/>
          <w:color w:val="auto"/>
        </w:rPr>
        <w:t>Judgment Currency</w:t>
      </w:r>
      <w:r>
        <w:rPr>
          <w:rFonts w:ascii="Arial" w:cs="Arial" w:eastAsia="Arial" w:hAnsi="Arial"/>
          <w:sz w:val="17"/>
          <w:szCs w:val="17"/>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spacing w:after="0" w:line="18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COMPANY AND THE TRUSTEE IRREVOCABLY WAIVES, TO THE FULLEST EXTENT PERMITTED BY APPLICABLE LAW, ANY AND ALL RIGHT TO TRIAL BY JURY IN ANY LEGAL PROCEEDING ARISING OUT OF OR RELATING TO THIS INDENTURE, THE SECURITIES OR THE TRANSACTIONS CONTEMPLATED HEREBY.</w:t>
      </w:r>
    </w:p>
    <w:p>
      <w:pPr>
        <w:spacing w:after="0" w:line="18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i w:val="1"/>
          <w:iCs w:val="1"/>
          <w:color w:val="auto"/>
        </w:rPr>
        <w:t>Force Majeure</w:t>
      </w:r>
      <w:r>
        <w:rPr>
          <w:rFonts w:ascii="Arial" w:cs="Arial" w:eastAsia="Arial" w:hAnsi="Arial"/>
          <w:sz w:val="17"/>
          <w:szCs w:val="17"/>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UBORDINATION</w:t>
      </w:r>
    </w:p>
    <w:p>
      <w:pPr>
        <w:spacing w:after="0" w:line="211"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i w:val="1"/>
          <w:iCs w:val="1"/>
          <w:color w:val="auto"/>
        </w:rPr>
        <w:t>Agreement to Subordinate</w:t>
      </w:r>
      <w:r>
        <w:rPr>
          <w:rFonts w:ascii="Arial" w:cs="Arial" w:eastAsia="Arial" w:hAnsi="Arial"/>
          <w:sz w:val="17"/>
          <w:szCs w:val="17"/>
          <w:color w:val="auto"/>
        </w:rPr>
        <w:t>. The Company covenants and agrees, and each Holder of a Security issued hereunder, by his acceptance thereof, likewise covenants and agrees, that all Securities shall be issued subject to the provisions of this Article; and each Person holding any Security, whether upon original issue or upon transfer, assignment or exchange thereof, accepts and agrees that the principal of and interest on all Securities issued hereunder shall, to the extent and in the manner herein set forth, be subordinated and subject in right of payment to the prior payment in full of all Senior Indebtedness, and that the subordination is for the benefit of the holders of the Senior Indebtedness.</w:t>
      </w:r>
    </w:p>
    <w:p>
      <w:pPr>
        <w:spacing w:after="0" w:line="17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i w:val="1"/>
          <w:iCs w:val="1"/>
          <w:color w:val="auto"/>
        </w:rPr>
        <w:t>Payments to Securityholders</w:t>
      </w:r>
      <w:r>
        <w:rPr>
          <w:rFonts w:ascii="Arial" w:cs="Arial" w:eastAsia="Arial" w:hAnsi="Arial"/>
          <w:sz w:val="17"/>
          <w:szCs w:val="17"/>
          <w:color w:val="auto"/>
        </w:rPr>
        <w:t>. As to each series of Securities, if any, issued hereunder, in the event (a) of any insolvency or bankruptcy proceedings, or any receivership, dissolution, winding-up, total or partial liquidation, reorganization or other similar proceedings in respect of the Company or a substantial part of its property, whether voluntary or involuntary, or (b) that (i) a default shall have occurred with respect to the payment of principal of or interest on or other monetary amounts due and payable with respect to any Senior Indebtedness, or (ii) there shall have occurred an event of default (other than a default in the payment of principal or interest or other monetary amounts due and payable) in respect of any Senior Indebtedness, as defined in such Senior Indebtedness or in the instrument under which the same is outstanding, permitting the holder or holders thereof to accelerate the maturity thereof, and such default or event of default shall not be cured or was continued beyond the period of grace, if any, in respect thereof, and such default or event of default shall not have been waived or shall not have ceased to exist, or (c) separately with respect to each series of Securities, that the principal of and accrued interest on such Securities shall have been declared due and payable pursuant to Section 6.01 and such declaration shall not have been rescinded and annulled as provided in Section 6.01, then the holders of all Senior Indebtedness shall first be entitled to receive payment in full of all amounts due or to become due thereon, or provision shall be made, in accordance with the terms of such Senior Indebtedness, for such payment in money or money’s worth, before the Holders of such series of Securities are entitled to receive a payment on account of the principal of or interest on the indebtedness evidenced by such series of Securities, including, without limitation, any payments made pursuant to Article 3, or any cash payments to purchase such series of Securities at the option of the Holders thereof.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p>
      <w:pPr>
        <w:ind w:right="40" w:firstLine="324"/>
        <w:spacing w:after="0" w:line="269" w:lineRule="auto"/>
        <w:rPr>
          <w:sz w:val="20"/>
          <w:szCs w:val="20"/>
          <w:color w:val="auto"/>
        </w:rPr>
      </w:pPr>
      <w:r>
        <w:rPr>
          <w:rFonts w:ascii="Arial" w:cs="Arial" w:eastAsia="Arial" w:hAnsi="Arial"/>
          <w:sz w:val="17"/>
          <w:szCs w:val="17"/>
          <w:color w:val="auto"/>
        </w:rPr>
        <w:t>Upon any such insolvency or bankruptcy proceeding, receivership, dissolution, winding-up, total or partial liquidation, reorganization, or other similar proceeding referred to in clause (a) of the immediately preceding paragraph, any payment or distribution of assets of the Company of any kind or character, whether in cash, property or securities, to which the Holders of the Securities or the Trustee under this Indenture would be entitled, except for the provisions hereof, shall be paid by the Company or by any receiver, trustee in bankruptcy, liquidating trustee, agent or other Person making such payment or distribution or, to the extent required by the next succeeding paragraph, by the Holders of the Securities or the Trustee, if received by them or it, directly to the holders of Senior Indebtedness (pro rata to such holders on the basis of the respective amounts of Senior Indebtedness held by such holders) or their respective representatives, or to the trustee or trustees under any indenture pursuant to which any instruments evidencing any of such Senior Indebtedness may have been issued, as their respective interests may appear, to the extent necessary to pay all Senior Indebtedness in full after giving effect to any concurrent payment or distribution to or for the holders of Senior Indebtedness, before any payment or distribution is made to the Holders of the indebtedness evidenced by the Securities (including any cash payments to repurchase such Securities at the option of the Holders thereof) or to the Trustee under this Indenture.</w:t>
      </w:r>
    </w:p>
    <w:p>
      <w:pPr>
        <w:spacing w:after="0" w:line="18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the event that, notwithstanding the foregoing, any payment or distribution of assets of the Company of any kind or character, whether in cash, property or securities, prohibited by the foregoing provisions of this Section, shall be received by the Trustee under this Indenture or the Holders of the Securities before all Senior Indebtedness is paid in full or provision is made for such payment in accordance with its terms, and if such fact shall, at or prior to the time of such payment or distribution, have been known to the Trustee, then such payment or distribution shall be held in trust for the benefit of and shall be paid over or delivered to the holders of such Senior Indebtedness or their respective representatives, or to the trustee or trustees under any indenture pursuant to which any instruments evidencing any of such Senior Indebtedness may have been issued, as their respective interests may appear, for application to the payment of all Senior Indebtedness remaining unpaid until all such Senior Indebtedness shall have been paid in full in accordance with its terms, after giving effect to any concurrent payment or distribution to or for the holders of such Senior Indebtedness.</w:t>
      </w:r>
    </w:p>
    <w:p>
      <w:pPr>
        <w:spacing w:after="0" w:line="16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For purposes of this Article only, the words, “cash, property or securities” shall not be deemed to include shares of stock of the Company as reorganized or readjusted, or securities of the Company or any other corporation provided for by a plan of arrangement, reorganization or readjustment, the payment of which is subordinated (at least to the extent provided in this Article with respect to the Securities) to the payment of all Senior Indebtedness which may at the time be outstanding; provided that (i) the Senior Indebtedness is assumed by the new corporation, if any, resulting from any such arrangement, reorganization or readjustment, and (ii) the rights of the holders of the Senior Indebtedness are not, without the consent of such holders, altered by such arrangement, reorganization or readjustment. The consolidation of the Company with, or the merger of the Company with or into, another corporation or the liquidation or dissolution of the Company following the conveyance or transfer of all or substantially all of its assets to another corporation upon the terms and conditions provided in Article 5 shall not be deemed a dissolution, winding-up, liquidation or reorganization for the purposes of this Section if such other corporation shall, as a part of such consolidation, merger, conveyance or transfer, comply with the conditions stated in Article 5. Nothing in this Section shall apply to claims of, or payments to, the Trustee under or pursuant to Article 7, except as expressly provided therein. This Section shall be subject to the further provisions of Section 11.05</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ind w:firstLine="324"/>
        <w:spacing w:after="0" w:line="268"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Subrogation</w:t>
      </w:r>
      <w:r>
        <w:rPr>
          <w:rFonts w:ascii="Arial" w:cs="Arial" w:eastAsia="Arial" w:hAnsi="Arial"/>
          <w:sz w:val="17"/>
          <w:szCs w:val="17"/>
          <w:color w:val="auto"/>
        </w:rPr>
        <w:t>. Subject to the payment in full of all Senior Indebtedness, the Holders of the Securities subject to the provisions of Section 11.02 shall be subrogated (equally and ratably with the holders of all obligations of the Company which by their express terms are subordinated to Senior Indebtedness of the Company to the same extent as the Securities are subordinated and which are entitled to like rights of subrogation) to the rights of the holders of Senior Indebtedness to receive payments or distributions of cash, property or securities of the Company applicable to the Senior Indebtedness until the principal of and interest on such Securities shall be paid in full; and, for the purpose of such subrogation, no payments or distributions to the holders of the Senior Indebtedness of any cash, property or securities to which the Holders of such Securities or the Trustee on their behalf would be entitled except for the provisions of this Article, and no payment over pursuant to the provisions of this Article to the holders of Senior Indebtedness by Holders of such Securities or the Trustee on their behalf shall, as between the Company, its creditors other than holders of Senior Indebtedness and the Holders of such Securities, be deemed to be a payment by the Company to or on account of the Senior Indebtedness; and no payments or distributions of cash, property or securities to or for the benefit of the Holders of the Securities pursuant to the subrogation provision of this Article, which would otherwise have been paid to the holders of Senior Indebtedness, shall be deemed to be a payment by the Company to or for the account of such Securities. The provisions of this Article are intended solely for the purpose of defining the relative rights of the Holders of the Securities, on the one hand, and the holders of the Senior Indebtedness, on the other hand.</w:t>
      </w:r>
    </w:p>
    <w:p>
      <w:pPr>
        <w:spacing w:after="0" w:line="18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Nothing contained in this Article or elsewhere in this Indenture or in the Securities is intended to or shall impair, as between the issuer, its creditors other than the holders of Senior Indebtedness, and the Holders of the Securities, the obligation of the Company, which is absolute and unconditional, to pay to the Holders of the Securities the principal of and interest on the Securities as and when the same shall become due and payable in accordance with their terms, or is intended to or shall affect the relative rights against the Company of the Holders of the Securities and creditors of the Company other than the holders of Senior Indebtedness, nor shall anything herein or therein prevent the Holder of any Security or the Trustee on his behalf from exercising all remedies otherwise permitted by applicable law upon default under this Indenture, subject to the rights, if any, under this Article of the holders of Senior Indebtedness in respect of cash, property or securities of the Company received upon the exercise of any such remedy.</w:t>
      </w:r>
    </w:p>
    <w:p>
      <w:pPr>
        <w:spacing w:after="0" w:line="16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Upon any payment or distribution of assets of the Company referred to in this Article, the Trustee, subject to the provisions of Section 7.01 and Section 7.02, and the Holders of the Securities shall be entitled to rely upon any order or decree made by any court of competent jurisdiction in which such insolvency, bankruptcy, dissolution, winding-up, liquidation, arrangement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w:t>
      </w:r>
    </w:p>
    <w:p>
      <w:pPr>
        <w:spacing w:after="0" w:line="164"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Authorization by Securityholders</w:t>
      </w:r>
      <w:r>
        <w:rPr>
          <w:rFonts w:ascii="Arial" w:cs="Arial" w:eastAsia="Arial" w:hAnsi="Arial"/>
          <w:sz w:val="18"/>
          <w:szCs w:val="18"/>
          <w:color w:val="auto"/>
        </w:rPr>
        <w:t>. Each Holder of a Security by his acceptance thereof authorizes the Trustee on his behalf to take such action as may be necessary or appropriate to effectuate the subordination provided in this Article and appoints the Trustee his attorney-in-fact for any and all such purposes.</w:t>
      </w:r>
    </w:p>
    <w:p>
      <w:pPr>
        <w:spacing w:after="0" w:line="184"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 xml:space="preserve">Section 11.05. </w:t>
      </w:r>
      <w:r>
        <w:rPr>
          <w:rFonts w:ascii="Arial" w:cs="Arial" w:eastAsia="Arial" w:hAnsi="Arial"/>
          <w:sz w:val="17"/>
          <w:szCs w:val="17"/>
          <w:i w:val="1"/>
          <w:iCs w:val="1"/>
          <w:color w:val="auto"/>
        </w:rPr>
        <w:t>Notice to Trustee</w:t>
      </w:r>
      <w:r>
        <w:rPr>
          <w:rFonts w:ascii="Arial" w:cs="Arial" w:eastAsia="Arial" w:hAnsi="Arial"/>
          <w:sz w:val="17"/>
          <w:szCs w:val="17"/>
          <w:color w:val="auto"/>
        </w:rPr>
        <w:t>. The Company shall give prompt written notice to the Trustee and to any paying agent of any fact known to the Company which would prohibit the making of any payment of monies to or by the Trustee or any paying agent in respect of the Securities pursuant to the provisions of this Article. Regardless of anything to the contrary contained in this Article or elsewhere in this Indenture, the Trustee shall not be charged with knowledge of the existence of any Senior Indebtedness or of any default or event of default with respect to any Senior Indebtedness or of any other facts which would prohibit the making of any payment of monies to or by the Trustee in respect of the Securities, unless and until the Trustee shall have received notice in writing (which may be by telegram, telecopy or other similar writing) at its Corporate Trust Office to that effect signed by an officer of the Company, or by a holder or agent of a holder of Senior Indebtedness who shall have been certified by the Company or otherwise established to the reasonable satisfaction of the Trustee to be such holder or agent, or by the trustee under any indenture pursuant to which Senior Indebtedness shall be outstanding, and, prior to the receipt of any such written notice, the Trustee shall, subject to Section 7.01 and Section 7.02, be entitled to assume that no such facts exist; provided that if on a date at least two Business Days prior to the date upon which by the terms hereof any such monies shall become payable for any purpose (including, without limitation, the payment of the principal of or interest on any Security) the Trustee shall not have received with respect to such monies the notice provided for in this Section, then, regardless of anything herein to the contrary,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2" w:name="page173"/>
    <w:bookmarkEnd w:id="172"/>
    <w:p>
      <w:pPr>
        <w:ind w:right="60" w:firstLine="324"/>
        <w:spacing w:after="0" w:line="291" w:lineRule="auto"/>
        <w:rPr>
          <w:sz w:val="20"/>
          <w:szCs w:val="20"/>
          <w:color w:val="auto"/>
        </w:rPr>
      </w:pPr>
      <w:r>
        <w:rPr>
          <w:rFonts w:ascii="Arial" w:cs="Arial" w:eastAsia="Arial" w:hAnsi="Arial"/>
          <w:sz w:val="16"/>
          <w:szCs w:val="16"/>
          <w:color w:val="auto"/>
        </w:rPr>
        <w:t>Regardless of anything to the contrary herein (but subject, in the case of clause (a) of this paragraph, to the second paragraph of Section 11.02), nothing shall prevent (a) any payment by the Company or the Trustee to the Securityholders of amounts in connection with a redemption of Securities if (i) notice of such redemption has been given pursuant to Article 3 prior to the receipt by the Trustee of written notice as aforesaid, and (ii) such notice of redemption is given not earlier than 60 days before any redemption date, or (b) any payment by the Trustee to the Securityholders of amounts deposited with it pursuant to Section 8.01, provided, that, in the case of Section 8.05, the applicable Securities are deemed to have been paid and discharged, and in the case of Section 8.01, the Trustee shall not have received, by at least two Business Days prior to the date of execution of instruments acknowledging the satisfaction of and discharge of this Indenture with respect to the applicable Securities, the notice provided in the preceding paragraph.</w:t>
      </w:r>
    </w:p>
    <w:p>
      <w:pPr>
        <w:spacing w:after="0" w:line="16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Subject to Section 7.01 and Section 7.02, the Trustee shall be entitled to rely on the delivery to it of a written notice by a Person representing himself to be a holder of Senior Indebtedness (or a trustee on behalf of such holder) to establish that such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6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Trustee’s Relation to Senior Indebtedness</w:t>
      </w:r>
      <w:r>
        <w:rPr>
          <w:rFonts w:ascii="Arial" w:cs="Arial" w:eastAsia="Arial" w:hAnsi="Arial"/>
          <w:sz w:val="18"/>
          <w:szCs w:val="18"/>
          <w:color w:val="auto"/>
        </w:rPr>
        <w:t>. The Trustee and any agent of the Company or the Trustee shall be entitled to all the rights set forth in this Article with respect to any Senior Indebtedness which may at any time be held by it in its individual or any other capacity to the same extent as any other holder of Senior Indebtedness and nothing in the second paragraph of Section 2.02 or elsewhere in this Indenture shall deprive the Trustee or any such agent of any of its rights as such holder. Nothing in this Article shall apply to claims of, or payments to, the Trustee under or pursuant to Section 7.07.</w:t>
      </w:r>
    </w:p>
    <w:p>
      <w:pPr>
        <w:spacing w:after="0" w:line="188"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With respect to the holders of Senior Indebtedness, the Trustee undertakes to perform or to observe only such of its covenants and obligations as are specifically set forth in this Article, and no implied covenants or obligations with respect to the holders of Senior Indebtedness shall be read into this Indenture against the Trustee. The Trustee shall not be deemed to owe any fiduciary duty to the holders of Senior Indebtedness and, subject to the provisions of Section 7.01 and Section 7.02, the Trustee shall not be liable to any holder of Senior Indebtedness if it shall in good faith pay over or deliver to Holders of Securities, the Company or any other Person monies or assets to which any holder of Senior Indebtedness shall be entitled by virtue of this Article or otherwise.</w:t>
      </w:r>
    </w:p>
    <w:p>
      <w:pPr>
        <w:spacing w:after="0" w:line="19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i w:val="1"/>
          <w:iCs w:val="1"/>
          <w:color w:val="auto"/>
        </w:rPr>
        <w:t>No Impairment of Subordination</w:t>
      </w:r>
      <w:r>
        <w:rPr>
          <w:rFonts w:ascii="Arial" w:cs="Arial" w:eastAsia="Arial" w:hAnsi="Arial"/>
          <w:sz w:val="17"/>
          <w:szCs w:val="17"/>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charged with.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date first written above.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the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4400" w:type="dxa"/>
            <w:vAlign w:val="bottom"/>
          </w:tcPr>
          <w:p>
            <w:pPr>
              <w:jc w:val="right"/>
              <w:ind w:right="405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tcPr>
          <w:p>
            <w:pPr>
              <w:ind w:left="5640"/>
              <w:spacing w:after="0"/>
              <w:rPr>
                <w:sz w:val="20"/>
                <w:szCs w:val="20"/>
                <w:color w:val="auto"/>
              </w:rPr>
            </w:pPr>
            <w:r>
              <w:rPr>
                <w:rFonts w:ascii="Arial" w:cs="Arial" w:eastAsia="Arial" w:hAnsi="Arial"/>
                <w:sz w:val="18"/>
                <w:szCs w:val="18"/>
                <w:color w:val="auto"/>
              </w:rPr>
              <w:t>as the Trustee</w:t>
            </w:r>
          </w:p>
        </w:tc>
        <w:tc>
          <w:tcPr>
            <w:tcW w:w="4400" w:type="dxa"/>
            <w:vAlign w:val="bottom"/>
          </w:tcPr>
          <w:p>
            <w:pPr>
              <w:spacing w:after="0"/>
              <w:rPr>
                <w:sz w:val="20"/>
                <w:szCs w:val="20"/>
                <w:color w:val="auto"/>
              </w:rPr>
            </w:pPr>
          </w:p>
        </w:tc>
      </w:tr>
      <w:tr>
        <w:trPr>
          <w:trHeight w:val="432"/>
        </w:trPr>
        <w:tc>
          <w:tcPr>
            <w:tcW w:w="6840" w:type="dxa"/>
            <w:vAlign w:val="bottom"/>
            <w:gridSpan w:val="2"/>
          </w:tcPr>
          <w:p>
            <w:pPr>
              <w:ind w:left="5640"/>
              <w:spacing w:after="0"/>
              <w:rPr>
                <w:sz w:val="20"/>
                <w:szCs w:val="20"/>
                <w:color w:val="auto"/>
              </w:rPr>
            </w:pPr>
            <w:r>
              <w:rPr>
                <w:rFonts w:ascii="Arial" w:cs="Arial" w:eastAsia="Arial" w:hAnsi="Arial"/>
                <w:sz w:val="18"/>
                <w:szCs w:val="18"/>
                <w:color w:val="auto"/>
              </w:rPr>
              <w:t>By:</w:t>
            </w:r>
          </w:p>
        </w:tc>
        <w:tc>
          <w:tcPr>
            <w:tcW w:w="4400" w:type="dxa"/>
            <w:vAlign w:val="bottom"/>
          </w:tcPr>
          <w:p>
            <w:pPr>
              <w:spacing w:after="0"/>
              <w:rPr>
                <w:sz w:val="24"/>
                <w:szCs w:val="24"/>
                <w:color w:val="auto"/>
              </w:rPr>
            </w:pP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64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spacing w:after="0"/>
              <w:rPr>
                <w:sz w:val="16"/>
                <w:szCs w:val="16"/>
                <w:color w:val="auto"/>
              </w:rPr>
            </w:pPr>
          </w:p>
        </w:tc>
      </w:tr>
      <w:tr>
        <w:trPr>
          <w:trHeight w:val="230"/>
        </w:trPr>
        <w:tc>
          <w:tcPr>
            <w:tcW w:w="6840" w:type="dxa"/>
            <w:vAlign w:val="bottom"/>
            <w:gridSpan w:val="2"/>
          </w:tcPr>
          <w:p>
            <w:pPr>
              <w:ind w:left="564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p>
        </w:tc>
      </w:tr>
      <w:tr>
        <w:trPr>
          <w:trHeight w:val="648"/>
        </w:trPr>
        <w:tc>
          <w:tcPr>
            <w:tcW w:w="620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36</w:t>
            </w:r>
          </w:p>
        </w:tc>
        <w:tc>
          <w:tcPr>
            <w:tcW w:w="6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Exhibits 5.1 and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948940" cy="7112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294894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Entera Bio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Kiryat Hadassah, Minrav Building - Fifth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Israel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Registration Statement on Form F-3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have acted as Israeli counsel for Entera Bio Ltd., an Israeli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statement on Form F-3 filed by the Company with the United States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the date hereof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pursuant to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which registers the offer and sale by the Company, from time to time, of up to $100 million, of any or more of the following types of securities, individually or in units:</w:t>
      </w:r>
    </w:p>
    <w:p>
      <w:pPr>
        <w:spacing w:after="0" w:line="171"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ordinary shares, par value NIS 0.0000769 of the Company (“</w:t>
      </w:r>
      <w:r>
        <w:rPr>
          <w:rFonts w:ascii="Arial" w:cs="Arial" w:eastAsia="Arial" w:hAnsi="Arial"/>
          <w:sz w:val="18"/>
          <w:szCs w:val="18"/>
          <w:u w:val="single" w:color="auto"/>
          <w:color w:val="auto"/>
        </w:rPr>
        <w:t>Ordinary Shares</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senior or subordinated debt securities of the Company in one or more series (the “</w:t>
      </w:r>
      <w:r>
        <w:rPr>
          <w:rFonts w:ascii="Arial" w:cs="Arial" w:eastAsia="Arial" w:hAnsi="Arial"/>
          <w:sz w:val="18"/>
          <w:szCs w:val="18"/>
          <w:u w:val="single" w:color="auto"/>
          <w:color w:val="auto"/>
        </w:rPr>
        <w:t>Debt Securities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warrants to purchase Ordinary Shares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subscription rights to purchase any of our securities (the “</w:t>
      </w:r>
      <w:r>
        <w:rPr>
          <w:rFonts w:ascii="Arial" w:cs="Arial" w:eastAsia="Arial" w:hAnsi="Arial"/>
          <w:sz w:val="18"/>
          <w:szCs w:val="18"/>
          <w:u w:val="single" w:color="auto"/>
          <w:color w:val="auto"/>
        </w:rPr>
        <w:t>Rights</w:t>
      </w:r>
      <w:r>
        <w:rPr>
          <w:rFonts w:ascii="Arial" w:cs="Arial" w:eastAsia="Arial" w:hAnsi="Arial"/>
          <w:sz w:val="18"/>
          <w:szCs w:val="18"/>
          <w:color w:val="auto"/>
        </w:rPr>
        <w:t>”); and</w:t>
      </w:r>
    </w:p>
    <w:p>
      <w:pPr>
        <w:spacing w:after="0" w:line="9" w:lineRule="exact"/>
        <w:rPr>
          <w:rFonts w:ascii="Arial" w:cs="Arial" w:eastAsia="Arial" w:hAnsi="Arial"/>
          <w:sz w:val="18"/>
          <w:szCs w:val="18"/>
          <w:color w:val="auto"/>
        </w:rPr>
      </w:pPr>
    </w:p>
    <w:p>
      <w:pPr>
        <w:ind w:left="660" w:right="80" w:hanging="328"/>
        <w:spacing w:after="0" w:line="260"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units comprised of one or more of the other securities that may be offered under the Registration Statement (the “</w:t>
      </w:r>
      <w:r>
        <w:rPr>
          <w:rFonts w:ascii="Arial" w:cs="Arial" w:eastAsia="Arial" w:hAnsi="Arial"/>
          <w:sz w:val="18"/>
          <w:szCs w:val="18"/>
          <w:u w:val="single" w:color="auto"/>
          <w:color w:val="auto"/>
        </w:rPr>
        <w:t>Units</w:t>
      </w:r>
      <w:r>
        <w:rPr>
          <w:rFonts w:ascii="Arial" w:cs="Arial" w:eastAsia="Arial" w:hAnsi="Arial"/>
          <w:sz w:val="18"/>
          <w:szCs w:val="18"/>
          <w:color w:val="auto"/>
        </w:rPr>
        <w:t>”) (collectively, the Shares, Warrants, Rights, Debt Securities and Units are referred to as the “</w:t>
      </w:r>
      <w:r>
        <w:rPr>
          <w:rFonts w:ascii="Arial" w:cs="Arial" w:eastAsia="Arial" w:hAnsi="Arial"/>
          <w:sz w:val="18"/>
          <w:szCs w:val="18"/>
          <w:u w:val="single" w:color="auto"/>
          <w:color w:val="auto"/>
        </w:rPr>
        <w:t>Securities</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also acted as Israeli counsel to the Company in connection with the Equity Distribution Agreement, dated as of July 13, 2020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Distribution Agreement</w:t>
      </w:r>
      <w:r>
        <w:rPr>
          <w:rFonts w:ascii="Arial" w:cs="Arial" w:eastAsia="Arial" w:hAnsi="Arial"/>
          <w:sz w:val="16"/>
          <w:szCs w:val="16"/>
          <w:color w:val="auto"/>
        </w:rPr>
        <w:t>”), entered into by and between the Company and Canaccord Genuity LLC (the “</w:t>
      </w:r>
      <w:r>
        <w:rPr>
          <w:rFonts w:ascii="Arial" w:cs="Arial" w:eastAsia="Arial" w:hAnsi="Arial"/>
          <w:sz w:val="16"/>
          <w:szCs w:val="16"/>
          <w:u w:val="single" w:color="auto"/>
          <w:color w:val="auto"/>
        </w:rPr>
        <w:t>Agent</w:t>
      </w:r>
      <w:r>
        <w:rPr>
          <w:rFonts w:ascii="Arial" w:cs="Arial" w:eastAsia="Arial" w:hAnsi="Arial"/>
          <w:sz w:val="16"/>
          <w:szCs w:val="16"/>
          <w:color w:val="auto"/>
        </w:rPr>
        <w:t>”) pursuant to which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agreed to offer and sell Ordinary Shares having an aggregate offering price of up to $13.9 million (the “</w:t>
      </w:r>
      <w:r>
        <w:rPr>
          <w:rFonts w:ascii="Arial" w:cs="Arial" w:eastAsia="Arial" w:hAnsi="Arial"/>
          <w:sz w:val="16"/>
          <w:szCs w:val="16"/>
          <w:u w:val="single" w:color="auto"/>
          <w:color w:val="auto"/>
        </w:rPr>
        <w:t>ATM Shares</w:t>
      </w:r>
      <w:r>
        <w:rPr>
          <w:rFonts w:ascii="Arial" w:cs="Arial" w:eastAsia="Arial" w:hAnsi="Arial"/>
          <w:sz w:val="16"/>
          <w:szCs w:val="16"/>
          <w:color w:val="auto"/>
        </w:rPr>
        <w:t>”). The ATM Shares will be issued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Registration Statement and the related prospectus contained therein covering the ATM Shares.</w:t>
      </w:r>
    </w:p>
    <w:p>
      <w:pPr>
        <w:spacing w:after="0" w:line="21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This opinion letter is rendered pursuant to Item 9 of Form F-3 promulgated by the SEC and Items 601(b)(5) of Regulation S-K under the Securities Act, in connection with the filing of the Registration Statement.</w:t>
      </w:r>
    </w:p>
    <w:p>
      <w:pPr>
        <w:spacing w:after="0" w:line="170" w:lineRule="exact"/>
        <w:rPr>
          <w:sz w:val="20"/>
          <w:szCs w:val="20"/>
          <w:color w:val="auto"/>
        </w:rPr>
      </w:pPr>
    </w:p>
    <w:p>
      <w:pPr>
        <w:jc w:val="both"/>
        <w:ind w:right="180" w:firstLine="648"/>
        <w:spacing w:after="0" w:line="291" w:lineRule="auto"/>
        <w:rPr>
          <w:sz w:val="20"/>
          <w:szCs w:val="20"/>
          <w:color w:val="auto"/>
        </w:rPr>
      </w:pPr>
      <w:r>
        <w:rPr>
          <w:rFonts w:ascii="Arial" w:cs="Arial" w:eastAsia="Arial" w:hAnsi="Arial"/>
          <w:sz w:val="16"/>
          <w:szCs w:val="16"/>
          <w:color w:val="auto"/>
        </w:rPr>
        <w:t>In connection herewith, we have examined the originals, photocopies or copies, certified or otherwise identified to our satisfaction, of: (i) a copy of the Registration Statement and the related prospectus contained therein covering the ATM Shares, to which this opinion letter is attached as an exhibit;</w:t>
      </w:r>
    </w:p>
    <w:p>
      <w:pPr>
        <w:ind w:right="140" w:firstLine="8"/>
        <w:spacing w:after="0" w:line="253" w:lineRule="auto"/>
        <w:tabs>
          <w:tab w:leader="none" w:pos="26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copy of the articles of association of the Company, as amended and restated and currently in effect (the “</w:t>
      </w:r>
      <w:r>
        <w:rPr>
          <w:rFonts w:ascii="Arial" w:cs="Arial" w:eastAsia="Arial" w:hAnsi="Arial"/>
          <w:sz w:val="18"/>
          <w:szCs w:val="18"/>
          <w:u w:val="single" w:color="auto"/>
          <w:color w:val="auto"/>
        </w:rPr>
        <w:t>Articles</w:t>
      </w:r>
      <w:r>
        <w:rPr>
          <w:rFonts w:ascii="Arial" w:cs="Arial" w:eastAsia="Arial" w:hAnsi="Arial"/>
          <w:sz w:val="18"/>
          <w:szCs w:val="18"/>
          <w:color w:val="auto"/>
        </w:rPr>
        <w:t>”); (iii) minutes of a meeting or written resolutions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at which the filing of the Registration Statement, the execution of the Equity Distribution Agreement and the actions to be taken in connection therewith were approved, and (iv) such other documents, corporate records, agreements, certificates and other instruments, and have made inquiries with such officers and representatives of the Company, as we have deemed necessary or advisable for the purpose of rendering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1442085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130175</wp:posOffset>
            </wp:positionV>
            <wp:extent cx="6412230" cy="8483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6412230" cy="84836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5" w:name="page176"/>
    <w:bookmarkEnd w:id="175"/>
    <w:p>
      <w:pPr>
        <w:ind w:right="40" w:firstLine="648"/>
        <w:spacing w:after="0" w:line="279" w:lineRule="auto"/>
        <w:rPr>
          <w:sz w:val="20"/>
          <w:szCs w:val="20"/>
          <w:color w:val="auto"/>
        </w:rPr>
      </w:pPr>
      <w:r>
        <w:rPr>
          <w:rFonts w:ascii="Arial" w:cs="Arial" w:eastAsia="Arial" w:hAnsi="Arial"/>
          <w:sz w:val="17"/>
          <w:szCs w:val="17"/>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also assumed the truth of all facts communicated to us by the Company and that all minutes of meetings of the Board that have been provided to us are true and accurate and have been properly prepared in accordance with the Articles and all applicable laws. We have assumed, in addition, that at the time of the execution and delivery of any definitive purchase, underwriting or similar agreement between the Company and any third party pursuant to which any of the Securities may be issued (a “</w:t>
      </w:r>
      <w:r>
        <w:rPr>
          <w:rFonts w:ascii="Arial" w:cs="Arial" w:eastAsia="Arial" w:hAnsi="Arial"/>
          <w:sz w:val="17"/>
          <w:szCs w:val="17"/>
          <w:u w:val="single" w:color="auto"/>
          <w:color w:val="auto"/>
        </w:rPr>
        <w:t>Securities Agreement</w:t>
      </w:r>
      <w:r>
        <w:rPr>
          <w:rFonts w:ascii="Arial" w:cs="Arial" w:eastAsia="Arial" w:hAnsi="Arial"/>
          <w:sz w:val="17"/>
          <w:szCs w:val="17"/>
          <w:color w:val="auto"/>
        </w:rPr>
        <w:t>”), the Securities Agreement will be the valid and legally binding obligation of such third party, enforceable against such third party in accordance with its terms. We have further assumed that at the time of the issuance and sale of any of the Securities, the terms of the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ind w:left="980" w:right="40" w:hanging="324"/>
        <w:spacing w:after="0" w:line="269" w:lineRule="auto"/>
        <w:tabs>
          <w:tab w:leader="none" w:pos="9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With respect to the Shares, assuming (a) the taking of all necessary corporate action to authorize and approve the issuance of any Shares, the terms of the offering thereof and related matters (for purposes of this paragraph 1, the “</w:t>
      </w:r>
      <w:r>
        <w:rPr>
          <w:rFonts w:ascii="Arial" w:cs="Arial" w:eastAsia="Arial" w:hAnsi="Arial"/>
          <w:sz w:val="17"/>
          <w:szCs w:val="17"/>
          <w:u w:val="single" w:color="auto"/>
          <w:color w:val="auto"/>
        </w:rPr>
        <w:t>Authorizing Resolutions</w:t>
      </w:r>
      <w:r>
        <w:rPr>
          <w:rFonts w:ascii="Arial" w:cs="Arial" w:eastAsia="Arial" w:hAnsi="Arial"/>
          <w:sz w:val="17"/>
          <w:szCs w:val="17"/>
          <w:color w:val="auto"/>
        </w:rPr>
        <w:t>”), (b) the effectiveness of the Registration Statement, and any amendments thereto (including any post-effective amendments), and that such effectiveness shall not have been terminated or rescinded, (c) the delivery and filing of an appropriate prospectus supplement with respect to the offering of the Shares in compliance with the Securities Act and the applicable rules and regulations thereunder, (d) approval by the Board of, and entry by the Company into, and performance by the Company under, any applicable Securities Agreement, in the form filed as an exhibit to the Registration Statement, any post-effective amendment thereto or to a report on Form 6-K, pursuant to which the Shares may be issued and sold, and (e) receipt by the Company of the consideration for the Shares as provided for in the Authorizing Resolutions and in accordance with the provisions of any such Securities Agreement and the applicable convertible Securities, if any, pursuant to which the Shares may be issued, such Shares, including any Ordinary Shares issued upon exercise or conversion of any Securities,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1436370</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124460</wp:posOffset>
            </wp:positionV>
            <wp:extent cx="6412230" cy="8483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6412230" cy="84836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ind w:left="324" w:hanging="324"/>
        <w:spacing w:after="0" w:line="286" w:lineRule="auto"/>
        <w:tabs>
          <w:tab w:leader="none" w:pos="32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With respect to the Rights, assuming the (a) taking of all necessary corporate action to authorize and approve the issuance and the terms of the Rights, the terms of the offering thereof and related matters (for purposes of this paragraph 2, the “</w:t>
      </w:r>
      <w:r>
        <w:rPr>
          <w:rFonts w:ascii="Arial" w:cs="Arial" w:eastAsia="Arial" w:hAnsi="Arial"/>
          <w:sz w:val="16"/>
          <w:szCs w:val="16"/>
          <w:u w:val="single" w:color="auto"/>
          <w:color w:val="auto"/>
        </w:rPr>
        <w:t>Authorizing Resolutions</w:t>
      </w:r>
      <w:r>
        <w:rPr>
          <w:rFonts w:ascii="Arial" w:cs="Arial" w:eastAsia="Arial" w:hAnsi="Arial"/>
          <w:sz w:val="16"/>
          <w:szCs w:val="16"/>
          <w:color w:val="auto"/>
        </w:rPr>
        <w:t>”), (b) the effectiveness (without termination or rescindment) of the Registration Statement, as finally amended (including any post-effective amendments), under the Securities Act, (c) the due authorization, execution and delivery of (i) the rights agreement to be dated on or about the date of the first issuance of the applicable Rights thereunder, by and between the Company and a rights agent to be selected by the Company (a “</w:t>
      </w:r>
      <w:r>
        <w:rPr>
          <w:rFonts w:ascii="Arial" w:cs="Arial" w:eastAsia="Arial" w:hAnsi="Arial"/>
          <w:sz w:val="16"/>
          <w:szCs w:val="16"/>
          <w:u w:val="single" w:color="auto"/>
          <w:color w:val="auto"/>
        </w:rPr>
        <w:t>Rights Agreement</w:t>
      </w:r>
      <w:r>
        <w:rPr>
          <w:rFonts w:ascii="Arial" w:cs="Arial" w:eastAsia="Arial" w:hAnsi="Arial"/>
          <w:sz w:val="16"/>
          <w:szCs w:val="16"/>
          <w:color w:val="auto"/>
        </w:rPr>
        <w:t>”) and (ii) any certificates relating to the Rights, (d) the delivery and filing of an appropriate prospectus supplement with respect to the offering of the Rights in compliance with the Securities Act and the applicable rules and regulations thereunder, (e) approval by the Board of, and entry by the Company into, and performance by the Company under, any applicable Rights Agreement, in the form filed as an exhibit to the Registration Statement, any post-effective amendment thereto or to a report on Form 6-K, pursuant to which the Rights may be issued and sold, (f) due establishment by all necessary corporate action and in conformity with the Articles (as then in effect) and the Rights Agreement and any rights certificates, of the terms of the Rights and of their issuance and sale, (g) due execution and counter-signature, in accordance with the provisions of the Rights Agreement, and due issuance, sale and delivery, in accordance with the provisions of any such Rights Agreement, the Registration Statement and the prospectus included therein, of the Rights and (h) receipt by the Company of the consideration for the Rights as provided for in the Authorizing Resolutions and in accordance with the provisions of any such Rights Agreement, such Rights will constitute valid and legally binding obligations of the Company.</w:t>
      </w:r>
    </w:p>
    <w:p>
      <w:pPr>
        <w:spacing w:after="0" w:line="167" w:lineRule="exact"/>
        <w:rPr>
          <w:rFonts w:ascii="Arial" w:cs="Arial" w:eastAsia="Arial" w:hAnsi="Arial"/>
          <w:sz w:val="16"/>
          <w:szCs w:val="16"/>
          <w:color w:val="auto"/>
        </w:rPr>
      </w:pPr>
    </w:p>
    <w:p>
      <w:pPr>
        <w:ind w:left="324" w:hanging="324"/>
        <w:spacing w:after="0" w:line="286" w:lineRule="auto"/>
        <w:tabs>
          <w:tab w:leader="none" w:pos="32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and the terms of the Units and any Securities that are components to the units, the terms of the offering thereof and related matters (for purposes of this paragraph 3, the “</w:t>
      </w:r>
      <w:r>
        <w:rPr>
          <w:rFonts w:ascii="Arial" w:cs="Arial" w:eastAsia="Arial" w:hAnsi="Arial"/>
          <w:sz w:val="16"/>
          <w:szCs w:val="16"/>
          <w:u w:val="single" w:color="auto"/>
          <w:color w:val="auto"/>
        </w:rPr>
        <w:t>Authorizing Resolutions</w:t>
      </w:r>
      <w:r>
        <w:rPr>
          <w:rFonts w:ascii="Arial" w:cs="Arial" w:eastAsia="Arial" w:hAnsi="Arial"/>
          <w:sz w:val="16"/>
          <w:szCs w:val="16"/>
          <w:color w:val="auto"/>
        </w:rPr>
        <w:t>”), (b) the effectiveness (without termination or rescindment) of the Registration Statement, as finally amended (including any post-effective amendments), under the Securities Act, (c) the due authorization, execution and delivery of (i) the Unit Agreement to be dated on or about the date of the first issuance of the applicable Units thereunder, by and between the Company and a rights agent to be selected by the Company (a “</w:t>
      </w:r>
      <w:r>
        <w:rPr>
          <w:rFonts w:ascii="Arial" w:cs="Arial" w:eastAsia="Arial" w:hAnsi="Arial"/>
          <w:sz w:val="16"/>
          <w:szCs w:val="16"/>
          <w:u w:val="single" w:color="auto"/>
          <w:color w:val="auto"/>
        </w:rPr>
        <w:t>Units Agreement</w:t>
      </w:r>
      <w:r>
        <w:rPr>
          <w:rFonts w:ascii="Arial" w:cs="Arial" w:eastAsia="Arial" w:hAnsi="Arial"/>
          <w:sz w:val="16"/>
          <w:szCs w:val="16"/>
          <w:color w:val="auto"/>
        </w:rPr>
        <w:t>”) and (ii) any certificates relating to the Units, (d) the delivery and filing of an appropriate prospectus supplement with respect to the offering of the Units in compliance with the Securities Act and the applicable rules and regulations thereunder, (e) approval by the Board of, and entry by the Company into, and performance by the Company under, any applicable Units Agreement, in the form filed as an exhibit to the Registration Statement, any post-effective amendment thereto or to a report on Form 6-K, pursuant to which the Units may be issued and sold, (f) due establishment by all necessary corporate action and in conformity with the Articles (as then in effect) and the Units Agreement and any rights certificates, of the terms of the Units and of their issuance and sale, (g) due execution and counter-signature, in accordance with the provisions of the Unit Agreement, and due issuance, sale and delivery, in accordance with the provisions of any such Units Agreement, the Registration Statement and the prospectus included therein, of the Units and (h) receipt by the Company of the consideration for the Units as provided for in the Authorizing Resolutions and in accordance with the provisions of any such Units Agreement, such Units will constitute valid and legally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1426845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115570</wp:posOffset>
            </wp:positionV>
            <wp:extent cx="6412230" cy="8483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6412230" cy="848360"/>
                    </a:xfrm>
                    <a:prstGeom prst="rect">
                      <a:avLst/>
                    </a:prstGeom>
                    <a:noFill/>
                  </pic:spPr>
                </pic:pic>
              </a:graphicData>
            </a:graphic>
          </wp:anchor>
        </w:drawing>
      </w:r>
    </w:p>
    <w:p>
      <w:pPr>
        <w:sectPr>
          <w:pgSz w:w="11900" w:h="16838" w:orient="portrait"/>
          <w:cols w:equalWidth="0" w:num="1">
            <w:col w:w="10564"/>
          </w:cols>
          <w:pgMar w:left="976" w:top="908" w:right="359" w:bottom="1440" w:gutter="0" w:footer="0" w:header="0"/>
        </w:sectPr>
      </w:pPr>
    </w:p>
    <w:bookmarkStart w:id="177" w:name="page178"/>
    <w:bookmarkEnd w:id="177"/>
    <w:p>
      <w:pPr>
        <w:ind w:left="980" w:hanging="324"/>
        <w:spacing w:after="0" w:line="301" w:lineRule="auto"/>
        <w:tabs>
          <w:tab w:leader="none" w:pos="9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With respect to the ATM Shares, we are of the opinion that upon payment to the Company of the consideration for the ATM Shares in such amount as has been authorized and approved by the Board, or in amount as may be authorized and approved by the Board or a pricing committee of the Board from time to time in accordance with Israeli law, the ATM Shares, when issued and sold under the Equity Distribution Agreement as described in the Registration Statement and Prospectus, will be duly authorized, validly issued, fully paid and non-assessable.</w:t>
      </w:r>
    </w:p>
    <w:p>
      <w:pPr>
        <w:spacing w:after="0" w:line="15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You have informed us that you intend to issue the Securities, including the ATM Shares, from time to time on a delayed or continuous basis, and this opinion is limited to the laws, including the rules and regulations, as in effect on the date hereof. We understand that prior to issuing any Securities, including the ATM Shares, you will afford us an opportunity to review the corporate approval documents and operative documents pursuant to which such Securities are to be issued (including the Authorizing Resolutions, a Securities Agreement (if applicable) and an appropriate prospectus supplement), and we will file such supplement or amendment to this opinion (if any) as we may reasonably consider necessary or appropriate by reason of the terms of such Securities.</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 respect to our opinion as to the Shares, including any Ordinary Shares issued upon exercise or conversion of any Securities and the ATM Shares, we have assumed that, at the time of issuance and sale and to the extent any such issuance would exceed the maximum share capital of the Company currently authorized, the number of Ordinary Shares that the Company is authorized to issue shall have been increased in accordance with the Articles and as described in the Registration Statement such that a sufficient number of Ordinary Shares are authorized and available for issuance under the Articles, as then in effect.</w:t>
      </w:r>
    </w:p>
    <w:p>
      <w:pPr>
        <w:spacing w:after="0" w:line="18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consent to the filing of this opinion as an exhibit to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spacing w:after="0" w:line="18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Members of our firm are admitted to the Bar in the State of Israel, and we do not express any opinion as to the laws of any other jurisdiction. This opinion is limited to the matters stated herein and limited to Israeli law, and no opinion is implied or may be inferred beyond the matters expressly stated.</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opinion letter is rendered as of the date hereof and we disclaim any obligation to advise you of facts, circumstances, events or developments that may be brought to our attention after the date hereof that may alter, affect or modify the opinions expressed herein.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Herzog Fox &amp; Neeman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Herzog Fox &amp; Neeman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1463040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151130</wp:posOffset>
            </wp:positionV>
            <wp:extent cx="6412230" cy="8489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6412230" cy="84899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78" w:name="page179"/>
    <w:bookmarkEnd w:id="178"/>
    <w:p>
      <w:pPr>
        <w:ind w:left="9640"/>
        <w:spacing w:after="0"/>
        <w:rPr>
          <w:sz w:val="20"/>
          <w:szCs w:val="20"/>
          <w:color w:val="auto"/>
        </w:rPr>
      </w:pPr>
      <w:r>
        <w:rPr>
          <w:rFonts w:ascii="Arial" w:cs="Arial" w:eastAsia="Arial" w:hAnsi="Arial"/>
          <w:sz w:val="16"/>
          <w:szCs w:val="16"/>
          <w:b w:val="1"/>
          <w:bCs w:val="1"/>
          <w:color w:val="auto"/>
        </w:rPr>
        <w:t>Exhibits 5.2 and 23.3</w:t>
      </w:r>
    </w:p>
    <w:p>
      <w:pPr>
        <w:sectPr>
          <w:pgSz w:w="11900" w:h="16838" w:orient="portrait"/>
          <w:cols w:equalWidth="0" w:num="1">
            <w:col w:w="11240"/>
          </w:cols>
          <w:pgMar w:left="320" w:top="337" w:right="339" w:bottom="1440" w:gutter="0" w:footer="0" w:header="0"/>
        </w:sectPr>
      </w:pPr>
    </w:p>
    <w:p>
      <w:pPr>
        <w:spacing w:after="0" w:line="248"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7"/>
          <w:szCs w:val="17"/>
          <w:b w:val="1"/>
          <w:bCs w:val="1"/>
          <w:color w:val="auto"/>
        </w:rPr>
        <w:t>Northern California</w:t>
      </w:r>
    </w:p>
    <w:p>
      <w:pPr>
        <w:spacing w:after="0" w:line="21"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28420" cy="2571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132842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8800" w:space="720"/>
            <w:col w:w="172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2240" w:type="dxa"/>
            <w:vAlign w:val="bottom"/>
          </w:tcPr>
          <w:p>
            <w:pPr>
              <w:ind w:left="980"/>
              <w:spacing w:after="0"/>
              <w:rPr>
                <w:sz w:val="20"/>
                <w:szCs w:val="20"/>
                <w:color w:val="auto"/>
              </w:rPr>
            </w:pPr>
            <w:r>
              <w:rPr>
                <w:rFonts w:ascii="Arial" w:cs="Arial" w:eastAsia="Arial" w:hAnsi="Arial"/>
                <w:sz w:val="18"/>
                <w:szCs w:val="18"/>
                <w:color w:val="auto"/>
                <w:w w:val="92"/>
              </w:rPr>
              <w:t>212 450 4000 tel</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450 Lexington Avenue</w:t>
            </w:r>
          </w:p>
        </w:tc>
        <w:tc>
          <w:tcPr>
            <w:tcW w:w="2240" w:type="dxa"/>
            <w:vAlign w:val="bottom"/>
          </w:tcPr>
          <w:p>
            <w:pPr>
              <w:ind w:left="980"/>
              <w:spacing w:after="0"/>
              <w:rPr>
                <w:sz w:val="20"/>
                <w:szCs w:val="20"/>
                <w:color w:val="auto"/>
              </w:rPr>
            </w:pPr>
            <w:r>
              <w:rPr>
                <w:rFonts w:ascii="Arial" w:cs="Arial" w:eastAsia="Arial" w:hAnsi="Arial"/>
                <w:sz w:val="18"/>
                <w:szCs w:val="18"/>
                <w:color w:val="auto"/>
                <w:w w:val="89"/>
              </w:rPr>
              <w:t>212 701 5800 fax</w:t>
            </w:r>
          </w:p>
        </w:tc>
      </w:tr>
    </w:tbl>
    <w:p>
      <w:pPr>
        <w:spacing w:after="0"/>
        <w:rPr>
          <w:sz w:val="20"/>
          <w:szCs w:val="20"/>
          <w:color w:val="auto"/>
        </w:rPr>
      </w:pPr>
      <w:r>
        <w:rPr>
          <w:rFonts w:ascii="Arial" w:cs="Arial" w:eastAsia="Arial" w:hAnsi="Arial"/>
          <w:sz w:val="18"/>
          <w:szCs w:val="18"/>
          <w:color w:val="auto"/>
        </w:rPr>
        <w:t>New York, NY 10017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DAVIS POLK &amp; WARDWELL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Kiryat Hadassah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Minrav Building – Fifth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We have acted as special United States counsel for Entera Bio Ltd., a limited liability company organized under the laws of Israel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filing with the Securities and Exchange Commission a Registration Statement on Form F-3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 ordinary shares, par value NIS</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0.0000769 per ordinary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of the Company; (b) the Company’s senior debt securities and subordinated debt securities (collectively, the “</w:t>
      </w:r>
      <w:r>
        <w:rPr>
          <w:rFonts w:ascii="Arial" w:cs="Arial" w:eastAsia="Arial" w:hAnsi="Arial"/>
          <w:sz w:val="17"/>
          <w:szCs w:val="17"/>
          <w:b w:val="1"/>
          <w:bCs w:val="1"/>
          <w:color w:val="auto"/>
        </w:rPr>
        <w:t>Debt Securities</w:t>
      </w:r>
      <w:r>
        <w:rPr>
          <w:rFonts w:ascii="Arial" w:cs="Arial" w:eastAsia="Arial" w:hAnsi="Arial"/>
          <w:sz w:val="17"/>
          <w:szCs w:val="17"/>
          <w:color w:val="auto"/>
        </w:rPr>
        <w:t>”), which may be issued pursuant to a senior debt indenture, between the Company and the trustee to be named therein, as trustee (the “</w:t>
      </w:r>
      <w:r>
        <w:rPr>
          <w:rFonts w:ascii="Arial" w:cs="Arial" w:eastAsia="Arial" w:hAnsi="Arial"/>
          <w:sz w:val="17"/>
          <w:szCs w:val="17"/>
          <w:b w:val="1"/>
          <w:bCs w:val="1"/>
          <w:color w:val="auto"/>
        </w:rPr>
        <w:t>Senior Debt Trustee</w:t>
      </w:r>
      <w:r>
        <w:rPr>
          <w:rFonts w:ascii="Arial" w:cs="Arial" w:eastAsia="Arial" w:hAnsi="Arial"/>
          <w:sz w:val="17"/>
          <w:szCs w:val="17"/>
          <w:color w:val="auto"/>
        </w:rPr>
        <w:t>”) (the “</w:t>
      </w:r>
      <w:r>
        <w:rPr>
          <w:rFonts w:ascii="Arial" w:cs="Arial" w:eastAsia="Arial" w:hAnsi="Arial"/>
          <w:sz w:val="17"/>
          <w:szCs w:val="17"/>
          <w:b w:val="1"/>
          <w:bCs w:val="1"/>
          <w:color w:val="auto"/>
        </w:rPr>
        <w:t>Senior Debt Indenture</w:t>
      </w:r>
      <w:r>
        <w:rPr>
          <w:rFonts w:ascii="Arial" w:cs="Arial" w:eastAsia="Arial" w:hAnsi="Arial"/>
          <w:sz w:val="17"/>
          <w:szCs w:val="17"/>
          <w:color w:val="auto"/>
        </w:rPr>
        <w:t>”) and a subordinated debt indenture between the Company and the trustee to be named therein, as trustee (the “</w:t>
      </w:r>
      <w:r>
        <w:rPr>
          <w:rFonts w:ascii="Arial" w:cs="Arial" w:eastAsia="Arial" w:hAnsi="Arial"/>
          <w:sz w:val="17"/>
          <w:szCs w:val="17"/>
          <w:b w:val="1"/>
          <w:bCs w:val="1"/>
          <w:color w:val="auto"/>
        </w:rPr>
        <w:t>Subordinated Debt Trustee</w:t>
      </w:r>
      <w:r>
        <w:rPr>
          <w:rFonts w:ascii="Arial" w:cs="Arial" w:eastAsia="Arial" w:hAnsi="Arial"/>
          <w:sz w:val="17"/>
          <w:szCs w:val="17"/>
          <w:color w:val="auto"/>
        </w:rPr>
        <w:t>” and, together with the Senior Debt Trustee, the “</w:t>
      </w:r>
      <w:r>
        <w:rPr>
          <w:rFonts w:ascii="Arial" w:cs="Arial" w:eastAsia="Arial" w:hAnsi="Arial"/>
          <w:sz w:val="17"/>
          <w:szCs w:val="17"/>
          <w:b w:val="1"/>
          <w:bCs w:val="1"/>
          <w:color w:val="auto"/>
        </w:rPr>
        <w:t>Trustees</w:t>
      </w:r>
      <w:r>
        <w:rPr>
          <w:rFonts w:ascii="Arial" w:cs="Arial" w:eastAsia="Arial" w:hAnsi="Arial"/>
          <w:sz w:val="17"/>
          <w:szCs w:val="17"/>
          <w:color w:val="auto"/>
        </w:rPr>
        <w:t>”) (the “</w:t>
      </w:r>
      <w:r>
        <w:rPr>
          <w:rFonts w:ascii="Arial" w:cs="Arial" w:eastAsia="Arial" w:hAnsi="Arial"/>
          <w:sz w:val="17"/>
          <w:szCs w:val="17"/>
          <w:b w:val="1"/>
          <w:bCs w:val="1"/>
          <w:color w:val="auto"/>
        </w:rPr>
        <w:t>Subordinated Debt</w:t>
      </w:r>
      <w:r>
        <w:rPr>
          <w:rFonts w:ascii="Arial" w:cs="Arial" w:eastAsia="Arial" w:hAnsi="Arial"/>
          <w:sz w:val="17"/>
          <w:szCs w:val="17"/>
          <w:color w:val="auto"/>
        </w:rPr>
        <w:t xml:space="preserve"> </w:t>
      </w:r>
      <w:r>
        <w:rPr>
          <w:rFonts w:ascii="Arial" w:cs="Arial" w:eastAsia="Arial" w:hAnsi="Arial"/>
          <w:sz w:val="17"/>
          <w:szCs w:val="17"/>
          <w:b w:val="1"/>
          <w:bCs w:val="1"/>
          <w:color w:val="auto"/>
        </w:rPr>
        <w:t>Indenture</w:t>
      </w:r>
      <w:r>
        <w:rPr>
          <w:rFonts w:ascii="Arial" w:cs="Arial" w:eastAsia="Arial" w:hAnsi="Arial"/>
          <w:sz w:val="17"/>
          <w:szCs w:val="17"/>
          <w:color w:val="auto"/>
        </w:rPr>
        <w:t>,” and together with the Senior Debt Indenture, the “</w:t>
      </w:r>
      <w:r>
        <w:rPr>
          <w:rFonts w:ascii="Arial" w:cs="Arial" w:eastAsia="Arial" w:hAnsi="Arial"/>
          <w:sz w:val="17"/>
          <w:szCs w:val="17"/>
          <w:b w:val="1"/>
          <w:bCs w:val="1"/>
          <w:color w:val="auto"/>
        </w:rPr>
        <w:t>Indentures</w:t>
      </w:r>
      <w:r>
        <w:rPr>
          <w:rFonts w:ascii="Arial" w:cs="Arial" w:eastAsia="Arial" w:hAnsi="Arial"/>
          <w:sz w:val="17"/>
          <w:szCs w:val="17"/>
          <w:color w:val="auto"/>
        </w:rPr>
        <w:t>”); (c) warrants of the Company (the “</w:t>
      </w:r>
      <w:r>
        <w:rPr>
          <w:rFonts w:ascii="Arial" w:cs="Arial" w:eastAsia="Arial" w:hAnsi="Arial"/>
          <w:sz w:val="17"/>
          <w:szCs w:val="17"/>
          <w:b w:val="1"/>
          <w:bCs w:val="1"/>
          <w:color w:val="auto"/>
        </w:rPr>
        <w:t>Warrants</w:t>
      </w:r>
      <w:r>
        <w:rPr>
          <w:rFonts w:ascii="Arial" w:cs="Arial" w:eastAsia="Arial" w:hAnsi="Arial"/>
          <w:sz w:val="17"/>
          <w:szCs w:val="17"/>
          <w:color w:val="auto"/>
        </w:rPr>
        <w:t>”), which may be issued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one or more warrant agreements (each, a “</w:t>
      </w:r>
      <w:r>
        <w:rPr>
          <w:rFonts w:ascii="Arial" w:cs="Arial" w:eastAsia="Arial" w:hAnsi="Arial"/>
          <w:sz w:val="17"/>
          <w:szCs w:val="17"/>
          <w:b w:val="1"/>
          <w:bCs w:val="1"/>
          <w:color w:val="auto"/>
        </w:rPr>
        <w:t>Warrant Agreement</w:t>
      </w:r>
      <w:r>
        <w:rPr>
          <w:rFonts w:ascii="Arial" w:cs="Arial" w:eastAsia="Arial" w:hAnsi="Arial"/>
          <w:sz w:val="17"/>
          <w:szCs w:val="17"/>
          <w:color w:val="auto"/>
        </w:rPr>
        <w:t>”) to be entered into between the Company and the warrant agent to be named therein (the “</w:t>
      </w:r>
      <w:r>
        <w:rPr>
          <w:rFonts w:ascii="Arial" w:cs="Arial" w:eastAsia="Arial" w:hAnsi="Arial"/>
          <w:sz w:val="17"/>
          <w:szCs w:val="17"/>
          <w:b w:val="1"/>
          <w:bCs w:val="1"/>
          <w:color w:val="auto"/>
        </w:rPr>
        <w:t>Warrant Agent</w:t>
      </w:r>
      <w:r>
        <w:rPr>
          <w:rFonts w:ascii="Arial" w:cs="Arial" w:eastAsia="Arial" w:hAnsi="Arial"/>
          <w:sz w:val="17"/>
          <w:szCs w:val="17"/>
          <w:color w:val="auto"/>
        </w:rPr>
        <w:t>”); (d) subscription rights, which may be issued under one or more subscription rights agreements; and (e) units (the “</w:t>
      </w:r>
      <w:r>
        <w:rPr>
          <w:rFonts w:ascii="Arial" w:cs="Arial" w:eastAsia="Arial" w:hAnsi="Arial"/>
          <w:sz w:val="17"/>
          <w:szCs w:val="17"/>
          <w:b w:val="1"/>
          <w:bCs w:val="1"/>
          <w:color w:val="auto"/>
        </w:rPr>
        <w:t>Units</w:t>
      </w:r>
      <w:r>
        <w:rPr>
          <w:rFonts w:ascii="Arial" w:cs="Arial" w:eastAsia="Arial" w:hAnsi="Arial"/>
          <w:sz w:val="17"/>
          <w:szCs w:val="17"/>
          <w:color w:val="auto"/>
        </w:rPr>
        <w:t>”) to be issued under one or more unit agreements to be entered into among the Company, a bank or trust company, as unit agent (the “</w:t>
      </w:r>
      <w:r>
        <w:rPr>
          <w:rFonts w:ascii="Arial" w:cs="Arial" w:eastAsia="Arial" w:hAnsi="Arial"/>
          <w:sz w:val="17"/>
          <w:szCs w:val="17"/>
          <w:b w:val="1"/>
          <w:bCs w:val="1"/>
          <w:color w:val="auto"/>
        </w:rPr>
        <w:t>Unit Agent</w:t>
      </w:r>
      <w:r>
        <w:rPr>
          <w:rFonts w:ascii="Arial" w:cs="Arial" w:eastAsia="Arial" w:hAnsi="Arial"/>
          <w:sz w:val="17"/>
          <w:szCs w:val="17"/>
          <w:color w:val="auto"/>
        </w:rPr>
        <w:t>”), and the holders from time to time of the Units (each such unit agreement, a “</w:t>
      </w:r>
      <w:r>
        <w:rPr>
          <w:rFonts w:ascii="Arial" w:cs="Arial" w:eastAsia="Arial" w:hAnsi="Arial"/>
          <w:sz w:val="17"/>
          <w:szCs w:val="17"/>
          <w:b w:val="1"/>
          <w:bCs w:val="1"/>
          <w:color w:val="auto"/>
        </w:rPr>
        <w:t>Unit Agreement</w:t>
      </w:r>
      <w:r>
        <w:rPr>
          <w:rFonts w:ascii="Arial" w:cs="Arial" w:eastAsia="Arial" w:hAnsi="Arial"/>
          <w:sz w:val="17"/>
          <w:szCs w:val="17"/>
          <w:color w:val="auto"/>
        </w:rPr>
        <w: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79" w:name="page180"/>
    <w:bookmarkEnd w:id="179"/>
    <w:p>
      <w:pPr>
        <w:spacing w:after="0"/>
        <w:tabs>
          <w:tab w:leader="none" w:pos="5560" w:val="left"/>
          <w:tab w:leader="none" w:pos="10240" w:val="left"/>
        </w:tabs>
        <w:rPr>
          <w:sz w:val="20"/>
          <w:szCs w:val="20"/>
          <w:color w:val="auto"/>
        </w:rPr>
      </w:pPr>
      <w:r>
        <w:rPr>
          <w:rFonts w:ascii="Arial" w:cs="Arial" w:eastAsia="Arial" w:hAnsi="Arial"/>
          <w:sz w:val="18"/>
          <w:szCs w:val="18"/>
          <w:color w:val="auto"/>
        </w:rPr>
        <w:t>Entera Bio Ltd.</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July 13, 2020</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225" w:lineRule="exact"/>
        <w:rPr>
          <w:sz w:val="20"/>
          <w:szCs w:val="20"/>
          <w:color w:val="auto"/>
        </w:rPr>
      </w:pPr>
    </w:p>
    <w:p>
      <w:pPr>
        <w:ind w:left="1300" w:right="20" w:hanging="644"/>
        <w:spacing w:after="0" w:line="286" w:lineRule="auto"/>
        <w:tabs>
          <w:tab w:leader="none" w:pos="13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When the applicable Indenture and any supplemental indenture to be entered into in connection with the issuance of any Debt Securities has been duly authorized, executed and delivered by the applicable Trustee and the Company; the specific terms of a particular series of Debt Securities have been duly authorized and established in accordance with such Indenture; and such Debt Securities and the related Guarantees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 provided that we express no opinion as to (w) the enforceability of any waiver of rights under any usury or stay law, (x) the effect of fraudulent conveyance, fraudulent transfer or similar provision of applicable law on the conclusions expressed above, (y) the validity, legally binding effect or enforceability of any section of the applicable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p>
      <w:pPr>
        <w:spacing w:after="0" w:line="170" w:lineRule="exact"/>
        <w:rPr>
          <w:rFonts w:ascii="Arial" w:cs="Arial" w:eastAsia="Arial" w:hAnsi="Arial"/>
          <w:sz w:val="16"/>
          <w:szCs w:val="16"/>
          <w:color w:val="auto"/>
        </w:rPr>
      </w:pPr>
    </w:p>
    <w:p>
      <w:pPr>
        <w:ind w:left="1300" w:right="120" w:hanging="644"/>
        <w:spacing w:after="0" w:line="291" w:lineRule="auto"/>
        <w:tabs>
          <w:tab w:leader="none" w:pos="13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spacing w:after="0"/>
        <w:tabs>
          <w:tab w:leader="none" w:pos="5560" w:val="left"/>
          <w:tab w:leader="none" w:pos="10240" w:val="left"/>
        </w:tabs>
        <w:rPr>
          <w:sz w:val="20"/>
          <w:szCs w:val="20"/>
          <w:color w:val="auto"/>
        </w:rPr>
      </w:pPr>
      <w:r>
        <w:rPr>
          <w:rFonts w:ascii="Arial" w:cs="Arial" w:eastAsia="Arial" w:hAnsi="Arial"/>
          <w:sz w:val="18"/>
          <w:szCs w:val="18"/>
          <w:color w:val="auto"/>
        </w:rPr>
        <w:t>Entera Bio Ltd.</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July 13, 2020</w:t>
      </w:r>
    </w:p>
    <w:p>
      <w:pPr>
        <w:spacing w:after="0" w:line="225" w:lineRule="exact"/>
        <w:rPr>
          <w:sz w:val="20"/>
          <w:szCs w:val="20"/>
          <w:color w:val="auto"/>
        </w:rPr>
      </w:pPr>
    </w:p>
    <w:p>
      <w:pPr>
        <w:ind w:left="1300" w:right="220" w:hanging="644"/>
        <w:spacing w:after="0" w:line="291" w:lineRule="auto"/>
        <w:tabs>
          <w:tab w:leader="none" w:pos="13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connection with the opinions expressed above, we have assumed that, at or prior to the time of the delivery of any such security, (i) the Board of Directors of the Company shall have duly established the terms of such security (and that such security is governed by the laws of the State of New York) and duly authorized the issuance and sale of such security and such authorization shall not have been modified or rescinded; (ii) the Company is and shall remain, validly existing as a corporation in good standing (to the extent such concept exists) under the laws of the State of Israel; (iii) the Registration Statement shall have been declared effective and such effectiveness shall not have been terminated or rescinded; and (iv) the applicable Indenture, the Debt Securities, the Warrant Agreement and the Unit Agreement are each valid, binding and enforceable agreements of each party thereto (other than as expressly covered above in respect of the Company); and (v) there shall not have occurred any change in law affecting the validity or enforceability of such security. We have also assumed that (i) the terms of any security whose terms are established subsequent to the date hereof and the issuance, execution, delivery and performance by the Company of such security (a) are within its corporate powers, (b) do not contravene, or constitute a default under, the articles of association or other constitutive documents of the Company, (c) require no action by or in respect of, or filing with, any governmental body, agency or official and (d) do not contravene, or constitute a default under, any provision of applicable law or public policy or regulation or any judgment, injunction, order or decree or any agreement or other instrument binding upon the Company and (ii) any Warrant Agreement and Unit Agreement will be governed by the laws of the State of New York.</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Insofar as the foregoing opinion involves matters governed by the laws of the State of Israel, we have relied, without independent inquiry or investigation, on the opinion of Herzog Fox &amp; Neeman, Israeli counsel for the Company, delivered to you today.</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68730" cy="1071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126873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F-3 of Entera Bio Ltd. of our report dated March 26, 2020 relating to the financial statements, which appears in Entera Bio Ltd.’s Annual Report on Form 20-F for the year ended December 31, 2019. We also consent to the reference to us under the heading “Experts” in such Registration Statement.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Tel-Aviv, Israel</w:t>
            </w:r>
          </w:p>
        </w:tc>
        <w:tc>
          <w:tcPr>
            <w:tcW w:w="5620" w:type="dxa"/>
            <w:vAlign w:val="bottom"/>
            <w:gridSpan w:val="2"/>
          </w:tcPr>
          <w:p>
            <w:pPr>
              <w:spacing w:after="0"/>
              <w:rPr>
                <w:sz w:val="20"/>
                <w:szCs w:val="20"/>
                <w:color w:val="auto"/>
              </w:rPr>
            </w:pPr>
            <w:r>
              <w:rPr>
                <w:rFonts w:ascii="Arial" w:cs="Arial" w:eastAsia="Arial" w:hAnsi="Arial"/>
                <w:sz w:val="18"/>
                <w:szCs w:val="18"/>
                <w:color w:val="auto"/>
              </w:rPr>
              <w:t>/s/ Kesselman &amp; Kesselman</w:t>
            </w:r>
          </w:p>
        </w:tc>
      </w:tr>
      <w:tr>
        <w:trPr>
          <w:trHeight w:val="20"/>
        </w:trPr>
        <w:tc>
          <w:tcPr>
            <w:tcW w:w="56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22"/>
        </w:trPr>
        <w:tc>
          <w:tcPr>
            <w:tcW w:w="5620" w:type="dxa"/>
            <w:vAlign w:val="bottom"/>
          </w:tcPr>
          <w:p>
            <w:pPr>
              <w:spacing w:after="0"/>
              <w:rPr>
                <w:sz w:val="20"/>
                <w:szCs w:val="20"/>
                <w:color w:val="auto"/>
              </w:rPr>
            </w:pPr>
            <w:r>
              <w:rPr>
                <w:rFonts w:ascii="Arial" w:cs="Arial" w:eastAsia="Arial" w:hAnsi="Arial"/>
                <w:sz w:val="18"/>
                <w:szCs w:val="18"/>
                <w:color w:val="auto"/>
              </w:rPr>
              <w:t>July 13, 2020</w:t>
            </w:r>
          </w:p>
        </w:tc>
        <w:tc>
          <w:tcPr>
            <w:tcW w:w="5620" w:type="dxa"/>
            <w:vAlign w:val="bottom"/>
            <w:gridSpan w:val="2"/>
          </w:tcPr>
          <w:p>
            <w:pPr>
              <w:spacing w:after="0"/>
              <w:rPr>
                <w:sz w:val="20"/>
                <w:szCs w:val="20"/>
                <w:color w:val="auto"/>
              </w:rPr>
            </w:pPr>
            <w:r>
              <w:rPr>
                <w:rFonts w:ascii="Arial" w:cs="Arial" w:eastAsia="Arial" w:hAnsi="Arial"/>
                <w:sz w:val="18"/>
                <w:szCs w:val="18"/>
                <w:color w:val="auto"/>
              </w:rPr>
              <w:t>Certified Public Accountants (Isr.)</w:t>
            </w:r>
          </w:p>
        </w:tc>
      </w:tr>
      <w:tr>
        <w:trPr>
          <w:trHeight w:val="230"/>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 member firm of PricewaterhouseCoopers International Limited</w:t>
            </w:r>
          </w:p>
        </w:tc>
      </w:tr>
      <w:tr>
        <w:trPr>
          <w:trHeight w:val="1120"/>
        </w:trPr>
        <w:tc>
          <w:tcPr>
            <w:tcW w:w="5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1)"/>
      <w:numFmt w:val="decimal"/>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1)"/>
      <w:numFmt w:val="decimal"/>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o"/>
      <w:numFmt w:val="bullet"/>
      <w:start w:val="1"/>
    </w:lvl>
  </w:abstractNum>
  <w:abstractNum w:abstractNumId="13">
    <w:nsid w:val="A0382C5"/>
    <w:multiLevelType w:val="hybridMultilevel"/>
    <w:lvl w:ilvl="0">
      <w:lvlJc w:val="left"/>
      <w:lvlText w:val="·"/>
      <w:numFmt w:val="bullet"/>
      <w:start w:val="1"/>
    </w:lvl>
    <w:lvl w:ilvl="1">
      <w:lvlJc w:val="left"/>
      <w:lvlText w:val="o"/>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1)"/>
      <w:numFmt w:val="decimal"/>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1)"/>
      <w:numFmt w:val="decimal"/>
      <w:start w:val="1"/>
    </w:lvl>
  </w:abstractNum>
  <w:abstractNum w:abstractNumId="32">
    <w:nsid w:val="4C04A8AF"/>
    <w:multiLevelType w:val="hybridMultilevel"/>
    <w:lvl w:ilvl="0">
      <w:lvlJc w:val="left"/>
      <w:lvlText w:val="(%1)"/>
      <w:numFmt w:val="decimal"/>
      <w:start w:val="3"/>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1)"/>
      <w:numFmt w:val="decimal"/>
      <w:start w:val="1"/>
    </w:lvl>
    <w:lvl w:ilvl="1">
      <w:lvlJc w:val="left"/>
      <w:lvlText w:val="(%2)"/>
      <w:numFmt w:val="lowerRoman"/>
      <w:start w:val="1"/>
    </w:lvl>
  </w:abstractNum>
  <w:abstractNum w:abstractNumId="38">
    <w:nsid w:val="2DF6D648"/>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39">
    <w:nsid w:val="46B7D447"/>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40">
    <w:nsid w:val="4A2AC315"/>
    <w:multiLevelType w:val="hybridMultilevel"/>
    <w:lvl w:ilvl="0">
      <w:lvlJc w:val="left"/>
      <w:lvlText w:val="(%1)"/>
      <w:numFmt w:val="decimal"/>
      <w:start w:val="6"/>
    </w:lvl>
  </w:abstractNum>
  <w:abstractNum w:abstractNumId="41">
    <w:nsid w:val="39EE015C"/>
    <w:multiLevelType w:val="hybridMultilevel"/>
    <w:lvl w:ilvl="0">
      <w:lvlJc w:val="left"/>
      <w:lvlText w:val="(%1)"/>
      <w:numFmt w:val="lowerLetter"/>
      <w:start w:val="1"/>
    </w:lvl>
    <w:lvl w:ilvl="1">
      <w:lvlJc w:val="left"/>
      <w:lvlText w:val="(%2)"/>
      <w:numFmt w:val="lowerRoman"/>
      <w:start w:val="1"/>
    </w:lvl>
  </w:abstractNum>
  <w:abstractNum w:abstractNumId="42">
    <w:nsid w:val="57FC4FBB"/>
    <w:multiLevelType w:val="hybridMultilevel"/>
    <w:lvl w:ilvl="0">
      <w:lvlJc w:val="left"/>
      <w:lvlText w:val="*"/>
      <w:numFmt w:val="bullet"/>
      <w:start w:val="1"/>
    </w:lvl>
  </w:abstractNum>
  <w:abstractNum w:abstractNumId="43">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
    <w:nsid w:val="43F18422"/>
    <w:multiLevelType w:val="hybridMultilevel"/>
    <w:lvl w:ilvl="0">
      <w:lvlJc w:val="left"/>
      <w:lvlText w:val="%1."/>
      <w:numFmt w:val="decimal"/>
      <w:start w:val="3"/>
    </w:lvl>
  </w:abstractNum>
  <w:abstractNum w:abstractNumId="45">
    <w:nsid w:val="60EF0119"/>
    <w:multiLevelType w:val="hybridMultilevel"/>
    <w:lvl w:ilvl="0">
      <w:lvlJc w:val="left"/>
      <w:lvlText w:val="%1."/>
      <w:numFmt w:val="decimal"/>
      <w:start w:val="5"/>
    </w:lvl>
    <w:lvl w:ilvl="1">
      <w:lvlJc w:val="left"/>
      <w:lvlText w:val="(%2)"/>
      <w:numFmt w:val="lowerLetter"/>
      <w:start w:val="1"/>
    </w:lvl>
  </w:abstractNum>
  <w:abstractNum w:abstractNumId="46">
    <w:nsid w:val="26F324BA"/>
    <w:multiLevelType w:val="hybridMultilevel"/>
    <w:lvl w:ilvl="0">
      <w:lvlJc w:val="left"/>
      <w:lvlText w:val="(%1)"/>
      <w:numFmt w:val="lowerLetter"/>
      <w:start w:val="2"/>
    </w:lvl>
  </w:abstractNum>
  <w:abstractNum w:abstractNumId="47">
    <w:nsid w:val="7F01579B"/>
    <w:multiLevelType w:val="hybridMultilevel"/>
    <w:lvl w:ilvl="0">
      <w:lvlJc w:val="left"/>
      <w:lvlText w:val="(%1)"/>
      <w:numFmt w:val="lowerLetter"/>
      <w:start w:val="5"/>
    </w:lvl>
    <w:lvl w:ilvl="1">
      <w:lvlJc w:val="left"/>
      <w:lvlText w:val="(%2)"/>
      <w:numFmt w:val="lowerRoman"/>
      <w:start w:val="1"/>
    </w:lvl>
  </w:abstractNum>
  <w:abstractNum w:abstractNumId="48">
    <w:nsid w:val="49DA307D"/>
    <w:multiLevelType w:val="hybridMultilevel"/>
    <w:lvl w:ilvl="0">
      <w:lvlJc w:val="left"/>
      <w:lvlText w:val="(%1)"/>
      <w:numFmt w:val="lowerLetter"/>
      <w:start w:val="8"/>
    </w:lvl>
  </w:abstractNum>
  <w:abstractNum w:abstractNumId="49">
    <w:nsid w:val="7055A5F5"/>
    <w:multiLevelType w:val="hybridMultilevel"/>
    <w:lvl w:ilvl="0">
      <w:lvlJc w:val="left"/>
      <w:lvlText w:val="(%1)"/>
      <w:numFmt w:val="lowerLetter"/>
      <w:start w:val="12"/>
    </w:lvl>
  </w:abstractNum>
  <w:abstractNum w:abstractNumId="50">
    <w:nsid w:val="5FB8370B"/>
    <w:multiLevelType w:val="hybridMultilevel"/>
    <w:lvl w:ilvl="0">
      <w:lvlJc w:val="left"/>
      <w:lvlText w:val="(%1)"/>
      <w:numFmt w:val="lowerLetter"/>
      <w:start w:val="15"/>
    </w:lvl>
    <w:lvl w:ilvl="1">
      <w:lvlJc w:val="left"/>
      <w:lvlText w:val="(%2)"/>
      <w:numFmt w:val="lowerRoman"/>
      <w:start w:val="1"/>
    </w:lvl>
  </w:abstractNum>
  <w:abstractNum w:abstractNumId="51">
    <w:nsid w:val="50801EE1"/>
    <w:multiLevelType w:val="hybridMultilevel"/>
    <w:lvl w:ilvl="0">
      <w:lvlJc w:val="left"/>
      <w:lvlText w:val="(%1)"/>
      <w:numFmt w:val="lowerLetter"/>
      <w:start w:val="17"/>
    </w:lvl>
  </w:abstractNum>
  <w:abstractNum w:abstractNumId="52">
    <w:nsid w:val="488AC1A"/>
    <w:multiLevelType w:val="hybridMultilevel"/>
    <w:lvl w:ilvl="0">
      <w:lvlJc w:val="left"/>
      <w:lvlText w:val="(%1)"/>
      <w:numFmt w:val="lowerLetter"/>
      <w:start w:val="20"/>
    </w:lvl>
  </w:abstractNum>
  <w:abstractNum w:abstractNumId="53">
    <w:nsid w:val="5FB8011C"/>
    <w:multiLevelType w:val="hybridMultilevel"/>
    <w:lvl w:ilvl="0">
      <w:lvlJc w:val="left"/>
      <w:lvlText w:val="(%1)"/>
      <w:numFmt w:val="lowerLetter"/>
      <w:start w:val="23"/>
    </w:lvl>
    <w:lvl w:ilvl="1">
      <w:lvlJc w:val="left"/>
      <w:lvlText w:val="(%2)"/>
      <w:numFmt w:val="lowerRoman"/>
      <w:start w:val="1"/>
    </w:lvl>
  </w:abstractNum>
  <w:abstractNum w:abstractNumId="54">
    <w:nsid w:val="6AA78F7F"/>
    <w:multiLevelType w:val="hybridMultilevel"/>
    <w:lvl w:ilvl="0">
      <w:lvlJc w:val="left"/>
      <w:lvlText w:val="(%1)"/>
      <w:numFmt w:val="lowerLetter"/>
      <w:start w:val="27"/>
    </w:lvl>
    <w:lvl w:ilvl="1">
      <w:lvlJc w:val="left"/>
      <w:lvlText w:val="(%2)"/>
      <w:numFmt w:val="lowerRoman"/>
      <w:start w:val="1"/>
    </w:lvl>
  </w:abstractNum>
  <w:abstractNum w:abstractNumId="55">
    <w:nsid w:val="7672BD23"/>
    <w:multiLevelType w:val="hybridMultilevel"/>
    <w:lvl w:ilvl="0">
      <w:lvlJc w:val="left"/>
      <w:lvlText w:val="(%1)"/>
      <w:numFmt w:val="lowerLetter"/>
      <w:start w:val="29"/>
    </w:lvl>
    <w:lvl w:ilvl="1">
      <w:lvlJc w:val="left"/>
      <w:lvlText w:val="(%2)"/>
      <w:numFmt w:val="lowerRoman"/>
      <w:start w:val="1"/>
    </w:lvl>
  </w:abstractNum>
  <w:abstractNum w:abstractNumId="56">
    <w:nsid w:val="6FC75AF8"/>
    <w:multiLevelType w:val="hybridMultilevel"/>
    <w:lvl w:ilvl="0">
      <w:lvlJc w:val="left"/>
      <w:lvlText w:val="(%1)"/>
      <w:numFmt w:val="lowerLetter"/>
      <w:start w:val="32"/>
    </w:lvl>
  </w:abstractNum>
  <w:abstractNum w:abstractNumId="57">
    <w:nsid w:val="6A5F7029"/>
    <w:multiLevelType w:val="hybridMultilevel"/>
    <w:lvl w:ilvl="0">
      <w:lvlJc w:val="left"/>
      <w:lvlText w:val="(%1)"/>
      <w:numFmt w:val="lowerLetter"/>
      <w:start w:val="36"/>
    </w:lvl>
  </w:abstractNum>
  <w:abstractNum w:abstractNumId="58">
    <w:nsid w:val="7D5E18F8"/>
    <w:multiLevelType w:val="hybridMultilevel"/>
    <w:lvl w:ilvl="0">
      <w:lvlJc w:val="left"/>
      <w:lvlText w:val="(%1)"/>
      <w:numFmt w:val="lowerLetter"/>
      <w:start w:val="44"/>
    </w:lvl>
  </w:abstractNum>
  <w:abstractNum w:abstractNumId="59">
    <w:nsid w:val="5F3534A4"/>
    <w:multiLevelType w:val="hybridMultilevel"/>
    <w:lvl w:ilvl="0">
      <w:lvlJc w:val="left"/>
      <w:lvlText w:val="(%1)"/>
      <w:numFmt w:val="lowerLetter"/>
      <w:start w:val="47"/>
    </w:lvl>
  </w:abstractNum>
  <w:abstractNum w:abstractNumId="60">
    <w:nsid w:val="73A1821B"/>
    <w:multiLevelType w:val="hybridMultilevel"/>
    <w:lvl w:ilvl="0">
      <w:lvlJc w:val="left"/>
      <w:lvlText w:val="(%1)"/>
      <w:numFmt w:val="lowerLetter"/>
      <w:start w:val="49"/>
    </w:lvl>
  </w:abstractNum>
  <w:abstractNum w:abstractNumId="61">
    <w:nsid w:val="7DE67713"/>
    <w:multiLevelType w:val="hybridMultilevel"/>
    <w:lvl w:ilvl="0">
      <w:lvlJc w:val="left"/>
      <w:lvlText w:val="(%1)"/>
      <w:numFmt w:val="lowerLetter"/>
      <w:start w:val="52"/>
    </w:lvl>
  </w:abstractNum>
  <w:abstractNum w:abstractNumId="62">
    <w:nsid w:val="555C55B5"/>
    <w:multiLevelType w:val="hybridMultilevel"/>
    <w:lvl w:ilvl="0">
      <w:lvlJc w:val="left"/>
      <w:lvlText w:val="(%1)"/>
      <w:numFmt w:val="lowerLetter"/>
      <w:start w:val="53"/>
    </w:lvl>
  </w:abstractNum>
  <w:abstractNum w:abstractNumId="63">
    <w:nsid w:val="3FA62ACA"/>
    <w:multiLevelType w:val="hybridMultilevel"/>
    <w:lvl w:ilvl="0">
      <w:lvlJc w:val="left"/>
      <w:lvlText w:val="(%1)"/>
      <w:numFmt w:val="lowerLetter"/>
      <w:start w:val="55"/>
    </w:lvl>
  </w:abstractNum>
  <w:abstractNum w:abstractNumId="64">
    <w:nsid w:val="14FCE74E"/>
    <w:multiLevelType w:val="hybridMultilevel"/>
    <w:lvl w:ilvl="0">
      <w:lvlJc w:val="left"/>
      <w:lvlText w:val="%1."/>
      <w:numFmt w:val="decimal"/>
      <w:start w:val="7"/>
    </w:lvl>
    <w:lvl w:ilvl="1">
      <w:lvlJc w:val="left"/>
      <w:lvlText w:val="(%2)"/>
      <w:numFmt w:val="lowerLetter"/>
      <w:start w:val="1"/>
    </w:lvl>
  </w:abstractNum>
  <w:abstractNum w:abstractNumId="65">
    <w:nsid w:val="6A3DD3E8"/>
    <w:multiLevelType w:val="hybridMultilevel"/>
    <w:lvl w:ilvl="0">
      <w:lvlJc w:val="left"/>
      <w:lvlText w:val="(%1)"/>
      <w:numFmt w:val="lowerLetter"/>
      <w:start w:val="3"/>
    </w:lvl>
  </w:abstractNum>
  <w:abstractNum w:abstractNumId="66">
    <w:nsid w:val="71C91298"/>
    <w:multiLevelType w:val="hybridMultilevel"/>
    <w:lvl w:ilvl="0">
      <w:lvlJc w:val="left"/>
      <w:lvlText w:val="(%1)"/>
      <w:numFmt w:val="lowerLetter"/>
      <w:start w:val="6"/>
    </w:lvl>
    <w:lvl w:ilvl="1">
      <w:lvlJc w:val="left"/>
      <w:lvlText w:val="(%2)"/>
      <w:numFmt w:val="lowerRoman"/>
      <w:start w:val="1"/>
    </w:lvl>
  </w:abstractNum>
  <w:abstractNum w:abstractNumId="67">
    <w:nsid w:val="9DAF632"/>
    <w:multiLevelType w:val="hybridMultilevel"/>
    <w:lvl w:ilvl="0">
      <w:lvlJc w:val="left"/>
      <w:lvlText w:val="(%1)"/>
      <w:numFmt w:val="lowerLetter"/>
      <w:start w:val="8"/>
    </w:lvl>
  </w:abstractNum>
  <w:abstractNum w:abstractNumId="68">
    <w:nsid w:val="53299938"/>
    <w:multiLevelType w:val="hybridMultilevel"/>
    <w:lvl w:ilvl="0">
      <w:lvlJc w:val="left"/>
      <w:lvlText w:val="(%1)"/>
      <w:numFmt w:val="lowerLetter"/>
      <w:start w:val="11"/>
    </w:lvl>
  </w:abstractNum>
  <w:abstractNum w:abstractNumId="69">
    <w:nsid w:val="1FBFE8E0"/>
    <w:multiLevelType w:val="hybridMultilevel"/>
    <w:lvl w:ilvl="0">
      <w:lvlJc w:val="left"/>
      <w:lvlText w:val="(%1)"/>
      <w:numFmt w:val="lowerLetter"/>
      <w:start w:val="15"/>
    </w:lvl>
  </w:abstractNum>
  <w:abstractNum w:abstractNumId="70">
    <w:nsid w:val="5092CA79"/>
    <w:multiLevelType w:val="hybridMultilevel"/>
    <w:lvl w:ilvl="0">
      <w:lvlJc w:val="left"/>
      <w:lvlText w:val="(%1)"/>
      <w:numFmt w:val="lowerLetter"/>
      <w:start w:val="20"/>
    </w:lvl>
  </w:abstractNum>
  <w:abstractNum w:abstractNumId="71">
    <w:nsid w:val="1D545C4D"/>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72">
    <w:nsid w:val="59ADEA3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3">
    <w:nsid w:val="288F1A34"/>
    <w:multiLevelType w:val="hybridMultilevel"/>
    <w:lvl w:ilvl="0">
      <w:lvlJc w:val="left"/>
      <w:lvlText w:val="%1."/>
      <w:numFmt w:val="decimal"/>
      <w:start w:val="9"/>
    </w:lvl>
    <w:lvl w:ilvl="1">
      <w:lvlJc w:val="left"/>
      <w:lvlText w:val="(%2)"/>
      <w:numFmt w:val="lowerLetter"/>
      <w:start w:val="1"/>
    </w:lvl>
  </w:abstractNum>
  <w:abstractNum w:abstractNumId="74">
    <w:nsid w:val="2A155DBC"/>
    <w:multiLevelType w:val="hybridMultilevel"/>
    <w:lvl w:ilvl="0">
      <w:lvlJc w:val="left"/>
      <w:lvlText w:val="(%1)"/>
      <w:numFmt w:val="lowerLetter"/>
      <w:start w:val="5"/>
    </w:lvl>
  </w:abstractNum>
  <w:abstractNum w:abstractNumId="75">
    <w:nsid w:val="1D9F6E5F"/>
    <w:multiLevelType w:val="hybridMultilevel"/>
    <w:lvl w:ilvl="0">
      <w:lvlJc w:val="left"/>
      <w:lvlText w:val="%1."/>
      <w:numFmt w:val="decimal"/>
      <w:start w:val="10"/>
    </w:lvl>
    <w:lvl w:ilvl="1">
      <w:lvlJc w:val="left"/>
      <w:lvlText w:val="(%2)"/>
      <w:numFmt w:val="lowerLetter"/>
      <w:start w:val="1"/>
    </w:lvl>
  </w:abstractNum>
  <w:abstractNum w:abstractNumId="76">
    <w:nsid w:val="97E1B4E"/>
    <w:multiLevelType w:val="hybridMultilevel"/>
    <w:lvl w:ilvl="0">
      <w:lvlJc w:val="left"/>
      <w:lvlText w:val="(%1)"/>
      <w:numFmt w:val="lowerLetter"/>
      <w:start w:val="3"/>
    </w:lvl>
    <w:lvl w:ilvl="1">
      <w:lvlJc w:val="left"/>
      <w:lvlText w:val="(%2)"/>
      <w:numFmt w:val="lowerRoman"/>
      <w:start w:val="1"/>
    </w:lvl>
  </w:abstractNum>
  <w:abstractNum w:abstractNumId="77">
    <w:nsid w:val="51088277"/>
    <w:multiLevelType w:val="hybridMultilevel"/>
    <w:lvl w:ilvl="0">
      <w:lvlJc w:val="left"/>
      <w:lvlText w:val="(%1)"/>
      <w:numFmt w:val="lowerLetter"/>
      <w:start w:val="4"/>
    </w:lvl>
  </w:abstractNum>
  <w:abstractNum w:abstractNumId="78">
    <w:nsid w:val="1CA0C5FA"/>
    <w:multiLevelType w:val="hybridMultilevel"/>
    <w:lvl w:ilvl="0">
      <w:lvlJc w:val="left"/>
      <w:lvlText w:val="%1."/>
      <w:numFmt w:val="decimal"/>
      <w:start w:val="11"/>
    </w:lvl>
    <w:lvl w:ilvl="1">
      <w:lvlJc w:val="left"/>
      <w:lvlText w:val="(%2)"/>
      <w:numFmt w:val="lowerLetter"/>
      <w:start w:val="1"/>
    </w:lvl>
  </w:abstractNum>
  <w:abstractNum w:abstractNumId="79">
    <w:nsid w:val="53584BCB"/>
    <w:multiLevelType w:val="hybridMultilevel"/>
    <w:lvl w:ilvl="0">
      <w:lvlJc w:val="left"/>
      <w:lvlText w:val="(%1)"/>
      <w:numFmt w:val="lowerLetter"/>
      <w:start w:val="5"/>
    </w:lvl>
  </w:abstractNum>
  <w:abstractNum w:abstractNumId="80">
    <w:nsid w:val="415E286C"/>
    <w:multiLevelType w:val="hybridMultilevel"/>
    <w:lvl w:ilvl="0">
      <w:lvlJc w:val="left"/>
      <w:lvlText w:val="%1."/>
      <w:numFmt w:val="decimal"/>
      <w:start w:val="13"/>
    </w:lvl>
  </w:abstractNum>
  <w:abstractNum w:abstractNumId="81">
    <w:nsid w:val="7C58FD05"/>
    <w:multiLevelType w:val="hybridMultilevel"/>
    <w:lvl w:ilvl="0">
      <w:lvlJc w:val="left"/>
      <w:lvlText w:val="%1."/>
      <w:numFmt w:val="decimal"/>
      <w:start w:val="14"/>
    </w:lvl>
  </w:abstractNum>
  <w:abstractNum w:abstractNumId="82">
    <w:nsid w:val="23D86AAC"/>
    <w:multiLevelType w:val="hybridMultilevel"/>
    <w:lvl w:ilvl="0">
      <w:lvlJc w:val="left"/>
      <w:lvlText w:val="%1."/>
      <w:numFmt w:val="decimal"/>
      <w:start w:val="17"/>
    </w:lvl>
  </w:abstractNum>
  <w:abstractNum w:abstractNumId="83">
    <w:nsid w:val="45E6D486"/>
    <w:multiLevelType w:val="hybridMultilevel"/>
    <w:lvl w:ilvl="0">
      <w:lvlJc w:val="left"/>
      <w:lvlText w:val="%1."/>
      <w:numFmt w:val="decimal"/>
      <w:start w:val="21"/>
    </w:lvl>
  </w:abstractNum>
  <w:abstractNum w:abstractNumId="84">
    <w:nsid w:val="5C10FE21"/>
    <w:multiLevelType w:val="hybridMultilevel"/>
    <w:lvl w:ilvl="0">
      <w:lvlJc w:val="left"/>
      <w:lvlText w:val="(%1)"/>
      <w:numFmt w:val="lowerRoman"/>
      <w:start w:val="1"/>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1)"/>
      <w:numFmt w:val="lowerLetter"/>
      <w:start w:val="1"/>
    </w:lvl>
  </w:abstractNum>
  <w:abstractNum w:abstractNumId="87">
    <w:nsid w:val="4BD8591A"/>
    <w:multiLevelType w:val="hybridMultilevel"/>
    <w:lvl w:ilvl="0">
      <w:lvlJc w:val="left"/>
      <w:lvlText w:val="(%1)"/>
      <w:numFmt w:val="lowerLetter"/>
      <w:start w:val="1"/>
    </w:lvl>
  </w:abstractNum>
  <w:abstractNum w:abstractNumId="88">
    <w:nsid w:val="78DF6A55"/>
    <w:multiLevelType w:val="hybridMultilevel"/>
    <w:lvl w:ilvl="0">
      <w:lvlJc w:val="left"/>
      <w:lvlText w:val="(%1)"/>
      <w:numFmt w:val="lowerLetter"/>
      <w:start w:val="1"/>
    </w:lvl>
  </w:abstractNum>
  <w:abstractNum w:abstractNumId="89">
    <w:nsid w:val="39B7AAA2"/>
    <w:multiLevelType w:val="hybridMultilevel"/>
    <w:lvl w:ilvl="0">
      <w:lvlJc w:val="left"/>
      <w:lvlText w:val="(%1)"/>
      <w:numFmt w:val="lowerLetter"/>
      <w:start w:val="5"/>
    </w:lvl>
  </w:abstractNum>
  <w:abstractNum w:abstractNumId="90">
    <w:nsid w:val="2B0D8DBE"/>
    <w:multiLevelType w:val="hybridMultilevel"/>
    <w:lvl w:ilvl="0">
      <w:lvlJc w:val="left"/>
      <w:lvlText w:val="(%1)"/>
      <w:numFmt w:val="lowerLetter"/>
      <w:start w:val="18"/>
    </w:lvl>
  </w:abstractNum>
  <w:abstractNum w:abstractNumId="91">
    <w:nsid w:val="6C80EC70"/>
    <w:multiLevelType w:val="hybridMultilevel"/>
    <w:lvl w:ilvl="0">
      <w:lvlJc w:val="left"/>
      <w:lvlText w:val="(%1)"/>
      <w:numFmt w:val="lowerLetter"/>
      <w:start w:val="1"/>
    </w:lvl>
  </w:abstractNum>
  <w:abstractNum w:abstractNumId="92">
    <w:nsid w:val="379E21B5"/>
    <w:multiLevelType w:val="hybridMultilevel"/>
    <w:lvl w:ilvl="0">
      <w:lvlJc w:val="left"/>
      <w:lvlText w:val="%1"/>
      <w:numFmt w:val="lowerLetter"/>
      <w:start w:val="1"/>
    </w:lvl>
    <w:lvl w:ilvl="1">
      <w:lvlJc w:val="left"/>
      <w:lvlText w:val="(%2)"/>
      <w:numFmt w:val="lowerLetter"/>
      <w:start w:val="1"/>
    </w:lvl>
  </w:abstractNum>
  <w:abstractNum w:abstractNumId="93">
    <w:nsid w:val="69E373"/>
    <w:multiLevelType w:val="hybridMultilevel"/>
    <w:lvl w:ilvl="0">
      <w:lvlJc w:val="left"/>
      <w:lvlText w:val="(%1)"/>
      <w:numFmt w:val="lowerLetter"/>
      <w:start w:val="24"/>
    </w:lvl>
    <w:lvl w:ilvl="1">
      <w:lvlJc w:val="left"/>
      <w:lvlText w:val="%2"/>
      <w:numFmt w:val="lowerLetter"/>
      <w:start w:val="1"/>
    </w:lvl>
  </w:abstractNum>
  <w:abstractNum w:abstractNumId="94">
    <w:nsid w:val="2C27173B"/>
    <w:multiLevelType w:val="hybridMultilevel"/>
    <w:lvl w:ilvl="0">
      <w:lvlJc w:val="left"/>
      <w:lvlText w:val="(%1)"/>
      <w:numFmt w:val="lowerLetter"/>
      <w:start w:val="1"/>
    </w:lvl>
  </w:abstractNum>
  <w:abstractNum w:abstractNumId="95">
    <w:nsid w:val="4C9B0904"/>
    <w:multiLevelType w:val="hybridMultilevel"/>
    <w:lvl w:ilvl="0">
      <w:lvlJc w:val="left"/>
      <w:lvlText w:val="(%1)"/>
      <w:numFmt w:val="lowerLetter"/>
      <w:start w:val="2"/>
    </w:lvl>
  </w:abstractNum>
  <w:abstractNum w:abstractNumId="96">
    <w:nsid w:val="6AA7B75C"/>
    <w:multiLevelType w:val="hybridMultilevel"/>
    <w:lvl w:ilvl="0">
      <w:lvlJc w:val="left"/>
      <w:lvlText w:val="(%1)"/>
      <w:numFmt w:val="lowerLetter"/>
      <w:start w:val="1"/>
    </w:lvl>
  </w:abstractNum>
  <w:abstractNum w:abstractNumId="97">
    <w:nsid w:val="1DF029D3"/>
    <w:multiLevelType w:val="hybridMultilevel"/>
    <w:lvl w:ilvl="0">
      <w:lvlJc w:val="left"/>
      <w:lvlText w:val="(%1)"/>
      <w:numFmt w:val="lowerLetter"/>
      <w:start w:val="2"/>
    </w:lvl>
  </w:abstractNum>
  <w:abstractNum w:abstractNumId="98">
    <w:nsid w:val="5675FF36"/>
    <w:multiLevelType w:val="hybridMultilevel"/>
    <w:lvl w:ilvl="0">
      <w:lvlJc w:val="left"/>
      <w:lvlText w:val="(%1)"/>
      <w:numFmt w:val="lowerLetter"/>
      <w:start w:val="1"/>
    </w:lvl>
  </w:abstractNum>
  <w:abstractNum w:abstractNumId="99">
    <w:nsid w:val="3DD15094"/>
    <w:multiLevelType w:val="hybridMultilevel"/>
    <w:lvl w:ilvl="0">
      <w:lvlJc w:val="left"/>
      <w:lvlText w:val="(%1)"/>
      <w:numFmt w:val="lowerLetter"/>
      <w:start w:val="3"/>
    </w:lvl>
  </w:abstractNum>
  <w:abstractNum w:abstractNumId="100">
    <w:nsid w:val="3DB012B3"/>
    <w:multiLevelType w:val="hybridMultilevel"/>
    <w:lvl w:ilvl="0">
      <w:lvlJc w:val="left"/>
      <w:lvlText w:val="(%1)"/>
      <w:numFmt w:val="decimal"/>
      <w:start w:val="4"/>
    </w:lvl>
    <w:lvl w:ilvl="1">
      <w:lvlJc w:val="left"/>
      <w:lvlText w:val="(%2)"/>
      <w:numFmt w:val="lowerLetter"/>
      <w:start w:val="1"/>
    </w:lvl>
  </w:abstractNum>
  <w:abstractNum w:abstractNumId="101">
    <w:nsid w:val="2708C9AF"/>
    <w:multiLevelType w:val="hybridMultilevel"/>
    <w:lvl w:ilvl="0">
      <w:lvlJc w:val="left"/>
      <w:lvlText w:val="%1"/>
      <w:numFmt w:val="upperLetter"/>
      <w:start w:val="1"/>
    </w:lvl>
    <w:lvl w:ilvl="1">
      <w:lvlJc w:val="left"/>
      <w:lvlText w:val="(%2)"/>
      <w:numFmt w:val="lowerRoman"/>
      <w:start w:val="1"/>
    </w:lvl>
  </w:abstractNum>
  <w:abstractNum w:abstractNumId="102">
    <w:nsid w:val="5B25ACE2"/>
    <w:multiLevelType w:val="hybridMultilevel"/>
    <w:lvl w:ilvl="0">
      <w:lvlJc w:val="left"/>
      <w:lvlText w:val="(%1)"/>
      <w:numFmt w:val="upperLetter"/>
      <w:start w:val="2"/>
    </w:lvl>
    <w:lvl w:ilvl="1">
      <w:lvlJc w:val="left"/>
      <w:lvlText w:val="(%2)"/>
      <w:numFmt w:val="lowerRoman"/>
      <w:start w:val="2"/>
    </w:lvl>
  </w:abstractNum>
  <w:abstractNum w:abstractNumId="103">
    <w:nsid w:val="175DFCF0"/>
    <w:multiLevelType w:val="hybridMultilevel"/>
    <w:lvl w:ilvl="0">
      <w:lvlJc w:val="left"/>
      <w:lvlText w:val="(%1)"/>
      <w:numFmt w:val="lowerLetter"/>
      <w:start w:val="1"/>
    </w:lvl>
  </w:abstractNum>
  <w:abstractNum w:abstractNumId="104">
    <w:nsid w:val="4F97E3E4"/>
    <w:multiLevelType w:val="hybridMultilevel"/>
    <w:lvl w:ilvl="0">
      <w:lvlJc w:val="left"/>
      <w:lvlText w:val="(%1)"/>
      <w:numFmt w:val="lowerLetter"/>
      <w:start w:val="1"/>
    </w:lvl>
  </w:abstractNum>
  <w:abstractNum w:abstractNumId="105">
    <w:nsid w:val="53B0A9E"/>
    <w:multiLevelType w:val="hybridMultilevel"/>
    <w:lvl w:ilvl="0">
      <w:lvlJc w:val="left"/>
      <w:lvlText w:val="(%1)"/>
      <w:numFmt w:val="lowerLetter"/>
      <w:start w:val="1"/>
    </w:lvl>
  </w:abstractNum>
  <w:abstractNum w:abstractNumId="106">
    <w:nsid w:val="34FD6B4F"/>
    <w:multiLevelType w:val="hybridMultilevel"/>
    <w:lvl w:ilvl="0">
      <w:lvlJc w:val="left"/>
      <w:lvlText w:val="(%1)"/>
      <w:numFmt w:val="lowerLetter"/>
      <w:start w:val="2"/>
    </w:lvl>
  </w:abstractNum>
  <w:abstractNum w:abstractNumId="107">
    <w:nsid w:val="5915FF32"/>
    <w:multiLevelType w:val="hybridMultilevel"/>
    <w:lvl w:ilvl="0">
      <w:lvlJc w:val="left"/>
      <w:lvlText w:val="["/>
      <w:numFmt w:val="bullet"/>
      <w:start w:val="1"/>
    </w:lvl>
  </w:abstractNum>
  <w:abstractNum w:abstractNumId="108">
    <w:nsid w:val="56438D15"/>
    <w:multiLevelType w:val="hybridMultilevel"/>
    <w:lvl w:ilvl="0">
      <w:lvlJc w:val="left"/>
      <w:lvlText w:val="["/>
      <w:numFmt w:val="bullet"/>
      <w:start w:val="1"/>
    </w:lvl>
  </w:abstractNum>
  <w:abstractNum w:abstractNumId="109">
    <w:nsid w:val="519E3149"/>
    <w:multiLevelType w:val="hybridMultilevel"/>
    <w:lvl w:ilvl="0">
      <w:lvlJc w:val="left"/>
      <w:lvlText w:val="(%1)"/>
      <w:numFmt w:val="lowerLetter"/>
      <w:start w:val="1"/>
    </w:lvl>
  </w:abstractNum>
  <w:abstractNum w:abstractNumId="110">
    <w:nsid w:val="2C6E4AFD"/>
    <w:multiLevelType w:val="hybridMultilevel"/>
    <w:lvl w:ilvl="0">
      <w:lvlJc w:val="left"/>
      <w:lvlText w:val="(%1)"/>
      <w:numFmt w:val="lowerLetter"/>
      <w:start w:val="1"/>
    </w:lvl>
  </w:abstractNum>
  <w:abstractNum w:abstractNumId="111">
    <w:nsid w:val="17A1B582"/>
    <w:multiLevelType w:val="hybridMultilevel"/>
    <w:lvl w:ilvl="0">
      <w:lvlJc w:val="left"/>
      <w:lvlText w:val="(%1)"/>
      <w:numFmt w:val="lowerLetter"/>
      <w:start w:val="2"/>
    </w:lvl>
  </w:abstractNum>
  <w:abstractNum w:abstractNumId="112">
    <w:nsid w:val="4DF72E4E"/>
    <w:multiLevelType w:val="hybridMultilevel"/>
    <w:lvl w:ilvl="0">
      <w:lvlJc w:val="left"/>
      <w:lvlText w:val="["/>
      <w:numFmt w:val="bullet"/>
      <w:start w:val="1"/>
    </w:lvl>
  </w:abstractNum>
  <w:abstractNum w:abstractNumId="113">
    <w:nsid w:val="5046B5A9"/>
    <w:multiLevelType w:val="hybridMultilevel"/>
    <w:lvl w:ilvl="0">
      <w:lvlJc w:val="left"/>
      <w:lvlText w:val="(%1)"/>
      <w:numFmt w:val="lowerLetter"/>
      <w:start w:val="1"/>
    </w:lvl>
  </w:abstractNum>
  <w:abstractNum w:abstractNumId="114">
    <w:nsid w:val="5D888A08"/>
    <w:multiLevelType w:val="hybridMultilevel"/>
    <w:lvl w:ilvl="0">
      <w:lvlJc w:val="left"/>
      <w:lvlText w:val="(%1)"/>
      <w:numFmt w:val="lowerLetter"/>
      <w:start w:val="1"/>
    </w:lvl>
  </w:abstractNum>
  <w:abstractNum w:abstractNumId="115">
    <w:nsid w:val="2A082C70"/>
    <w:multiLevelType w:val="hybridMultilevel"/>
    <w:lvl w:ilvl="0">
      <w:lvlJc w:val="left"/>
      <w:lvlText w:val="(%1)"/>
      <w:numFmt w:val="lowerRoman"/>
      <w:start w:val="1"/>
    </w:lvl>
  </w:abstractNum>
  <w:abstractNum w:abstractNumId="116">
    <w:nsid w:val="5EC6AFD4"/>
    <w:multiLevelType w:val="hybridMultilevel"/>
    <w:lvl w:ilvl="0">
      <w:lvlJc w:val="left"/>
      <w:lvlText w:val="(%1)"/>
      <w:numFmt w:val="lowerLetter"/>
      <w:start w:val="1"/>
    </w:lvl>
  </w:abstractNum>
  <w:abstractNum w:abstractNumId="117">
    <w:nsid w:val="19E21BB2"/>
    <w:multiLevelType w:val="hybridMultilevel"/>
    <w:lvl w:ilvl="0">
      <w:lvlJc w:val="left"/>
      <w:lvlText w:val="(%1)"/>
      <w:numFmt w:val="lowerLetter"/>
      <w:start w:val="8"/>
    </w:lvl>
  </w:abstractNum>
  <w:abstractNum w:abstractNumId="118">
    <w:nsid w:val="75E0858A"/>
    <w:multiLevelType w:val="hybridMultilevel"/>
    <w:lvl w:ilvl="0">
      <w:lvlJc w:val="left"/>
      <w:lvlText w:val="(%1)"/>
      <w:numFmt w:val="lowerLetter"/>
      <w:start w:val="1"/>
    </w:lvl>
  </w:abstractNum>
  <w:abstractNum w:abstractNumId="119">
    <w:nsid w:val="57A61A29"/>
    <w:multiLevelType w:val="hybridMultilevel"/>
    <w:lvl w:ilvl="0">
      <w:lvlJc w:val="left"/>
      <w:lvlText w:val="(%1)"/>
      <w:numFmt w:val="lowerLetter"/>
      <w:start w:val="1"/>
    </w:lvl>
  </w:abstractNum>
  <w:abstractNum w:abstractNumId="120">
    <w:nsid w:val="5399C654"/>
    <w:multiLevelType w:val="hybridMultilevel"/>
    <w:lvl w:ilvl="0">
      <w:lvlJc w:val="left"/>
      <w:lvlText w:val="(%1)"/>
      <w:numFmt w:val="lowerLetter"/>
      <w:start w:val="1"/>
    </w:lvl>
  </w:abstractNum>
  <w:abstractNum w:abstractNumId="121">
    <w:nsid w:val="20EE1348"/>
    <w:multiLevelType w:val="hybridMultilevel"/>
    <w:lvl w:ilvl="0">
      <w:lvlJc w:val="left"/>
      <w:lvlText w:val="(%1)"/>
      <w:numFmt w:val="lowerLetter"/>
      <w:start w:val="4"/>
    </w:lvl>
  </w:abstractNum>
  <w:abstractNum w:abstractNumId="122">
    <w:nsid w:val="4427069A"/>
    <w:multiLevelType w:val="hybridMultilevel"/>
    <w:lvl w:ilvl="0">
      <w:lvlJc w:val="left"/>
      <w:lvlText w:val="(%1)"/>
      <w:numFmt w:val="lowerLetter"/>
      <w:start w:val="1"/>
    </w:lvl>
  </w:abstractNum>
  <w:abstractNum w:abstractNumId="123">
    <w:nsid w:val="B37E80A"/>
    <w:multiLevelType w:val="hybridMultilevel"/>
    <w:lvl w:ilvl="0">
      <w:lvlJc w:val="left"/>
      <w:lvlText w:val="(%1)"/>
      <w:numFmt w:val="lowerLetter"/>
      <w:start w:val="2"/>
    </w:lvl>
  </w:abstractNum>
  <w:abstractNum w:abstractNumId="124">
    <w:nsid w:val="2157F6BC"/>
    <w:multiLevelType w:val="hybridMultilevel"/>
    <w:lvl w:ilvl="0">
      <w:lvlJc w:val="left"/>
      <w:lvlText w:val="(%1)"/>
      <w:numFmt w:val="lowerLetter"/>
      <w:start w:val="1"/>
    </w:lvl>
  </w:abstractNum>
  <w:abstractNum w:abstractNumId="125">
    <w:nsid w:val="704E1DD5"/>
    <w:multiLevelType w:val="hybridMultilevel"/>
    <w:lvl w:ilvl="0">
      <w:lvlJc w:val="left"/>
      <w:lvlText w:val="(%1)"/>
      <w:numFmt w:val="lowerLetter"/>
      <w:start w:val="1"/>
    </w:lvl>
  </w:abstractNum>
  <w:abstractNum w:abstractNumId="126">
    <w:nsid w:val="57D2F10E"/>
    <w:multiLevelType w:val="hybridMultilevel"/>
    <w:lvl w:ilvl="0">
      <w:lvlJc w:val="left"/>
      <w:lvlText w:val="(%1)"/>
      <w:numFmt w:val="lowerLetter"/>
      <w:start w:val="7"/>
    </w:lvl>
  </w:abstractNum>
  <w:abstractNum w:abstractNumId="127">
    <w:nsid w:val="BFFAE18"/>
    <w:multiLevelType w:val="hybridMultilevel"/>
    <w:lvl w:ilvl="0">
      <w:lvlJc w:val="left"/>
      <w:lvlText w:val="(%1)"/>
      <w:numFmt w:val="lowerLetter"/>
      <w:start w:val="1"/>
    </w:lvl>
  </w:abstractNum>
  <w:abstractNum w:abstractNumId="128">
    <w:nsid w:val="E3E47A8"/>
    <w:multiLevelType w:val="hybridMultilevel"/>
    <w:lvl w:ilvl="0">
      <w:lvlJc w:val="left"/>
      <w:lvlText w:val="(%1)"/>
      <w:numFmt w:val="lowerRoman"/>
      <w:start w:val="1"/>
    </w:lvl>
  </w:abstractNum>
  <w:abstractNum w:abstractNumId="129">
    <w:nsid w:val="2E48F044"/>
    <w:multiLevelType w:val="hybridMultilevel"/>
    <w:lvl w:ilvl="0">
      <w:lvlJc w:val="left"/>
      <w:lvlText w:val="(%1)"/>
      <w:numFmt w:val="lowerLetter"/>
      <w:start w:val="1"/>
    </w:lvl>
  </w:abstractNum>
  <w:abstractNum w:abstractNumId="130">
    <w:nsid w:val="49D0FEAC"/>
    <w:multiLevelType w:val="hybridMultilevel"/>
    <w:lvl w:ilvl="0">
      <w:lvlJc w:val="left"/>
      <w:lvlText w:val="(%1)"/>
      <w:numFmt w:val="lowerLetter"/>
      <w:start w:val="1"/>
    </w:lvl>
  </w:abstractNum>
  <w:abstractNum w:abstractNumId="131">
    <w:nsid w:val="4BEE5A5B"/>
    <w:multiLevelType w:val="hybridMultilevel"/>
    <w:lvl w:ilvl="0">
      <w:lvlJc w:val="left"/>
      <w:lvlText w:val="(%1)"/>
      <w:numFmt w:val="lowerLetter"/>
      <w:start w:val="1"/>
    </w:lvl>
  </w:abstractNum>
  <w:abstractNum w:abstractNumId="132">
    <w:nsid w:val="5551B9F3"/>
    <w:multiLevelType w:val="hybridMultilevel"/>
    <w:lvl w:ilvl="0">
      <w:lvlJc w:val="left"/>
      <w:lvlText w:val="(%1)"/>
      <w:numFmt w:val="lowerLetter"/>
      <w:start w:val="4"/>
    </w:lvl>
  </w:abstractNum>
  <w:abstractNum w:abstractNumId="133">
    <w:nsid w:val="24F6AB8E"/>
    <w:multiLevelType w:val="hybridMultilevel"/>
    <w:lvl w:ilvl="0">
      <w:lvlJc w:val="left"/>
      <w:lvlText w:val="(%1)"/>
      <w:numFmt w:val="lowerLetter"/>
      <w:start w:val="1"/>
    </w:lvl>
  </w:abstractNum>
  <w:abstractNum w:abstractNumId="134">
    <w:nsid w:val="634C574C"/>
    <w:multiLevelType w:val="hybridMultilevel"/>
    <w:lvl w:ilvl="0">
      <w:lvlJc w:val="left"/>
      <w:lvlText w:val="(%1)"/>
      <w:numFmt w:val="lowerLetter"/>
      <w:start w:val="1"/>
    </w:lvl>
  </w:abstractNum>
  <w:abstractNum w:abstractNumId="135">
    <w:nsid w:val="24E99DD7"/>
    <w:multiLevelType w:val="hybridMultilevel"/>
    <w:lvl w:ilvl="0">
      <w:lvlJc w:val="left"/>
      <w:lvlText w:val="(%1)"/>
      <w:numFmt w:val="lowerLetter"/>
      <w:start w:val="1"/>
    </w:lvl>
  </w:abstractNum>
  <w:abstractNum w:abstractNumId="136">
    <w:nsid w:val="2A31B62D"/>
    <w:multiLevelType w:val="hybridMultilevel"/>
    <w:lvl w:ilvl="0">
      <w:lvlJc w:val="left"/>
      <w:lvlText w:val="(%1)"/>
      <w:numFmt w:val="lowerRoman"/>
      <w:start w:val="2"/>
    </w:lvl>
  </w:abstractNum>
  <w:abstractNum w:abstractNumId="137">
    <w:nsid w:val="1849C29B"/>
    <w:multiLevelType w:val="hybridMultilevel"/>
    <w:lvl w:ilvl="0">
      <w:lvlJc w:val="left"/>
      <w:lvlText w:val="%1."/>
      <w:numFmt w:val="decimal"/>
      <w:start w:val="1"/>
    </w:lvl>
  </w:abstractNum>
  <w:abstractNum w:abstractNumId="138">
    <w:nsid w:val="7DFF9D09"/>
    <w:multiLevelType w:val="hybridMultilevel"/>
    <w:lvl w:ilvl="0">
      <w:lvlJc w:val="left"/>
      <w:lvlText w:val="%1."/>
      <w:numFmt w:val="decimal"/>
      <w:start w:val="2"/>
    </w:lvl>
  </w:abstractNum>
  <w:abstractNum w:abstractNumId="139">
    <w:nsid w:val="754342"/>
    <w:multiLevelType w:val="hybridMultilevel"/>
    <w:lvl w:ilvl="0">
      <w:lvlJc w:val="left"/>
      <w:lvlText w:val="%1."/>
      <w:numFmt w:val="decimal"/>
      <w:start w:val="4"/>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jpe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jpe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jpe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jpeg"/><Relationship Id="rId229" Type="http://schemas.openxmlformats.org/officeDocument/2006/relationships/image" Target="media/image213.png"/><Relationship Id="rId230" Type="http://schemas.openxmlformats.org/officeDocument/2006/relationships/image" Target="media/image214.jpeg"/><Relationship Id="rId231" Type="http://schemas.openxmlformats.org/officeDocument/2006/relationships/image" Target="media/image215.png"/><Relationship Id="rId232" Type="http://schemas.openxmlformats.org/officeDocument/2006/relationships/image" Target="media/image216.jpeg"/><Relationship Id="rId233" Type="http://schemas.openxmlformats.org/officeDocument/2006/relationships/image" Target="media/image217.png"/><Relationship Id="rId234" Type="http://schemas.openxmlformats.org/officeDocument/2006/relationships/image" Target="media/image218.jpe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jpeg"/><Relationship Id="rId238" Type="http://schemas.openxmlformats.org/officeDocument/2006/relationships/image" Target="media/image222.jpe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jpeg"/><Relationship Id="rId40" Type="http://schemas.openxmlformats.org/officeDocument/2006/relationships/hyperlink" Target="https://www.sec.gov/Archives/edgar/data/1638097/000117891320000939/zk2024188.htm" TargetMode="External"/><Relationship Id="rId41" Type="http://schemas.openxmlformats.org/officeDocument/2006/relationships/hyperlink" Target="http://www.sec.gov/Archives/edgar/data/1638097/000117891320000593/zk2024074.htm" TargetMode="External"/><Relationship Id="rId42" Type="http://schemas.openxmlformats.org/officeDocument/2006/relationships/hyperlink" Target="http://www.sec.gov/Archives/edgar/data/1638097/000117891320001565/zk2024462.htm" TargetMode="External"/><Relationship Id="rId43" Type="http://schemas.openxmlformats.org/officeDocument/2006/relationships/hyperlink" Target="http://www.sec.gov/Archives/edgar/data/1638097/000117891320001873/zk2024606.htm" TargetMode="External"/><Relationship Id="rId44" Type="http://schemas.openxmlformats.org/officeDocument/2006/relationships/hyperlink" Target="http://www.sec.gov/Archives/edgar/data/1638097/000117891320001972/zk2024648.htm" TargetMode="External"/><Relationship Id="rId45" Type="http://schemas.openxmlformats.org/officeDocument/2006/relationships/hyperlink" Target="http://www.sec.gov/Archives/edgar/data/1638097/000117891320001565/exhibit_99-1.htm" TargetMode="External"/><Relationship Id="rId46" Type="http://schemas.openxmlformats.org/officeDocument/2006/relationships/hyperlink" Target="http://www.sec.gov/Archives/edgar/data/1638097/000117891320001565/exhibit_99-2.htm" TargetMode="External"/><Relationship Id="rId50" Type="http://schemas.openxmlformats.org/officeDocument/2006/relationships/hyperlink" Target="http://www.sec.gov/Archives/edgar/data/1638097/000117891320000939/zk2024188.htm" TargetMode="External"/><Relationship Id="rId96" Type="http://schemas.openxmlformats.org/officeDocument/2006/relationships/hyperlink" Target="http://www.sec.gov/Archives/edgar/data/1638097/000117891320000939/exhibit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2020-07-13T16:34:45Z</dcterms:created>
  <dcterms:modified xsi:type="dcterms:W3CDTF">2020-07-13T16:34:45Z</dcterms:modified>
</cp:coreProperties>
</file>