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k2635989.htm"/>
      <w:bookmarkStart w:id="1" w:name="kszk2635989"/>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2"/>
        </w:rPr>
      </w:pPr>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32"/>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240"/>
        <w:jc w:val="center"/>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2585"/>
        <w:gridCol w:w="3680"/>
        <w:gridCol w:w="1910"/>
      </w:tblGrid>
      <w:tr>
        <w:trPr/>
        <w:tc>
          <w:tcPr>
            <w:tcW w:w="25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Israel</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36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Kiryat Hadassah</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Minrav Building - Fifth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Jerusalem, Israel 9112002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+972-2-532-7151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(Address, including zip code, and telephone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including area code, of registrant’s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offices)</w:t>
            </w:r>
          </w:p>
        </w:tc>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Number)</w:t>
            </w:r>
          </w:p>
        </w:tc>
      </w:tr>
    </w:tbl>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Northwest Registered Agent Service,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The Green, #22450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Dover, Delaware 19901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302-581-4070</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Drew M. Altman,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Sami B. Ghneim,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S.E. 2nd Avenue, Suite 4400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Miami, Florida 33131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(305) 579-0500</w:t>
        <w:br/>
      </w:r>
      <w:r>
        <w:rPr>
          <w:rFonts w:ascii="Times New Roman;Times;Serif" w:hAnsi="Times New Roman;Times;Serif"/>
          <w:b/>
          <w:i w:val="false"/>
          <w:caps w:val="false"/>
          <w:smallCaps w:val="false"/>
          <w:sz w:val="20"/>
          <w:u w:val="singl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selling shareholders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134,803,910 Ordinary Shares offered by the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66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shareholders identified in this prospectus (the “Selling Shareholders”) of up to 134,803,910 of our ordinary shares, par value of NIS 0.0000769 per share (“ordinary shares”), composed of (i) 122,961,215 ordinary shares and (ii) up to 11,842,695 ordinary shares issuable upon exercise of pre-funded warrants (the “Pre-Funded Warrants”). We issued the foregoing securities in a private placement consummated on July 28, 2026 (the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issued or issuable upon exercise of the Pre-Funded Warrants issued in the Private Placement pursuant to our obligations contained in that certain registration rights agreement, dated July 28, 2026, by and among us and the Selling Shareholders (as amended, the “Registration Rights Agreement”). We refer to the 134,803,910 ordinary shares offered by the Selling Shareholders hereunder as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sell or distribute the Shares from time to time in amounts, at prices and on terms that will be determined at the time of any such offering. We will pay certain fees and expenses in connection with the registration of the Shares offered hereby, and we will not receive any of the proceeds from the sale of any Shares by the Selling Shareholders. See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the Shares, please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or Nasdaq, under the symbol “ENTX”. On August 20, 2026, the closing price of our ordinary shares was $3.22.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6 for information you should consider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w:t>
        <w:tab/>
        <w:t>,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8195"/>
        <w:gridCol w:w="575"/>
      </w:tblGrid>
      <w:tr>
        <w:trPr/>
        <w:tc>
          <w:tcPr>
            <w:tcW w:w="8195" w:type="dxa"/>
            <w:tcBorders/>
            <w:vAlign w:val="center"/>
          </w:tcPr>
          <w:p>
            <w:pPr>
              <w:pStyle w:val="TableContents"/>
              <w:bidi w:val="0"/>
              <w:spacing w:before="0" w:after="283"/>
              <w:jc w:val="left"/>
              <w:rPr/>
            </w:pPr>
            <w:hyperlink w:anchor="a_001">
              <w:r>
                <w:rPr>
                  <w:rStyle w:val="InternetLink"/>
                </w:rPr>
                <w:t>ABOUT THIS PROSPECTUS</w:t>
              </w:r>
            </w:hyperlink>
          </w:p>
        </w:tc>
        <w:tc>
          <w:tcPr>
            <w:tcW w:w="575" w:type="dxa"/>
            <w:tcBorders/>
            <w:vAlign w:val="center"/>
          </w:tcPr>
          <w:p>
            <w:pPr>
              <w:pStyle w:val="TableContents"/>
              <w:bidi w:val="0"/>
              <w:spacing w:before="0" w:after="283"/>
              <w:jc w:val="right"/>
              <w:rPr/>
            </w:pPr>
            <w:r>
              <w:rPr/>
              <w:t>ii</w:t>
            </w:r>
          </w:p>
        </w:tc>
      </w:tr>
      <w:tr>
        <w:trPr/>
        <w:tc>
          <w:tcPr>
            <w:tcW w:w="8195" w:type="dxa"/>
            <w:tcBorders/>
            <w:vAlign w:val="center"/>
          </w:tcPr>
          <w:p>
            <w:pPr>
              <w:pStyle w:val="TableContents"/>
              <w:bidi w:val="0"/>
              <w:spacing w:before="0" w:after="283"/>
              <w:jc w:val="left"/>
              <w:rPr/>
            </w:pPr>
            <w:hyperlink w:anchor="a_002">
              <w:r>
                <w:rPr>
                  <w:rStyle w:val="InternetLink"/>
                </w:rPr>
                <w:t>WHERE YOU CAN FIND MORE INFORMATION</w:t>
              </w:r>
            </w:hyperlink>
          </w:p>
        </w:tc>
        <w:tc>
          <w:tcPr>
            <w:tcW w:w="575" w:type="dxa"/>
            <w:tcBorders/>
            <w:vAlign w:val="center"/>
          </w:tcPr>
          <w:p>
            <w:pPr>
              <w:pStyle w:val="TableContents"/>
              <w:bidi w:val="0"/>
              <w:spacing w:before="0" w:after="283"/>
              <w:jc w:val="right"/>
              <w:rPr/>
            </w:pPr>
            <w:r>
              <w:rPr/>
              <w:t>ii</w:t>
            </w:r>
          </w:p>
        </w:tc>
      </w:tr>
      <w:tr>
        <w:trPr/>
        <w:tc>
          <w:tcPr>
            <w:tcW w:w="8195" w:type="dxa"/>
            <w:tcBorders/>
            <w:vAlign w:val="center"/>
          </w:tcPr>
          <w:p>
            <w:pPr>
              <w:pStyle w:val="TableContents"/>
              <w:bidi w:val="0"/>
              <w:spacing w:before="0" w:after="283"/>
              <w:jc w:val="left"/>
              <w:rPr/>
            </w:pPr>
            <w:hyperlink w:anchor="a_003">
              <w:r>
                <w:rPr>
                  <w:rStyle w:val="InternetLink"/>
                </w:rPr>
                <w:t>PROSPECTUS SUMMARY</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8195" w:type="dxa"/>
            <w:tcBorders/>
            <w:vAlign w:val="center"/>
          </w:tcPr>
          <w:p>
            <w:pPr>
              <w:pStyle w:val="TableContents"/>
              <w:bidi w:val="0"/>
              <w:spacing w:before="0" w:after="283"/>
              <w:jc w:val="left"/>
              <w:rPr/>
            </w:pPr>
            <w:hyperlink w:anchor="a_004">
              <w:r>
                <w:rPr>
                  <w:rStyle w:val="InternetLink"/>
                </w:rPr>
                <w:t>RISK FACTORS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8195" w:type="dxa"/>
            <w:tcBorders/>
            <w:vAlign w:val="center"/>
          </w:tcPr>
          <w:p>
            <w:pPr>
              <w:pStyle w:val="TableContents"/>
              <w:bidi w:val="0"/>
              <w:spacing w:before="0" w:after="283"/>
              <w:jc w:val="left"/>
              <w:rPr/>
            </w:pPr>
            <w:hyperlink w:anchor="a_006">
              <w:r>
                <w:rPr>
                  <w:rStyle w:val="InternetLink"/>
                </w:rPr>
                <w:t>CAUTIONARY NOTE REGARDING FORWARD-LOOKING STATEMENTS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8195" w:type="dxa"/>
            <w:tcBorders/>
            <w:vAlign w:val="center"/>
          </w:tcPr>
          <w:p>
            <w:pPr>
              <w:pStyle w:val="TableContents"/>
              <w:bidi w:val="0"/>
              <w:spacing w:before="0" w:after="283"/>
              <w:jc w:val="left"/>
              <w:rPr/>
            </w:pPr>
            <w:hyperlink w:anchor="a_007">
              <w:r>
                <w:rPr>
                  <w:rStyle w:val="InternetLink"/>
                </w:rPr>
                <w:t>USE OF PROCEEDS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8195" w:type="dxa"/>
            <w:tcBorders/>
            <w:vAlign w:val="center"/>
          </w:tcPr>
          <w:p>
            <w:pPr>
              <w:pStyle w:val="TableContents"/>
              <w:bidi w:val="0"/>
              <w:spacing w:before="0" w:after="283"/>
              <w:jc w:val="left"/>
              <w:rPr/>
            </w:pPr>
            <w:hyperlink w:anchor="id_008">
              <w:r>
                <w:rPr>
                  <w:rStyle w:val="InternetLink"/>
                </w:rPr>
                <w:t>DESCRIPTION OF ORDINARY SHARES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r>
      <w:tr>
        <w:trPr/>
        <w:tc>
          <w:tcPr>
            <w:tcW w:w="8195" w:type="dxa"/>
            <w:tcBorders/>
            <w:vAlign w:val="center"/>
          </w:tcPr>
          <w:p>
            <w:pPr>
              <w:pStyle w:val="TableContents"/>
              <w:bidi w:val="0"/>
              <w:spacing w:before="0" w:after="283"/>
              <w:jc w:val="left"/>
              <w:rPr/>
            </w:pPr>
            <w:hyperlink w:anchor="a_010">
              <w:r>
                <w:rPr>
                  <w:rStyle w:val="InternetLink"/>
                </w:rPr>
                <w:t>PLAN OF DISTRIBUTION</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8195" w:type="dxa"/>
            <w:tcBorders/>
            <w:vAlign w:val="center"/>
          </w:tcPr>
          <w:p>
            <w:pPr>
              <w:pStyle w:val="TableContents"/>
              <w:bidi w:val="0"/>
              <w:spacing w:before="0" w:after="283"/>
              <w:jc w:val="left"/>
              <w:rPr/>
            </w:pPr>
            <w:hyperlink w:anchor="a_011">
              <w:r>
                <w:rPr>
                  <w:rStyle w:val="InternetLink"/>
                </w:rPr>
                <w:t>SELLING SHAREHOLDERS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8195" w:type="dxa"/>
            <w:tcBorders/>
            <w:vAlign w:val="center"/>
          </w:tcPr>
          <w:p>
            <w:pPr>
              <w:pStyle w:val="TableContents"/>
              <w:bidi w:val="0"/>
              <w:spacing w:before="0" w:after="283"/>
              <w:jc w:val="left"/>
              <w:rPr/>
            </w:pPr>
            <w:hyperlink w:anchor="a_012">
              <w:r>
                <w:rPr>
                  <w:rStyle w:val="InternetLink"/>
                </w:rPr>
                <w:t>INCORPORATION OF CERTAIN DOCUMENTS BY REFERENCE</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8195" w:type="dxa"/>
            <w:tcBorders/>
            <w:vAlign w:val="center"/>
          </w:tcPr>
          <w:p>
            <w:pPr>
              <w:pStyle w:val="TableContents"/>
              <w:bidi w:val="0"/>
              <w:spacing w:before="0" w:after="283"/>
              <w:jc w:val="left"/>
              <w:rPr/>
            </w:pPr>
            <w:hyperlink w:anchor="a_013">
              <w:r>
                <w:rPr>
                  <w:rStyle w:val="InternetLink"/>
                </w:rPr>
                <w:t>SERVICE OF PROCESS AND ENFORCEMENT OF JUDGMENTS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195" w:type="dxa"/>
            <w:tcBorders/>
            <w:vAlign w:val="center"/>
          </w:tcPr>
          <w:p>
            <w:pPr>
              <w:pStyle w:val="TableContents"/>
              <w:bidi w:val="0"/>
              <w:spacing w:before="0" w:after="283"/>
              <w:jc w:val="left"/>
              <w:rPr/>
            </w:pPr>
            <w:hyperlink w:anchor="a_014">
              <w:r>
                <w:rPr>
                  <w:rStyle w:val="InternetLink"/>
                </w:rPr>
                <w:t>LEGAL MATTERS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195" w:type="dxa"/>
            <w:tcBorders/>
            <w:vAlign w:val="center"/>
          </w:tcPr>
          <w:p>
            <w:pPr>
              <w:pStyle w:val="TableContents"/>
              <w:bidi w:val="0"/>
              <w:spacing w:before="0" w:after="283"/>
              <w:jc w:val="left"/>
              <w:rPr/>
            </w:pPr>
            <w:hyperlink w:anchor="a_015">
              <w:r>
                <w:rPr>
                  <w:rStyle w:val="InternetLink"/>
                </w:rPr>
                <w:t>EXPERTS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bl>
    <w:p>
      <w:pPr>
        <w:pStyle w:val="TextBody"/>
        <w:bidi w:val="0"/>
        <w:spacing w:before="0" w:after="0"/>
        <w:ind w:left="7" w:right="7" w:hanging="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0"/>
        <w:ind w:left="7" w:right="7"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7" w:right="7"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(the “SEC”), using a “shelf” registration process. Under the shelf registration statement of which this prospectus forms a part, the Selling Shareholders may, from time to time, sell the Shares described in this prospectus in one or more offerings through any means described in the section entitled “Plan of Distribution.” Additional or more specific terms of transactions in which the Selling Shareholders offer and sell the Shares may be provided in a prospectus supplement that describes, among other things, the specific amounts and prices of the Shares being offered and the terms of the offering. The prospectus supplement may also add, update or change information contained in this prospectus. Any statement that we make in this prospectus will be modified or superseded by any inconsistent statement made by us in a prospectus supplement. To the extent there is a conflict between the information contained in this prospectus and the prospectus supplement, if any,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carefully read both this prospectus and any applicable prospectus supplement, together with additional information described under the headings “Where You Can Find More Information” and “Incorporation of Certain Documents by Reference” before deciding to invest in any of the Shares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Shares, you should refer to the registration statement, including the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 other person to provide you with information different from or in addition to that included in this prospectus and any prospectus supplement. Neither we nor the Selling Shareholders are making an offer to sell the Shares in any jurisdiction where the offer or sale is not permitted. You should not assume that the information in this prospectus or any prospectus supplement is accurate as of any date other than the date on the front cover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terms “Entera,” “we,” “us,” “our,” “the Company” and “our company” refer to Entera Bio Ltd. and its consolidated subsidiaries,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Securities Exchange Act of 1934, as amended (the “Exchange Act”). Accordingly, we are required to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www.enterabio.com,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of 1933, as amended (the “Securities Act”), of which this prospectus forms a part, relating to the Shares offered under this prospectus. The registration statement, including the attached exhibits, contains additional relevant information about us and such Shares. If a document has been filed as an exhibit to the registration statement, we refer you to the copy of the document that has been filed. Each statement in this prospectus relating to a document filed as an exhibit is qualified in all respects by the full text of the filed exhibit. This prospectus does not contain all of the information set forth in the registration statement. You can obtain a free copy of the registration statement at www.sec.gov. The registration statement, of which this prospectus forms a part, and the documents referred to below under “Incorporation of Certain Documents by Reference” are also available on our website, www.enterabio.com.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accessible through our website is not incorporated by reference in this prospectus and does not constitute a part hereof.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tbl>
      <w:tblPr>
        <w:tblW w:w="10205" w:type="dxa"/>
        <w:jc w:val="left"/>
        <w:tblInd w:w="-10" w:type="dxa"/>
        <w:tblLayout w:type="fixed"/>
        <w:tblCellMar>
          <w:top w:w="28" w:type="dxa"/>
          <w:left w:w="28" w:type="dxa"/>
          <w:bottom w:w="0" w:type="dxa"/>
          <w:right w:w="28"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PROSPECTUS SUMMARY</w:t>
            </w:r>
          </w:p>
          <w:p>
            <w:pPr>
              <w:pStyle w:val="TableContents"/>
              <w:bidi w:val="0"/>
              <w:spacing w:before="0" w:after="0"/>
              <w:ind w:left="0" w:right="0" w:hanging="0"/>
              <w:jc w:val="center"/>
              <w:rPr>
                <w:caps/>
              </w:rPr>
            </w:pPr>
            <w:r>
              <w:rPr>
                <w:caps/>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first-in-class oral peptides.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which is designed to simultaneously stabilize large (4kD+) hydrophilic peptides in the gastrointestinal tract and promote their absorption into the bloodstream.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EB613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EB613, oral PTH (1-34), is being developed as the first oral, osteoanabolic (bone building) tablet for osteoporosis. EB613 is intended to provide an oral anabolic treatment earlier in an osteoporosis patient’s journey to increase skeletal mass, reduce the risk of fracture and consequently limit the progression of the disease, and its associated disability and mortality.</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placebo controlled, dose ranging Phase 2 study of EB613 tablets (n= 161) met primary (pharmacodynamic/bone turnover biomarker) and secondary endpoints (bone mineral density (“BMD”)). In April 2024, Phase 2 data was published in the Journal of Bone and Mineral Research (JBMR). Our planned Phase 3 registrational program for EB613 is focused on the treatment of postmenopausal women with osteoporosis at high risk of fracture.</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Osteoporosis is a chronic, progressive disorder in which bone resorption exceeds formation, resulting in decreased bone strength and increased susceptibility to fracture.</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Osteoporosis is a major and growing public health issue, responsible for over two million fractures annually in the United States. After age 50, one in three women and one in five men will suffer an osteoporosis-related fracture in their remaining lifetime. Osteoporotic fractures lead to chronic pain, decreased quality of life, increased disability, and contribute to premature death. Studies show that up to 20-24% of hip fracture patients die within one year of the fracture. The total medical cost of osteoporotic fractures is projected to increase from $57 billion in 2018 to $95 billion by 2040, largely due to the aging population. </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approved anabolic drugs, including Forteo®, are indicated for the treatment of very high-risk osteoporosis patients as first line therapy and as second line treatment in osteoporosis patients who cannot tolerate or progress on other osteoporosis drugs. Despite the superior efficacy of anabolic drugs, existing treatments require daily or monthly subcutaneous injections and are estimated to be used in a minority of very high-risk patients.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EB613 is being developed under a 505(b)(2) application to the listed drug, Forteo® (teriparatide SC injection, Eli Lilly), which was first approved by the U.S. Food and Drug Administration (“FDA”) in 2002 for the treatment of postmenopausal women with osteoporosis at high risk of fracture and later indicated for men with osteoporosis and osteoporosis associated with sustained systemic glucocorticoid therapy.  Forteo® has been in clinical use for over 20 years with a well-established benefit-risk profile.</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a comprehensive nonclinical and clinical package for the EB613 program, including three Phase 1 comparative studies with Forteo® and three Phase 2 clinical studies. EB613 has been safely administered to a total of 270 study participants, including postmenopausal women with low BMD or osteoporosis (n=118 on EB613, n=43 on placebo), healthy volunteers, and male and female patients with hypoparathyroidism.</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Phase 2, 6-month, 161-patient, placebo-controlled study in postmenopausal women with osteoporosis or low BMD, EB613 produced rapid dose-proportional increases in biochemical markers of bone formation, reductions in markers of bone resorption, and increased lumbar spine, total hip, and femoral neck BMD. At 6 months of treatment, EB613 2.5mg produced comparable total hip BMD increases as those that have been reported for Forteo® at 6 months.</w:t>
            </w:r>
          </w:p>
        </w:tc>
      </w:tr>
      <w:tr>
        <w:trPr/>
        <w:tc>
          <w:tcPr>
            <w:tcW w:w="1020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bdr w:val="single" w:sz="8" w:space="1" w:color="000000"/>
        </w:rPr>
      </w:pPr>
      <w:r>
        <w:rPr>
          <w:bdr w:val="single" w:sz="8" w:space="1" w:color="000000"/>
        </w:rPr>
        <w:t>1</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2023, we have advanced a simplified single-tablet formulation of EB613 that builds on clinical experience with the multi-tablet formulation which was used in Phase 1 and Phase 2 clinical studies and a new generation of our N-Tab® platform.</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reported comparative, crossover Phase 1 data evaluating single-tablet and multi-tablet oral EB613 with Forteo® (teriparatide SC injection, Eli Lilly). The single-tablet EB613 showed a PK profile comparable to multi-tablet EB613, with similar Cmax, Tmax, and total systemic exposure (AUC). The AUC of single tablet and multi-tablet EB613 was comparable with Forteo®, exhibiting a slightly shorter duration of exposure, which is consistent with prior Phase 1 studies. Comparable calcemic effects (serum calcium) and consistent suppression of endogenous PTH(1-84) were shown for both oral EB613 treatments and Forteo®.</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Background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end of our Phase 2 Meeting in December 2021, we have engaged in FDA Type C, D, and A Meetings in 2022, 2023, 2024, and 2025 to obtain clarity and alignment on total hip BMD as a primary endpoint and an appropriate data package to support a new drug application (“NDA”) for EB613 under a 505(b)(2) application.</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as part of our scientific bridging, we received a written concurrence from the FDA that dedicated oral carcinogenicity studies are not warranted for EB613 given the totality of evidence generated from the literature and nonclinical studies conducted with EB613.</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received a written concurrence from the FDA that comprehensive nonclinical developmental and reproductive toxicity (DART) studies are not required given the totality of evidence generated from Forteo®, published literature, and EB613 nonclinical studies.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FDA released the Determination for Qualification of BMD qualifying total hip BMD as a surrogate efficacy endpoint for fracture that could be used in future studies of new anti-osteoporosis therapies.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announced that The FDA accepted our plan to conduct a single, randomized, double-blind, placebo-controlled, Phase 3 trial in approximately 750 postmenopausal women with osteoporosis, with a primary endpoint of percent change from baseline in total hip BMD at Month 12 to support a potential New Drug Application (NDA) submission for EB613 for the treatment of women with post-menopausal osteoporosis. The proposed NDA package will also include Entera’s scientific bridge analysis with Forteo® (teriparatide SC injection, Eli Lilly) under the 505(b)(2) pathway, and a transiliac crest bone biopsy sub-study in a subset of patients.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also agreed with our proposal to continue following the randomized patients out to 24 months in an open-label extension study under a separate protocol. We will plan to submit data through up to 18 months as part of the 120-day safety update to our NDA. Additionally, we will plan to submit the complete 2-year data upon completion of the open-label extension study to characterize further the durability of the treatment effect, safety, and sequence data for EB613 followed by a standard anti-resorptive therapy for 12 months.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EB612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EB612, is being developed as the first oral PTH(1-34) tablet peptide replacement therapy for patients with hypoparathyroidism. </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announced new in vivo PK/PD data supporting the development of a proprietary long-acting PTH (“LA-PTH”) analog utilizing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at ENDO 2026, we presented preclinical data for EB612 from three animal models — a thyroparathyroidectomized (TPTx) rat model, a minipig model and a non-human primate model — showing sustained increases in serum calcium consistent with clinically validated injectable PTH-replacement therapies for hypoparathyroidism, and no safety concerns identified.</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the EB612 program into investigational new drug (IND) enabling studies and plan to submit an IND application to the FDA in the first half of 2027.</w:t>
            </w:r>
          </w:p>
          <w:p>
            <w:pPr>
              <w:pStyle w:val="TableContents"/>
              <w:bidi w:val="0"/>
              <w:spacing w:before="0" w:after="0"/>
              <w:ind w:left="2" w:right="2" w:firstLine="720"/>
              <w:jc w:val="both"/>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EB618 Program (Oral GLP-1/Glucagon)</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EB618 program focuses on developing the first oral dual agonist GLP-1/Glucagon (OXM) peptide as a potential once-daily tablet for patients with obesity and metabolic disorders using the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Oxyntomodulin (OXM) is a naturally occurring dual GLP-1/glucagon receptor agonist hormone that regulates appetite and glucose metabolism and promotes weight loss, with additional cardioprotective and anti-fibrotic properties; its therapeutic potential as a native hormone is limited by a short plasma half-life. Currently, there are no approved dual GLP-1/Glucagon agonists available.</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and OPKO jointly announced topline PK/PD results for the OXM program.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an amended and restated collaboration agreement with OPKO, which amends and restates the 2025 Collaboration Agreement, to expand the scope of the agreement to include the collaboration with respect to the preclinical and clinical development of a daily LA-PTH for the treatment of hypoparathyroidism.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June 2026, at ENDO 2026, we presented preclinical data for EB618 from a single-dose pharmacokinetic-pharmacodynamic study in non-human primates, showing dose-proportional systemic exposure across three tablet strengths, a dose-proportional pharmacologic effect on postprandial blood glucose and no safety concerns identified at doses exceeding the anticipated clinical dose range by more than tenfold. These data support the continued development of EB618 as an oral once-daily GLP-1/glucagon receptor agonist for the treatment of obesity and metabolic disorders.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OPKO is planning to initiate a single ascending dose (SAD) and multiple ascending dose (MAD) Phase 1 clinical study with the subcutaneous injection formulation in 2027. We plan to determine next steps of the clinical development plan for oral OXM based on the outcomes of that study.</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Oral GLP-2 </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focuses on developing the first GLP-2 peptide tablet alternative for patients suffering from short bowel syndrome and additional disorders involving mucosal inflammation and nutrient malabsorption.</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and Governance Matters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we entered into a Securities Purchase Agreement with the Selling Shareholders (the “Purchase Agreement”), providing for the Private Placement, in which we sold to the Selling Shareholders an aggregate of 134,803,910 ordinary shares (or, in lieu thereof, Pre-Funded Warrants), for aggregate proceeds of approximately $275.0 million, representing a price of $2.04 per ordinary share. The Private Placement closed on July 28, 2026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Selling Shareholders elected to receive a combination of ordinary shares and Pre-Funded Warrants in lieu of ordinary shares. The Pre-Funded Warrants may not be exercised if the aggregate number of ordinary shares beneficially owned by the holder thereof, together with its affiliates, would exceed 9.99% immediately after exercise thereof, subject to increases not in excess of 19.99% at the option of the holder. Each Pre-Funded Warrant has an exercise price of NIS 0.0000769 per ordinary share, is immediately exercisable and may be exercised at any time and has no expiration date, and is subject to customary adjustments.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Private Placement to support activities related to initiation of our phase 3 registrational study of EB613 in postmenopausal women with osteoporosis and for general working capital and corporate purposes.</w:t>
            </w:r>
          </w:p>
          <w:p>
            <w:pPr>
              <w:pStyle w:val="TableContents"/>
              <w:bidi w:val="0"/>
              <w:spacing w:before="0" w:after="0"/>
              <w:ind w:left="0" w:right="0" w:firstLine="720"/>
              <w:jc w:val="both"/>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to the Selling Shareholders under the Purchase Agreement were offered in reliance on an exemption from registration provided by Section 4(a)(2) of the Securities Act. We relied on this exemption from registration based in part on representations made by each Selling Shareholder, including that each Selling Shareholder is an “accredited investor”, as defined in Rule 501(a) promulgated under the Securities Act.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also entered into the Registration Rights Agreement, pursuant to which we agreed to prepare and file a registration statement with the SEC no later than August 27, 2026 to register the resale of the Shares.  We have agreed to use our reasonable best efforts to have such registration statement declared effective as promptly as possible after the filing thereof. Holders of the Pre-Funded Warrants may exercise such warrants on a cashless basis at such time as there is no effective registration statement with respect to the resale of the ordinary shares issuable upon exercise thereof. We filed the registration statement, of which this prospectus forms a part, in accordance with our obligations under the Registration Rights Agreement.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effective as of the Closing Date, we have agreed to grant BVF Partners L.P. (including its affiliates that acquired securities under the Purchase Agreement, “BVF”) the right to designate two directors to our board of directors (the “Board”) (each, a “BVF Designee”), subject to each BVF Designee’s satisfaction of all applicable requirements regarding service as a director under applicable law and Nasdaq rules and such other criteria and qualifications applicable to all of our directors. If BVF ceases to beneficially own at least 75.0% of the total securities (comprising the ordinary shares and the ordinary shares issuable upon exercise of the Pre-Funded Warrants) acquired by BVF in the Private Placement, then BVF’s designation right will be reduced to one BVF Designee; and if such ownership falls below 50.0% of such securities, or if BVF’s beneficial ownership falls below 10.0% of our issued and outstanding ordinary shares, then BVF’s designation right will terminate in full. In each such case, at the Board’s written request, the applicable BVF Designee or BVF Designees will be required to resign from the Board, effective as of the 30th day following such request. For so long as BVF has the right to designate at least one BVF Designee, one BVF Designee is expected to serve on the Nominating and Governance Committee of the Board, subject to applicable independence and other eligibility requirements.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use our commercially reasonable efforts, in reasonable consultation with each BVF Designee then serving, to identify and either appoint or put forth for election two additional independent members of the Board (each, a “New Independent Director”), anticipated to occur at or prior to our 2027 annual general meeting and, subject to the qualification of such directors, no later than 18 months following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Purchase Agreement , each Selling Shareholder has agreed to vote all ordinary shares beneficially held by it in favor of certain proposals relating to the increase in the number of shares issuable under our 2018 Equity Incentive Plan and the issuance of equity grants to our executive officers intended to restore such person’s post-Private Placement beneficial ownership of us to their respective ownership percentages immediately prior to the Closing Date (the “Supported Proposals”). We expect to seek shareholder approval of the Supported Proposals at a special meeting of shareholders anticipated to be held in the fourth quarter of 2026 and, in any event, no later than 12 months following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tbl>
      <w:tblPr>
        <w:tblW w:w="6400" w:type="dxa"/>
        <w:jc w:val="left"/>
        <w:tblInd w:w="-10" w:type="dxa"/>
        <w:tblLayout w:type="fixed"/>
        <w:tblCellMar>
          <w:top w:w="28" w:type="dxa"/>
          <w:left w:w="28" w:type="dxa"/>
          <w:bottom w:w="0" w:type="dxa"/>
          <w:right w:w="28" w:type="dxa"/>
        </w:tblCellMar>
      </w:tblPr>
      <w:tblGrid>
        <w:gridCol w:w="4250"/>
        <w:gridCol w:w="2150"/>
      </w:tblGrid>
      <w:tr>
        <w:trPr/>
        <w:tc>
          <w:tcPr>
            <w:tcW w:w="6400" w:type="dxa"/>
            <w:gridSpan w:val="2"/>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 </w:t>
            </w:r>
            <w:bookmarkStart w:id="5" w:name="a_004"/>
            <w:bookmarkEnd w:id="5"/>
          </w:p>
        </w:tc>
      </w:tr>
      <w:tr>
        <w:trPr/>
        <w:tc>
          <w:tcPr>
            <w:tcW w:w="6400" w:type="dxa"/>
            <w:gridSpan w:val="2"/>
            <w:tcBorders>
              <w:left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OFFERING</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Resale of Ordinary Shares</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Offered by the Selling Shareholders</w:t>
            </w:r>
          </w:p>
        </w:tc>
        <w:tc>
          <w:tcPr>
            <w:tcW w:w="2150" w:type="dxa"/>
            <w:tcBorders>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134,803,910 shares.</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0" w:type="dxa"/>
          <w:right w:w="0" w:type="dxa"/>
        </w:tblCellMar>
      </w:tblPr>
      <w:tblGrid>
        <w:gridCol w:w="1141"/>
        <w:gridCol w:w="9064"/>
      </w:tblGrid>
      <w:tr>
        <w:trPr/>
        <w:tc>
          <w:tcPr>
            <w:tcW w:w="1141"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w:t>
            </w:r>
          </w:p>
        </w:tc>
        <w:tc>
          <w:tcPr>
            <w:tcW w:w="9064"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will not receive any of the proceeds from the sale of the Shares by the Selling Shareholders. See the section of this prospectus titled “Use of Proceeds.” </w:t>
            </w:r>
          </w:p>
        </w:tc>
      </w:tr>
      <w:tr>
        <w:trPr/>
        <w:tc>
          <w:tcPr>
            <w:tcW w:w="1141" w:type="dxa"/>
            <w:tcBorders>
              <w:left w:val="single" w:sz="8" w:space="0" w:color="000000"/>
            </w:tcBorders>
            <w:vAlign w:val="center"/>
          </w:tcPr>
          <w:p>
            <w:pPr>
              <w:pStyle w:val="TableContents"/>
              <w:bidi w:val="0"/>
              <w:spacing w:before="0" w:after="283"/>
              <w:jc w:val="both"/>
              <w:rPr/>
            </w:pPr>
            <w:r>
              <w:rPr/>
              <w:t> </w:t>
            </w:r>
          </w:p>
        </w:tc>
        <w:tc>
          <w:tcPr>
            <w:tcW w:w="9064"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8095" w:type="dxa"/>
        <w:jc w:val="left"/>
        <w:tblInd w:w="-10" w:type="dxa"/>
        <w:tblLayout w:type="fixed"/>
        <w:tblCellMar>
          <w:top w:w="0" w:type="dxa"/>
          <w:left w:w="28" w:type="dxa"/>
          <w:bottom w:w="0" w:type="dxa"/>
          <w:right w:w="0" w:type="dxa"/>
        </w:tblCellMar>
      </w:tblPr>
      <w:tblGrid>
        <w:gridCol w:w="2570"/>
        <w:gridCol w:w="5525"/>
      </w:tblGrid>
      <w:tr>
        <w:trPr/>
        <w:tc>
          <w:tcPr>
            <w:tcW w:w="2570"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for Our Ordinary Shares</w:t>
            </w:r>
          </w:p>
        </w:tc>
        <w:tc>
          <w:tcPr>
            <w:tcW w:w="5525"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ordinary shares are listed on Nasdaq under the symbol “ENTX.”</w:t>
            </w:r>
          </w:p>
        </w:tc>
      </w:tr>
      <w:tr>
        <w:trPr/>
        <w:tc>
          <w:tcPr>
            <w:tcW w:w="2570" w:type="dxa"/>
            <w:tcBorders>
              <w:left w:val="single" w:sz="8" w:space="0" w:color="000000"/>
            </w:tcBorders>
            <w:vAlign w:val="center"/>
          </w:tcPr>
          <w:p>
            <w:pPr>
              <w:pStyle w:val="TableContents"/>
              <w:bidi w:val="0"/>
              <w:spacing w:before="0" w:after="283"/>
              <w:jc w:val="both"/>
              <w:rPr/>
            </w:pPr>
            <w:r>
              <w:rPr/>
              <w:t> </w:t>
            </w:r>
          </w:p>
        </w:tc>
        <w:tc>
          <w:tcPr>
            <w:tcW w:w="5525"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0" w:type="dxa"/>
          <w:right w:w="0" w:type="dxa"/>
        </w:tblCellMar>
      </w:tblPr>
      <w:tblGrid>
        <w:gridCol w:w="845"/>
        <w:gridCol w:w="9360"/>
      </w:tblGrid>
      <w:tr>
        <w:trPr/>
        <w:tc>
          <w:tcPr>
            <w:tcW w:w="845"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9360"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investment in the Shares offered hereby is speculative and involves a high degree of risk. You should carefully consider the information set forth under “Risk Factors” and elsewhere in this prospectus.</w:t>
            </w:r>
          </w:p>
        </w:tc>
      </w:tr>
      <w:tr>
        <w:trPr/>
        <w:tc>
          <w:tcPr>
            <w:tcW w:w="845" w:type="dxa"/>
            <w:tcBorders>
              <w:left w:val="single" w:sz="8" w:space="0" w:color="000000"/>
              <w:bottom w:val="single" w:sz="8" w:space="0" w:color="000000"/>
            </w:tcBorders>
            <w:tcMar>
              <w:bottom w:w="28" w:type="dxa"/>
            </w:tcMar>
            <w:vAlign w:val="center"/>
          </w:tcPr>
          <w:p>
            <w:pPr>
              <w:pStyle w:val="TableContents"/>
              <w:bidi w:val="0"/>
              <w:spacing w:before="0" w:after="283"/>
              <w:jc w:val="both"/>
              <w:rPr/>
            </w:pPr>
            <w:r>
              <w:rPr/>
              <w:t> </w:t>
            </w:r>
          </w:p>
        </w:tc>
        <w:tc>
          <w:tcPr>
            <w:tcW w:w="9360"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purchase our securities, you should carefully consider the risk factor set forth below and the risk factors incorporated by reference from our Annual Report on Form 10-K for the year ended December 31, 2025 filed with the SEC on March 27, 2026 (the “2025 Annual Report”) under the heading “Item 1A. Risk Factors”, any updates to those risk factors contained in our Quarterly Reports on Form 10-Q or Current Reports on Form 8-K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political and economic instability in the Middle East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On June 17, 2026, the United States and Iran signed a 14-point memorandum of understanding that formalized the ceasefire, ended the U.S. naval blockade of Iranian ports, provided for the reopening of the Strait of Hormuz and commenced a 60-day period to negotiate a final agreement. Those negotiations subsequently stalled and the ceasefire broke down. Beginning in late June 2026, Iran resumed attacks on commercial vessels transiting the Strait of Hormuz and on U.S. military facilities in Bahrain, Kuwait and Jordan, and the United States has resumed large-scale air strikes against Iranian military and maritime targets. In July 2026, Iran announced the closure of the Strait of Hormuz and the United States reinstated its naval blockade of Iranian ports. U.S. strikes on Iran have continued on a near-daily basis, and Iran has to date rejected proposals for a renewed ceasefire. In August 2026, Iran and Oman entered advanced negotiations on a new shipping arrangement for the Strait of Hormuz; however, Iran has conditioned reopening the waterway on additional demands, including U.S. compensation and the cessation of hostilities, while the United States has similarly demanded compensation from Iran as a precondition for further talks. As of the date of this prospectus, those negotiations remain unresolved and the Strait of Hormuz remains effectively closed to normal commercial traffic. Although Israel has not participated in the current round of strikes on Iran, in June 2026 Iran launched ballistic missiles toward northern Israel and Israel conducted retaliatory strikes in Iran, and Israel’s Home Front Command has from time to time imposed restrictions on civilian activity. There can be no assurance that a ceasefire will be restored, and hostilities between the United States, Israel and Iran could resume or further escalate at any time.</w:t>
      </w:r>
    </w:p>
    <w:p>
      <w:pPr>
        <w:pStyle w:val="TextBody"/>
        <w:bidi w:val="0"/>
        <w:spacing w:before="0" w:after="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following direct talks between Israeli and Lebanese officials in Washington, D.C., a 10-day cessation of hostilities between Israel and Lebanon was announced, brokered by the United States. On June 26, 2026, following further U.S.-brokered negotiations, Israel, Lebanon and the United States signed a trilateral framework agreement providing for the disarmament of Hezbollah by the Lebanese Armed Forces, beginning in designated pilot zones, and a phased withdrawal of Israeli forces from southern Lebanon. Implementation has been limited to date, Israeli forces remain stationed in southern Lebanon and Hezbollah has not accepted the terms as binding, stating that its fighters will remain deployed and will respond to any violations. The arrangement remains fragile, with reports of continued military operations by both sides in southern Lebanon.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which resumed in July 2026 following the breakdown of the June 2026 ceasefire. In addition, the ceasefire framework in Gaza remains in place but implementation of its later phases has stalled following the proposal in August 2026 of a U.S.-brokered 15-point plan for the second phase of the ceasefire, which has not been accepted by all parties. Reported attacks on commercial vessels in the Red Sea and the Bab al-Mandeb strait have also resumed, resulting in casualties and in advisories to commercial shipping operating in the region. These developments have increased regional instability and may further escalate into more severe and prolonged hostilities, which could affect Israel and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pStyle w:val="TextBody"/>
        <w:bidi w:val="0"/>
        <w:spacing w:before="0" w:after="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as that term is defined under the Private Securities Litigation Reform Act of 1995 (“PSLRA”), Section 27A of the Securities Act, and Section 21E of the Exchange Act.  Various statements in this prospectus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prospectus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prospectus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in our 2025 Annual Report and in “Part II, Item 1A—Risk Factors” in our Quarterly Report on Form 10-Q for the quarter ended June 30, 2026. Meaningful factors which could cause actual results to differ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accuracy of our estimates regarding expenses, capital requirements, the sufficiency of our cash resources and the need for additional financing;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current or future product candidate receives marketing approval, it may fail to achieve the degree of market acceptance by physicians, patients, third-party payors and others in the medical community necessary for commercial success;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governmental authorities and third-party payors establish adequate coverage and reimbursement levels and pricing policies;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coverage and adequate reimbursement for our product candidates, if approved, could limit our ability to market those products and decrease our ability to generate revenue;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tc>
      </w:tr>
    </w:tbl>
    <w:p>
      <w:pPr>
        <w:pStyle w:val="TextBody"/>
        <w:bidi w:val="0"/>
        <w:spacing w:before="0" w:after="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anticipate paying any cash dividends on our capital stock in the foreseeable future, capital appreciation, if any, will be your sole source of gain;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9715" w:type="dxa"/>
        <w:jc w:val="left"/>
        <w:tblInd w:w="0" w:type="dxa"/>
        <w:tblLayout w:type="fixed"/>
        <w:tblCellMar>
          <w:top w:w="0" w:type="dxa"/>
          <w:left w:w="0" w:type="dxa"/>
          <w:bottom w:w="0" w:type="dxa"/>
          <w:right w:w="0" w:type="dxa"/>
        </w:tblCellMar>
      </w:tblPr>
      <w:tblGrid>
        <w:gridCol w:w="75"/>
        <w:gridCol w:w="11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bl>
    <w:tbl>
      <w:tblPr>
        <w:tblW w:w="7120" w:type="dxa"/>
        <w:jc w:val="left"/>
        <w:tblInd w:w="0" w:type="dxa"/>
        <w:tblLayout w:type="fixed"/>
        <w:tblCellMar>
          <w:top w:w="0" w:type="dxa"/>
          <w:left w:w="0" w:type="dxa"/>
          <w:bottom w:w="0" w:type="dxa"/>
          <w:right w:w="0" w:type="dxa"/>
        </w:tblCellMar>
      </w:tblPr>
      <w:tblGrid>
        <w:gridCol w:w="75"/>
        <w:gridCol w:w="11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use and expand our N-Tab® platform to additional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7480" w:type="dxa"/>
        <w:jc w:val="left"/>
        <w:tblInd w:w="0" w:type="dxa"/>
        <w:tblLayout w:type="fixed"/>
        <w:tblCellMar>
          <w:top w:w="0" w:type="dxa"/>
          <w:left w:w="0" w:type="dxa"/>
          <w:bottom w:w="0" w:type="dxa"/>
          <w:right w:w="0" w:type="dxa"/>
        </w:tblCellMar>
      </w:tblPr>
      <w:tblGrid>
        <w:gridCol w:w="75"/>
        <w:gridCol w:w="11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090" w:type="dxa"/>
        <w:jc w:val="left"/>
        <w:tblInd w:w="0" w:type="dxa"/>
        <w:tblLayout w:type="fixed"/>
        <w:tblCellMar>
          <w:top w:w="0" w:type="dxa"/>
          <w:left w:w="0" w:type="dxa"/>
          <w:bottom w:w="0" w:type="dxa"/>
          <w:right w:w="0" w:type="dxa"/>
        </w:tblCellMar>
      </w:tblPr>
      <w:tblGrid>
        <w:gridCol w:w="75"/>
        <w:gridCol w:w="11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6490" w:type="dxa"/>
        <w:jc w:val="left"/>
        <w:tblInd w:w="0" w:type="dxa"/>
        <w:tblLayout w:type="fixed"/>
        <w:tblCellMar>
          <w:top w:w="0" w:type="dxa"/>
          <w:left w:w="0" w:type="dxa"/>
          <w:bottom w:w="0" w:type="dxa"/>
          <w:right w:w="0" w:type="dxa"/>
        </w:tblCellMar>
      </w:tblPr>
      <w:tblGrid>
        <w:gridCol w:w="75"/>
        <w:gridCol w:w="11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both"/>
              <w:rPr/>
            </w:pPr>
            <w:r>
              <w:rPr/>
              <w:t> </w:t>
            </w:r>
          </w:p>
        </w:tc>
      </w:tr>
    </w:tbl>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bl>
    <w:tbl>
      <w:tblPr>
        <w:tblW w:w="3010" w:type="dxa"/>
        <w:jc w:val="left"/>
        <w:tblInd w:w="0" w:type="dxa"/>
        <w:tblLayout w:type="fixed"/>
        <w:tblCellMar>
          <w:top w:w="0" w:type="dxa"/>
          <w:left w:w="0" w:type="dxa"/>
          <w:bottom w:w="0" w:type="dxa"/>
          <w:right w:w="0" w:type="dxa"/>
        </w:tblCellMar>
      </w:tblPr>
      <w:tblGrid>
        <w:gridCol w:w="75"/>
        <w:gridCol w:w="11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contained in this prospectus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w:t>
      </w:r>
    </w:p>
    <w:p>
      <w:pPr>
        <w:pStyle w:val="TextBody"/>
        <w:bidi w:val="0"/>
        <w:spacing w:before="0" w:after="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offered by this prospectus, but we will bear all fees and expenses incident to our obligation to register the Shares being offered for resale hereunder by the Selling Shareholders.</w:t>
      </w:r>
    </w:p>
    <w:p>
      <w:pPr>
        <w:pStyle w:val="TextBody"/>
        <w:bidi w:val="0"/>
        <w:spacing w:before="0" w:after="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9" w:name="id_008"/>
      <w:bookmarkEnd w:id="9"/>
      <w:r>
        <w:rPr>
          <w:rFonts w:ascii="Times New Roman;Times;Serif" w:hAnsi="Times New Roman;Times;Serif"/>
          <w:b/>
          <w:i w:val="false"/>
          <w:caps/>
          <w:sz w:val="20"/>
        </w:rPr>
        <w:t>DESCRIPTION OF ORDINARY SHARES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describes the general terms of our ordinary shares. The following description is a summary only and is qualified by reference to the relevant provisions of Israeli law and our Amended and Restated Articles of Association, a copy of which is incorporated by reference in this prospectus.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Israeli company incorporated with limited liability, and our affairs are governed by the provisions of our Amended and Restated Articles of Association (the “Articles”), as amended and restated from time to time, and by the provisions of applicable Israeli law, including the Companies Law of 1999 (the “Companies Law”). Our number with the Israeli Registrar of Companies is 514330604. The purpose of our company appears in Article 3 of our Articles, which is to engage in any lawful activity. In addition, our Articles authorize us to donate reasonable amounts to any charitable cause. Our registered office is at Kiryat Hadassah, Minrav Building — Fifth Floor, Jerusalem 9112002,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350,000,000 ordinary shares, par value NIS 0.0000769 per share. All of our issued and outstanding ordinary shares have been validly issued, fully paid and are non-assessable. The ordinary shares are listed on Nasdaq under the symbol “ENTX.”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that we were to go into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earnings generated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the court, if applicable and as required by the Companies Law, the board determines that there is no reasonable concern that payment of the dividend will prevent us from satisfying our existing and foreseeable obligations as they become due, and does not require shareholder approval. Payment of dividends and proceeds from the sale of the shares or interest or other payments to non-residents of Israel, may be subject to Israeli withholding taxes. 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Companies Law, and pursuant to our Articles, a quorum is required to conduct business at a shareholders’ meeting.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Meetings and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our board of directors, or any other person appointed for this purpose by the board of directors, shall preside at each shareholders’ meeting. If he is absent, his deputy or another person elected by the present shareholders will preside.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simple majority is sufficient to approve most shareholders’ resolutions, including any amendment to our Articles, unless otherwise required by law or by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pStyle w:val="TextBody"/>
        <w:bidi w:val="0"/>
        <w:spacing w:before="0" w:after="0"/>
        <w:ind w:left="0" w:right="0" w:firstLine="72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1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two directors of the company or one quarter of the board of directors;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or more shareholders holding, in the aggregate: (i) five percent of the outstanding shares of the company and one percent of the voting power in the company; or (ii) five percent of the voting power in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and pursuant to our Articles, one or more shareholders holding at least 1% of the voting rights at a general meeting of shareholders may request that the board of directors include a matter in the agenda of a general meeting of shareholders to be convened in the future, by submitting such proposal within seven days of publication of the Company’s notice with respect to such meeting of shareholders and provided that certain resolutions are brought before the shareholders in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Shareholders’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The rights attached to a class of shares may be altered by the approval of the shareholders of such class holding a majority of the voting rights of such class. The provisions in our Articles pertaining to general meetings also apply to any special meeting of a class of shareholders.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no preemptive rights are attached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Non-Residents of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or voting of our ordinary shares by non-residents of Israel is not restricted in any way by our Articles or the laws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preferred shares authorized under the terms of our Articles. No preferred shares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Equiniti Trust Company, LLC.</w:t>
      </w:r>
    </w:p>
    <w:p>
      <w:pPr>
        <w:pStyle w:val="TextBody"/>
        <w:bidi w:val="0"/>
        <w:spacing w:before="0" w:after="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0"/>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and any of such Selling Shareholder’s pledgees, assignees and successors-in-interest may, from time to time, sell any or all of the Shares on Nasdaq or any other stock exchange, market or trading facility on which the Shares are traded or in private transactions. These sales may be at fixed or negotiated prices. A Selling Shareholder may use any one or more of the following methods when selling Shares:</w:t>
      </w:r>
    </w:p>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1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distributions to members, partners, stockholders or other equity holders of such Selling Shareholder;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both"/>
              <w:rPr/>
            </w:pPr>
            <w:r>
              <w:rPr/>
              <w:t> </w:t>
            </w:r>
          </w:p>
        </w:tc>
      </w:tr>
    </w:tbl>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both"/>
              <w:rPr/>
            </w:pPr>
            <w:r>
              <w:rPr/>
              <w:t> </w:t>
            </w:r>
          </w:p>
        </w:tc>
      </w:tr>
    </w:tbl>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both"/>
              <w:rPr/>
            </w:pPr>
            <w:r>
              <w:rPr/>
              <w:t> </w:t>
            </w:r>
          </w:p>
        </w:tc>
      </w:tr>
    </w:tbl>
    <w:tbl>
      <w:tblPr>
        <w:tblW w:w="2950" w:type="dxa"/>
        <w:jc w:val="left"/>
        <w:tblInd w:w="0" w:type="dxa"/>
        <w:tblLayout w:type="fixed"/>
        <w:tblCellMar>
          <w:top w:w="0" w:type="dxa"/>
          <w:left w:w="0" w:type="dxa"/>
          <w:bottom w:w="0" w:type="dxa"/>
          <w:right w:w="0" w:type="dxa"/>
        </w:tblCellMar>
      </w:tblPr>
      <w:tblGrid>
        <w:gridCol w:w="75"/>
        <w:gridCol w:w="11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bl>
    <w:tbl>
      <w:tblPr>
        <w:tblW w:w="3445" w:type="dxa"/>
        <w:jc w:val="left"/>
        <w:tblInd w:w="0" w:type="dxa"/>
        <w:tblLayout w:type="fixed"/>
        <w:tblCellMar>
          <w:top w:w="0" w:type="dxa"/>
          <w:left w:w="0" w:type="dxa"/>
          <w:bottom w:w="0" w:type="dxa"/>
          <w:right w:w="0" w:type="dxa"/>
        </w:tblCellMar>
      </w:tblPr>
      <w:tblGrid>
        <w:gridCol w:w="75"/>
        <w:gridCol w:w="11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and settlement of short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through broker-dealers that agree with such Selling Shareholder to sell a specified number of Shares at a stipulated price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the Selling Shareholders to sell a specified number of the Shares at a stipulated price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3940" w:type="dxa"/>
        <w:jc w:val="left"/>
        <w:tblInd w:w="0" w:type="dxa"/>
        <w:tblLayout w:type="fixed"/>
        <w:tblCellMar>
          <w:top w:w="0" w:type="dxa"/>
          <w:left w:w="0" w:type="dxa"/>
          <w:bottom w:w="0" w:type="dxa"/>
          <w:right w:w="0" w:type="dxa"/>
        </w:tblCellMar>
      </w:tblPr>
      <w:tblGrid>
        <w:gridCol w:w="75"/>
        <w:gridCol w:w="11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pPr>
            <w:r>
              <w:rPr/>
              <w:t> </w:t>
            </w:r>
          </w:p>
        </w:tc>
      </w:tr>
    </w:tbl>
    <w:tbl>
      <w:tblPr>
        <w:tblW w:w="4705" w:type="dxa"/>
        <w:jc w:val="left"/>
        <w:tblInd w:w="0" w:type="dxa"/>
        <w:tblLayout w:type="fixed"/>
        <w:tblCellMar>
          <w:top w:w="0" w:type="dxa"/>
          <w:left w:w="0" w:type="dxa"/>
          <w:bottom w:w="0" w:type="dxa"/>
          <w:right w:w="0" w:type="dxa"/>
        </w:tblCellMar>
      </w:tblPr>
      <w:tblGrid>
        <w:gridCol w:w="75"/>
        <w:gridCol w:w="11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Shares under Rule 144 or any other exemption from registration under the Securities Act, if available, rather than under this prospectus. The Selling Shareholders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Shareholder that is an entity may elect to make an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Shareholders also may transfer the Shares in other circumstances, in which case the transferees, pledgees or other successors-in-interest will be the selling beneficial owners for purposes of this prospectus. Upon being notified by the Selling Shareholders that a donee, pledgee, transferee, other successor-in-interest intends to sell Shares, we will, to the extent required, promptly file a supplement to this prospectus to name specifically such person as a Selling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or interests therein, the Selling Shareholders may enter into hedging transactions with broker-dealers or other financial institutions, which may in turn engage in short sales of the Shares in the course of hedging the positions they assume. The Selling Shareholders may also sell ordinary shares short and deliver the Shares to close out their short positions, or loan or pledge the Shares to broker-dealers that in turn may sell such Shares. The Selling Shareholders may also enter into option or other transactions with broker-dealers or other financial institutions or create one or more derivative securities which require the delivery to such broker-dealer or other financial institution of the Shares offered by this prospectus, which Shares such broker-dealer or other financial institution may resell pursuant to this prospectus (as supplemented or amended to reflect such transaction).</w:t>
      </w:r>
    </w:p>
    <w:p>
      <w:pPr>
        <w:pStyle w:val="TextBody"/>
        <w:bidi w:val="0"/>
        <w:spacing w:before="0" w:after="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broker-dealers or agents that are involved in selling Shares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Shares.  We have agreed to indemnify the Selling Shareholders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the date on which (a) all Shares shall have been disposed by under an effective registration statement, (b) all Shares have been previously sold in accordance with Rule 144, or (c) the Shares become eligible for resale without volume or manner-of-sale restrictions and without current public information pursuant to Rule 144 as set forth in a written opinion letter to such effect, addressed, delivered and acceptable to our transfer agent and the affected Selling Shareholders (assuming that such securities and any securities issuable upon exercise, conversion or exchange of which, or as a dividend upon which, such securities were issued or are issuable, were at no time held by any affiliate of ours), as reasonably determined by us, upon the advice of our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may not, subject to certain exceptions,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1"/>
      <w:bookmarkEnd w:id="11"/>
      <w:r>
        <w:rPr>
          <w:rFonts w:ascii="Times New Roman;Times;Serif" w:hAnsi="Times New Roman;Times;Serif"/>
          <w:b/>
          <w:i w:val="false"/>
          <w:caps/>
          <w:sz w:val="20"/>
        </w:rPr>
        <w:t>SELLING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Shareholders are those that we issued to the Selling Shareholders in connection with the Private Placement together with those issuable to the Selling Shareholders upon exercise of the Pre-Funded Warrants. For additional information regarding the issuance of the foregoing Shares and the Pre-Funded Warrants, see “Prospectus Summary—Private Placement and Governance Matters” located elsewhere in this prospectus. We are registering the resale of the Shares in order to permit the Selling Shareholders to offer the Shares for resale from time to time. Except (i) for the ownership of the Shares offered hereby and the Pre-Funded Warrants, (ii) as otherwise disclosed in the footnotes to the table immediately below, and (iii) for BVF’s Board designation rights described in “Prospectus Summary — Private Placement and Governance Matters”, none of the Selling Shareholders has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names of the Selling Shareholders and other information regarding their respective beneficial ownership of ordinary shares. The second column lists the number of ordinary shares beneficially owned by each Selling Shareholder. The beneficial ownership of our ordinary shares is based on 173,834,271 ordinary shares outstanding as of 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such person possesses sole or shared voting or investment power over that security, including derivative securities, such as options and warrants, that are currently exercisable or exercisable within 60 days. In computing the number of shares beneficially owned by a particular shareholder and the percentage ownership of that shareholder, all shares subject to options and Pre-Funded Warrants held by such shareholder were deemed outstanding if such securities were currently exercisable, on, or become or will become exercisable within 60 days following August 17, 2026. These shares were not deemed outstanding, however, for the purpose of computing the percentage ownership of any other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being offered by each Selling Shareholder under this prospectus, regardless of any beneficial ownership limitation contained in a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Registration Rights Agreement, this prospectus covers the resale of the sum of (i) the number of ordinary shares issued to those Selling Shareholders who acquired such shares in the Private Placement and (ii) the maximum number of ordinary shares issuable upon exercise of the Pre-Funded Warrants, as applicable, determined as if the outstanding Pre-Funded Warrants were exercised in full as of the trading day immediately preceding the date the registration statement, of which this prospectus forms a part, was initially filed with the SEC, without regard to any limitations on the exercise of the Pre-Funded Warrants, as described below. The fourth column (presenting the number of ordinary shares owned after this offering)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Pre-Funded Warrants, the Selling Shareholders may not exercise such Pre-Funded Warrants to the extent such exercise would result in such Selling Shareholder, together with its affiliates and attribution parties, to beneficially own a number of ordinary shares which would exceed 9.99% (subject to increases not in excess of 19.99% at the option of such Selling Shareholder) of our then outstanding ordinary shares following such exercise, excluding for purposes of such determination ordinary shares issuable upon exercise of such Warrants which have not been exercised. The number of Shares in the third column (presenting the maximum number of ordinary shares to be sold pursuant to this prospectus) does not reflect this limitation, but the number of Shares in the second column reflects this limitation. The Selling Shareholders may sell all, some or none of their respective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fees and the expenses incurred in effecting the registration of the Shares covered by this prospectus, including, without limitation, all registration and filing fees, stock exchange fees, printing expenses, all fees and expenses of complying with applicable securities laws, fees and expenses of our counsel and accountants. Each Selling Shareholder will pay any underwriting or broker discounts and any commissions incurred in selling its Shares. </w:t>
      </w:r>
    </w:p>
    <w:p>
      <w:pPr>
        <w:pStyle w:val="TextBody"/>
        <w:bidi w:val="0"/>
        <w:spacing w:before="0" w:after="0"/>
        <w:jc w:val="center"/>
        <w:rPr>
          <w:bdr w:val="single" w:sz="8" w:space="1" w:color="000000"/>
        </w:rPr>
      </w:pPr>
      <w:r>
        <w:rPr>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25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0"/>
        <w:gridCol w:w="60"/>
        <w:gridCol w:w="100"/>
        <w:gridCol w:w="1868"/>
        <w:gridCol w:w="60"/>
        <w:gridCol w:w="60"/>
        <w:gridCol w:w="105"/>
        <w:gridCol w:w="1940"/>
        <w:gridCol w:w="60"/>
        <w:gridCol w:w="60"/>
        <w:gridCol w:w="88"/>
        <w:gridCol w:w="1447"/>
        <w:gridCol w:w="60"/>
        <w:gridCol w:w="60"/>
        <w:gridCol w:w="330"/>
        <w:gridCol w:w="1772"/>
        <w:gridCol w:w="235"/>
      </w:tblGrid>
      <w:tr>
        <w:trPr/>
        <w:tc>
          <w:tcPr>
            <w:tcW w:w="1900" w:type="dxa"/>
            <w:tcBorders>
              <w:bottom w:val="single" w:sz="8"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968" w:type="dxa"/>
            <w:gridSpan w:val="2"/>
            <w:tcBorders>
              <w:bottom w:val="single" w:sz="8" w:space="0" w:color="000000"/>
            </w:tcBorders>
            <w:vAlign w:val="center"/>
          </w:tcPr>
          <w:p>
            <w:pPr>
              <w:pStyle w:val="TableContents"/>
              <w:bidi w:val="0"/>
              <w:spacing w:before="0" w:after="283"/>
              <w:jc w:val="center"/>
              <w:rPr>
                <w:b/>
              </w:rPr>
            </w:pPr>
            <w:r>
              <w:rPr>
                <w:b/>
              </w:rPr>
              <w:t>Ordinary Shares Beneficially Owned Prior to the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Ordinary Shares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Owned Following the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2" w:type="dxa"/>
            <w:gridSpan w:val="2"/>
            <w:tcBorders>
              <w:bottom w:val="single" w:sz="8" w:space="0" w:color="000000"/>
            </w:tcBorders>
            <w:vAlign w:val="center"/>
          </w:tcPr>
          <w:p>
            <w:pPr>
              <w:pStyle w:val="TableContents"/>
              <w:bidi w:val="0"/>
              <w:spacing w:before="0" w:after="283"/>
              <w:jc w:val="center"/>
              <w:rPr>
                <w:b/>
              </w:rPr>
            </w:pPr>
            <w:r>
              <w:rPr>
                <w:b/>
              </w:rPr>
              <w:t>Percentage of Ordinary Shares Ownership Following the Offering</w:t>
            </w:r>
            <w:r>
              <w:rPr>
                <w:b/>
                <w:position w:val="8"/>
                <w:sz w:val="19"/>
              </w:rPr>
              <w:t>(1)</w:t>
            </w:r>
          </w:p>
        </w:tc>
        <w:tc>
          <w:tcPr>
            <w:tcW w:w="235" w:type="dxa"/>
            <w:tcBorders/>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Biotechnology Value Fund, L.P. </w:t>
            </w:r>
            <w:r>
              <w:rPr>
                <w:rFonts w:ascii="Times New Roman;Times;Serif" w:hAnsi="Times New Roman;Times;Serif"/>
                <w:position w:val="7"/>
                <w:sz w:val="16"/>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9,183,118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14,005,183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5,001,263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2.6</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Biotechnology Value Fund II, L.P.</w:t>
            </w:r>
            <w:r>
              <w:rPr>
                <w:rFonts w:ascii="Times New Roman;Times;Serif" w:hAnsi="Times New Roman;Times;Serif"/>
                <w:position w:val="7"/>
                <w:sz w:val="16"/>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6,821,874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10,355,448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3,821,886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2.1</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Biotechnology Value Trading Fund OS LP</w:t>
            </w:r>
            <w:r>
              <w:rPr>
                <w:rFonts w:ascii="Times New Roman;Times;Serif" w:hAnsi="Times New Roman;Times;Serif"/>
                <w:position w:val="7"/>
                <w:sz w:val="16"/>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1,147,267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1,740,881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644,157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MSI BVF SPV, LLC</w:t>
            </w:r>
            <w:r>
              <w:rPr>
                <w:rFonts w:ascii="Times New Roman;Times;Serif" w:hAnsi="Times New Roman;Times;Serif"/>
                <w:position w:val="7"/>
                <w:sz w:val="16"/>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248,540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369,076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157,231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Seven Fleet Master Fund LP</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4,931,844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4,901,960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29,884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Seven Fleet Horizon Master Fund LP</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1,960,784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1,960,784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Longitude Venture Partners V, L.P.</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7,843,138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7,843,138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TCG CROSSOVER FUND III, LP</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Fund Holdings, L.P.</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4,330,882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4,330,882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Cayman Fund, L.P.</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Co-Invest, L.P.</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2,718,137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2,718,137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Co-Invest (Cycle 3), L.P.</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4,768,382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4,768,382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Spruce Street Capital Master Fund LP</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8,098,894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8,088,235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10,659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MAP 852 SP</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1,717,954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1,715,686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2,268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Commodore Capital Master LP</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7,352,941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7,352,941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Driehaus Life Sciences (QP) Fund, L.P.</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1,323,530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1,323,530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Driehaus Life Sciences Master Fund, L.P.</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3,578,430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3,578,430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 Capital Healthcare Fund, L.P.</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4,901,960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4,901,960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EG, LP.</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III, L.P.</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2,227,941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2,227,941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VHCP Co-Investment Holdings III, LLC.</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223,039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223,039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Logos Opportunities Fund V LP</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4,411,764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4,411,764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Catalio Nexus Fund IV, LP</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2,696,078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2,696,078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Catalio BH SPV, LLC</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Perceptive Life Sciences Master Fund, Ltd.</w:t>
            </w:r>
            <w:r>
              <w:rPr>
                <w:rFonts w:ascii="Times New Roman;Times;Serif" w:hAnsi="Times New Roman;Times;Serif"/>
                <w:position w:val="7"/>
                <w:sz w:val="16"/>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3,431,372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3,431,372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Adage Capital Partners LP</w:t>
            </w:r>
            <w:r>
              <w:rPr>
                <w:rFonts w:ascii="Times New Roman;Times;Serif" w:hAnsi="Times New Roman;Times;Serif"/>
                <w:position w:val="7"/>
                <w:sz w:val="16"/>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2,450,980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2,450,980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ADAR1 Partners, LP</w:t>
            </w:r>
            <w:r>
              <w:rPr>
                <w:rFonts w:ascii="Times New Roman;Times;Serif" w:hAnsi="Times New Roman;Times;Serif"/>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2,265,164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2,132,350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132,814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Spearhead Insurance Solutions IDF, LLC - Series ADAR1</w:t>
            </w:r>
            <w:r>
              <w:rPr>
                <w:rFonts w:ascii="Times New Roman;Times;Serif" w:hAnsi="Times New Roman;Times;Serif"/>
                <w:position w:val="7"/>
                <w:sz w:val="16"/>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335,816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318,630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17,186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Healthcare Spectrum (Master) Fund</w:t>
            </w:r>
            <w:r>
              <w:rPr>
                <w:rFonts w:ascii="Times New Roman;Times;Serif" w:hAnsi="Times New Roman;Times;Serif"/>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3,078,077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627,097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Deep Track Biotechnology Master Fund, Ltd.</w:t>
            </w:r>
            <w:r>
              <w:rPr>
                <w:rFonts w:ascii="Times New Roman;Times;Serif" w:hAnsi="Times New Roman;Times;Serif"/>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1,937,990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1,937,990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Deep Track Special Opportunities Fund, LP</w:t>
            </w:r>
            <w:r>
              <w:rPr>
                <w:rFonts w:ascii="Times New Roman;Times;Serif" w:hAnsi="Times New Roman;Times;Serif"/>
                <w:position w:val="7"/>
                <w:sz w:val="16"/>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512,990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512,990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Foresite Capital Fund VI LP</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Foresite Public &amp; Crossover Opportunities Fund I, L.P.</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1,225,490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1,225,490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Nantahala Capital Partners Limited Partnership</w:t>
            </w:r>
            <w:r>
              <w:rPr>
                <w:rFonts w:ascii="Times New Roman;Times;Serif" w:hAnsi="Times New Roman;Times;Serif"/>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784,202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784,202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NCP RFM LP</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271,343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271,343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Blackwell Partners LLC – Series A</w:t>
            </w:r>
            <w:r>
              <w:rPr>
                <w:rFonts w:ascii="Times New Roman;Times;Serif" w:hAnsi="Times New Roman;Times;Serif"/>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1,046,767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1,046,767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Eastmain 2023 Fund LP</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226,119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226,119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NEXTBio Master Fund LP</w:t>
            </w:r>
            <w:r>
              <w:rPr>
                <w:rFonts w:ascii="Times New Roman;Times;Serif" w:hAnsi="Times New Roman;Times;Serif"/>
                <w:position w:val="7"/>
                <w:sz w:val="16"/>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1,452,900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1,450,070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2,830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NEXTBio Evergreen LLC</w:t>
            </w:r>
            <w:r>
              <w:rPr>
                <w:rFonts w:ascii="Times New Roman;Times;Serif" w:hAnsi="Times New Roman;Times;Serif"/>
                <w:position w:val="7"/>
                <w:sz w:val="16"/>
                <w:sz w:val="20"/>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880,038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878,361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1,677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Squadron Master Fund LP</w:t>
            </w:r>
            <w:r>
              <w:rPr>
                <w:rFonts w:ascii="Times New Roman;Times;Serif" w:hAnsi="Times New Roman;Times;Serif"/>
                <w:position w:val="7"/>
                <w:sz w:val="16"/>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1,470,588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1,470,588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Monograph Capital Holdings, L.P.</w:t>
            </w:r>
            <w:r>
              <w:rPr>
                <w:rFonts w:ascii="Times New Roman;Times;Serif" w:hAnsi="Times New Roman;Times;Serif"/>
                <w:position w:val="7"/>
                <w:sz w:val="16"/>
                <w:sz w:val="20"/>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980,392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980,392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Woodline Master Fund LP</w:t>
            </w:r>
            <w:r>
              <w:rPr>
                <w:rFonts w:ascii="Times New Roman;Times;Serif" w:hAnsi="Times New Roman;Times;Serif"/>
                <w:position w:val="7"/>
                <w:sz w:val="16"/>
                <w:sz w:val="20"/>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980,392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980,392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Partners Master Fund LP</w:t>
            </w:r>
            <w:r>
              <w:rPr>
                <w:rFonts w:ascii="Times New Roman;Times;Serif" w:hAnsi="Times New Roman;Times;Serif"/>
                <w:position w:val="7"/>
                <w:sz w:val="16"/>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55,994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51,471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4,523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Strategic Fund LP</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108,787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100,490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8,297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Persistent Asset Global Select Fund SPC</w:t>
            </w:r>
            <w:r>
              <w:rPr>
                <w:rFonts w:ascii="Times New Roman;Times;Serif" w:hAnsi="Times New Roman;Times;Serif"/>
                <w:position w:val="7"/>
                <w:sz w:val="16"/>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76,959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71,078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5,881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Valence8 Diversified (US) LLC</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23,975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22,059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1,916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Affinity Healthcare Fund, LP</w:t>
            </w:r>
            <w:r>
              <w:rPr>
                <w:rFonts w:ascii="Times New Roman;Times;Serif" w:hAnsi="Times New Roman;Times;Serif"/>
                <w:position w:val="7"/>
                <w:sz w:val="16"/>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689,314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444,216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Sio Partners LP</w:t>
            </w:r>
            <w:r>
              <w:rPr>
                <w:rFonts w:ascii="Times New Roman;Times;Serif" w:hAnsi="Times New Roman;Times;Serif"/>
                <w:position w:val="7"/>
                <w:sz w:val="16"/>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142,156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142,156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Sio Partners Offshore LTD</w:t>
            </w:r>
            <w:r>
              <w:rPr>
                <w:rFonts w:ascii="Times New Roman;Times;Serif" w:hAnsi="Times New Roman;Times;Serif"/>
                <w:position w:val="7"/>
                <w:sz w:val="16"/>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102,942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102,942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Rubric Capital Master Fund LP</w:t>
            </w:r>
            <w:r>
              <w:rPr>
                <w:rFonts w:ascii="Times New Roman;Times;Serif" w:hAnsi="Times New Roman;Times;Serif"/>
                <w:position w:val="7"/>
                <w:sz w:val="16"/>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4,037,293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4,037,293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AMAP Fund</w:t>
            </w:r>
            <w:r>
              <w:rPr>
                <w:rFonts w:ascii="Times New Roman;Times;Serif" w:hAnsi="Times New Roman;Times;Serif"/>
                <w:position w:val="7"/>
                <w:sz w:val="16"/>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43,324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43,324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BEMAP Master Fund Ltd</w:t>
            </w:r>
            <w:r>
              <w:rPr>
                <w:rFonts w:ascii="Times New Roman;Times;Serif" w:hAnsi="Times New Roman;Times;Serif"/>
                <w:position w:val="7"/>
                <w:sz w:val="16"/>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163,985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163,985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Blackstone CSP-MST FMAP Fund</w:t>
            </w:r>
            <w:r>
              <w:rPr>
                <w:rFonts w:ascii="Times New Roman;Times;Serif" w:hAnsi="Times New Roman;Times;Serif"/>
                <w:position w:val="7"/>
                <w:sz w:val="16"/>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167,162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167,162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u w:val="single"/>
        </w:rPr>
        <w:t xml:space="preserve">                                           </w:t>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Represents beneficial ownership of less than one percent (1%) of the outstanding Shares</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245"/>
        <w:gridCol w:w="60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173,834,271 ordinary shares outstanding as of August 17, 2026.</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7,739,394 ordinary shares and (ii) 6,265,789 ordinary shares underlying Pre-Funded Warrants purchased by Biotechnology Value Fund, L.P. (“BVF I”) in the Private Placement.</w:t>
            </w:r>
          </w:p>
        </w:tc>
      </w:tr>
    </w:tbl>
    <w:p>
      <w:pPr>
        <w:pStyle w:val="TextBody"/>
        <w:bidi w:val="0"/>
        <w:spacing w:before="0" w:after="0"/>
        <w:jc w:val="center"/>
        <w:rPr>
          <w:bdr w:val="single" w:sz="8" w:space="1" w:color="000000"/>
        </w:rPr>
      </w:pPr>
      <w:r>
        <w:rPr>
          <w:bdr w:val="single" w:sz="8" w:space="1" w:color="000000"/>
        </w:rPr>
        <w:t>16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5,722,517 ordinary shares and (ii) 4,632,931 ordinary shares underlying Pre-Funded Warrants purchased by Biotechnology Value Fund II, L.P. (“BVF II”) in the Private Placement.</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962,027 ordinary shares and (ii) 778,854 ordinary shares underlying Pre-Funded Warrants purchased by Biotechnology Value Trading Fund OS LP (“BVF Trading”) in the Private Placement.</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2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203,955 ordinary shares and (ii) 165,121 ordinary shares underlying Pre-Funded Warrants purchased by MSI BVF SPV, LLC (“MSI” and together with BVF I, BVF II and BVF Trading, the “BVF Entities”) in the Private Placement.</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Pre-Funded Warrants contain an issuance limitation that prohibits the holder from exercising the Pre-Funded Warrants to the extent that after giving effect to such issuance after the exercise, the holder (together with the holder’s affiliates and any other persons acting as a group together with the holder or any of the holder’s affiliates) would beneficially own in excess of 9.99% of our ordinary shares outstanding immediately after giving effect to the issuance of the shares issuable upon exercise of the Pre-Funded Warrants.</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BVF I GP LLC, as general partner of BVF I, may be deemed to beneficially own the shares held by BVF I. BVF II GP LLC, as general partner of BVF II, may be deemed to beneficially own the shares held by BVF II. BVF GP Holdings LLC, as the sole member of BVF I GP LLC and BVF II GP LLC, may be deemed to beneficially own the shares beneficially owned by BVF I and BVF II. BVF Partners OS Ltd, as general partner of BVF Trading, may be deemed to beneficially own the shares beneficially owned by BVF Trading. BVF Partners L.P. (“BVF Partners”), as the sole member of BVF Partners OS Ltd. and the investment adviser of each of BVF I, BVF II, BVF Trading and MSI, may be deemed to beneficially own the shares beneficially owned by BVF I,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The principal business address of the BVF Entities is 44 Montgomery Street, 40th Floor, San Francisco, CA 94104.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Liu has voting and dispositive power over the securities held by Seven Fleet Master Fund LP and Seven Fleet Horizon Master Fund LP. The registered address of Seven Fleet Master Fund LP and Seven Fleet Horizon Master Fund LP is 960 Clemente Way Mountain View, CA 94043.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Longitude Capital Partners V, LLC (“LCPV”) is the general partner of Longitude Venture Partners V, L.P. (“LVPV”) and may be deemed to have voting, investment and dispositive power with respect to these securities. Patrick G. Enright and Juliet Tammenoms Bakker are the managing members of LCPV, and may each be deemed to share voting, investment and dispositive power with respect to these securities. Each of LCPV, Mr. Enright and Ms. Tammenoms Bakker disclaims beneficial ownership of such securities except to the extent of their respective pecuniary interests therein. The address for these individuals and entities is 2740 Sand Hill Road, 2nd Floor, Menlo Park, CA 94025.</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held of record by TCG Crossover Fund III, L.P. 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business address for the foregoing is 245 Lytton Ave., Suite 350, Palo Alto, CA 94301.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 Opportunity, LLC is the general partner of Vivo Opportunity Fund Holdings, L.P., Vivo Opportunity Co-Invest, L.P. and Vivo Opportunity Co-Invest (Cycle 3), L.P. Kevin Dai, Gaurav Aggarwal, Frank Kung and Shan Fu are the managing members of Vivo Opportunity, LLC and may be deemed to share voting, investment and dispositive power over the shares held by Vivo Opportunity Fund Holdings, L.P., Vivo Opportunity Co-Invest, L.P. and Vivo Opportunity Co-Invest (Cycle 3), L.P. Vivo Opportunity Cayman, LLC is the General Partner of Vivo Opportunity Cayman Fund, L.P. and Kevin Dai, Gaurav Aggarwal, Frank Kung and Shan Fu are managing members of Vivo Opportunity Cayman, LLC. They may be deemed to share voting, investment and dispositive power over the shares held by Vivo Opportunity Cayman Fund, L.P. The address of the entities referenced in this footnote is 192 Lytton Avenue, Palo Alto, CA 94301.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9,803,921 shares of our common stock issued pursuant to the Purchase Agreement. 1,715,686 of such shares are held by Spruce Street Capital LP (“Spruce Street Advisor”), as discretionary manager on behalf of a separate account client solely with respect to the assets for which Spruce Street Advisor acts as investment manager, and 8,088,235 of such shares are directly held by Spruce Street Capital Master Fund LP. The address of each of Spruce Street Advisor and Spruce Street Capital Master Fund LP is 777 Third Avenue, Suite 1704, New York, NY 10017.</w:t>
            </w:r>
          </w:p>
        </w:tc>
      </w:tr>
    </w:tbl>
    <w:p>
      <w:pPr>
        <w:pStyle w:val="TextBody"/>
        <w:bidi w:val="0"/>
        <w:spacing w:before="0" w:after="0"/>
        <w:jc w:val="center"/>
        <w:rPr>
          <w:bdr w:val="single" w:sz="8" w:space="1" w:color="000000"/>
        </w:rPr>
      </w:pPr>
      <w:r>
        <w:rPr>
          <w:bdr w:val="single" w:sz="8" w:space="1" w:color="000000"/>
        </w:rPr>
        <w:t>17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LP is the investment manager to Commodore Capital Master LP and may be deemed to beneficially own the securities held by Commodore Capital Master LP. Michael Kramarz and Robert Egen Atkinson are the managing partners of Commodore Capital LP and exercise investment discretion with respect to these securities. Commodore Capital LP and Commodore Capital Master LP have shared voting and dispositive power with respect to these securities. The address of Commodore Capital LP and Commodore Capital Master LP is 444 Madison Avenue, 35th Floor, New York, NY 10022.</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Caldwell and Alex Munns are the portfolio managers of and have voting and dispositive power over the shares held by Driehaus Life Sciences (QP) Fund, L.P. and Driehaus Life Sciences Master Fund, L.P. (the “Driehaus Funds”). Driehaus Capital Management LLC is the investment adviser of the Driehaus Funds and may be deemed to beneficially own the shares held by the Driehaus Funds. Driehaus Capital Management (USVI) LLC is the general partner of each of the Driehaus Funds. Each of Driehaus Capital Management LLC, Driehaus Capital Management (USVI) LLC and Messrs. Caldwell and Munns disclaim beneficial ownership over the securities held by the Driehaus Funds, except to the extent of its or his respective pecuniary interest therein. The address of each of the individuals and entities referenced in this footnote is c/o Driehaus Capital Management LLC, 25 East Erie Street, Chicago, IL 60611.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Management, L.P. (“RA Capital”), as the investment manager of RA Capital Healthcare Fund, L.P. (“RA Fund”), may be deemed to beneficially own the securities beneficially owned by the RA Fund. RA Capital Management GP, LLC (“RA Capital GP”), as the general partner of RA Capital, may be deemed to beneficially own the securities beneficially owned by the RA Fund. Peter Kolchinsky and Rajeev Shah, as the managing members of RA Capital GP, may be deemed to beneficially own the securities beneficially owned by the RA Fund. Each of RA Capital, RA Capital GP, Mr. Kolchinsky and Mr. Shah disclaims beneficial ownership of such securities except to the extent of any pecuniary interest therein. The principal business address of RA Capital and RA Capital GP is 200 Berkeley Street, 18th Floor, Boston, Massachusetts 02116.</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VHCP Management III, LLC (“VHCPM”) is the sole general partner of Venrock Healthcare Capital Partners III, L.P. and the sole manager of VHCP Co-Investment Holdings III, LLC. VHCP Management EG, LLC (“VHCPM EG”) is the sole general partner of Venrock Healthcare Capital Partners EG, L.P. Dr. Bong Koh and Nimish Shah are the voting members of VHCPM and VHCPM EG. The address of each of these persons and entities is 7 Bryant Park, 23rd Floor, New York, NY 10018.</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Logos Opportunities V GP LLC (“GP V”) is the general partner of Logos Opportunities Fund V LP and may be deemed to have beneficial ownership of these shares. Arsani William and Graham Walmsley are the members of GP V. Dr. William and Dr. Walmsley disclaim beneficial ownership of these securities except to the extent of each’s pecuniary interest therein. The address for Logos entities is One Letterman Drive, Building C, Suite C3-350, San Francisco, California 94129.</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Catalio Nexus GP IV, LLC is the general partner of Catalio Nexus Fund IV, LP (“Catalio Nexus”). Catalio Capital Management, LP, a registered investment advisor, serves as the manager for Catalio Nexus and the separately managed account, Catalio BH SPV, LLC. George C. Petrocheilos and R. Jacob Vogelstein have voting or investment control over the shares of Catalio Nexus and Catalio BH SPV, LLC.</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Perceptive Advisors LLC (“Perceptive Advisors”) is the investment advisor to Perceptive Life Sciences Master Fund, Ltd. (the “Perceptive Master Fund”) and may be deemed to have beneficial ownership of the shares beneficially owned thereby. Joseph Edelman is the controlling person of Perceptive Advisors and accordingly may be deemed to have beneficial ownership of the shares beneficially owned by the Perceptive Master Fund and Perceptive Advisors Perceptive Advisors, the Perceptive Master Fund and Mr. Edelman disclaim beneficial ownership of all such shares, except to the extent of any pecuniary interest therein. The principal business address of Perceptive Advisors, the Perceptive Master Fund and Mr. Edelman is 51 Astor Place, 10th Floor, New York, NY 10003.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2,243,449 ordinary shares held directly by ADAR1 Partners, LP (“ADAR1”), 335,816 shares held directly by Spearhead Insurance Solutions IDF, LLC – Series ADAR1 (“Spearhead”), and 21,715 ordinary shares held directly by separately managed accounts (“managed accounts”). ADAR1 Capital Management, LLC (“ADAR1 LLC”), the investment advisor of ADAR1 and the sub-advisor of Spearhead and the managed accounts, has voting and investment control of the ordinary shares held by ADAR1, Spearhead, and the managed accounts.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w:t>
            </w:r>
          </w:p>
        </w:tc>
      </w:tr>
    </w:tbl>
    <w:p>
      <w:pPr>
        <w:pStyle w:val="TextBody"/>
        <w:bidi w:val="0"/>
        <w:spacing w:before="0" w:after="0"/>
        <w:jc w:val="center"/>
        <w:rPr>
          <w:bdr w:val="single" w:sz="8" w:space="1" w:color="000000"/>
        </w:rPr>
      </w:pPr>
      <w:r>
        <w:rPr>
          <w:bdr w:val="single" w:sz="8" w:space="1" w:color="000000"/>
        </w:rPr>
        <w:t>18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Management Investment Advisers, LLC serves as investment manager to Seligman Healthcare Spectrum (Master) Fund (“SHS Master”). Kosta Kleyman, portfolio manager of SHS Master, may be deemed to exercise ultimate investment power of the securities held by SHS Master.</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is the managing member of Deep Track Capital GP, LLC (the “GP”). The GP is the general partner of Deep Track Capital, LP (the “IM”). The IM is the investment manager of each of Deep Track Biotechnology Master Fund, Ltd. and Deep Track Special Opportunities Fund, LP. The principal business address is 200 Greenwich Ave, 3rd Fl, Greenwich, CT 06830.</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1,225,490 ordinary shares are held of record by Foresite Capital Fund VI LP (“Fund VI”), and 1,225,490 ordinary shares are held of record by Foresite Public &amp; Crossover Opportunity Fund I, L.P. (“P&amp;CO Fund I”). The general partner of Fund VI is Foresite Capital Management VI LLC (“FCM VI”), and the general partner of P&amp;CO Fund I is Foresite Public &amp; Crossover Opportunity Management I, LLC (“P&amp;COM I”). Dr. James B. Tananbaum is the sole managing member of each of FCM VI and P&amp;COM I and may therefore be deemed to have sole voting and investment power over the shares held by Fund VI and P&amp;CO Fund I. Dr. Tananbaum disclaims beneficial ownership of these shares except to the extent of his pecuniary interest therein. The principal address of the aforementioned entities is 9200 Sunset Boulevard, PH1, West Hollywood, CA 90069.</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Nantahala Capital Management, LLC is a Registered Investment Adviser and has been delegated the legal power to vote and/or direct the disposition of such securities on behalf of the Selling Shareholder as a General Partner, Investment Manager, or Sub-Advisor and would be considered the beneficial owner of such securities. The above shall not be deemed to be an admission by the record owners or the Selling Shareholder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Shareholder. The address for the above referenced entity is 130 Main St., 2nd Floor, New Canaan, CT 06840.</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NEXTBio Capital Management LP (“NEXTBio”) is the management company and investment advisor to the NEXTBio Master Fund LP and NEXTBio Evergreen LLC (“NEXTBio Funds”) and has sole voting and investment power with respect to these securities. NEXTBio Capital Management (GP) LLC (“NEXTBio GP”) is the sole general partner of NEXTBio. Hongbo Lu and Richard Klemm are managing members of NEXTBio GP, which may be deemed to be beneficial owners of the securities directly held by the NEXTBio Funds. Each such person or entity, as the case may be, disclaims beneficial ownership of all securities held by the NEXTBio Funds, except to the extent of their respective pecuniary interest therein. The address of the individuals and entities referenced in this footnote is 500 W 2nd Street, Suite 1900, Austin, TX 78701.</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held by Squadron Master Fund LP. Squadron Capital Management LLC serves as investment adviser to Squadron Master Fund LP and may be deemed to be the beneficial owner of all securities held by the fund. Matthew Sesterhenn and William F. Blank III, as Partners of Squadron Capital Management LLC, with the power to exercise investment and voting discretion, may be deemed to be the beneficial owner of all securities held by the funds. Squadron Capital Management LLC and Messrs. Sesterhenn and Blank disclaim beneficial ownership over any of the securities. The address of Squadron Capital Management LLC is 1211 W. 22nd Street, Suite 1008, Oak Brook, IL 60523.</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Monograph Capital Holdings Advisors, LLC (“Monograph Holdings Advisors”) is the general partner of Monograph Holdings, L.P. (“Monograph Holdings”). Voting and investment decisions with respect to securities held directly or indirectly by Monograph Holdings Advisors are made by a five-member committee and require the affirmative vote of either (i) four members or (ii) three members, one of whom must be Dr. Cohen. Each member may be deemed to beneficially own the securities beneficially owned by Monograph Holdings. However, consistent with the so-called “rule of three,” each member of the committee disclaims beneficial ownership of the securities held by Monograph Holdings. No member individually has voting or investment power over such securities, and voting and investment decisions may be made without the approval of any particular member.</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Woodline Partners LP serves as the investment manager of Woodline Master Fund LP and may be deemed to be the beneficial owner of the ordinary shares. Woodline Partners LP disclaims any beneficial ownership of these shares. The address of the Fund is 4 Embarcadero Center, Suite 3450, San Francisco, CA 94111.</w:t>
            </w:r>
          </w:p>
        </w:tc>
      </w:tr>
    </w:tbl>
    <w:p>
      <w:pPr>
        <w:pStyle w:val="TextBody"/>
        <w:bidi w:val="0"/>
        <w:spacing w:before="0" w:after="0"/>
        <w:jc w:val="center"/>
        <w:rPr>
          <w:bdr w:val="single" w:sz="8" w:space="1" w:color="000000"/>
        </w:rPr>
      </w:pPr>
      <w:r>
        <w:rPr>
          <w:bdr w:val="single" w:sz="8" w:space="1" w:color="000000"/>
        </w:rPr>
        <w:t>19</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Diadema Partners LP (“Diadema Partners”) is the investment manager for the Selling Shareholder; and Diadema Partners General Partner LLC (“Diadema Partners GP”) is the sole general partner of Diadema Partners. Timothy Bassett is the sole managing member of Diadema Partners GP. Each of Diadema Partners, Diadema Partners GP, and Mr. Bassett disclaims beneficial ownership of the securities held directly by the Selling Shareholder except to the extent of their pecuniary interest therein. The address of the Selling Shareholder is 2140 Headquarters Plaza, East Tower 2nd Floor, Morristown, NJ 07960.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8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Affinity Asset Advisors, LLC (the “Advisor”) is the investment manager of Affinity Healthcare Fund, LP (the “Fund”) and exercises investment discretion with regard to the shares of Common Stock owned by the Fund. Michael Cho is the managing member of the Advisor. The Fund and the Advisor have the shared power to vote or to direct the vote and to dispose or direct the disposition of such shares of Common Stock of the Issuer owned by the Fund. The Advisor may be deemed to be the beneficial owner of such shares of Common Stock of the Issuer owned by the Fund by virtue of its position as investment manager of the Fund. The principal business address of each of the Fund and the Advisor is 450 Park Avenue, Suite 1403, New York, NY 10022.</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 Management is the investment manager of Sio Partners LP (“Sio Partners”) and Sio Partners Offshore Ltd. (“Offshore”), and Michael Castor is the sole owner and Managing Member of Sio Management. Sio Management and Mr. Castor may be deemed to beneficially own the securities held by Partners and Offshore. Sio GP LLC is the General Partner of Sio Partners. Each of Sio Capital Management LLC, Sio GP LLC, and Michael Castor disclaims beneficial ownership over the securities held of record by the Selling Shareholders, except to the extent of its or his pecuniary interest therein. The business address of each of the foregoing entities and persons is c/o Sio Capital Management, LLC, 600 Third Avenue, 2nd Floor, New York, NY 10016.</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Rosen is the Managing Member of Rubric Capital Management GP LLC, the general partner of Rubric Capital Management LP, and has voting and investment control over the securities held by the Selling Shareholder. The principal business address of the Selling Shareholder is c/o Rubric Capital Management LP, 155 East 44th St, Suite 1630, NY, NY 10017.</w:t>
            </w:r>
          </w:p>
        </w:tc>
      </w:tr>
    </w:tbl>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2"/>
      <w:bookmarkEnd w:id="12"/>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the documents containing such information. The information we incorporate by reference is an important part of this prospectus, and later information that we file with the SEC will automatically update and supersede this information. We incorporate by reference the documents listed below and all future documents (excluding information furnished pursuant to Items 2.02, 7.01 and 9.01 of Form 8-K or any other information that is identified as “furnished” rather than filed) we file with the SEC pursuant to Sections 13(a), 13(c), 14 or 15(d) of the Exchange Act subsequent to the date of this prospectus and prior to the termination of this offering:</w:t>
      </w:r>
    </w:p>
    <w:p>
      <w:pPr>
        <w:pStyle w:val="TextBody"/>
        <w:bidi w:val="0"/>
        <w:spacing w:before="0" w:after="0"/>
        <w:ind w:left="0" w:right="0" w:firstLine="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1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0" w:type="dxa"/>
            <w:tcBorders/>
            <w:vAlign w:val="center"/>
          </w:tcPr>
          <w:p>
            <w:pPr>
              <w:pStyle w:val="TableContents"/>
              <w:bidi w:val="0"/>
              <w:spacing w:before="0" w:after="283"/>
              <w:jc w:val="both"/>
              <w:rPr/>
            </w:pPr>
            <w:r>
              <w:rPr>
                <w:rFonts w:ascii="Times New Roman;Times;Serif" w:hAnsi="Times New Roman;Times;Serif"/>
                <w:sz w:val="20"/>
              </w:rPr>
              <w:t>Our Annual Report on </w:t>
            </w:r>
            <w:hyperlink r:id="rId3">
              <w:r>
                <w:rPr>
                  <w:rStyle w:val="InternetLink"/>
                  <w:rFonts w:ascii="Times New Roman;Times;Serif" w:hAnsi="Times New Roman;Times;Serif"/>
                  <w:sz w:val="20"/>
                  <w:u w:val="single"/>
                </w:rPr>
                <w:t>Form 10-K</w:t>
              </w:r>
            </w:hyperlink>
            <w:r>
              <w:rPr/>
              <w:t xml:space="preserve"> </w:t>
            </w:r>
            <w:r>
              <w:rPr>
                <w:rFonts w:ascii="Times New Roman;Times;Serif" w:hAnsi="Times New Roman;Times;Serif"/>
                <w:sz w:val="20"/>
              </w:rPr>
              <w:t>for the fiscal year ended December 31, 2025, filed with the SEC on March 27,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Quarterly Reports on Form 10-Q for the quarter ended March 31, 2026 and June 30, 2026, filed with the SEC on </w:t>
            </w:r>
            <w:hyperlink r:id="rId4">
              <w:r>
                <w:rPr>
                  <w:rStyle w:val="InternetLink"/>
                  <w:rFonts w:ascii="Times New Roman;Times;Serif" w:hAnsi="Times New Roman;Times;Serif"/>
                  <w:sz w:val="20"/>
                </w:rPr>
                <w:t>May 8,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August 7, 2026</w:t>
              </w:r>
            </w:hyperlink>
            <w:r>
              <w:rPr>
                <w:rFonts w:ascii="Times New Roman;Times;Serif" w:hAnsi="Times New Roman;Times;Serif"/>
                <w:sz w:val="20"/>
              </w:rPr>
              <w:t>, respectively;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6">
              <w:r>
                <w:rPr>
                  <w:rStyle w:val="InternetLink"/>
                  <w:rFonts w:ascii="Times New Roman;Times;Serif" w:hAnsi="Times New Roman;Times;Serif"/>
                  <w:sz w:val="20"/>
                  <w:u w:val="single"/>
                </w:rPr>
                <w:t>February 4,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u w:val="single"/>
                </w:rPr>
                <w:t>February 9,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3,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July 16, 2026</w:t>
              </w:r>
            </w:hyperlink>
            <w:r>
              <w:rPr>
                <w:rFonts w:ascii="Times New Roman;Times;Serif" w:hAnsi="Times New Roman;Times;Serif"/>
                <w:sz w:val="20"/>
              </w:rPr>
              <w:t xml:space="preserve"> and </w:t>
            </w:r>
            <w:hyperlink r:id="rId10">
              <w:r>
                <w:rPr>
                  <w:rStyle w:val="InternetLink"/>
                  <w:rFonts w:ascii="Times New Roman;Times;Serif" w:hAnsi="Times New Roman;Times;Serif"/>
                  <w:sz w:val="20"/>
                  <w:u w:val="single"/>
                </w:rPr>
                <w:t>July 28, 2026</w:t>
              </w:r>
            </w:hyperlink>
            <w:r>
              <w:rPr>
                <w:rFonts w:ascii="Times New Roman;Times;Serif" w:hAnsi="Times New Roman;Times;Serif"/>
                <w:sz w:val="20"/>
              </w:rPr>
              <w: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 on </w:t>
            </w:r>
            <w:hyperlink r:id="rId11">
              <w:r>
                <w:rPr>
                  <w:rStyle w:val="InternetLink"/>
                  <w:rFonts w:ascii="Times New Roman;Times;Serif" w:hAnsi="Times New Roman;Times;Serif"/>
                  <w:sz w:val="20"/>
                  <w:u w:val="single"/>
                </w:rPr>
                <w:t>Form 8-A</w:t>
              </w:r>
            </w:hyperlink>
            <w:r>
              <w:rPr>
                <w:rFonts w:ascii="Times New Roman;Times;Serif" w:hAnsi="Times New Roman;Times;Serif"/>
                <w:sz w:val="20"/>
              </w:rPr>
              <w:t xml:space="preserve">, filed on June 25, 2018, and any amendment or report filed for the purpose of updating such description, including without limitation, </w:t>
            </w:r>
            <w:hyperlink r:id="rId12">
              <w:r>
                <w:rPr>
                  <w:rStyle w:val="InternetLink"/>
                  <w:rFonts w:ascii="Times New Roman;Times;Serif" w:hAnsi="Times New Roman;Times;Serif"/>
                  <w:sz w:val="20"/>
                  <w:u w:val="single"/>
                </w:rPr>
                <w:t>Exhibit 4.1</w:t>
              </w:r>
            </w:hyperlink>
            <w:r>
              <w:rPr/>
              <w:t xml:space="preserve"> </w:t>
            </w:r>
            <w:r>
              <w:rPr>
                <w:rFonts w:ascii="Times New Roman;Times;Serif" w:hAnsi="Times New Roman;Times;Serif"/>
                <w:sz w:val="20"/>
              </w:rPr>
              <w:t>of our Annual Report on Form 10-K for the year ended December 31, 2022 filed with the SEC on March 31, 2023.</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filings filed by us pursuant to the Exchange Act after the date of the initial filing of the registration statement of which this prospectus forms a part and prior to the effectiveness of such registration statement (excluding information furnished pursuant to Items 2.02, 7.01 and 9.01 of Form 8-K or any other information that is identified as “furnished” rather than filed) shall also be deemed to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 Kiryat Hadassah, Minrav Building - Fifth Floor, Jerusalem, Israel, Attention: Miranda Toledano, Chief Executive Officer, or made by phone at +972-2-532-7151. You may also access the documents incorporated by reference in this prospectus through our website at www.enterabio.com.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jc w:val="center"/>
        <w:rPr>
          <w:bdr w:val="single" w:sz="8" w:space="1" w:color="000000"/>
        </w:rPr>
      </w:pP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3"/>
      <w:bookmarkEnd w:id="13"/>
      <w:r>
        <w:rPr>
          <w:rFonts w:ascii="Times New Roman;Times;Serif" w:hAnsi="Times New Roman;Times;Serif"/>
          <w:b/>
          <w:i w:val="false"/>
          <w:caps/>
          <w:sz w:val="20"/>
        </w:rPr>
        <w:t>SERVICE OF PROCESS AND ENFORCEMENT OF JUDGMENTS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any Israeli experts named in this prospectus, may be difficult to obtain within the United States. Furthermore, because substantially all of our assets and a significant number of our directors and officers are located outside the United States, any judgment obtained in the United States against us or any of our directors and officers may not be collectible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Herzog Fox &amp; Neeman,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 There is little case law in Israel addressing these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rendered after due process by a court which was, according to the laws of the state of the court, competent jurisdiction to render the judgment;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5560" w:type="dxa"/>
        <w:jc w:val="left"/>
        <w:tblInd w:w="0" w:type="dxa"/>
        <w:tblLayout w:type="fixed"/>
        <w:tblCellMar>
          <w:top w:w="0" w:type="dxa"/>
          <w:left w:w="0" w:type="dxa"/>
          <w:bottom w:w="0" w:type="dxa"/>
          <w:right w:w="0" w:type="dxa"/>
        </w:tblCellMar>
      </w:tblPr>
      <w:tblGrid>
        <w:gridCol w:w="75"/>
        <w:gridCol w:w="11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final and is not subject to any right of appeal;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obligations imposed by the judgment are enforceable according to the laws of the State of Israel and according to the laws of the state in which the judgement was given, and the substance of the judgment is not contrary to public policy.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will not declare a foreign civil judgment enforceable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given in a state whose laws do not provide for the enforcement of judgments of Israeli courts (subject to exceptional cases);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enforcement of the judgment is likely to prejudice the sovereignty or security of the State of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283"/>
              <w:jc w:val="both"/>
              <w:rPr/>
            </w:pPr>
            <w:r>
              <w:rPr/>
              <w:t> </w:t>
            </w:r>
          </w:p>
        </w:tc>
      </w:tr>
    </w:tbl>
    <w:tbl>
      <w:tblPr>
        <w:tblW w:w="3190" w:type="dxa"/>
        <w:jc w:val="left"/>
        <w:tblInd w:w="0" w:type="dxa"/>
        <w:tblLayout w:type="fixed"/>
        <w:tblCellMar>
          <w:top w:w="0" w:type="dxa"/>
          <w:left w:w="0" w:type="dxa"/>
          <w:bottom w:w="0" w:type="dxa"/>
          <w:right w:w="0" w:type="dxa"/>
        </w:tblCellMar>
      </w:tblPr>
      <w:tblGrid>
        <w:gridCol w:w="75"/>
        <w:gridCol w:w="11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obtained by fraud;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opportunity given to the defendant to bring its arguments and evidence before the court was not reasonable in the opinion of the Israeli court;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rendered by a court not competent to render it according to the laws of private international law as they apply in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contradictory to another judgment that was given in the same matter between the same parties and that is still valid;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jc w:val="center"/>
        <w:rPr>
          <w:bdr w:val="single" w:sz="8" w:space="1" w:color="000000"/>
        </w:rPr>
      </w:pP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4"/>
      <w:bookmarkEnd w:id="1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in respect of which this prospectus is being delivered will be passed upon by Herzog, Fox &amp; Neeman, Tel Aviv,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5"/>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jc w:val="center"/>
        <w:rPr>
          <w:bdr w:val="single" w:sz="8" w:space="1" w:color="000000"/>
        </w:rPr>
      </w:pP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1219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381250" cy="1219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firstLine="360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the registrant in connection with the issuance and distribution of the securities being registered hereby.</w:t>
      </w:r>
    </w:p>
    <w:p>
      <w:pPr>
        <w:pStyle w:val="TextBody"/>
        <w:bidi w:val="0"/>
        <w:spacing w:before="0" w:after="0"/>
        <w:ind w:left="0" w:right="0" w:firstLine="720"/>
        <w:jc w:val="both"/>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5060"/>
        <w:gridCol w:w="60"/>
        <w:gridCol w:w="140"/>
        <w:gridCol w:w="800"/>
        <w:gridCol w:w="15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53,801</w:t>
            </w:r>
          </w:p>
        </w:tc>
        <w:tc>
          <w:tcPr>
            <w:tcW w:w="15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18,000</w:t>
            </w:r>
          </w:p>
        </w:tc>
        <w:tc>
          <w:tcPr>
            <w:tcW w:w="155" w:type="dxa"/>
            <w:tcBorders/>
            <w:shd w:fill="FFFFFF" w:val="clear"/>
            <w:vAlign w:val="center"/>
          </w:tcPr>
          <w:p>
            <w:pPr>
              <w:pStyle w:val="TableContents"/>
              <w:bidi w:val="0"/>
              <w:spacing w:before="0" w:after="283"/>
              <w:jc w:val="left"/>
              <w:rPr/>
            </w:pPr>
            <w:r>
              <w:rPr/>
              <w:t>*</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40,000</w:t>
            </w:r>
          </w:p>
        </w:tc>
        <w:tc>
          <w:tcPr>
            <w:tcW w:w="155" w:type="dxa"/>
            <w:tcBorders/>
            <w:shd w:fill="CCEEFF" w:val="clear"/>
            <w:vAlign w:val="center"/>
          </w:tcPr>
          <w:p>
            <w:pPr>
              <w:pStyle w:val="TableContents"/>
              <w:bidi w:val="0"/>
              <w:spacing w:before="0" w:after="283"/>
              <w:jc w:val="left"/>
              <w:rPr/>
            </w:pPr>
            <w:r>
              <w:rPr/>
              <w:t>*</w:t>
            </w:r>
          </w:p>
        </w:tc>
      </w:tr>
      <w:tr>
        <w:trPr/>
        <w:tc>
          <w:tcPr>
            <w:tcW w:w="506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112,801</w:t>
            </w:r>
          </w:p>
        </w:tc>
        <w:tc>
          <w:tcPr>
            <w:tcW w:w="155" w:type="dxa"/>
            <w:tcBorders/>
            <w:shd w:fill="CCEEFF" w:val="clear"/>
            <w:vAlign w:val="center"/>
          </w:tcPr>
          <w:p>
            <w:pPr>
              <w:pStyle w:val="TableContents"/>
              <w:bidi w:val="0"/>
              <w:spacing w:before="0" w:after="283"/>
              <w:jc w:val="left"/>
              <w:rPr/>
            </w:pPr>
            <w:r>
              <w:rPr/>
              <w:t>*</w:t>
            </w:r>
          </w:p>
        </w:tc>
      </w:tr>
    </w:tbl>
    <w:tbl>
      <w:tblPr>
        <w:tblW w:w="1045" w:type="dxa"/>
        <w:jc w:val="left"/>
        <w:tblInd w:w="0" w:type="dxa"/>
        <w:tblLayout w:type="fixed"/>
        <w:tblCellMar>
          <w:top w:w="0" w:type="dxa"/>
          <w:left w:w="0" w:type="dxa"/>
          <w:bottom w:w="0" w:type="dxa"/>
          <w:right w:w="0" w:type="dxa"/>
        </w:tblCellMar>
      </w:tblPr>
      <w:tblGrid>
        <w:gridCol w:w="75"/>
        <w:gridCol w:w="125"/>
        <w:gridCol w:w="8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Our Amended and Restated Articles of Incorporation the (“Articles”) set forth the following provisions regarding the grant of insurance coverage, indemnification and an exemption from liability 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We are entitled to insure the liability of any director or officer to the fullest extent permitted by law. Without derogating from the aforesaid, we may enter into a contract to insure the liability of a director or officer for an obligation imposed on him or her in consequence of an act done in his or her capacity as such, in any of the following cases: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the duty of care toward us or a third party, to the extent such a breach arises out of the negligent conduct of the office holder;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the duty of loyalty toward us, provided that the director or officer acted in good faith and had reasonable basis to believe that the act would not harm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monetary obligation imposed on him or her in favor of a third party in respect of an act done in his or hers capacity as an office holder in respect of an act done in his or her capacity as an office holder;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payment imposed on him or her in favor of an injured party as set forth in Section 52(54)(a)(1)(a) of the Israeli Securities Law;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We are entitled to indemnify a director or officer to the fullest extent permitted by law, either retroactively or pursuant to an undertaking given in advance. Without derogating from the aforesaid, we may indemnify our directors or officers for liability or expense imposed on him or her in consequence of an action taken by him in his capacity as such,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such foreseen events and amount or criteria;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tc>
      </w:tr>
    </w:tbl>
    <w:p>
      <w:pPr>
        <w:pStyle w:val="TextBody"/>
        <w:bidi w:val="0"/>
        <w:spacing w:before="0" w:after="0"/>
        <w:jc w:val="center"/>
        <w:rPr>
          <w:bdr w:val="single" w:sz="8" w:space="1" w:color="000000"/>
        </w:rPr>
      </w:pPr>
      <w:r>
        <w:rPr>
          <w:bdr w:val="single" w:sz="8" w:space="1" w:color="000000"/>
        </w:rPr>
        <w:t>II - 1</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 in a criminal prosecution of a crime which does not require proof of criminal intent, in which he or she was convicted, all in respect of actions taken by him or her in his or her capacity as a director or an officer of the Company or of any of its subsidiaries;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payment he or she was obligated to make to an injured party as set forth in Section 52(54)(a)(1)(a) of the Israeli Securities Law;</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litigation expenses, including attorney fees, incurred by the director or officer in connection with a proceeding under Chapters H’3, H’4 or I’1 of the Israeli Securities Law;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circumstances arising under the law in respect of which the Company may indemnify a director or an officer of the Company (including, without limitation, Section 50P(b)(2) of the Israeli Restrictive Trade Practices Law, 5758-1988).</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Exemption.</w:t>
      </w:r>
      <w:r>
        <w:rPr>
          <w:rFonts w:ascii="Times New Roman;Times;Serif" w:hAnsi="Times New Roman;Times;Serif"/>
          <w:b w:val="false"/>
          <w:i w:val="false"/>
          <w:caps w:val="false"/>
          <w:smallCaps w:val="false"/>
          <w:sz w:val="20"/>
        </w:rPr>
        <w:t>   We are entitled to exempt a director or officer in advance from any or all of his or her liability for damage caused by a breach of his or her duty of care toward us, to the fullest extent permitted by law, but only if a provision authorizing such exculpation is included in its articles of association. Our Articles include such a provision. Notwithstanding, a company may not exculpate in advance a director from liability arising out of a breach of duty of care caused by dividend or distribution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w:t>
      </w:r>
      <w:r>
        <w:rPr>
          <w:rFonts w:ascii="Times New Roman;Times;Serif" w:hAnsi="Times New Roman;Times;Serif"/>
          <w:b w:val="false"/>
          <w:i w:val="false"/>
          <w:caps w:val="false"/>
          <w:smallCaps w:val="false"/>
          <w:sz w:val="20"/>
        </w:rPr>
        <w:t>   The Companies Law provides that a company may not provide its directors or officers with insurance or indemnification or exempt its directors or officers from liability with respect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8245" w:type="dxa"/>
        <w:jc w:val="left"/>
        <w:tblInd w:w="0" w:type="dxa"/>
        <w:tblLayout w:type="fixed"/>
        <w:tblCellMar>
          <w:top w:w="0" w:type="dxa"/>
          <w:left w:w="0" w:type="dxa"/>
          <w:bottom w:w="0" w:type="dxa"/>
          <w:right w:w="0" w:type="dxa"/>
        </w:tblCellMar>
      </w:tblPr>
      <w:tblGrid>
        <w:gridCol w:w="75"/>
        <w:gridCol w:w="110"/>
        <w:gridCol w:w="8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willful or reckless breach of the duty of care, other than a breach committed solely by negligence;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both"/>
              <w:rPr/>
            </w:pPr>
            <w:r>
              <w:rPr/>
              <w:t> </w:t>
            </w:r>
          </w:p>
        </w:tc>
      </w:tr>
    </w:tbl>
    <w:tbl>
      <w:tblPr>
        <w:tblW w:w="7030" w:type="dxa"/>
        <w:jc w:val="left"/>
        <w:tblInd w:w="0" w:type="dxa"/>
        <w:tblLayout w:type="fixed"/>
        <w:tblCellMar>
          <w:top w:w="0" w:type="dxa"/>
          <w:left w:w="0" w:type="dxa"/>
          <w:bottom w:w="0" w:type="dxa"/>
          <w:right w:w="0" w:type="dxa"/>
        </w:tblCellMar>
      </w:tblPr>
      <w:tblGrid>
        <w:gridCol w:w="75"/>
        <w:gridCol w:w="11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action taken or not taken with the intent of unlawfully realizing personal gain;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both"/>
              <w:rPr/>
            </w:pPr>
            <w:r>
              <w:rPr/>
              <w:t> </w:t>
            </w:r>
          </w:p>
        </w:tc>
      </w:tr>
    </w:tbl>
    <w:tbl>
      <w:tblPr>
        <w:tblW w:w="7825" w:type="dxa"/>
        <w:jc w:val="left"/>
        <w:tblInd w:w="0" w:type="dxa"/>
        <w:tblLayout w:type="fixed"/>
        <w:tblCellMar>
          <w:top w:w="0" w:type="dxa"/>
          <w:left w:w="0" w:type="dxa"/>
          <w:bottom w:w="0" w:type="dxa"/>
          <w:right w:w="0" w:type="dxa"/>
        </w:tblCellMar>
      </w:tblPr>
      <w:tblGrid>
        <w:gridCol w:w="75"/>
        <w:gridCol w:w="11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fine, monetary sanction, forfeit or penalty levied against, or imposed upon, the office holder.</w:t>
            </w:r>
          </w:p>
        </w:tc>
      </w:tr>
    </w:tbl>
    <w:p>
      <w:pPr>
        <w:pStyle w:val="TextBody"/>
        <w:bidi w:val="0"/>
        <w:spacing w:before="0" w:after="0"/>
        <w:ind w:left="0" w:right="0" w:hanging="0"/>
        <w:jc w:val="center"/>
        <w:rPr>
          <w:bdr w:val="single" w:sz="8" w:space="1" w:color="000000"/>
        </w:rPr>
      </w:pPr>
      <w:r>
        <w:rPr>
          <w:bdr w:val="single" w:sz="8" w:space="1" w:color="000000"/>
        </w:rPr>
        <w:t>II - 2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665"/>
        <w:gridCol w:w="9540"/>
      </w:tblGrid>
      <w:tr>
        <w:trPr/>
        <w:tc>
          <w:tcPr>
            <w:tcW w:w="665" w:type="dxa"/>
            <w:tcBorders>
              <w:top w:val="single" w:sz="8"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r:id="rId14">
              <w:r>
                <w:rPr>
                  <w:rStyle w:val="InternetLink"/>
                  <w:rFonts w:ascii="Times New Roman;Times;Serif" w:hAnsi="Times New Roman;Times;Serif"/>
                  <w:sz w:val="20"/>
                  <w:u w:val="single"/>
                </w:rPr>
                <w:t>3.1</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5">
              <w:r>
                <w:rPr>
                  <w:rStyle w:val="InternetLink"/>
                  <w:rFonts w:ascii="Times New Roman;Times;Serif" w:hAnsi="Times New Roman;Times;Serif"/>
                  <w:sz w:val="20"/>
                  <w:u w:val="single"/>
                </w:rPr>
                <w:t>Amended and Restated Articles of Association of Entera Bio Ltd. (incorporated by reference to Exhibit 3.1 to the Company’s Current Report on Form 8-K, filed on July 16, 2026).</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r:id="rId16">
              <w:r>
                <w:rPr>
                  <w:rStyle w:val="InternetLink"/>
                  <w:rFonts w:ascii="Times New Roman;Times;Serif" w:hAnsi="Times New Roman;Times;Serif"/>
                  <w:sz w:val="20"/>
                  <w:u w:val="single"/>
                </w:rPr>
                <w:t>4.1</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7">
              <w:r>
                <w:rPr>
                  <w:rStyle w:val="InternetLink"/>
                  <w:rFonts w:ascii="Times New Roman;Times;Serif" w:hAnsi="Times New Roman;Times;Serif"/>
                  <w:sz w:val="20"/>
                  <w:u w:val="single"/>
                </w:rPr>
                <w:t>Securities Purchase Agreement, dated as of July 26, 2026, by and among Entera Bio Ltd. and the purchasers party thereto (incorporated by reference to Exhibit 10.1 to the Company’s Current Report on Form 8-K, filed on July 28, 2026).</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r:id="rId18">
              <w:r>
                <w:rPr>
                  <w:rStyle w:val="InternetLink"/>
                  <w:rFonts w:ascii="Times New Roman;Times;Serif" w:hAnsi="Times New Roman;Times;Serif"/>
                  <w:sz w:val="20"/>
                </w:rPr>
                <w:t>4.2</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Registration Rights Agreement, dated as of July 28, 2026, by and among Entera Bio Ltd. and the purchasers party thereto (incorporated by reference to Exhibit 10.3 to the Company’s Current Report on Form 8-K, filed on July 28, 2026).</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r:id="rId20">
              <w:r>
                <w:rPr>
                  <w:rStyle w:val="InternetLink"/>
                  <w:rFonts w:ascii="Times New Roman;Times;Serif" w:hAnsi="Times New Roman;Times;Serif"/>
                  <w:sz w:val="20"/>
                </w:rPr>
                <w:t>4.3</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21">
              <w:r>
                <w:rPr>
                  <w:rStyle w:val="InternetLink"/>
                  <w:rFonts w:ascii="Times New Roman;Times;Serif" w:hAnsi="Times New Roman;Times;Serif"/>
                  <w:sz w:val="20"/>
                  <w:u w:val="single"/>
                </w:rPr>
                <w:t>Form of Pre-Funded Warrant (incorporated by reference to Exhibit 10.2 to the Company’s Current Report on Form 8-K, filed on July 28, 2026).</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w:anchor="exhibit_5-1.htm">
              <w:r>
                <w:rPr>
                  <w:rStyle w:val="InternetLink"/>
                  <w:rFonts w:ascii="Times New Roman;Times;Serif" w:hAnsi="Times New Roman;Times;Serif"/>
                  <w:sz w:val="20"/>
                </w:rPr>
                <w:t>5.1</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5-1.htm">
              <w:r>
                <w:rPr>
                  <w:rStyle w:val="InternetLink"/>
                  <w:rFonts w:ascii="Times New Roman;Times;Serif" w:hAnsi="Times New Roman;Times;Serif"/>
                  <w:sz w:val="20"/>
                </w:rPr>
                <w:t>Opinion of Herzog Fox &amp; Neeman, Israeli counsel to the Registrant, as to the validity of the Shares.</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w:anchor="exhibit_23-1.htm">
              <w:r>
                <w:rPr>
                  <w:rStyle w:val="InternetLink"/>
                  <w:rFonts w:ascii="Times New Roman;Times;Serif" w:hAnsi="Times New Roman;Times;Serif"/>
                  <w:sz w:val="20"/>
                </w:rPr>
                <w:t>23.1</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23-1.htm">
              <w:r>
                <w:rPr>
                  <w:rStyle w:val="InternetLink"/>
                  <w:rFonts w:ascii="Times New Roman;Times;Serif" w:hAnsi="Times New Roman;Times;Serif"/>
                  <w:sz w:val="20"/>
                </w:rPr>
                <w:t>Consent of Kesselman &amp; Kesselman, Certified Public Accountants, a member firm of PricewaterhouseCoopers International Limited, an independent registered public accounting firm.</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w:anchor="exhibit_5-1.htm">
              <w:r>
                <w:rPr>
                  <w:rStyle w:val="InternetLink"/>
                  <w:rFonts w:ascii="Times New Roman;Times;Serif" w:hAnsi="Times New Roman;Times;Serif"/>
                  <w:sz w:val="20"/>
                  <w:u w:val="single"/>
                </w:rPr>
                <w:t>23.2</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5-1.htm">
              <w:r>
                <w:rPr>
                  <w:rStyle w:val="InternetLink"/>
                  <w:rFonts w:ascii="Times New Roman;Times;Serif" w:hAnsi="Times New Roman;Times;Serif"/>
                  <w:sz w:val="20"/>
                  <w:u w:val="single"/>
                </w:rPr>
                <w:t>Consent of Herzog Fox &amp; Neeman (included in Exhibits 5.1).</w:t>
              </w:r>
            </w:hyperlink>
          </w:p>
        </w:tc>
      </w:tr>
      <w:tr>
        <w:trPr/>
        <w:tc>
          <w:tcPr>
            <w:tcW w:w="665" w:type="dxa"/>
            <w:tcBorders>
              <w:top w:val="single" w:sz="8" w:space="0" w:color="000000"/>
              <w:left w:val="single" w:sz="8" w:space="0" w:color="000000"/>
            </w:tcBorders>
            <w:vAlign w:val="center"/>
          </w:tcPr>
          <w:p>
            <w:pPr>
              <w:pStyle w:val="TableContents"/>
              <w:bidi w:val="0"/>
              <w:spacing w:before="0" w:after="283"/>
              <w:jc w:val="center"/>
              <w:rPr/>
            </w:pPr>
            <w:hyperlink w:anchor="a_016">
              <w:r>
                <w:rPr>
                  <w:rStyle w:val="InternetLink"/>
                  <w:rFonts w:ascii="Times New Roman;Times;Serif" w:hAnsi="Times New Roman;Times;Serif"/>
                  <w:sz w:val="20"/>
                  <w:u w:val="single"/>
                </w:rPr>
                <w:t>24.1</w:t>
              </w:r>
            </w:hyperlink>
          </w:p>
        </w:tc>
        <w:tc>
          <w:tcPr>
            <w:tcW w:w="9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a_016">
              <w:r>
                <w:rPr>
                  <w:rStyle w:val="InternetLink"/>
                  <w:rFonts w:ascii="Times New Roman;Times;Serif" w:hAnsi="Times New Roman;Times;Serif"/>
                  <w:sz w:val="20"/>
                  <w:u w:val="single"/>
                </w:rPr>
                <w:t>Powers of Attorney (included on signature page to the Registration Statement).</w:t>
              </w:r>
            </w:hyperlink>
          </w:p>
        </w:tc>
      </w:tr>
      <w:tr>
        <w:trPr/>
        <w:tc>
          <w:tcPr>
            <w:tcW w:w="66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pPr>
            <w:hyperlink w:anchor="exhibit_107.htm">
              <w:r>
                <w:rPr>
                  <w:rStyle w:val="InternetLink"/>
                  <w:rFonts w:ascii="Times New Roman;Times;Serif" w:hAnsi="Times New Roman;Times;Serif"/>
                  <w:sz w:val="20"/>
                  <w:u w:val="single"/>
                </w:rPr>
                <w:t>107</w:t>
              </w:r>
            </w:hyperlink>
          </w:p>
        </w:tc>
        <w:tc>
          <w:tcPr>
            <w:tcW w:w="9540"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hyperlink w:anchor="exhibit_107.htm">
              <w:r>
                <w:rPr>
                  <w:rStyle w:val="InternetLink"/>
                  <w:rFonts w:ascii="Times New Roman;Times;Serif" w:hAnsi="Times New Roman;Times;Serif"/>
                  <w:sz w:val="20"/>
                  <w:u w:val="single"/>
                </w:rPr>
                <w:t>Filing Fees.</w:t>
              </w:r>
            </w:hyperlink>
          </w:p>
        </w:tc>
      </w:tr>
    </w:tbl>
    <w:p>
      <w:pPr>
        <w:pStyle w:val="TextBody"/>
        <w:bidi w:val="0"/>
        <w:spacing w:before="0" w:after="0"/>
        <w:ind w:left="0" w:right="0" w:hanging="0"/>
        <w:jc w:val="center"/>
        <w:rPr>
          <w:bdr w:val="single" w:sz="8" w:space="1" w:color="000000"/>
        </w:rPr>
      </w:pPr>
      <w:r>
        <w:rPr>
          <w:bdr w:val="single" w:sz="8" w:space="1" w:color="000000"/>
        </w:rPr>
        <w:t>II - 3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bl>
    <w:tbl>
      <w:tblPr>
        <w:tblW w:w="8155" w:type="dxa"/>
        <w:jc w:val="left"/>
        <w:tblInd w:w="0" w:type="dxa"/>
        <w:tblLayout w:type="fixed"/>
        <w:tblCellMar>
          <w:top w:w="0" w:type="dxa"/>
          <w:left w:w="0" w:type="dxa"/>
          <w:bottom w:w="0" w:type="dxa"/>
          <w:right w:w="0" w:type="dxa"/>
        </w:tblCellMar>
      </w:tblPr>
      <w:tblGrid>
        <w:gridCol w:w="75"/>
        <w:gridCol w:w="125"/>
        <w:gridCol w:w="79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 as amended;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(ii) and (iii)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 xml:space="preserve">bona fide </w:t>
            </w:r>
            <w:r>
              <w:rPr>
                <w:rFonts w:ascii="Times New Roman;Times;Serif" w:hAnsi="Times New Roman;Times;Serif"/>
                <w:sz w:val="20"/>
              </w:rPr>
              <w:t>offering thereof.</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bl>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prospectus required to be filed pursuant to Rule 424(b)(2), (b)(5), or (b)(7) as part of a registration statement in reliance on Rule 430B relating to an offering being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center"/>
        <w:rPr>
          <w:bdr w:val="single" w:sz="8" w:space="1" w:color="000000"/>
        </w:rPr>
      </w:pPr>
      <w:r>
        <w:rPr>
          <w:bdr w:val="single" w:sz="8" w:space="1" w:color="000000"/>
        </w:rPr>
        <w:t>II - 4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both"/>
              <w:rPr/>
            </w:pPr>
            <w:r>
              <w:rPr/>
              <w:t> </w:t>
            </w:r>
          </w:p>
        </w:tc>
      </w:tr>
    </w:tbl>
    <w:tbl>
      <w:tblPr>
        <w:tblW w:w="9145" w:type="dxa"/>
        <w:jc w:val="left"/>
        <w:tblInd w:w="0" w:type="dxa"/>
        <w:tblLayout w:type="fixed"/>
        <w:tblCellMar>
          <w:top w:w="0" w:type="dxa"/>
          <w:left w:w="0" w:type="dxa"/>
          <w:bottom w:w="0" w:type="dxa"/>
          <w:right w:w="0" w:type="dxa"/>
        </w:tblCellMar>
      </w:tblPr>
      <w:tblGrid>
        <w:gridCol w:w="75"/>
        <w:gridCol w:w="230"/>
        <w:gridCol w:w="8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center"/>
        <w:rPr>
          <w:bdr w:val="single" w:sz="8" w:space="1" w:color="000000"/>
        </w:rPr>
      </w:pPr>
      <w:r>
        <w:rPr>
          <w:bdr w:val="single" w:sz="8" w:space="1" w:color="000000"/>
        </w:rPr>
        <w:t>II - 5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Jerusalem, Israel, on August 21, 2026.</w:t>
      </w:r>
    </w:p>
    <w:p>
      <w:pPr>
        <w:pStyle w:val="TextBody"/>
        <w:bidi w:val="0"/>
        <w:spacing w:before="0" w:after="0"/>
        <w:ind w:left="0" w:right="0" w:hanging="0"/>
        <w:jc w:val="both"/>
        <w:rPr>
          <w:caps w:val="false"/>
          <w:smallCaps w:val="false"/>
        </w:rPr>
      </w:pPr>
      <w:r>
        <w:rPr>
          <w:caps w:val="false"/>
          <w:smallCaps w:val="false"/>
        </w:rPr>
        <w:t> </w:t>
      </w:r>
    </w:p>
    <w:tbl>
      <w:tblPr>
        <w:tblW w:w="2955" w:type="dxa"/>
        <w:jc w:val="left"/>
        <w:tblInd w:w="0" w:type="dxa"/>
        <w:tblLayout w:type="fixed"/>
        <w:tblCellMar>
          <w:top w:w="0" w:type="dxa"/>
          <w:left w:w="0" w:type="dxa"/>
          <w:bottom w:w="0" w:type="dxa"/>
          <w:right w:w="0" w:type="dxa"/>
        </w:tblCellMar>
      </w:tblPr>
      <w:tblGrid>
        <w:gridCol w:w="75"/>
        <w:gridCol w:w="320"/>
        <w:gridCol w:w="545"/>
        <w:gridCol w:w="1940"/>
        <w:gridCol w:w="75"/>
      </w:tblGrid>
      <w:tr>
        <w:trPr/>
        <w:tc>
          <w:tcPr>
            <w:tcW w:w="7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ENTERA BIO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Miranda Toledano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bdr w:val="single" w:sz="8" w:space="1" w:color="000000"/>
        </w:rPr>
      </w:pPr>
      <w:r>
        <w:rPr>
          <w:bdr w:val="single" w:sz="8" w:space="1" w:color="000000"/>
        </w:rPr>
        <w:t>II - 6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Miranda Toledano and Dana Yaacov-Garbeli, and each of them acting individually,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and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2015"/>
        <w:gridCol w:w="60"/>
        <w:gridCol w:w="3740"/>
        <w:gridCol w:w="60"/>
        <w:gridCol w:w="1385"/>
      </w:tblGrid>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Miranda Toledano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Miranda Toledano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Dana Yaacov-Garbeli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Dana Yaacov-Garbeli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Geno J. Germano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Geno J. Germano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Yonatan Malca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Yonatan Malca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Sean Ellis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Sean Ellis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Steven D. Rubin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Steven D. Rubin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Haya Taitel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Haya Taitel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II - 7</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17" w:name="exhibit_5-1.htm"/>
      <w:bookmarkStart w:id="18" w:name="ksexhibit_51"/>
      <w:bookmarkEnd w:id="17"/>
      <w:bookmarkEnd w:id="18"/>
      <w:r>
        <w:rPr>
          <w:bdr w:val="single" w:sz="16" w:space="1" w:color="000000"/>
        </w:rPr>
        <w:t> </w:t>
      </w:r>
      <w:r>
        <w:br w:type="page"/>
      </w:r>
    </w:p>
    <w:p>
      <w:pPr>
        <w:pStyle w:val="TextBody"/>
        <w:bidi w:val="0"/>
        <w:jc w:val="right"/>
        <w:rPr>
          <w:b/>
          <w:u w:val="single"/>
        </w:rPr>
      </w:pPr>
      <w:r>
        <w:rPr>
          <w:b/>
          <w:u w:val="single"/>
        </w:rPr>
        <w:t>Exhibit 5.1</w:t>
      </w:r>
    </w:p>
    <w:p>
      <w:pPr>
        <w:pStyle w:val="TextBody"/>
        <w:bidi w:val="0"/>
        <w:spacing w:before="0" w:after="283"/>
        <w:jc w:val="left"/>
        <w:rPr/>
      </w:pPr>
      <w:r>
        <w:rPr/>
        <w:t> </w:t>
      </w:r>
    </w:p>
    <w:p>
      <w:pPr>
        <w:pStyle w:val="TextBody"/>
        <w:bidi w:val="0"/>
        <w:spacing w:before="0" w:after="0"/>
        <w:ind w:left="648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5760" w:right="0" w:firstLine="720"/>
        <w:jc w:val="center"/>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3860"/>
      </w:tblGrid>
      <w:tr>
        <w:trPr/>
        <w:tc>
          <w:tcPr>
            <w:tcW w:w="38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 Minrav Building - Fifth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Registration Statement on 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for Entera Bio Ltd., an Israeli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filed by the Company with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the date hereof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pursuant to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which registers the offer and sale by the selling shareholders named in the Registration Statement, from time to time, of an aggregate of 134,803,910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ordinary shares, par value NIS 0.0000769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composed of (i) 122,961,215 Ordinary Shares and (ii) up to 11,842,695 Ordinary Shares issuable upon exercise of certain pre-funded warrants to purchase Ordinary Shares (respectively, the “</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to you at your request to enable you to fulfill the requirements of Item 601(b)(5) of Regulation S-K under the Securities Act, in connection with the filing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photocopies or copies, certified or otherwise identified to our satisfaction, of: (i) a copy of the Registration Statement signed by each member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to which this opinion letter is attached as an exhibit; (ii) a copy of the articles of association of the Company, as amended and restated and currently in effect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(iii) the minutes of a meeting or written resolutions of the Board at which approve the filing of the Registration Statement and the actions to be taken in connection therewith, and (iv) such other documents, corporate records, agreements, certificates and other instruments, and have made inquiries with such officers and representatives of the Company, as we have deemed necessary or advisable for the purpose of rendering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written resolutions and minutes of meetings of the Board that have been provided to us are true and accurate, and we have further relied upon certificates or comparable documents of officers and representatives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that the issuance of the Pre-Funded Warrant Shares, when issued, will be compliant with the terms of the instruments of the Pre-Funded Warrants pursuant to which they were granted. We have further assumed that, at the time of issuance of the Pre-Funded Warrant Shares pursuant to the terms of the applicable Pre-Funded Warrant to which they were granted, to the extent any such issuance would exceed the maximum authorized share capital of the Company currently authorized as described in the Registration Statement, the number of Ordinary Shares that the Company is authorized to issue shall have been increased in accordance with the Articles such that a sufficient number of Ordinary Shares are authorized and available for issuance under the Articles, as then in effect.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552700" cy="1466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552700" cy="1466850"/>
                    </a:xfrm>
                    <a:prstGeom prst="rect">
                      <a:avLst/>
                    </a:prstGeom>
                  </pic:spPr>
                </pic:pic>
              </a:graphicData>
            </a:graphic>
          </wp:inline>
        </w:drawing>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(i) the Ordinary Shares included in the Registration Statement, when sold as described in the Registration Statement, are duly authorized, validly issued, fully paid and non-assessable, and (ii) the Pre-Funded Warrant Shares, when issued and sold by the Company and delivered by the Company against receipt of the exercise price therefor or otherwise in accordance with the terms of the applicable Pre-Funded Warrants, in the manner described in the Registration Statement, will be duly authorized and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to the reference to our firm appearing under the caption “Legal Matters” and “Service of Process And Enforcement Of Judgments”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Israeli law, and we do not express any opinion as to the laws of any other jurisdiction. In addition, this opinion is limited to the matters stated herein and no opinion is implied or may be inferred beyond the matters expressly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pStyle w:val="TextBody"/>
        <w:bidi w:val="0"/>
        <w:spacing w:before="0" w:after="0"/>
        <w:ind w:left="0" w:right="0" w:firstLine="72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before="0" w:after="283"/>
              <w:jc w:val="center"/>
              <w:rPr>
                <w:sz w:val="20"/>
              </w:rPr>
            </w:pPr>
            <w:r>
              <w:rPr>
                <w:sz w:val="20"/>
              </w:rPr>
              <w:t>Yours faithfully,</w:t>
            </w:r>
          </w:p>
        </w:tc>
      </w:tr>
      <w:tr>
        <w:trPr/>
        <w:tc>
          <w:tcPr>
            <w:tcW w:w="75"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before="0" w:after="283"/>
              <w:ind w:left="0" w:right="0" w:hanging="0"/>
              <w:jc w:val="center"/>
              <w:rPr>
                <w:sz w:val="20"/>
                <w:u w:val="single"/>
              </w:rPr>
            </w:pPr>
            <w:r>
              <w:rPr>
                <w:sz w:val="20"/>
                <w:u w:val="single"/>
              </w:rPr>
              <w:t>/s/ Herzog Fox &amp; Neeman Law Offices</w:t>
            </w:r>
          </w:p>
        </w:tc>
      </w:tr>
      <w:tr>
        <w:trPr/>
        <w:tc>
          <w:tcPr>
            <w:tcW w:w="75" w:type="dxa"/>
            <w:tcBorders/>
            <w:vAlign w:val="center"/>
          </w:tcPr>
          <w:p>
            <w:pPr>
              <w:pStyle w:val="TableContents"/>
              <w:bidi w:val="0"/>
              <w:spacing w:before="0" w:after="283"/>
              <w:ind w:left="0" w:right="0" w:hanging="0"/>
              <w:jc w:val="center"/>
              <w:rPr/>
            </w:pPr>
            <w:r>
              <w:rPr/>
              <w:t> </w:t>
            </w:r>
          </w:p>
        </w:tc>
        <w:tc>
          <w:tcPr>
            <w:tcW w:w="3125" w:type="dxa"/>
            <w:tcBorders/>
            <w:vAlign w:val="center"/>
          </w:tcPr>
          <w:p>
            <w:pPr>
              <w:pStyle w:val="TableContents"/>
              <w:bidi w:val="0"/>
              <w:spacing w:before="0" w:after="283"/>
              <w:jc w:val="center"/>
              <w:rPr>
                <w:sz w:val="20"/>
              </w:rPr>
            </w:pPr>
            <w:r>
              <w:rPr>
                <w:sz w:val="20"/>
              </w:rPr>
              <w:t>Herzog Fox &amp; Neeman Law Offices</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jc w:val="left"/>
        <w:rPr>
          <w:bdr w:val="single" w:sz="16" w:space="1" w:color="000000"/>
        </w:rPr>
      </w:pPr>
      <w:bookmarkStart w:id="19" w:name="exhibit_23-1.htm"/>
      <w:bookmarkStart w:id="20" w:name="ksexhibit_231"/>
      <w:bookmarkEnd w:id="19"/>
      <w:bookmarkEnd w:id="20"/>
      <w:r>
        <w:rPr>
          <w:bdr w:val="single" w:sz="16" w:space="1" w:color="000000"/>
        </w:rPr>
        <w:t> </w:t>
      </w:r>
      <w:r>
        <w:br w:type="page"/>
      </w:r>
    </w:p>
    <w:p>
      <w:pPr>
        <w:pStyle w:val="TextBody"/>
        <w:bidi w:val="0"/>
        <w:spacing w:before="0" w:after="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23.1</w:t>
      </w:r>
    </w:p>
    <w:p>
      <w:pPr>
        <w:pStyle w:val="TextBody"/>
        <w:bidi w:val="0"/>
        <w:spacing w:before="0" w:after="0"/>
        <w:ind w:left="0" w:right="0" w:hanging="0"/>
        <w:jc w:val="both"/>
        <w:rPr>
          <w:caps w:val="false"/>
          <w:smallCaps w:val="false"/>
        </w:rPr>
      </w:pPr>
      <w:r>
        <w:rPr>
          <w:caps w:val="false"/>
          <w:smallCaps w:val="false"/>
        </w:rPr>
        <w:drawing>
          <wp:inline distT="0" distB="0" distL="0" distR="0">
            <wp:extent cx="1333500" cy="847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1333500" cy="8477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Entera Bio Ltd. of our report dated March 27, 2026 relating to the financial statements, which appears in Entera Bio Ltd.'s Annual Report on Form 10-K for the year ended December 31, 2025.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Kesselman &amp; Kesselman</w:t>
        <w:br/>
        <w:t>Certified Public Accountants (Isr.)</w:t>
        <w:br/>
        <w:t>A member firm of PricewaterhouseCoopers International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Tel-Aviv, Israel</w:t>
        <w:br/>
        <w:t>August 21, 2026</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40"/>
        <w:jc w:val="right"/>
        <w:rPr>
          <w:rFonts w:ascii="Times New Roman;Times;Serif" w:hAnsi="Times New Roman;Times;Serif"/>
          <w:b/>
          <w:i w:val="false"/>
          <w:caps w:val="false"/>
          <w:smallCaps w:val="false"/>
          <w:sz w:val="24"/>
        </w:rPr>
      </w:pPr>
      <w:bookmarkStart w:id="21" w:name="exhibit_107.htm"/>
      <w:bookmarkStart w:id="22" w:name="ksexhibit_107"/>
      <w:bookmarkEnd w:id="21"/>
      <w:bookmarkEnd w:id="2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Bio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675" w:type="dxa"/>
        <w:jc w:val="left"/>
        <w:tblInd w:w="0" w:type="dxa"/>
        <w:tblLayout w:type="fixed"/>
        <w:tblCellMar>
          <w:top w:w="0" w:type="dxa"/>
          <w:left w:w="0" w:type="dxa"/>
          <w:bottom w:w="0" w:type="dxa"/>
          <w:right w:w="0" w:type="dxa"/>
        </w:tblCellMar>
      </w:tblPr>
      <w:tblGrid>
        <w:gridCol w:w="530"/>
        <w:gridCol w:w="60"/>
        <w:gridCol w:w="800"/>
        <w:gridCol w:w="60"/>
        <w:gridCol w:w="1040"/>
        <w:gridCol w:w="60"/>
        <w:gridCol w:w="575"/>
        <w:gridCol w:w="60"/>
        <w:gridCol w:w="1100"/>
        <w:gridCol w:w="60"/>
        <w:gridCol w:w="1220"/>
        <w:gridCol w:w="60"/>
        <w:gridCol w:w="240"/>
        <w:gridCol w:w="755"/>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67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Ordinary shares, par value of NIS 0.0000769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134,803,910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389,583,299.90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53,801.45</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2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389,583,299.90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53,801.45</w:t>
            </w:r>
          </w:p>
        </w:tc>
      </w:tr>
      <w:tr>
        <w:trPr/>
        <w:tc>
          <w:tcPr>
            <w:tcW w:w="662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662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2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53,801.45</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a. Pursuant to Rule 416(a) promulgated under the Securities Act of 1933, as amended (the “Securities Act”), this registration statement shall also cover any additional ordinary shares, par value of NIS 0.0000769 (“ordinary shares”), of Entera Bio Ltd., that may be offered or become issuable by reason of any share dividend, share split, recapitalization or other similar transaction effected without the receipt of consideration which results in an increase in the number of outstanding ordinary shares.</w:t>
              <w:br/>
              <w:br/>
              <w:t>b. Estimated solely for purposes of calculating the registration fee in accordance with Rule 457(c) under the Securities Act and based upon the average of the high and low sales prices of an ordinary share as reported on the Nasdaq Capital Market on August 18, 2026.</w:t>
              <w:br/>
              <w:br/>
              <w:t>c. Representing 134,803,910 ordinary shares, including 11,842,695 ordinary shares issuable upon exercise of certain issued and outstanding warrants.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38097/000117891326001797/zk2634461.htm" TargetMode="External"/><Relationship Id="rId4" Type="http://schemas.openxmlformats.org/officeDocument/2006/relationships/hyperlink" Target="https://www.sec.gov/ix?doc=/Archives/edgar/data/1638097/000117891326002458/zk2635165.htm" TargetMode="External"/><Relationship Id="rId5" Type="http://schemas.openxmlformats.org/officeDocument/2006/relationships/hyperlink" Target="https://www.sec.gov/ix?doc=/Archives/edgar/data/1638097/000117891326003947/zk2635812.htm" TargetMode="External"/><Relationship Id="rId6" Type="http://schemas.openxmlformats.org/officeDocument/2006/relationships/hyperlink" Target="https://www.sec.gov/ix?doc=/Archives/edgar/data/1638097/000117891326000300/zk2634279.htm" TargetMode="External"/><Relationship Id="rId7" Type="http://schemas.openxmlformats.org/officeDocument/2006/relationships/hyperlink" Target="https://www.sec.gov/ix?doc=/Archives/edgar/data/1638097/000117891326000355/zk2634303.htm" TargetMode="External"/><Relationship Id="rId8" Type="http://schemas.openxmlformats.org/officeDocument/2006/relationships/hyperlink" Target="https://www.sec.gov/ix?doc=/Archives/edgar/data/1638097/000117891326002001/zk2634965.htm" TargetMode="External"/><Relationship Id="rId9" Type="http://schemas.openxmlformats.org/officeDocument/2006/relationships/hyperlink" Target="https://www.sec.gov/ix?doc=/Archives/edgar/data/1638097/000117891326003510/zk2635691.htm" TargetMode="External"/><Relationship Id="rId10" Type="http://schemas.openxmlformats.org/officeDocument/2006/relationships/hyperlink" Target="https://www.sec.gov/ix?doc=/Archives/edgar/data/1638097/000117891326003617/zk2635734.htm" TargetMode="External"/><Relationship Id="rId11" Type="http://schemas.openxmlformats.org/officeDocument/2006/relationships/hyperlink" Target="https://www.sec.gov/Archives/edgar/data/1638097/000095010318007696/dp92549_8a12b.htm" TargetMode="External"/><Relationship Id="rId12" Type="http://schemas.openxmlformats.org/officeDocument/2006/relationships/hyperlink" Target="https://www.sec.gov/Archives/edgar/data/1638097/000117891321001087/exhibit_2-2.htm" TargetMode="External"/><Relationship Id="rId13" Type="http://schemas.openxmlformats.org/officeDocument/2006/relationships/image" Target="media/image2.jpeg"/><Relationship Id="rId14" Type="http://schemas.openxmlformats.org/officeDocument/2006/relationships/hyperlink" Target="https://www.sec.gov/Archives/edgar/data/1638097/000117891326003510/exhibit_3-1.htm" TargetMode="External"/><Relationship Id="rId15" Type="http://schemas.openxmlformats.org/officeDocument/2006/relationships/hyperlink" Target="https://www.sec.gov/Archives/edgar/data/1638097/000117891326003510/exhibit_3-1.htm" TargetMode="External"/><Relationship Id="rId16" Type="http://schemas.openxmlformats.org/officeDocument/2006/relationships/hyperlink" Target="https://www.sec.gov/Archives/edgar/data/1638097/000117891326003617/exhibit_10-1.htm" TargetMode="External"/><Relationship Id="rId17" Type="http://schemas.openxmlformats.org/officeDocument/2006/relationships/hyperlink" Target="https://www.sec.gov/Archives/edgar/data/1638097/000117891326003617/exhibit_10-1.htm" TargetMode="External"/><Relationship Id="rId18" Type="http://schemas.openxmlformats.org/officeDocument/2006/relationships/hyperlink" Target="https://www.sec.gov/Archives/edgar/data/1638097/000117891326003617/exhibit_10-3.htm" TargetMode="External"/><Relationship Id="rId19" Type="http://schemas.openxmlformats.org/officeDocument/2006/relationships/hyperlink" Target="https://www.sec.gov/Archives/edgar/data/1638097/000117891326003617/exhibit_10-3.htm" TargetMode="External"/><Relationship Id="rId20" Type="http://schemas.openxmlformats.org/officeDocument/2006/relationships/hyperlink" Target="https://www.sec.gov/Archives/edgar/data/1638097/000117891326003617/exhibit_10-2.htm" TargetMode="External"/><Relationship Id="rId21" Type="http://schemas.openxmlformats.org/officeDocument/2006/relationships/hyperlink" Target="https://www.sec.gov/Archives/edgar/data/1638097/000117891326003617/exhibit_10-2.htm" TargetMode="External"/><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20852</Words>
  <Characters>111814</Characters>
  <CharactersWithSpaces>133612</CharactersWithSpaces>
  <Paragraphs>2522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