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k2636026.htm"/>
      <w:bookmarkStart w:id="1" w:name="kszk2636026"/>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134,803,910 Ordinary Shares offered by the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66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shareholders identified in this prospectus (the “Selling Shareholders”) of up to 134,803,910 of our ordinary shares, par value of NIS 0.0000769 per share (“ordinary shares”), composed of (i) 122,961,215 ordinary shares and (ii) up to 11,842,695 ordinary shares issuable upon exercise of pre-funded warrants (the “Pre-Funded Warrants”). We issued the foregoing securities in a private placement consummated on July 28, 2026 (the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issued or issuable upon exercise of the Pre-Funded Warrants issued in the Private Placement pursuant to our obligations contained in that certain registration rights agreement, dated July 28, 2026, by and among us and the Selling Shareholders (as amended, the “Registration Rights Agreement”). We refer to the 134,803,910 ordinary shares offered by the Selling Shareholders hereunder as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sell or distribute the Shares from time to time in amounts, at prices and on terms that will be determined at the time of any such offering. We will pay certain fees and expenses in connection with the registration of the Shares offered hereby, and we will not receive any of the proceeds from the sale of any Shares by the Selling Shareholders. See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the Shares, please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or Nasdaq, under the symbol “ENTX”. On August 27, 2026, the closing price of our ordinary shares was $3.08.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6 for information you should consider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28,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8195"/>
        <w:gridCol w:w="575"/>
      </w:tblGrid>
      <w:tr>
        <w:trPr/>
        <w:tc>
          <w:tcPr>
            <w:tcW w:w="8195" w:type="dxa"/>
            <w:tcBorders/>
            <w:vAlign w:val="center"/>
          </w:tcPr>
          <w:p>
            <w:pPr>
              <w:pStyle w:val="TableContents"/>
              <w:bidi w:val="0"/>
              <w:spacing w:before="0" w:after="283"/>
              <w:jc w:val="left"/>
              <w:rPr/>
            </w:pPr>
            <w:hyperlink w:anchor="a_001">
              <w:r>
                <w:rPr>
                  <w:rStyle w:val="InternetLink"/>
                </w:rPr>
                <w:t>ABOUT THIS PROSPECTUS</w:t>
              </w:r>
            </w:hyperlink>
          </w:p>
        </w:tc>
        <w:tc>
          <w:tcPr>
            <w:tcW w:w="575" w:type="dxa"/>
            <w:tcBorders/>
            <w:vAlign w:val="center"/>
          </w:tcPr>
          <w:p>
            <w:pPr>
              <w:pStyle w:val="TableContents"/>
              <w:bidi w:val="0"/>
              <w:spacing w:before="0" w:after="283"/>
              <w:jc w:val="right"/>
              <w:rPr/>
            </w:pPr>
            <w:r>
              <w:rPr/>
              <w:t>ii</w:t>
            </w:r>
          </w:p>
        </w:tc>
      </w:tr>
      <w:tr>
        <w:trPr/>
        <w:tc>
          <w:tcPr>
            <w:tcW w:w="8195" w:type="dxa"/>
            <w:tcBorders/>
            <w:vAlign w:val="center"/>
          </w:tcPr>
          <w:p>
            <w:pPr>
              <w:pStyle w:val="TableContents"/>
              <w:bidi w:val="0"/>
              <w:spacing w:before="0" w:after="283"/>
              <w:jc w:val="left"/>
              <w:rPr/>
            </w:pPr>
            <w:hyperlink w:anchor="a_002">
              <w:r>
                <w:rPr>
                  <w:rStyle w:val="InternetLink"/>
                </w:rPr>
                <w:t>WHERE YOU CAN FIND MORE INFORMATION</w:t>
              </w:r>
            </w:hyperlink>
          </w:p>
        </w:tc>
        <w:tc>
          <w:tcPr>
            <w:tcW w:w="575" w:type="dxa"/>
            <w:tcBorders/>
            <w:vAlign w:val="center"/>
          </w:tcPr>
          <w:p>
            <w:pPr>
              <w:pStyle w:val="TableContents"/>
              <w:bidi w:val="0"/>
              <w:spacing w:before="0" w:after="283"/>
              <w:jc w:val="right"/>
              <w:rPr/>
            </w:pPr>
            <w:r>
              <w:rPr/>
              <w:t>ii</w:t>
            </w:r>
          </w:p>
        </w:tc>
      </w:tr>
      <w:tr>
        <w:trPr/>
        <w:tc>
          <w:tcPr>
            <w:tcW w:w="8195" w:type="dxa"/>
            <w:tcBorders/>
            <w:vAlign w:val="center"/>
          </w:tcPr>
          <w:p>
            <w:pPr>
              <w:pStyle w:val="TableContents"/>
              <w:bidi w:val="0"/>
              <w:spacing w:before="0" w:after="283"/>
              <w:jc w:val="left"/>
              <w:rPr/>
            </w:pPr>
            <w:hyperlink w:anchor="a_003">
              <w:r>
                <w:rPr>
                  <w:rStyle w:val="InternetLink"/>
                </w:rPr>
                <w:t>PROSPECTUS SUMMARY</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8195" w:type="dxa"/>
            <w:tcBorders/>
            <w:vAlign w:val="center"/>
          </w:tcPr>
          <w:p>
            <w:pPr>
              <w:pStyle w:val="TableContents"/>
              <w:bidi w:val="0"/>
              <w:spacing w:before="0" w:after="283"/>
              <w:jc w:val="left"/>
              <w:rPr/>
            </w:pPr>
            <w:hyperlink w:anchor="a_005">
              <w:r>
                <w:rPr>
                  <w:rStyle w:val="InternetLink"/>
                </w:rPr>
                <w:t>RISK FACTORS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8195" w:type="dxa"/>
            <w:tcBorders/>
            <w:vAlign w:val="center"/>
          </w:tcPr>
          <w:p>
            <w:pPr>
              <w:pStyle w:val="TableContents"/>
              <w:bidi w:val="0"/>
              <w:spacing w:before="0" w:after="283"/>
              <w:jc w:val="left"/>
              <w:rPr/>
            </w:pPr>
            <w:hyperlink w:anchor="a_006">
              <w:r>
                <w:rPr>
                  <w:rStyle w:val="InternetLink"/>
                </w:rPr>
                <w:t>CAUTIONARY NOTE REGARDING FORWARD-LOOKING STATEMENTS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r>
      <w:tr>
        <w:trPr/>
        <w:tc>
          <w:tcPr>
            <w:tcW w:w="8195" w:type="dxa"/>
            <w:tcBorders/>
            <w:vAlign w:val="center"/>
          </w:tcPr>
          <w:p>
            <w:pPr>
              <w:pStyle w:val="TableContents"/>
              <w:bidi w:val="0"/>
              <w:spacing w:before="0" w:after="283"/>
              <w:jc w:val="left"/>
              <w:rPr/>
            </w:pPr>
            <w:hyperlink w:anchor="a_007">
              <w:r>
                <w:rPr>
                  <w:rStyle w:val="InternetLink"/>
                </w:rPr>
                <w:t>USE OF PROCEEDS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8195" w:type="dxa"/>
            <w:tcBorders/>
            <w:vAlign w:val="center"/>
          </w:tcPr>
          <w:p>
            <w:pPr>
              <w:pStyle w:val="TableContents"/>
              <w:bidi w:val="0"/>
              <w:spacing w:before="0" w:after="283"/>
              <w:jc w:val="left"/>
              <w:rPr/>
            </w:pPr>
            <w:hyperlink w:anchor="id_008">
              <w:r>
                <w:rPr>
                  <w:rStyle w:val="InternetLink"/>
                </w:rPr>
                <w:t>DESCRIPTION OF ORDINARY SHARES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r>
      <w:tr>
        <w:trPr/>
        <w:tc>
          <w:tcPr>
            <w:tcW w:w="8195" w:type="dxa"/>
            <w:tcBorders/>
            <w:vAlign w:val="center"/>
          </w:tcPr>
          <w:p>
            <w:pPr>
              <w:pStyle w:val="TableContents"/>
              <w:bidi w:val="0"/>
              <w:spacing w:before="0" w:after="283"/>
              <w:jc w:val="left"/>
              <w:rPr/>
            </w:pPr>
            <w:hyperlink w:anchor="a_010">
              <w:r>
                <w:rPr>
                  <w:rStyle w:val="InternetLink"/>
                </w:rPr>
                <w:t>PLAN OF DISTRIBUTION</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8195" w:type="dxa"/>
            <w:tcBorders/>
            <w:vAlign w:val="center"/>
          </w:tcPr>
          <w:p>
            <w:pPr>
              <w:pStyle w:val="TableContents"/>
              <w:bidi w:val="0"/>
              <w:spacing w:before="0" w:after="283"/>
              <w:jc w:val="left"/>
              <w:rPr/>
            </w:pPr>
            <w:hyperlink w:anchor="a_011">
              <w:r>
                <w:rPr>
                  <w:rStyle w:val="InternetLink"/>
                </w:rPr>
                <w:t>SELLING SHAREHOLDERS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8195" w:type="dxa"/>
            <w:tcBorders/>
            <w:vAlign w:val="center"/>
          </w:tcPr>
          <w:p>
            <w:pPr>
              <w:pStyle w:val="TableContents"/>
              <w:bidi w:val="0"/>
              <w:spacing w:before="0" w:after="283"/>
              <w:jc w:val="left"/>
              <w:rPr/>
            </w:pPr>
            <w:hyperlink w:anchor="a_012">
              <w:r>
                <w:rPr>
                  <w:rStyle w:val="InternetLink"/>
                </w:rPr>
                <w:t>INCORPORATION OF CERTAIN DOCUMENTS BY REFERENCE</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8195" w:type="dxa"/>
            <w:tcBorders/>
            <w:vAlign w:val="center"/>
          </w:tcPr>
          <w:p>
            <w:pPr>
              <w:pStyle w:val="TableContents"/>
              <w:bidi w:val="0"/>
              <w:spacing w:before="0" w:after="283"/>
              <w:jc w:val="left"/>
              <w:rPr/>
            </w:pPr>
            <w:hyperlink w:anchor="a_013">
              <w:r>
                <w:rPr>
                  <w:rStyle w:val="InternetLink"/>
                </w:rPr>
                <w:t>SERVICE OF PROCESS AND ENFORCEMENT OF JUDGMENTS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195" w:type="dxa"/>
            <w:tcBorders/>
            <w:vAlign w:val="center"/>
          </w:tcPr>
          <w:p>
            <w:pPr>
              <w:pStyle w:val="TableContents"/>
              <w:bidi w:val="0"/>
              <w:spacing w:before="0" w:after="283"/>
              <w:jc w:val="left"/>
              <w:rPr/>
            </w:pPr>
            <w:hyperlink w:anchor="a_014">
              <w:r>
                <w:rPr>
                  <w:rStyle w:val="InternetLink"/>
                </w:rPr>
                <w:t>LEGAL MATTERS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195" w:type="dxa"/>
            <w:tcBorders/>
            <w:vAlign w:val="center"/>
          </w:tcPr>
          <w:p>
            <w:pPr>
              <w:pStyle w:val="TableContents"/>
              <w:bidi w:val="0"/>
              <w:spacing w:before="0" w:after="283"/>
              <w:jc w:val="left"/>
              <w:rPr/>
            </w:pPr>
            <w:hyperlink w:anchor="a_015">
              <w:r>
                <w:rPr>
                  <w:rStyle w:val="InternetLink"/>
                </w:rPr>
                <w:t>EXPERTS</w:t>
              </w:r>
            </w:hyperlink>
          </w:p>
        </w:tc>
        <w:tc>
          <w:tcPr>
            <w:tcW w:w="5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bl>
    <w:p>
      <w:pPr>
        <w:pStyle w:val="TextBody"/>
        <w:bidi w:val="0"/>
        <w:spacing w:before="0" w:after="0"/>
        <w:ind w:left="7" w:right="7" w:hanging="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0"/>
        <w:ind w:left="7" w:right="7"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7" w:right="7"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(the “SEC”), using a “shelf” registration process. Under the shelf registration statement of which this prospectus forms a part, the Selling Shareholders may, from time to time, sell the Shares described in this prospectus in one or more offerings through any means described in the section entitled “Plan of Distribution.” Additional or more specific terms of transactions in which the Selling Shareholders offer and sell the Shares may be provided in a prospectus supplement that describes, among other things, the specific amounts and prices of the Shares being offered and the terms of the offering. The prospectus supplement may also add, update or change information contained in this prospectus. Any statement that we make in this prospectus will be modified or superseded by any inconsistent statement made by us in a prospectus supplement. To the extent there is a conflict between the information contained in this prospectus and the prospectus supplement, if any,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carefully read both this prospectus and any applicable prospectus supplement, together with additional information described under the headings “Where You Can Find More Information” and “Incorporation of Certain Documents by Reference” before deciding to invest in any of the Shares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Shares, you should refer to the registration statement, including the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 other person to provide you with information different from or in addition to that included in this prospectus and any prospectus supplement. Neither we nor the Selling Shareholders are making an offer to sell the Shares in any jurisdiction where the offer or sale is not permitted. You should not assume that the information in this prospectus or any prospectus supplement is accurate as of any date other than the date on the front cover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terms “Entera,” “we,” “us,” “our,” “the Company” and “our company” refer to Entera Bio Ltd. and its consolidated subsidiaries,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Securities Exchange Act of 1934, as amended (the “Exchange Act”). Accordingly, we are required to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www.enterabio.com,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of 1933, as amended (the “Securities Act”), of which this prospectus forms a part, relating to the Shares offered under this prospectus. The registration statement, including the attached exhibits, contains additional relevant information about us and such Shares. If a document has been filed as an exhibit to the registration statement, we refer you to the copy of the document that has been filed. Each statement in this prospectus relating to a document filed as an exhibit is qualified in all respects by the full text of the filed exhibit. This prospectus does not contain all of the information set forth in the registration statement. You can obtain a free copy of the registration statement at www.sec.gov. The registration statement, of which this prospectus forms a part, and the documents referred to below under “Incorporation of Certain Documents by Reference” are also available on our website, www.enterabio.com.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accessible through our website is not incorporated by reference in this prospectus and does not constitute a part hereof.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tbl>
      <w:tblPr>
        <w:tblW w:w="10205" w:type="dxa"/>
        <w:jc w:val="left"/>
        <w:tblInd w:w="-10" w:type="dxa"/>
        <w:tblLayout w:type="fixed"/>
        <w:tblCellMar>
          <w:top w:w="28" w:type="dxa"/>
          <w:left w:w="28" w:type="dxa"/>
          <w:bottom w:w="0" w:type="dxa"/>
          <w:right w:w="28"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PROSPECTUS SUMMARY</w:t>
            </w:r>
          </w:p>
          <w:p>
            <w:pPr>
              <w:pStyle w:val="TableContents"/>
              <w:bidi w:val="0"/>
              <w:spacing w:before="0" w:after="0"/>
              <w:ind w:left="0" w:right="0" w:hanging="0"/>
              <w:jc w:val="center"/>
              <w:rPr>
                <w:caps/>
              </w:rPr>
            </w:pPr>
            <w:r>
              <w:rPr>
                <w:caps/>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first-in-class oral peptides.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which is designed to simultaneously stabilize large (4kD+) hydrophilic peptides in the gastrointestinal tract and promote their absorption into the bloodstream.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EB613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EB613, oral PTH (1-34), is being developed as the first oral, osteoanabolic (bone building) tablet for osteoporosis. EB613 is intended to provide an oral anabolic treatment earlier in an osteoporosis patient’s journey to increase skeletal mass, reduce the risk of fracture and consequently limit the progression of the disease, and its associated disability and mortality.</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placebo controlled, dose ranging Phase 2 study of EB613 tablets (n= 161) met primary (pharmacodynamic/bone turnover biomarker) and secondary endpoints (bone mineral density (“BMD”)). In April 2024, Phase 2 data was published in the Journal of Bone and Mineral Research (JBMR). Our planned Phase 3 registrational program for EB613 is focused on the treatment of postmenopausal women with osteoporosis at high risk of fracture.</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Osteoporosis is a chronic, progressive disorder in which bone resorption exceeds formation, resulting in decreased bone strength and increased susceptibility to fracture.</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Osteoporosis is a major and growing public health issue, responsible for over two million fractures annually in the United States. After age 50, one in three women and one in five men will suffer an osteoporosis-related fracture in their remaining lifetime. Osteoporotic fractures lead to chronic pain, decreased quality of life, increased disability, and contribute to premature death. Studies show that up to 20-24% of hip fracture patients die within one year of the fracture. The total medical cost of osteoporotic fractures is projected to increase from $57 billion in 2018 to $95 billion by 2040, largely due to the aging population. </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approved anabolic drugs, including Forteo®, are indicated for the treatment of very high-risk osteoporosis patients as first line therapy and as second line treatment in osteoporosis patients who cannot tolerate or progress on other osteoporosis drugs. Despite the superior efficacy of anabolic drugs, existing treatments require daily or monthly subcutaneous injections and are estimated to be used in a minority of very high-risk patients.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EB613 is being developed under a 505(b)(2) application to the listed drug, Forteo® (teriparatide SC injection, Eli Lilly), which was first approved by the U.S. Food and Drug Administration (“FDA”) in 2002 for the treatment of postmenopausal women with osteoporosis at high risk of fracture and later indicated for men with osteoporosis and osteoporosis associated with sustained systemic glucocorticoid therapy.  Forteo® has been in clinical use for over 20 years with a well-established benefit-risk profile.</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a comprehensive nonclinical and clinical package for the EB613 program, including three Phase 1 comparative studies with Forteo® and three Phase 2 clinical studies. EB613 has been safely administered to a total of 270 study participants, including postmenopausal women with low BMD or osteoporosis (n=118 on EB613, n=43 on placebo), healthy volunteers, and male and female patients with hypoparathyroidism.</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Phase 2, 6-month, 161-patient, placebo-controlled study in postmenopausal women with osteoporosis or low BMD, EB613 produced rapid dose-proportional increases in biochemical markers of bone formation, reductions in markers of bone resorption, and increased lumbar spine, total hip, and femoral neck BMD. At 6 months of treatment, EB613 2.5mg produced comparable total hip BMD increases as those that have been reported for Forteo® at 6 months.</w:t>
            </w:r>
          </w:p>
        </w:tc>
      </w:tr>
      <w:tr>
        <w:trPr/>
        <w:tc>
          <w:tcPr>
            <w:tcW w:w="1020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bdr w:val="single" w:sz="8" w:space="1" w:color="000000"/>
        </w:rPr>
      </w:pPr>
      <w:r>
        <w:rPr>
          <w:bdr w:val="single" w:sz="8" w:space="1" w:color="000000"/>
        </w:rPr>
        <w:t>1</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2023, we have advanced a simplified single-tablet formulation of EB613 that builds on clinical experience with the multi-tablet formulation which was used in Phase 1 and Phase 2 clinical studies and a new generation of our N-Tab® platform.</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reported comparative, crossover Phase 1 data evaluating single-tablet and multi-tablet oral EB613 with Forteo® (teriparatide SC injection, Eli Lilly). The single-tablet EB613 showed a PK profile comparable to multi-tablet EB613, with similar Cmax, Tmax, and total systemic exposure (AUC). The AUC of single tablet and multi-tablet EB613 was comparable with Forteo®, exhibiting a slightly shorter duration of exposure, which is consistent with prior Phase 1 studies. Comparable calcemic effects (serum calcium) and consistent suppression of endogenous PTH(1-84) were shown for both oral EB613 treatments and Forteo®.</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Background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end of our Phase 2 Meeting in December 2021, we have engaged in FDA Type C, D, and A Meetings in 2022, 2023, 2024, and 2025 to obtain clarity and alignment on total hip BMD as a primary endpoint and an appropriate data package to support a new drug application (“NDA”) for EB613 under a 505(b)(2) application.</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as part of our scientific bridging, we received a written concurrence from the FDA that dedicated oral carcinogenicity studies are not warranted for EB613 given the totality of evidence generated from the literature and nonclinical studies conducted with EB613.</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received a written concurrence from the FDA that comprehensive nonclinical developmental and reproductive toxicity (DART) studies are not required given the totality of evidence generated from Forteo®, published literature, and EB613 nonclinical studies.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FDA released the Determination for Qualification of BMD qualifying total hip BMD as a surrogate efficacy endpoint for fracture that could be used in future studies of new anti-osteoporosis therapies.</w:t>
            </w:r>
          </w:p>
          <w:p>
            <w:pPr>
              <w:pStyle w:val="TableContents"/>
              <w:bidi w:val="0"/>
              <w:spacing w:before="0" w:after="0"/>
              <w:ind w:left="0" w:right="0" w:firstLine="69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announced that The FDA accepted our plan to conduct a single, randomized, double-blind, placebo-controlled, Phase 3 trial in approximately 750 postmenopausal women with osteoporosis, with a primary endpoint of percent change from baseline in total hip BMD at Month 12 to support a potential New Drug Application (NDA) submission for EB613 for the treatment of women with post-menopausal osteoporosis. The proposed NDA package will also include Entera’s scientific bridge analysis with Forteo® (teriparatide SC injection, Eli Lilly) under the 505(b)(2) pathway, and a transiliac crest bone biopsy sub-study in a subset of patients.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also agreed with our proposal to continue following the randomized patients out to 24 months in an open-label extension study under a separate protocol. We will plan to submit data through up to 18 months as part of the 120-day safety update to our NDA. Additionally, we will plan to submit the complete 2-year data upon completion of the open-label extension study to characterize further the durability of the treatment effect, safety, and sequence data for EB613 followed by a standard anti-resorptive therapy for 12 months.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EB612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EB612, is being developed as the first oral PTH(1-34) tablet peptide replacement therapy for patients with hypoparathyroidism. </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announced new in vivo PK/PD data supporting the development of a proprietary long-acting PTH (“LA-PTH”) analog utilizing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at ENDO 2026, we presented preclinical data for EB612 from three animal models — a thyroparathyroidectomized (TPTx) rat model, a minipig model and a non-human primate model — showing sustained increases in serum calcium consistent with clinically validated injectable PTH-replacement therapies for hypoparathyroidism, and no safety concerns identified.</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the EB612 program into investigational new drug (IND) enabling studies and plan to submit an IND application to the FDA in the first half of 2027.</w:t>
            </w:r>
          </w:p>
          <w:p>
            <w:pPr>
              <w:pStyle w:val="TableContents"/>
              <w:bidi w:val="0"/>
              <w:spacing w:before="0" w:after="0"/>
              <w:ind w:left="2" w:right="2" w:firstLine="720"/>
              <w:jc w:val="both"/>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EB618 Program (Oral GLP-1/Glucagon)</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EB618 program focuses on developing the first oral dual agonist GLP-1/Glucagon (OXM) peptide as a potential once-daily tablet for patients with obesity and metabolic disorders using the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Oxyntomodulin (OXM) is a naturally occurring dual GLP-1/glucagon receptor agonist hormone that regulates appetite and glucose metabolism and promotes weight loss, with additional cardioprotective and anti-fibrotic properties; its therapeutic potential as a native hormone is limited by a short plasma half-life. Currently, there are no approved dual GLP-1/Glucagon agonists available.</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and OPKO jointly announced topline PK/PD results for the OXM program.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an amended and restated collaboration agreement with OPKO, which amends and restates the 2025 Collaboration Agreement, to expand the scope of the agreement to include the collaboration with respect to the preclinical and clinical development of a daily LA-PTH for the treatment of hypoparathyroidism.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June 2026, at ENDO 2026, we presented preclinical data for EB618 from a single-dose pharmacokinetic-pharmacodynamic study in non-human primates, showing dose-proportional systemic exposure across three tablet strengths, a dose-proportional pharmacologic effect on postprandial blood glucose and no safety concerns identified at doses exceeding the anticipated clinical dose range by more than tenfold. These data support the continued development of EB618 as an oral once-daily GLP-1/glucagon receptor agonist for the treatment of obesity and metabolic disorders.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OPKO is planning to initiate a single ascending dose (SAD) and multiple ascending dose (MAD) Phase 1 clinical study with the subcutaneous injection formulation in 2027. We plan to determine next steps of the clinical development plan for oral OXM based on the outcomes of that study.</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Oral GLP-2 </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focuses on developing the first GLP-2 peptide tablet alternative for patients suffering from short bowel syndrome and additional disorders involving mucosal inflammation and nutrient malabsorption.</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and Governance Matters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we entered into a Securities Purchase Agreement with the Selling Shareholders (the “Purchase Agreement”), providing for the Private Placement, in which we sold to the Selling Shareholders an aggregate of 134,803,910 ordinary shares (or, in lieu thereof, Pre-Funded Warrants), for aggregate proceeds of approximately $275.0 million, representing a price of $2.04 per ordinary share. The Private Placement closed on July 28, 2026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Selling Shareholders elected to receive a combination of ordinary shares and Pre-Funded Warrants in lieu of ordinary shares. The Pre-Funded Warrants may not be exercised if the aggregate number of ordinary shares beneficially owned by the holder thereof, together with its affiliates, would exceed 9.99% immediately after exercise thereof, subject to increases not in excess of 19.99% at the option of the holder. Each Pre-Funded Warrant has an exercise price of NIS 0.0000769 per ordinary share, is immediately exercisable and may be exercised at any time and has no expiration date, and is subject to customary adjustments.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Private Placement to support activities related to initiation of our phase 3 registrational study of EB613 in postmenopausal women with osteoporosis and for general working capital and corporate purposes.</w:t>
            </w:r>
          </w:p>
          <w:p>
            <w:pPr>
              <w:pStyle w:val="TableContents"/>
              <w:bidi w:val="0"/>
              <w:spacing w:before="0" w:after="0"/>
              <w:ind w:left="0" w:right="0" w:firstLine="720"/>
              <w:jc w:val="both"/>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to the Selling Shareholders under the Purchase Agreement were offered in reliance on an exemption from registration provided by Section 4(a)(2) of the Securities Act. We relied on this exemption from registration based in part on representations made by each Selling Shareholder, including that each Selling Shareholder is an “accredited investor”, as defined in Rule 501(a) promulgated under the Securities Act.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also entered into the Registration Rights Agreement, pursuant to which we agreed to prepare and file a registration statement with the SEC no later than August 27, 2026 to register the resale of the Shares.  We have agreed to use our reasonable best efforts to have such registration statement declared effective as promptly as possible after the filing thereof. Holders of the Pre-Funded Warrants may exercise such warrants on a cashless basis at such time as there is no effective registration statement with respect to the resale of the ordinary shares issuable upon exercise thereof. We filed the registration statement, of which this prospectus forms a part, in accordance with our obligations under the Registration Rights Agreement.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effective as of the Closing Date, we have agreed to grant BVF Partners L.P. (including its affiliates that acquired securities under the Purchase Agreement, “BVF”) the right to designate two directors to our board of directors (the “Board”) (each, a “BVF Designee”), subject to each BVF Designee’s satisfaction of all applicable requirements regarding service as a director under applicable law and Nasdaq rules and such other criteria and qualifications applicable to all of our directors. If BVF ceases to beneficially own at least 75.0% of the total securities (comprising the ordinary shares and the ordinary shares issuable upon exercise of the Pre-Funded Warrants) acquired by BVF in the Private Placement, then BVF’s designation right will be reduced to one BVF Designee; and if such ownership falls below 50.0% of such securities, or if BVF’s beneficial ownership falls below 10.0% of our issued and outstanding ordinary shares, then BVF’s designation right will terminate in full. In each such case, at the Board’s written request, the applicable BVF Designee or BVF Designees will be required to resign from the Board, effective as of the 30th day following such request. For so long as BVF has the right to designate at least one BVF Designee, one BVF Designee is expected to serve on the Nominating and Governance Committee of the Board, subject to applicable independence and other eligibility requirements.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use our commercially reasonable efforts, in reasonable consultation with each BVF Designee then serving, to identify and either appoint or put forth for election two additional independent members of the Board (each, a “New Independent Director”), anticipated to occur at or prior to our 2027 annual general meeting and, subject to the qualification of such directors, no later than 18 months following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Purchase Agreement , each Selling Shareholder has agreed to vote all ordinary shares beneficially held by it in favor of certain proposals relating to the increase in the number of shares issuable under our 2018 Equity Incentive Plan and the issuance of equity grants to our executive officers intended to restore such person’s post-Private Placement beneficial ownership of us to their respective ownership percentages immediately prior to the Closing Date (the “Supported Proposals”). We expect to seek shareholder approval of the Supported Proposals at a special meeting of shareholders anticipated to be held in the fourth quarter of 2026 and, in any event, no later than 12 months following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tbl>
      <w:tblPr>
        <w:tblW w:w="6400" w:type="dxa"/>
        <w:jc w:val="left"/>
        <w:tblInd w:w="-10" w:type="dxa"/>
        <w:tblLayout w:type="fixed"/>
        <w:tblCellMar>
          <w:top w:w="28" w:type="dxa"/>
          <w:left w:w="28" w:type="dxa"/>
          <w:bottom w:w="0" w:type="dxa"/>
          <w:right w:w="28" w:type="dxa"/>
        </w:tblCellMar>
      </w:tblPr>
      <w:tblGrid>
        <w:gridCol w:w="4250"/>
        <w:gridCol w:w="2150"/>
      </w:tblGrid>
      <w:tr>
        <w:trPr/>
        <w:tc>
          <w:tcPr>
            <w:tcW w:w="6400" w:type="dxa"/>
            <w:gridSpan w:val="2"/>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 </w:t>
            </w:r>
            <w:bookmarkStart w:id="5" w:name="a_004"/>
            <w:bookmarkEnd w:id="5"/>
          </w:p>
        </w:tc>
      </w:tr>
      <w:tr>
        <w:trPr/>
        <w:tc>
          <w:tcPr>
            <w:tcW w:w="6400" w:type="dxa"/>
            <w:gridSpan w:val="2"/>
            <w:tcBorders>
              <w:left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OFFERING</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Resale of Ordinary Shares</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Offered by the Selling Shareholders</w:t>
            </w:r>
          </w:p>
        </w:tc>
        <w:tc>
          <w:tcPr>
            <w:tcW w:w="2150" w:type="dxa"/>
            <w:tcBorders>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134,803,910 shares.</w:t>
            </w:r>
          </w:p>
        </w:tc>
      </w:tr>
      <w:tr>
        <w:trPr/>
        <w:tc>
          <w:tcPr>
            <w:tcW w:w="425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50" w:type="dxa"/>
            <w:tcBorders>
              <w:right w:val="single" w:sz="8" w:space="0" w:color="000000"/>
            </w:tcBorders>
            <w:tcMar>
              <w:top w:w="0" w:type="dxa"/>
              <w:left w:w="0"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0" w:type="dxa"/>
          <w:right w:w="0" w:type="dxa"/>
        </w:tblCellMar>
      </w:tblPr>
      <w:tblGrid>
        <w:gridCol w:w="1141"/>
        <w:gridCol w:w="9064"/>
      </w:tblGrid>
      <w:tr>
        <w:trPr/>
        <w:tc>
          <w:tcPr>
            <w:tcW w:w="1141"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w:t>
            </w:r>
          </w:p>
        </w:tc>
        <w:tc>
          <w:tcPr>
            <w:tcW w:w="9064"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will not receive any of the proceeds from the sale of the Shares by the Selling Shareholders. See the section of this prospectus titled “Use of Proceeds.” </w:t>
            </w:r>
          </w:p>
        </w:tc>
      </w:tr>
      <w:tr>
        <w:trPr/>
        <w:tc>
          <w:tcPr>
            <w:tcW w:w="1141" w:type="dxa"/>
            <w:tcBorders>
              <w:left w:val="single" w:sz="8" w:space="0" w:color="000000"/>
            </w:tcBorders>
            <w:vAlign w:val="center"/>
          </w:tcPr>
          <w:p>
            <w:pPr>
              <w:pStyle w:val="TableContents"/>
              <w:bidi w:val="0"/>
              <w:spacing w:before="0" w:after="283"/>
              <w:jc w:val="both"/>
              <w:rPr/>
            </w:pPr>
            <w:r>
              <w:rPr/>
              <w:t> </w:t>
            </w:r>
          </w:p>
        </w:tc>
        <w:tc>
          <w:tcPr>
            <w:tcW w:w="9064"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8095" w:type="dxa"/>
        <w:jc w:val="left"/>
        <w:tblInd w:w="-10" w:type="dxa"/>
        <w:tblLayout w:type="fixed"/>
        <w:tblCellMar>
          <w:top w:w="0" w:type="dxa"/>
          <w:left w:w="28" w:type="dxa"/>
          <w:bottom w:w="0" w:type="dxa"/>
          <w:right w:w="0" w:type="dxa"/>
        </w:tblCellMar>
      </w:tblPr>
      <w:tblGrid>
        <w:gridCol w:w="2570"/>
        <w:gridCol w:w="5525"/>
      </w:tblGrid>
      <w:tr>
        <w:trPr/>
        <w:tc>
          <w:tcPr>
            <w:tcW w:w="2570"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for Our Ordinary Shares</w:t>
            </w:r>
          </w:p>
        </w:tc>
        <w:tc>
          <w:tcPr>
            <w:tcW w:w="5525"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ordinary shares are listed on Nasdaq under the symbol “ENTX.”</w:t>
            </w:r>
          </w:p>
        </w:tc>
      </w:tr>
      <w:tr>
        <w:trPr/>
        <w:tc>
          <w:tcPr>
            <w:tcW w:w="2570" w:type="dxa"/>
            <w:tcBorders>
              <w:left w:val="single" w:sz="8" w:space="0" w:color="000000"/>
            </w:tcBorders>
            <w:vAlign w:val="center"/>
          </w:tcPr>
          <w:p>
            <w:pPr>
              <w:pStyle w:val="TableContents"/>
              <w:bidi w:val="0"/>
              <w:spacing w:before="0" w:after="283"/>
              <w:jc w:val="both"/>
              <w:rPr/>
            </w:pPr>
            <w:r>
              <w:rPr/>
              <w:t> </w:t>
            </w:r>
          </w:p>
        </w:tc>
        <w:tc>
          <w:tcPr>
            <w:tcW w:w="5525"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0" w:type="dxa"/>
          <w:right w:w="0" w:type="dxa"/>
        </w:tblCellMar>
      </w:tblPr>
      <w:tblGrid>
        <w:gridCol w:w="845"/>
        <w:gridCol w:w="9360"/>
      </w:tblGrid>
      <w:tr>
        <w:trPr/>
        <w:tc>
          <w:tcPr>
            <w:tcW w:w="845" w:type="dxa"/>
            <w:tcBorders>
              <w:lef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9360" w:type="dxa"/>
            <w:tcBorders>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investment in the Shares offered hereby is speculative and involves a high degree of risk. You should carefully consider the information set forth under “Risk Factors” and elsewhere in this prospectus.</w:t>
            </w:r>
          </w:p>
        </w:tc>
      </w:tr>
      <w:tr>
        <w:trPr/>
        <w:tc>
          <w:tcPr>
            <w:tcW w:w="845" w:type="dxa"/>
            <w:tcBorders>
              <w:left w:val="single" w:sz="8" w:space="0" w:color="000000"/>
              <w:bottom w:val="single" w:sz="8" w:space="0" w:color="000000"/>
            </w:tcBorders>
            <w:tcMar>
              <w:bottom w:w="28" w:type="dxa"/>
            </w:tcMar>
            <w:vAlign w:val="center"/>
          </w:tcPr>
          <w:p>
            <w:pPr>
              <w:pStyle w:val="TableContents"/>
              <w:bidi w:val="0"/>
              <w:spacing w:before="0" w:after="283"/>
              <w:jc w:val="both"/>
              <w:rPr/>
            </w:pPr>
            <w:r>
              <w:rPr/>
              <w:t> </w:t>
            </w:r>
          </w:p>
        </w:tc>
        <w:tc>
          <w:tcPr>
            <w:tcW w:w="9360"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purchase our securities, you should carefully consider the risk factor set forth below and the risk factors incorporated by reference from our Annual Report on Form 10-K for the year ended December 31, 2025 filed with the SEC on March 27, 2026 (the “2025 Annual Report”) under the heading “Item 1A. Risk Factors”, any updates to those risk factors contained in our Quarterly Reports on Form 10-Q or Current Reports on Form 8-K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political and economic instability in the Middle East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On June 17, 2026, the United States and Iran signed a 14-point memorandum of understanding that formalized the ceasefire, ended the U.S. naval blockade of Iranian ports, provided for the reopening of the Strait of Hormuz and commenced a 60-day period to negotiate a final agreement. Those negotiations subsequently stalled and the ceasefire broke down. Beginning in late June 2026, Iran resumed attacks on commercial vessels transiting the Strait of Hormuz and on U.S. military facilities in Bahrain, Kuwait and Jordan, and the United States has resumed large-scale air strikes against Iranian military and maritime targets. In July 2026, Iran announced the closure of the Strait of Hormuz and the United States reinstated its naval blockade of Iranian ports. U.S. strikes on Iran have continued on a near-daily basis, and Iran has to date rejected proposals for a renewed ceasefire. In August 2026, Iran and Oman entered advanced negotiations on a new shipping arrangement for the Strait of Hormuz; however, Iran has conditioned reopening the waterway on additional demands, including U.S. compensation and the cessation of hostilities, while the United States has similarly demanded compensation from Iran as a precondition for further talks. As of the date of this prospectus, those negotiations remain unresolved and the Strait of Hormuz remains effectively closed to normal commercial traffic. Although Israel has not participated in the current round of strikes on Iran, in June 2026 Iran launched ballistic missiles toward northern Israel and Israel conducted retaliatory strikes in Iran, and Israel’s Home Front Command has from time to time imposed restrictions on civilian activity. There can be no assurance that a ceasefire will be restored, and hostilities between the United States, Israel and Iran could resume or further escalate at any time.</w:t>
      </w:r>
    </w:p>
    <w:p>
      <w:pPr>
        <w:pStyle w:val="TextBody"/>
        <w:bidi w:val="0"/>
        <w:spacing w:before="0" w:after="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following direct talks between Israeli and Lebanese officials in Washington, D.C., a 10-day cessation of hostilities between Israel and Lebanon was announced, brokered by the United States. On June 26, 2026, following further U.S.-brokered negotiations, Israel, Lebanon and the United States signed a trilateral framework agreement providing for the disarmament of Hezbollah by the Lebanese Armed Forces, beginning in designated pilot zones, and a phased withdrawal of Israeli forces from southern Lebanon. Implementation has been limited to date, Israeli forces remain stationed in southern Lebanon and Hezbollah has not accepted the terms as binding, stating that its fighters will remain deployed and will respond to any violations. The arrangement remains fragile, with reports of continued military operations by both sides in southern Lebanon.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which resumed in July 2026 following the breakdown of the June 2026 ceasefire. In addition, the ceasefire framework in Gaza remains in place but implementation of its later phases has stalled following the proposal in August 2026 of a U.S.-brokered 15-point plan for the second phase of the ceasefire, which has not been accepted by all parties. Reported attacks on commercial vessels in the Red Sea and the Bab al-Mandeb strait have also resumed, resulting in casualties and in advisories to commercial shipping operating in the region. These developments have increased regional instability and may further escalate into more severe and prolonged hostilities, which could affect Israel and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pStyle w:val="TextBody"/>
        <w:bidi w:val="0"/>
        <w:spacing w:before="0" w:after="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as that term is defined under the Private Securities Litigation Reform Act of 1995 (“PSLRA”), Section 27A of the Securities Act, and Section 21E of the Exchange Act.  Various statements in this prospectus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prospectus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prospectus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in our 2025 Annual Report and in “Part II, Item 1A—Risk Factors” in our Quarterly Report on Form 10-Q for the quarter ended June 30, 2026. Meaningful factors which could cause actual results to differ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accuracy of our estimates regarding expenses, capital requirements, the sufficiency of our cash resources and the need for additional financing;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current or future product candidate receives marketing approval, it may fail to achieve the degree of market acceptance by physicians, patients, third-party payors and others in the medical community necessary for commercial success;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governmental authorities and third-party payors establish adequate coverage and reimbursement levels and pricing policies;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coverage and adequate reimbursement for our product candidates, if approved, could limit our ability to market those products and decrease our ability to generate revenue;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tc>
      </w:tr>
    </w:tbl>
    <w:p>
      <w:pPr>
        <w:pStyle w:val="TextBody"/>
        <w:bidi w:val="0"/>
        <w:spacing w:before="0" w:after="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anticipate paying any cash dividends on our capital stock in the foreseeable future, capital appreciation, if any, will be your sole source of gain;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9715" w:type="dxa"/>
        <w:jc w:val="left"/>
        <w:tblInd w:w="0" w:type="dxa"/>
        <w:tblLayout w:type="fixed"/>
        <w:tblCellMar>
          <w:top w:w="0" w:type="dxa"/>
          <w:left w:w="0" w:type="dxa"/>
          <w:bottom w:w="0" w:type="dxa"/>
          <w:right w:w="0" w:type="dxa"/>
        </w:tblCellMar>
      </w:tblPr>
      <w:tblGrid>
        <w:gridCol w:w="75"/>
        <w:gridCol w:w="11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bl>
    <w:tbl>
      <w:tblPr>
        <w:tblW w:w="7120" w:type="dxa"/>
        <w:jc w:val="left"/>
        <w:tblInd w:w="0" w:type="dxa"/>
        <w:tblLayout w:type="fixed"/>
        <w:tblCellMar>
          <w:top w:w="0" w:type="dxa"/>
          <w:left w:w="0" w:type="dxa"/>
          <w:bottom w:w="0" w:type="dxa"/>
          <w:right w:w="0" w:type="dxa"/>
        </w:tblCellMar>
      </w:tblPr>
      <w:tblGrid>
        <w:gridCol w:w="75"/>
        <w:gridCol w:w="11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use and expand our N-Tab® platform to additional product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7480" w:type="dxa"/>
        <w:jc w:val="left"/>
        <w:tblInd w:w="0" w:type="dxa"/>
        <w:tblLayout w:type="fixed"/>
        <w:tblCellMar>
          <w:top w:w="0" w:type="dxa"/>
          <w:left w:w="0" w:type="dxa"/>
          <w:bottom w:w="0" w:type="dxa"/>
          <w:right w:w="0" w:type="dxa"/>
        </w:tblCellMar>
      </w:tblPr>
      <w:tblGrid>
        <w:gridCol w:w="75"/>
        <w:gridCol w:w="11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090" w:type="dxa"/>
        <w:jc w:val="left"/>
        <w:tblInd w:w="0" w:type="dxa"/>
        <w:tblLayout w:type="fixed"/>
        <w:tblCellMar>
          <w:top w:w="0" w:type="dxa"/>
          <w:left w:w="0" w:type="dxa"/>
          <w:bottom w:w="0" w:type="dxa"/>
          <w:right w:w="0" w:type="dxa"/>
        </w:tblCellMar>
      </w:tblPr>
      <w:tblGrid>
        <w:gridCol w:w="75"/>
        <w:gridCol w:w="11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6490" w:type="dxa"/>
        <w:jc w:val="left"/>
        <w:tblInd w:w="0" w:type="dxa"/>
        <w:tblLayout w:type="fixed"/>
        <w:tblCellMar>
          <w:top w:w="0" w:type="dxa"/>
          <w:left w:w="0" w:type="dxa"/>
          <w:bottom w:w="0" w:type="dxa"/>
          <w:right w:w="0" w:type="dxa"/>
        </w:tblCellMar>
      </w:tblPr>
      <w:tblGrid>
        <w:gridCol w:w="75"/>
        <w:gridCol w:w="11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both"/>
              <w:rPr/>
            </w:pPr>
            <w:r>
              <w:rPr/>
              <w:t> </w:t>
            </w:r>
          </w:p>
        </w:tc>
      </w:tr>
    </w:tbl>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bl>
    <w:tbl>
      <w:tblPr>
        <w:tblW w:w="3010" w:type="dxa"/>
        <w:jc w:val="left"/>
        <w:tblInd w:w="0" w:type="dxa"/>
        <w:tblLayout w:type="fixed"/>
        <w:tblCellMar>
          <w:top w:w="0" w:type="dxa"/>
          <w:left w:w="0" w:type="dxa"/>
          <w:bottom w:w="0" w:type="dxa"/>
          <w:right w:w="0" w:type="dxa"/>
        </w:tblCellMar>
      </w:tblPr>
      <w:tblGrid>
        <w:gridCol w:w="75"/>
        <w:gridCol w:w="11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contained in this prospectus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w:t>
      </w:r>
    </w:p>
    <w:p>
      <w:pPr>
        <w:pStyle w:val="TextBody"/>
        <w:bidi w:val="0"/>
        <w:spacing w:before="0" w:after="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offered by this prospectus, but we will bear all fees and expenses incident to our obligation to register the Shares being offered for resale hereunder by the Selling Shareholders.</w:t>
      </w:r>
    </w:p>
    <w:p>
      <w:pPr>
        <w:pStyle w:val="TextBody"/>
        <w:bidi w:val="0"/>
        <w:spacing w:before="0" w:after="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9" w:name="id_008"/>
      <w:bookmarkEnd w:id="9"/>
      <w:r>
        <w:rPr>
          <w:rFonts w:ascii="Times New Roman;Times;Serif" w:hAnsi="Times New Roman;Times;Serif"/>
          <w:b/>
          <w:i w:val="false"/>
          <w:caps/>
          <w:sz w:val="20"/>
        </w:rPr>
        <w:t>DESCRIPTION OF ORDINARY SHARES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describes the general terms of our ordinary shares. The following description is a summary only and is qualified by reference to the relevant provisions of Israeli law and our Amended and Restated Articles of Association, a copy of which is incorporated by reference in this prospectus.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Israeli company incorporated with limited liability, and our affairs are governed by the provisions of our Amended and Restated Articles of Association (the “Articles”), as amended and restated from time to time, and by the provisions of applicable Israeli law, including the Companies Law of 1999 (the “Companies Law”). Our number with the Israeli Registrar of Companies is 514330604. The purpose of our company appears in Article 3 of our Articles, which is to engage in any lawful activity. In addition, our Articles authorize us to donate reasonable amounts to any charitable cause. Our registered office is at Kiryat Hadassah, Minrav Building — Fifth Floor, Jerusalem 9112002,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350,000,000 ordinary shares, par value NIS 0.0000769 per share. All of our issued and outstanding ordinary shares have been validly issued, fully paid and are non-assessable. The ordinary shares are listed on Nasdaq under the symbol “ENTX.”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that we were to go into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earnings generated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the court, if applicable and as required by the Companies Law, the board determines that there is no reasonable concern that payment of the dividend will prevent us from satisfying our existing and foreseeable obligations as they become due, and does not require shareholder approval. Payment of dividends and proceeds from the sale of the shares or interest or other payments to non-residents of Israel, may be subject to Israeli withholding taxes. 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Companies Law, and pursuant to our Articles, a quorum is required to conduct business at a shareholders’ meeting.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Meetings and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our board of directors, or any other person appointed for this purpose by the board of directors, shall preside at each shareholders’ meeting. If he is absent, his deputy or another person elected by the present shareholders will preside.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simple majority is sufficient to approve most shareholders’ resolutions, including any amendment to our Articles, unless otherwise required by law or by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pStyle w:val="TextBody"/>
        <w:bidi w:val="0"/>
        <w:spacing w:before="0" w:after="0"/>
        <w:ind w:left="0" w:right="0" w:firstLine="72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1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two directors of the company or one quarter of the board of directors;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or more shareholders holding, in the aggregate: (i) five percent of the outstanding shares of the company and one percent of the voting power in the company; or (ii) five percent of the voting power in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and pursuant to our Articles, one or more shareholders holding at least 1% of the voting rights at a general meeting of shareholders may request that the board of directors include a matter in the agenda of a general meeting of shareholders to be convened in the future, by submitting such proposal within seven days of publication of the Company’s notice with respect to such meeting of shareholders and provided that certain resolutions are brought before the shareholders in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Shareholders’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The rights attached to a class of shares may be altered by the approval of the shareholders of such class holding a majority of the voting rights of such class. The provisions in our Articles pertaining to general meetings also apply to any special meeting of a class of shareholders.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no preemptive rights are attached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Non-Residents of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or voting of our ordinary shares by non-residents of Israel is not restricted in any way by our Articles or the laws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preferred shares authorized under the terms of our Articles. No preferred shares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Equiniti Trust Company, LLC.</w:t>
      </w:r>
    </w:p>
    <w:p>
      <w:pPr>
        <w:pStyle w:val="TextBody"/>
        <w:bidi w:val="0"/>
        <w:spacing w:before="0" w:after="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0"/>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and any of such Selling Shareholder’s pledgees, assignees and successors-in-interest may, from time to time, sell any or all of the Shares on Nasdaq or any other stock exchange, market or trading facility on which the Shares are traded or in private transactions. These sales may be at fixed or negotiated prices. A Selling Shareholder may use any one or more of the following methods when selling Shares:</w:t>
      </w:r>
    </w:p>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1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distributions to members, partners, stockholders or other equity holders of such Selling Shareholder;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both"/>
              <w:rPr/>
            </w:pPr>
            <w:r>
              <w:rPr/>
              <w:t> </w:t>
            </w:r>
          </w:p>
        </w:tc>
      </w:tr>
    </w:tbl>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both"/>
              <w:rPr/>
            </w:pPr>
            <w:r>
              <w:rPr/>
              <w:t> </w:t>
            </w:r>
          </w:p>
        </w:tc>
      </w:tr>
    </w:tbl>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both"/>
              <w:rPr/>
            </w:pPr>
            <w:r>
              <w:rPr/>
              <w:t> </w:t>
            </w:r>
          </w:p>
        </w:tc>
      </w:tr>
    </w:tbl>
    <w:tbl>
      <w:tblPr>
        <w:tblW w:w="2950" w:type="dxa"/>
        <w:jc w:val="left"/>
        <w:tblInd w:w="0" w:type="dxa"/>
        <w:tblLayout w:type="fixed"/>
        <w:tblCellMar>
          <w:top w:w="0" w:type="dxa"/>
          <w:left w:w="0" w:type="dxa"/>
          <w:bottom w:w="0" w:type="dxa"/>
          <w:right w:w="0" w:type="dxa"/>
        </w:tblCellMar>
      </w:tblPr>
      <w:tblGrid>
        <w:gridCol w:w="75"/>
        <w:gridCol w:w="11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bl>
    <w:tbl>
      <w:tblPr>
        <w:tblW w:w="3445" w:type="dxa"/>
        <w:jc w:val="left"/>
        <w:tblInd w:w="0" w:type="dxa"/>
        <w:tblLayout w:type="fixed"/>
        <w:tblCellMar>
          <w:top w:w="0" w:type="dxa"/>
          <w:left w:w="0" w:type="dxa"/>
          <w:bottom w:w="0" w:type="dxa"/>
          <w:right w:w="0" w:type="dxa"/>
        </w:tblCellMar>
      </w:tblPr>
      <w:tblGrid>
        <w:gridCol w:w="75"/>
        <w:gridCol w:w="11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and settlement of short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through broker-dealers that agree with such Selling Shareholder to sell a specified number of Shares at a stipulated price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the Selling Shareholders to sell a specified number of the Shares at a stipulated price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3940" w:type="dxa"/>
        <w:jc w:val="left"/>
        <w:tblInd w:w="0" w:type="dxa"/>
        <w:tblLayout w:type="fixed"/>
        <w:tblCellMar>
          <w:top w:w="0" w:type="dxa"/>
          <w:left w:w="0" w:type="dxa"/>
          <w:bottom w:w="0" w:type="dxa"/>
          <w:right w:w="0" w:type="dxa"/>
        </w:tblCellMar>
      </w:tblPr>
      <w:tblGrid>
        <w:gridCol w:w="75"/>
        <w:gridCol w:w="11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pPr>
            <w:r>
              <w:rPr/>
              <w:t> </w:t>
            </w:r>
          </w:p>
        </w:tc>
      </w:tr>
    </w:tbl>
    <w:tbl>
      <w:tblPr>
        <w:tblW w:w="4705" w:type="dxa"/>
        <w:jc w:val="left"/>
        <w:tblInd w:w="0" w:type="dxa"/>
        <w:tblLayout w:type="fixed"/>
        <w:tblCellMar>
          <w:top w:w="0" w:type="dxa"/>
          <w:left w:w="0" w:type="dxa"/>
          <w:bottom w:w="0" w:type="dxa"/>
          <w:right w:w="0" w:type="dxa"/>
        </w:tblCellMar>
      </w:tblPr>
      <w:tblGrid>
        <w:gridCol w:w="75"/>
        <w:gridCol w:w="11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Shares under Rule 144 or any other exemption from registration under the Securities Act, if available, rather than under this prospectus. The Selling Shareholders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Shareholder that is an entity may elect to make an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Shareholders also may transfer the Shares in other circumstances, in which case the transferees, pledgees or other successors-in-interest will be the selling beneficial owners for purposes of this prospectus. Upon being notified by the Selling Shareholders that a donee, pledgee, transferee, other successor-in-interest intends to sell Shares, we will, to the extent required, promptly file a supplement to this prospectus to name specifically such person as a Selling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or interests therein, the Selling Shareholders may enter into hedging transactions with broker-dealers or other financial institutions, which may in turn engage in short sales of the Shares in the course of hedging the positions they assume. The Selling Shareholders may also sell ordinary shares short and deliver the Shares to close out their short positions, or loan or pledge the Shares to broker-dealers that in turn may sell such Shares. The Selling Shareholders may also enter into option or other transactions with broker-dealers or other financial institutions or create one or more derivative securities which require the delivery to such broker-dealer or other financial institution of the Shares offered by this prospectus, which Shares such broker-dealer or other financial institution may resell pursuant to this prospectus (as supplemented or amended to reflect such transaction).</w:t>
      </w:r>
    </w:p>
    <w:p>
      <w:pPr>
        <w:pStyle w:val="TextBody"/>
        <w:bidi w:val="0"/>
        <w:spacing w:before="0" w:after="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broker-dealers or agents that are involved in selling Shares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Shares.  We have agreed to indemnify the Selling Shareholders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the date on which (a) all Shares shall have been disposed by under an effective registration statement, (b) all Shares have been previously sold in accordance with Rule 144, or (c) the Shares become eligible for resale without volume or manner-of-sale restrictions and without current public information pursuant to Rule 144 as set forth in a written opinion letter to such effect, addressed, delivered and acceptable to our transfer agent and the affected Selling Shareholders (assuming that such securities and any securities issuable upon exercise, conversion or exchange of which, or as a dividend upon which, such securities were issued or are issuable, were at no time held by any affiliate of ours), as reasonably determined by us, upon the advice of our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may not, subject to certain exceptions,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1"/>
      <w:bookmarkEnd w:id="11"/>
      <w:r>
        <w:rPr>
          <w:rFonts w:ascii="Times New Roman;Times;Serif" w:hAnsi="Times New Roman;Times;Serif"/>
          <w:b/>
          <w:i w:val="false"/>
          <w:caps/>
          <w:sz w:val="20"/>
        </w:rPr>
        <w:t>SELLING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Shareholders are those that we issued to the Selling Shareholders in connection with the Private Placement together with those issuable to the Selling Shareholders upon exercise of the Pre-Funded Warrants. For additional information regarding the issuance of the foregoing Shares and the Pre-Funded Warrants, see “Prospectus Summary—Private Placement and Governance Matters” located elsewhere in this prospectus. We are registering the resale of the Shares in order to permit the Selling Shareholders to offer the Shares for resale from time to time. Except (i) for the ownership of the Shares offered hereby and the Pre-Funded Warrants, (ii) as otherwise disclosed in the footnotes to the table immediately below, and (iii) for BVF’s Board designation rights described in “Prospectus Summary — Private Placement and Governance Matters”, none of the Selling Shareholders has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names of the Selling Shareholders and other information regarding their respective beneficial ownership of ordinary shares. The second column lists the number of ordinary shares beneficially owned by each Selling Shareholder. The beneficial ownership of our ordinary shares is based on 173,834,271 ordinary shares outstanding as of 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such person possesses sole or shared voting or investment power over that security, including derivative securities, such as options and warrants, that are currently exercisable or exercisable within 60 days. In computing the number of shares beneficially owned by a particular shareholder and the percentage ownership of that shareholder, all shares subject to options and Pre-Funded Warrants held by such shareholder were deemed outstanding if such securities were currently exercisable, on, or become or will become exercisable within 60 days following August 17, 2026. These shares were not deemed outstanding, however, for the purpose of computing the percentage ownership of any other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being offered by each Selling Shareholder under this prospectus, regardless of any beneficial ownership limitation contained in a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Registration Rights Agreement, this prospectus covers the resale of the sum of (i) the number of ordinary shares issued to those Selling Shareholders who acquired such shares in the Private Placement and (ii) the maximum number of ordinary shares issuable upon exercise of the Pre-Funded Warrants, as applicable, determined as if the outstanding Pre-Funded Warrants were exercised in full as of the trading day immediately preceding the date the registration statement, of which this prospectus forms a part, was initially filed with the SEC, without regard to any limitations on the exercise of the Pre-Funded Warrants, as described below. The fourth column (presenting the number of ordinary shares owned after this offering)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Pre-Funded Warrants, the Selling Shareholders may not exercise such Pre-Funded Warrants to the extent such exercise would result in such Selling Shareholder, together with its affiliates and attribution parties, to beneficially own a number of ordinary shares which would exceed 9.99% (subject to increases not in excess of 19.99% at the option of such Selling Shareholder) of our then outstanding ordinary shares following such exercise, excluding for purposes of such determination ordinary shares issuable upon exercise of such Warrants which have not been exercised. The number of Shares in the third column (presenting the maximum number of ordinary shares to be sold pursuant to this prospectus) does not reflect this limitation, but the number of Shares in the second column reflects this limitation. The Selling Shareholders may sell all, some or none of their respective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fees and the expenses incurred in effecting the registration of the Shares covered by this prospectus, including, without limitation, all registration and filing fees, stock exchange fees, printing expenses, all fees and expenses of complying with applicable securities laws, fees and expenses of our counsel and accountants. Each Selling Shareholder will pay any underwriting or broker discounts and any commissions incurred in selling its Shares. </w:t>
      </w:r>
    </w:p>
    <w:p>
      <w:pPr>
        <w:pStyle w:val="TextBody"/>
        <w:bidi w:val="0"/>
        <w:spacing w:before="0" w:after="0"/>
        <w:jc w:val="center"/>
        <w:rPr>
          <w:bdr w:val="single" w:sz="8" w:space="1" w:color="000000"/>
        </w:rPr>
      </w:pPr>
      <w:r>
        <w:rPr>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25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0"/>
        <w:gridCol w:w="60"/>
        <w:gridCol w:w="100"/>
        <w:gridCol w:w="1868"/>
        <w:gridCol w:w="60"/>
        <w:gridCol w:w="60"/>
        <w:gridCol w:w="105"/>
        <w:gridCol w:w="1940"/>
        <w:gridCol w:w="60"/>
        <w:gridCol w:w="60"/>
        <w:gridCol w:w="88"/>
        <w:gridCol w:w="1447"/>
        <w:gridCol w:w="60"/>
        <w:gridCol w:w="60"/>
        <w:gridCol w:w="330"/>
        <w:gridCol w:w="1772"/>
        <w:gridCol w:w="235"/>
      </w:tblGrid>
      <w:tr>
        <w:trPr/>
        <w:tc>
          <w:tcPr>
            <w:tcW w:w="1900" w:type="dxa"/>
            <w:tcBorders>
              <w:bottom w:val="single" w:sz="8"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968" w:type="dxa"/>
            <w:gridSpan w:val="2"/>
            <w:tcBorders>
              <w:bottom w:val="single" w:sz="8" w:space="0" w:color="000000"/>
            </w:tcBorders>
            <w:vAlign w:val="center"/>
          </w:tcPr>
          <w:p>
            <w:pPr>
              <w:pStyle w:val="TableContents"/>
              <w:bidi w:val="0"/>
              <w:spacing w:before="0" w:after="283"/>
              <w:jc w:val="center"/>
              <w:rPr>
                <w:b/>
              </w:rPr>
            </w:pPr>
            <w:r>
              <w:rPr>
                <w:b/>
              </w:rPr>
              <w:t>Ordinary Shares Beneficially Owned Prior to the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Ordinary Shares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Owned Following the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2" w:type="dxa"/>
            <w:gridSpan w:val="2"/>
            <w:tcBorders>
              <w:bottom w:val="single" w:sz="8" w:space="0" w:color="000000"/>
            </w:tcBorders>
            <w:vAlign w:val="center"/>
          </w:tcPr>
          <w:p>
            <w:pPr>
              <w:pStyle w:val="TableContents"/>
              <w:bidi w:val="0"/>
              <w:spacing w:before="0" w:after="283"/>
              <w:jc w:val="center"/>
              <w:rPr>
                <w:b/>
              </w:rPr>
            </w:pPr>
            <w:r>
              <w:rPr>
                <w:b/>
              </w:rPr>
              <w:t>Percentage of Ordinary Shares Ownership Following the Offering</w:t>
            </w:r>
            <w:r>
              <w:rPr>
                <w:b/>
                <w:position w:val="8"/>
                <w:sz w:val="19"/>
              </w:rPr>
              <w:t>(1)</w:t>
            </w:r>
          </w:p>
        </w:tc>
        <w:tc>
          <w:tcPr>
            <w:tcW w:w="235" w:type="dxa"/>
            <w:tcBorders/>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Biotechnology Value Fund, L.P. </w:t>
            </w:r>
            <w:r>
              <w:rPr>
                <w:rFonts w:ascii="Times New Roman;Times;Serif" w:hAnsi="Times New Roman;Times;Serif"/>
                <w:position w:val="7"/>
                <w:sz w:val="16"/>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9,183,118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14,005,183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5,001,263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2.6</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Biotechnology Value Fund II, L.P.</w:t>
            </w:r>
            <w:r>
              <w:rPr>
                <w:rFonts w:ascii="Times New Roman;Times;Serif" w:hAnsi="Times New Roman;Times;Serif"/>
                <w:position w:val="7"/>
                <w:sz w:val="16"/>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6,821,874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10,355,448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3,821,886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2.1</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Biotechnology Value Trading Fund OS LP</w:t>
            </w:r>
            <w:r>
              <w:rPr>
                <w:rFonts w:ascii="Times New Roman;Times;Serif" w:hAnsi="Times New Roman;Times;Serif"/>
                <w:position w:val="7"/>
                <w:sz w:val="16"/>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1,147,267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1,740,881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644,157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MSI BVF SPV, LLC</w:t>
            </w:r>
            <w:r>
              <w:rPr>
                <w:rFonts w:ascii="Times New Roman;Times;Serif" w:hAnsi="Times New Roman;Times;Serif"/>
                <w:position w:val="7"/>
                <w:sz w:val="16"/>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248,540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369,076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157,231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Seven Fleet Master Fund LP</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4,931,844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4,901,960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29,884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Seven Fleet Horizon Master Fund LP</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1,960,784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1,960,784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Longitude Venture Partners V, L.P.</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7,843,138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7,843,138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TCG CROSSOVER FUND III, LP</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Fund Holdings, L.P.</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4,330,882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4,330,882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Cayman Fund, L.P.</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Co-Invest, L.P.</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2,718,137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2,718,137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Co-Invest (Cycle 3), L.P.</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4,768,382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4,768,382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Spruce Street Capital Master Fund LP</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8,098,894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8,088,235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10,659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MAP 852 SP</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1,717,954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1,715,686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2,268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Commodore Capital Master LP</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7,352,941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7,352,941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Driehaus Life Sciences (QP) Fund, L.P.</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1,323,530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1,323,530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Driehaus Life Sciences Master Fund, L.P.</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3,578,430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3,578,430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 Capital Healthcare Fund, L.P.</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4,901,960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4,901,960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EG, LP.</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III, L.P.</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2,227,941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2,227,941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VHCP Co-Investment Holdings III, LLC.</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223,039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223,039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Logos Opportunities Fund V LP</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4,411,764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4,411,764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Catalio Nexus Fund IV, LP</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2,696,078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2,696,078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Catalio BH SPV, LLC</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Perceptive Life Sciences Master Fund, Ltd.</w:t>
            </w:r>
            <w:r>
              <w:rPr>
                <w:rFonts w:ascii="Times New Roman;Times;Serif" w:hAnsi="Times New Roman;Times;Serif"/>
                <w:position w:val="7"/>
                <w:sz w:val="16"/>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3,431,372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3,431,372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Adage Capital Partners LP</w:t>
            </w:r>
            <w:r>
              <w:rPr>
                <w:rFonts w:ascii="Times New Roman;Times;Serif" w:hAnsi="Times New Roman;Times;Serif"/>
                <w:position w:val="7"/>
                <w:sz w:val="16"/>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2,450,980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2,450,980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ADAR1 Partners, LP</w:t>
            </w:r>
            <w:r>
              <w:rPr>
                <w:rFonts w:ascii="Times New Roman;Times;Serif" w:hAnsi="Times New Roman;Times;Serif"/>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2,265,164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2,132,350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132,814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Spearhead Insurance Solutions IDF, LLC - Series ADAR1</w:t>
            </w:r>
            <w:r>
              <w:rPr>
                <w:rFonts w:ascii="Times New Roman;Times;Serif" w:hAnsi="Times New Roman;Times;Serif"/>
                <w:position w:val="7"/>
                <w:sz w:val="16"/>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335,816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318,630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17,186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Healthcare Spectrum (Master) Fund</w:t>
            </w:r>
            <w:r>
              <w:rPr>
                <w:rFonts w:ascii="Times New Roman;Times;Serif" w:hAnsi="Times New Roman;Times;Serif"/>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3,078,077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627,097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Deep Track Biotechnology Master Fund, Ltd.</w:t>
            </w:r>
            <w:r>
              <w:rPr>
                <w:rFonts w:ascii="Times New Roman;Times;Serif" w:hAnsi="Times New Roman;Times;Serif"/>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1,937,990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1,937,990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Deep Track Special Opportunities Fund, LP</w:t>
            </w:r>
            <w:r>
              <w:rPr>
                <w:rFonts w:ascii="Times New Roman;Times;Serif" w:hAnsi="Times New Roman;Times;Serif"/>
                <w:position w:val="7"/>
                <w:sz w:val="16"/>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512,990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512,990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Foresite Capital Fund VI LP</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1,225,490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Foresite Public &amp; Crossover Opportunities Fund I, L.P.</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1,225,490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1,225,490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Nantahala Capital Partners Limited Partnership</w:t>
            </w:r>
            <w:r>
              <w:rPr>
                <w:rFonts w:ascii="Times New Roman;Times;Serif" w:hAnsi="Times New Roman;Times;Serif"/>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784,202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784,202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NCP RFM LP</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271,343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271,343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Blackwell Partners LLC – Series A</w:t>
            </w:r>
            <w:r>
              <w:rPr>
                <w:rFonts w:ascii="Times New Roman;Times;Serif" w:hAnsi="Times New Roman;Times;Serif"/>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1,046,767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1,046,767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Eastmain 2023 Fund LP</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226,119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226,119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NEXTBio Master Fund LP</w:t>
            </w:r>
            <w:r>
              <w:rPr>
                <w:rFonts w:ascii="Times New Roman;Times;Serif" w:hAnsi="Times New Roman;Times;Serif"/>
                <w:position w:val="7"/>
                <w:sz w:val="16"/>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1,452,900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1,450,070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2,830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NEXTBio Evergreen LLC</w:t>
            </w:r>
            <w:r>
              <w:rPr>
                <w:rFonts w:ascii="Times New Roman;Times;Serif" w:hAnsi="Times New Roman;Times;Serif"/>
                <w:position w:val="7"/>
                <w:sz w:val="16"/>
                <w:sz w:val="20"/>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880,038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878,361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1,677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Squadron Master Fund LP</w:t>
            </w:r>
            <w:r>
              <w:rPr>
                <w:rFonts w:ascii="Times New Roman;Times;Serif" w:hAnsi="Times New Roman;Times;Serif"/>
                <w:position w:val="7"/>
                <w:sz w:val="16"/>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1,470,588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1,470,588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Monograph Capital Holdings, L.P.</w:t>
            </w:r>
            <w:r>
              <w:rPr>
                <w:rFonts w:ascii="Times New Roman;Times;Serif" w:hAnsi="Times New Roman;Times;Serif"/>
                <w:position w:val="7"/>
                <w:sz w:val="16"/>
                <w:sz w:val="20"/>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980,392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980,392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Woodline Master Fund LP</w:t>
            </w:r>
            <w:r>
              <w:rPr>
                <w:rFonts w:ascii="Times New Roman;Times;Serif" w:hAnsi="Times New Roman;Times;Serif"/>
                <w:position w:val="7"/>
                <w:sz w:val="16"/>
                <w:sz w:val="20"/>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980,392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980,392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Partners Master Fund LP</w:t>
            </w:r>
            <w:r>
              <w:rPr>
                <w:rFonts w:ascii="Times New Roman;Times;Serif" w:hAnsi="Times New Roman;Times;Serif"/>
                <w:position w:val="7"/>
                <w:sz w:val="16"/>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55,994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51,471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4,523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Strategic Fund LP</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108,787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100,490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8,297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Persistent Asset Global Select Fund SPC</w:t>
            </w:r>
            <w:r>
              <w:rPr>
                <w:rFonts w:ascii="Times New Roman;Times;Serif" w:hAnsi="Times New Roman;Times;Serif"/>
                <w:position w:val="7"/>
                <w:sz w:val="16"/>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76,959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71,078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5,881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Valence8 Diversified (US) LLC</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23,975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22,059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1,916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Affinity Healthcare Fund, LP</w:t>
            </w:r>
            <w:r>
              <w:rPr>
                <w:rFonts w:ascii="Times New Roman;Times;Serif" w:hAnsi="Times New Roman;Times;Serif"/>
                <w:position w:val="7"/>
                <w:sz w:val="16"/>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689,314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245,098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444,216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Sio Partners LP</w:t>
            </w:r>
            <w:r>
              <w:rPr>
                <w:rFonts w:ascii="Times New Roman;Times;Serif" w:hAnsi="Times New Roman;Times;Serif"/>
                <w:position w:val="7"/>
                <w:sz w:val="16"/>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142,156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142,156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Sio Partners Offshore LTD</w:t>
            </w:r>
            <w:r>
              <w:rPr>
                <w:rFonts w:ascii="Times New Roman;Times;Serif" w:hAnsi="Times New Roman;Times;Serif"/>
                <w:position w:val="7"/>
                <w:sz w:val="16"/>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102,942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102,942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Rubric Capital Master Fund LP</w:t>
            </w:r>
            <w:r>
              <w:rPr>
                <w:rFonts w:ascii="Times New Roman;Times;Serif" w:hAnsi="Times New Roman;Times;Serif"/>
                <w:position w:val="7"/>
                <w:sz w:val="16"/>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4,037,293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4,037,293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AMAP Fund</w:t>
            </w:r>
            <w:r>
              <w:rPr>
                <w:rFonts w:ascii="Times New Roman;Times;Serif" w:hAnsi="Times New Roman;Times;Serif"/>
                <w:position w:val="7"/>
                <w:sz w:val="16"/>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43,324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43,324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1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BEMAP Master Fund Ltd</w:t>
            </w:r>
            <w:r>
              <w:rPr>
                <w:rFonts w:ascii="Times New Roman;Times;Serif" w:hAnsi="Times New Roman;Times;Serif"/>
                <w:position w:val="7"/>
                <w:sz w:val="16"/>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vAlign w:val="center"/>
          </w:tcPr>
          <w:p>
            <w:pPr>
              <w:pStyle w:val="TableContents"/>
              <w:bidi w:val="0"/>
              <w:spacing w:before="0" w:after="283"/>
              <w:jc w:val="left"/>
              <w:rPr/>
            </w:pPr>
            <w:r>
              <w:rPr/>
              <w:t> </w:t>
            </w:r>
          </w:p>
        </w:tc>
        <w:tc>
          <w:tcPr>
            <w:tcW w:w="1868" w:type="dxa"/>
            <w:tcBorders>
              <w:bottom w:val="single" w:sz="8" w:space="0" w:color="000000"/>
            </w:tcBorders>
            <w:shd w:fill="FFFFFF" w:val="clear"/>
            <w:vAlign w:val="center"/>
          </w:tcPr>
          <w:p>
            <w:pPr>
              <w:pStyle w:val="TableContents"/>
              <w:bidi w:val="0"/>
              <w:spacing w:before="0" w:after="283"/>
              <w:jc w:val="right"/>
              <w:rPr/>
            </w:pPr>
            <w:r>
              <w:rPr/>
              <w:t>163,985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FFFFFF" w:val="clear"/>
            <w:vAlign w:val="center"/>
          </w:tcPr>
          <w:p>
            <w:pPr>
              <w:pStyle w:val="TableContents"/>
              <w:bidi w:val="0"/>
              <w:spacing w:before="0" w:after="283"/>
              <w:jc w:val="left"/>
              <w:rPr/>
            </w:pPr>
            <w:r>
              <w:rPr/>
              <w:t> </w:t>
            </w:r>
          </w:p>
        </w:tc>
        <w:tc>
          <w:tcPr>
            <w:tcW w:w="1940" w:type="dxa"/>
            <w:tcBorders>
              <w:bottom w:val="single" w:sz="8" w:space="0" w:color="000000"/>
            </w:tcBorders>
            <w:shd w:fill="FFFFFF" w:val="clear"/>
            <w:vAlign w:val="center"/>
          </w:tcPr>
          <w:p>
            <w:pPr>
              <w:pStyle w:val="TableContents"/>
              <w:bidi w:val="0"/>
              <w:spacing w:before="0" w:after="283"/>
              <w:jc w:val="right"/>
              <w:rPr/>
            </w:pPr>
            <w:r>
              <w:rPr/>
              <w:t>163,985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FFFFFF" w:val="clear"/>
            <w:vAlign w:val="center"/>
          </w:tcPr>
          <w:p>
            <w:pPr>
              <w:pStyle w:val="TableContents"/>
              <w:bidi w:val="0"/>
              <w:spacing w:before="0" w:after="283"/>
              <w:jc w:val="left"/>
              <w:rPr/>
            </w:pPr>
            <w:r>
              <w:rPr/>
              <w:t> </w:t>
            </w:r>
          </w:p>
        </w:tc>
        <w:tc>
          <w:tcPr>
            <w:tcW w:w="144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772" w:type="dxa"/>
            <w:tcBorders>
              <w:bottom w:val="single" w:sz="8" w:space="0" w:color="000000"/>
            </w:tcBorders>
            <w:shd w:fill="FFFFFF" w:val="clear"/>
            <w:vAlign w:val="center"/>
          </w:tcPr>
          <w:p>
            <w:pPr>
              <w:pStyle w:val="TableContents"/>
              <w:bidi w:val="0"/>
              <w:spacing w:before="0" w:after="283"/>
              <w:jc w:val="right"/>
              <w:rPr/>
            </w:pPr>
            <w:r>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1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Blackstone CSP-MST FMAP Fund</w:t>
            </w:r>
            <w:r>
              <w:rPr>
                <w:rFonts w:ascii="Times New Roman;Times;Serif" w:hAnsi="Times New Roman;Times;Serif"/>
                <w:position w:val="7"/>
                <w:sz w:val="16"/>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8" w:space="0" w:color="000000"/>
            </w:tcBorders>
            <w:shd w:fill="CCEEFF" w:val="clear"/>
            <w:vAlign w:val="center"/>
          </w:tcPr>
          <w:p>
            <w:pPr>
              <w:pStyle w:val="TableContents"/>
              <w:bidi w:val="0"/>
              <w:spacing w:before="0" w:after="283"/>
              <w:jc w:val="left"/>
              <w:rPr/>
            </w:pPr>
            <w:r>
              <w:rPr/>
              <w:t> </w:t>
            </w:r>
          </w:p>
        </w:tc>
        <w:tc>
          <w:tcPr>
            <w:tcW w:w="1868" w:type="dxa"/>
            <w:tcBorders>
              <w:bottom w:val="single" w:sz="8" w:space="0" w:color="000000"/>
            </w:tcBorders>
            <w:shd w:fill="CCEEFF" w:val="clear"/>
            <w:vAlign w:val="center"/>
          </w:tcPr>
          <w:p>
            <w:pPr>
              <w:pStyle w:val="TableContents"/>
              <w:bidi w:val="0"/>
              <w:spacing w:before="0" w:after="283"/>
              <w:jc w:val="right"/>
              <w:rPr/>
            </w:pPr>
            <w:r>
              <w:rPr/>
              <w:t>167,162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940" w:type="dxa"/>
            <w:tcBorders>
              <w:bottom w:val="single" w:sz="8" w:space="0" w:color="000000"/>
            </w:tcBorders>
            <w:shd w:fill="CCEEFF" w:val="clear"/>
            <w:vAlign w:val="center"/>
          </w:tcPr>
          <w:p>
            <w:pPr>
              <w:pStyle w:val="TableContents"/>
              <w:bidi w:val="0"/>
              <w:spacing w:before="0" w:after="283"/>
              <w:jc w:val="right"/>
              <w:rPr/>
            </w:pPr>
            <w:r>
              <w:rPr/>
              <w:t>167,162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8" w:space="0" w:color="000000"/>
            </w:tcBorders>
            <w:shd w:fill="CCEEFF" w:val="clear"/>
            <w:vAlign w:val="center"/>
          </w:tcPr>
          <w:p>
            <w:pPr>
              <w:pStyle w:val="TableContents"/>
              <w:bidi w:val="0"/>
              <w:spacing w:before="0" w:after="283"/>
              <w:jc w:val="left"/>
              <w:rPr/>
            </w:pPr>
            <w:r>
              <w:rPr/>
              <w:t> </w:t>
            </w:r>
          </w:p>
        </w:tc>
        <w:tc>
          <w:tcPr>
            <w:tcW w:w="1447"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CCEEFF" w:val="clear"/>
            <w:vAlign w:val="center"/>
          </w:tcPr>
          <w:p>
            <w:pPr>
              <w:pStyle w:val="TableContents"/>
              <w:bidi w:val="0"/>
              <w:spacing w:before="0" w:after="283"/>
              <w:jc w:val="left"/>
              <w:rPr/>
            </w:pPr>
            <w:r>
              <w:rPr/>
              <w:t> </w:t>
            </w:r>
          </w:p>
        </w:tc>
        <w:tc>
          <w:tcPr>
            <w:tcW w:w="1772" w:type="dxa"/>
            <w:tcBorders>
              <w:bottom w:val="single" w:sz="8" w:space="0" w:color="000000"/>
            </w:tcBorders>
            <w:shd w:fill="CCEEFF" w:val="cle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u w:val="single"/>
        </w:rPr>
        <w:t xml:space="preserve">                                           </w:t>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Represents beneficial ownership of less than one percent (1%) of the outstanding Shares</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245"/>
        <w:gridCol w:w="60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173,834,271 ordinary shares outstanding as of August 17, 2026.</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7,739,394 ordinary shares and (ii) 6,265,789 ordinary shares underlying Pre-Funded Warrants purchased by Biotechnology Value Fund, L.P. (“BVF I”) in the Private Placement.</w:t>
            </w:r>
          </w:p>
        </w:tc>
      </w:tr>
    </w:tbl>
    <w:p>
      <w:pPr>
        <w:pStyle w:val="TextBody"/>
        <w:bidi w:val="0"/>
        <w:spacing w:before="0" w:after="0"/>
        <w:jc w:val="center"/>
        <w:rPr>
          <w:bdr w:val="single" w:sz="8" w:space="1" w:color="000000"/>
        </w:rPr>
      </w:pPr>
      <w:r>
        <w:rPr>
          <w:bdr w:val="single" w:sz="8" w:space="1" w:color="000000"/>
        </w:rPr>
        <w:t>16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5,722,517 ordinary shares and (ii) 4,632,931 ordinary shares underlying Pre-Funded Warrants purchased by Biotechnology Value Fund II, L.P. (“BVF II”) in the Private Placement.</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962,027 ordinary shares and (ii) 778,854 ordinary shares underlying Pre-Funded Warrants purchased by Biotechnology Value Trading Fund OS LP (“BVF Trading”) in the Private Placement.</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2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Maximum number of ordinary shares to be sold pursuant to this prospectus includes (i) 203,955 ordinary shares and (ii) 165,121 ordinary shares underlying Pre-Funded Warrants purchased by MSI BVF SPV, LLC (“MSI” and together with BVF I, BVF II and BVF Trading, the “BVF Entities”) in the Private Placement.</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Pre-Funded Warrants contain an issuance limitation that prohibits the holder from exercising the Pre-Funded Warrants to the extent that after giving effect to such issuance after the exercise, the holder (together with the holder’s affiliates and any other persons acting as a group together with the holder or any of the holder’s affiliates) would beneficially own in excess of 9.99% of our ordinary shares outstanding immediately after giving effect to the issuance of the shares issuable upon exercise of the Pre-Funded Warrants.</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BVF I GP LLC, as general partner of BVF I, may be deemed to beneficially own the shares held by BVF I. BVF II GP LLC, as general partner of BVF II, may be deemed to beneficially own the shares held by BVF II. BVF GP Holdings LLC, as the sole member of BVF I GP LLC and BVF II GP LLC, may be deemed to beneficially own the shares beneficially owned by BVF I and BVF II. BVF Partners OS Ltd, as general partner of BVF Trading, may be deemed to beneficially own the shares beneficially owned by BVF Trading. BVF Partners L.P. (“BVF Partners”), as the sole member of BVF Partners OS Ltd. and the investment adviser of each of BVF I, BVF II, BVF Trading and MSI, may be deemed to beneficially own the shares beneficially owned by BVF I,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The principal business address of the BVF Entities is 44 Montgomery Street, 40th Floor, San Francisco, CA 94104.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Liu has voting and dispositive power over the securities held by Seven Fleet Master Fund LP and Seven Fleet Horizon Master Fund LP. The registered address of Seven Fleet Master Fund LP and Seven Fleet Horizon Master Fund LP is 960 Clemente Way Mountain View, CA 94043.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Longitude Capital Partners V, LLC (“LCPV”) is the general partner of Longitude Venture Partners V, L.P. (“LVPV”) and may be deemed to have voting, investment and dispositive power with respect to these securities. Patrick G. Enright and Juliet Tammenoms Bakker are the managing members of LCPV, and may each be deemed to share voting, investment and dispositive power with respect to these securities. Each of LCPV, Mr. Enright and Ms. Tammenoms Bakker disclaims beneficial ownership of such securities except to the extent of their respective pecuniary interests therein. The address for these individuals and entities is 2740 Sand Hill Road, 2nd Floor, Menlo Park, CA 94025.</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held of record by TCG Crossover Fund III, L.P. 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business address for the foregoing is 245 Lytton Ave., Suite 350, Palo Alto, CA 94301.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 Opportunity, LLC is the general partner of Vivo Opportunity Fund Holdings, L.P., Vivo Opportunity Co-Invest, L.P. and Vivo Opportunity Co-Invest (Cycle 3), L.P. Kevin Dai, Gaurav Aggarwal, Frank Kung and Shan Fu are the managing members of Vivo Opportunity, LLC and may be deemed to share voting, investment and dispositive power over the shares held by Vivo Opportunity Fund Holdings, L.P., Vivo Opportunity Co-Invest, L.P. and Vivo Opportunity Co-Invest (Cycle 3), L.P. Vivo Opportunity Cayman, LLC is the General Partner of Vivo Opportunity Cayman Fund, L.P. and Kevin Dai, Gaurav Aggarwal, Frank Kung and Shan Fu are managing members of Vivo Opportunity Cayman, LLC. They may be deemed to share voting, investment and dispositive power over the shares held by Vivo Opportunity Cayman Fund, L.P. The address of the entities referenced in this footnote is 192 Lytton Avenue, Palo Alto, CA 94301.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9,803,921 shares of our common stock issued pursuant to the Purchase Agreement. 1,715,686 of such shares are held by Spruce Street Capital LP (“Spruce Street Advisor”), as discretionary manager on behalf of a separate account client solely with respect to the assets for which Spruce Street Advisor acts as investment manager, and 8,088,235 of such shares are directly held by Spruce Street Capital Master Fund LP. The address of each of Spruce Street Advisor and Spruce Street Capital Master Fund LP is 777 Third Avenue, Suite 1704, New York, NY 10017.</w:t>
            </w:r>
          </w:p>
        </w:tc>
      </w:tr>
    </w:tbl>
    <w:p>
      <w:pPr>
        <w:pStyle w:val="TextBody"/>
        <w:bidi w:val="0"/>
        <w:spacing w:before="0" w:after="0"/>
        <w:jc w:val="center"/>
        <w:rPr>
          <w:bdr w:val="single" w:sz="8" w:space="1" w:color="000000"/>
        </w:rPr>
      </w:pPr>
      <w:r>
        <w:rPr>
          <w:bdr w:val="single" w:sz="8" w:space="1" w:color="000000"/>
        </w:rPr>
        <w:t>17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Commodore Capital LP is the investment manager to Commodore Capital Master LP and may be deemed to beneficially own the securities held by Commodore Capital Master LP. Michael Kramarz and Robert Egen Atkinson are the managing partners of Commodore Capital LP and exercise investment discretion with respect to these securities. Commodore Capital LP and Commodore Capital Master LP have shared voting and dispositive power with respect to these securities. The address of Commodore Capital LP and Commodore Capital Master LP is 444 Madison Avenue, 35th Floor, New York, NY 10022.</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Caldwell and Alex Munns are the portfolio managers of and have voting and dispositive power over the shares held by Driehaus Life Sciences (QP) Fund, L.P. and Driehaus Life Sciences Master Fund, L.P. (the “Driehaus Funds”). Driehaus Capital Management LLC is the investment adviser of the Driehaus Funds and may be deemed to beneficially own the shares held by the Driehaus Funds. Driehaus Capital Management (USVI) LLC is the general partner of each of the Driehaus Funds. Each of Driehaus Capital Management LLC, Driehaus Capital Management (USVI) LLC and Messrs. Caldwell and Munns disclaim beneficial ownership over the securities held by the Driehaus Funds, except to the extent of its or his respective pecuniary interest therein. The address of each of the individuals and entities referenced in this footnote is c/o Driehaus Capital Management LLC, 25 East Erie Street, Chicago, IL 60611.</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 Capital Management, L.P. (“RA Capital”), as the investment manager of RA Capital Healthcare Fund, L.P. (“RA Fund”), may be deemed to beneficially own the securities beneficially owned by the RA Fund. RA Capital Management GP, LLC (“RA Capital GP”), as the general partner of RA Capital, may be deemed to beneficially own the securities beneficially owned by the RA Fund. Peter Kolchinsky and Rajeev Shah, as the managing members of RA Capital GP, may be deemed to beneficially own the securities beneficially owned by the RA Fund. Each of RA Capital, RA Capital GP, Mr. Kolchinsky and Mr. Shah disclaims beneficial ownership of such securities except to the extent of any pecuniary interest therein. The principal business address of RA Capital and RA Capital GP is 200 Berkeley Street, 18th Floor, Boston, Massachusetts 02116.</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VHCP Management III, LLC (“VHCPM”) is the sole general partner of Venrock Healthcare Capital Partners III, L.P. and the sole manager of VHCP Co-Investment Holdings III, LLC. VHCP Management EG, LLC (“VHCPM EG”) is the sole general partner of Venrock Healthcare Capital Partners EG, L.P. Dr. Bong Koh and Nimish Shah are the voting members of VHCPM and VHCPM EG. The address of each of these persons and entities is 7 Bryant Park, 23rd Floor, New York, NY 10018.</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Logos Opportunities V GP LLC (“GP V”) is the general partner of Logos Opportunities Fund V LP and may be deemed to have beneficial ownership of these shares. Arsani William and Graham Walmsley are the members of GP V. Dr. William and Dr. Walmsley disclaim beneficial ownership of these securities except to the extent of each’s pecuniary interest therein. The address for Logos entities is One Letterman Drive, Building C, Suite C3-350, San Francisco, California 94129.</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Catalio Nexus GP IV, LLC is the general partner of Catalio Nexus Fund IV, LP (“Catalio Nexus”). Catalio Capital Management, LP, a registered investment advisor, serves as the manager for Catalio Nexus and the separately managed account, Catalio BH SPV, LLC. George C. Petrocheilos and R. Jacob Vogelstein have voting or investment control over the shares of Catalio Nexus and Catalio BH SPV, LLC.</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Perceptive Advisors LLC (“Perceptive Advisors”) is the investment advisor to Perceptive Life Sciences Master Fund, Ltd. (the “Perceptive Master Fund”) and may be deemed to have beneficial ownership of the shares beneficially owned thereby. Joseph Edelman is the controlling person of Perceptive Advisors and accordingly may be deemed to have beneficial ownership of the shares beneficially owned by the Perceptive Master Fund and Perceptive Advisors Perceptive Advisors, the Perceptive Master Fund and Mr. Edelman disclaim beneficial ownership of all such shares, except to the extent of any pecuniary interest therein. The principal business address of Perceptive Advisors, the Perceptive Master Fund and Mr. Edelman is 51 Astor Place, 10th Floor, New York, NY 10003.</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2,243,449 ordinary shares held directly by ADAR1 Partners, LP (“ADAR1”), 335,816 shares held directly by Spearhead Insurance Solutions IDF, LLC – Series ADAR1 (“Spearhead”), and 21,715 ordinary shares held directly by separately managed accounts (“managed accounts”). ADAR1 Capital Management, LLC (“ADAR1 LLC”), the investment advisor of ADAR1 and the sub-advisor of Spearhead and the managed accounts, has voting and investment control of the ordinary shares held by ADAR1, Spearhead, and the managed accounts.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w:t>
            </w:r>
          </w:p>
        </w:tc>
      </w:tr>
    </w:tbl>
    <w:p>
      <w:pPr>
        <w:pStyle w:val="TextBody"/>
        <w:bidi w:val="0"/>
        <w:spacing w:before="0" w:after="0"/>
        <w:jc w:val="center"/>
        <w:rPr>
          <w:bdr w:val="single" w:sz="8" w:space="1" w:color="000000"/>
        </w:rPr>
      </w:pPr>
      <w:r>
        <w:rPr>
          <w:bdr w:val="single" w:sz="8" w:space="1" w:color="000000"/>
        </w:rPr>
        <w:t>18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Management Investment Advisers, LLC serves as investment manager to Seligman Healthcare Spectrum (Master) Fund (“SHS Master”). Kosta Kleyman, portfolio manager of SHS Master, may be deemed to exercise ultimate investment power of the securities held by SHS Master.</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Kroin is the managing member of Deep Track Capital GP, LLC (the “GP”). The GP is the general partner of Deep Track Capital, LP (the “IM”). The IM is the investment manager of each of Deep Track Biotechnology Master Fund, Ltd. and Deep Track Special Opportunities Fund, LP. The principal business address is 200 Greenwich Ave, 3rd Fl, Greenwich, CT 06830.</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1,225,490 ordinary shares are held of record by Foresite Capital Fund VI LP (“Fund VI”), and 1,225,490 ordinary shares are held of record by Foresite Public &amp; Crossover Opportunity Fund I, L.P. (“P&amp;CO Fund I”). The general partner of Fund VI is Foresite Capital Management VI LLC (“FCM VI”), and the general partner of P&amp;CO Fund I is Foresite Public &amp; Crossover Opportunity Management I, LLC (“P&amp;COM I”). Dr. James B. Tananbaum is the sole managing member of each of FCM VI and P&amp;COM I and may therefore be deemed to have sole voting and investment power over the shares held by Fund VI and P&amp;CO Fund I. Dr. Tananbaum disclaims beneficial ownership of these shares except to the extent of his pecuniary interest therein. The principal address of the aforementioned entities is 9200 Sunset Boulevard, PH1, West Hollywood, CA 90069.</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Nantahala Capital Management, LLC is a Registered Investment Adviser and has been delegated the legal power to vote and/or direct the disposition of such securities on behalf of the Selling Shareholder as a General Partner, Investment Manager, or Sub-Advisor and would be considered the beneficial owner of such securities. The above shall not be deemed to be an admission by the record owners or the Selling Shareholder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Shareholder. The address for the above referenced entity is 130 Main St., 2nd Floor, New Canaan, CT 06840.</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NEXTBio Capital Management LP (“NEXTBio”) is the management company and investment advisor to the NEXTBio Master Fund LP and NEXTBio Evergreen LLC (“NEXTBio Funds”) and has sole voting and investment power with respect to these securities. NEXTBio Capital Management (GP) LLC (“NEXTBio GP”) is the sole general partner of NEXTBio. Hongbo Lu and Richard Klemm are managing members of NEXTBio GP, which may be deemed to be beneficial owners of the securities directly held by the NEXTBio Funds. Each such person or entity, as the case may be, disclaims beneficial ownership of all securities held by the NEXTBio Funds, except to the extent of their respective pecuniary interest therein. The address of the individuals and entities referenced in this footnote is 500 W 2nd Street, Suite 1900, Austin, TX 78701.</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held by Squadron Master Fund LP. Squadron Capital Management LLC serves as investment adviser to Squadron Master Fund LP and may be deemed to be the beneficial owner of all securities held by the fund. Matthew Sesterhenn and William F. Blank III, as Partners of Squadron Capital Management LLC, with the power to exercise investment and voting discretion, may be deemed to be the beneficial owner of all securities held by the funds. Squadron Capital Management LLC and Messrs. Sesterhenn and Blank disclaim beneficial ownership over any of the securities. The address of Squadron Capital Management LLC is 1211 W. 22nd Street, Suite 1008, Oak Brook, IL 60523.</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Monograph Capital Holdings Advisors, LLC (“Monograph Holdings Advisors”) is the general partner of Monograph Holdings, L.P. (“Monograph Holdings”). Voting and investment decisions with respect to securities held directly or indirectly by Monograph Holdings Advisors are made by a five-member committee and require the affirmative vote of either (i) four members or (ii) three members, one of whom must be Dr. Cohen. Each member may be deemed to beneficially own the securities beneficially owned by Monograph Holdings. However, consistent with the so-called “rule of three,” each member of the committee disclaims beneficial ownership of the securities held by Monograph Holdings. No member individually has voting or investment power over such securities, and voting and investment decisions may be made without the approval of any particular member.</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8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Woodline Partners LP serves as the investment manager of Woodline Master Fund LP and may be deemed to be the beneficial owner of the ordinary shares. Woodline Partners LP disclaims any beneficial ownership of these shares. The address of the Fund is 4 Embarcadero Center, Suite 3450, San Francisco, CA 94111.</w:t>
            </w:r>
          </w:p>
        </w:tc>
      </w:tr>
    </w:tbl>
    <w:p>
      <w:pPr>
        <w:pStyle w:val="TextBody"/>
        <w:bidi w:val="0"/>
        <w:spacing w:before="0" w:after="0"/>
        <w:jc w:val="center"/>
        <w:rPr>
          <w:bdr w:val="single" w:sz="8" w:space="1" w:color="000000"/>
        </w:rPr>
      </w:pPr>
      <w:r>
        <w:rPr>
          <w:bdr w:val="single" w:sz="8" w:space="1" w:color="000000"/>
        </w:rPr>
        <w:t>19</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Diadema Partners LP (“Diadema Partners”) is the investment manager for the Selling Shareholder; and Diadema Partners General Partner LLC (“Diadema Partners GP”) is the sole general partner of Diadema Partners. Timothy Bassett is the sole managing member of Diadema Partners GP. Each of Diadema Partners, Diadema Partners GP, and Mr. Bassett disclaims beneficial ownership of the securities held directly by the Selling Shareholder except to the extent of their pecuniary interest therein. The address of the Selling Shareholder is 2140 Headquarters Plaza, East Tower 2nd Floor, Morristown, NJ 07960.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8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Affinity Asset Advisors, LLC (the “Advisor”) is the investment manager of Affinity Healthcare Fund, LP (the “Fund”) and exercises investment discretion with regard to the shares of Common Stock owned by the Fund. Michael Cho is the managing member of the Advisor. The Fund and the Advisor have the shared power to vote or to direct the vote and to dispose or direct the disposition of such shares of Common Stock of the Issuer owned by the Fund. The Advisor may be deemed to be the beneficial owner of such shares of Common Stock of the Issuer owned by the Fund by virtue of its position as investment manager of the Fund. The principal business address of each of the Fund and the Advisor is 450 Park Avenue, Suite 1403, New York, NY 10022.</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 Management is the investment manager of Sio Partners LP (“Sio Partners”) and Sio Partners Offshore Ltd. (“Offshore”), and Michael Castor is the sole owner and Managing Member of Sio Management. Sio Management and Mr. Castor may be deemed to beneficially own the securities held by Partners and Offshore. Sio GP LLC is the General Partner of Sio Partners. Each of Sio Capital Management LLC, Sio GP LLC, and Michael Castor disclaims beneficial ownership over the securities held of record by the Selling Shareholders, except to the extent of its or his pecuniary interest therein. The business address of each of the foregoing entities and persons is c/o Sio Capital Management, LLC, 600 Third Avenue, 2nd Floor, New York, NY 10016.</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Rosen is the Managing Member of Rubric Capital Management GP LLC, the general partner of Rubric Capital Management LP, and has voting and investment control over the securities held by the Selling Shareholder. The principal business address of the Selling Shareholder is c/o Rubric Capital Management LP, 155 East 44th St, Suite 1630, NY, NY 10017.</w:t>
            </w:r>
          </w:p>
        </w:tc>
      </w:tr>
    </w:tbl>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2"/>
      <w:bookmarkEnd w:id="12"/>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the documents containing such information. The information we incorporate by reference is an important part of this prospectus, and later information that we file with the SEC will automatically update and supersede this information. We incorporate by reference the documents listed below and all future documents (excluding information furnished pursuant to Items 2.02, 7.01 and 9.01 of Form 8-K or any other information that is identified as “furnished” rather than filed) we file with the SEC pursuant to Sections 13(a), 13(c), 14 or 15(d) of the Exchange Act subsequent to the date of this prospectus and prior to the termination of this offering:</w:t>
      </w:r>
    </w:p>
    <w:p>
      <w:pPr>
        <w:pStyle w:val="TextBody"/>
        <w:bidi w:val="0"/>
        <w:spacing w:before="0" w:after="0"/>
        <w:ind w:left="0" w:right="0" w:firstLine="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1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0" w:type="dxa"/>
            <w:tcBorders/>
            <w:vAlign w:val="center"/>
          </w:tcPr>
          <w:p>
            <w:pPr>
              <w:pStyle w:val="TableContents"/>
              <w:bidi w:val="0"/>
              <w:spacing w:before="0" w:after="283"/>
              <w:jc w:val="both"/>
              <w:rPr/>
            </w:pPr>
            <w:r>
              <w:rPr>
                <w:rFonts w:ascii="Times New Roman;Times;Serif" w:hAnsi="Times New Roman;Times;Serif"/>
                <w:sz w:val="20"/>
              </w:rPr>
              <w:t>Our Annual Report on </w:t>
            </w:r>
            <w:hyperlink r:id="rId3">
              <w:r>
                <w:rPr>
                  <w:rStyle w:val="InternetLink"/>
                  <w:rFonts w:ascii="Times New Roman;Times;Serif" w:hAnsi="Times New Roman;Times;Serif"/>
                  <w:sz w:val="20"/>
                  <w:u w:val="single"/>
                </w:rPr>
                <w:t>Form 10-K</w:t>
              </w:r>
            </w:hyperlink>
            <w:r>
              <w:rPr/>
              <w:t xml:space="preserve"> </w:t>
            </w:r>
            <w:r>
              <w:rPr>
                <w:rFonts w:ascii="Times New Roman;Times;Serif" w:hAnsi="Times New Roman;Times;Serif"/>
                <w:sz w:val="20"/>
              </w:rPr>
              <w:t>for the fiscal year ended December 31, 2025, filed with the SEC on March 27, 2026;</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Quarterly Reports on Form 10-Q for the quarter ended March 31, 2026 and June 30, 2026, filed with the SEC on </w:t>
            </w:r>
            <w:hyperlink r:id="rId4">
              <w:r>
                <w:rPr>
                  <w:rStyle w:val="InternetLink"/>
                  <w:rFonts w:ascii="Times New Roman;Times;Serif" w:hAnsi="Times New Roman;Times;Serif"/>
                  <w:sz w:val="20"/>
                </w:rPr>
                <w:t>May 8,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August 7, 2026</w:t>
              </w:r>
            </w:hyperlink>
            <w:r>
              <w:rPr>
                <w:rFonts w:ascii="Times New Roman;Times;Serif" w:hAnsi="Times New Roman;Times;Serif"/>
                <w:sz w:val="20"/>
              </w:rPr>
              <w:t>, respectively;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6">
              <w:r>
                <w:rPr>
                  <w:rStyle w:val="InternetLink"/>
                  <w:rFonts w:ascii="Times New Roman;Times;Serif" w:hAnsi="Times New Roman;Times;Serif"/>
                  <w:sz w:val="20"/>
                  <w:u w:val="single"/>
                </w:rPr>
                <w:t>February 4,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u w:val="single"/>
                </w:rPr>
                <w:t>February 9,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3,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July 16, 2026</w:t>
              </w:r>
            </w:hyperlink>
            <w:r>
              <w:rPr>
                <w:rFonts w:ascii="Times New Roman;Times;Serif" w:hAnsi="Times New Roman;Times;Serif"/>
                <w:sz w:val="20"/>
              </w:rPr>
              <w:t xml:space="preserve"> and </w:t>
            </w:r>
            <w:hyperlink r:id="rId10">
              <w:r>
                <w:rPr>
                  <w:rStyle w:val="InternetLink"/>
                  <w:rFonts w:ascii="Times New Roman;Times;Serif" w:hAnsi="Times New Roman;Times;Serif"/>
                  <w:sz w:val="20"/>
                  <w:u w:val="single"/>
                </w:rPr>
                <w:t>July 28, 2026</w:t>
              </w:r>
            </w:hyperlink>
            <w:r>
              <w:rPr>
                <w:rFonts w:ascii="Times New Roman;Times;Serif" w:hAnsi="Times New Roman;Times;Serif"/>
                <w:sz w:val="20"/>
              </w:rPr>
              <w: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 on </w:t>
            </w:r>
            <w:hyperlink r:id="rId11">
              <w:r>
                <w:rPr>
                  <w:rStyle w:val="InternetLink"/>
                  <w:rFonts w:ascii="Times New Roman;Times;Serif" w:hAnsi="Times New Roman;Times;Serif"/>
                  <w:sz w:val="20"/>
                  <w:u w:val="single"/>
                </w:rPr>
                <w:t>Form 8-A</w:t>
              </w:r>
            </w:hyperlink>
            <w:r>
              <w:rPr>
                <w:rFonts w:ascii="Times New Roman;Times;Serif" w:hAnsi="Times New Roman;Times;Serif"/>
                <w:sz w:val="20"/>
              </w:rPr>
              <w:t xml:space="preserve">, filed on June 25, 2018, and any amendment or report filed for the purpose of updating such description, including without limitation, </w:t>
            </w:r>
            <w:hyperlink r:id="rId12">
              <w:r>
                <w:rPr>
                  <w:rStyle w:val="InternetLink"/>
                  <w:rFonts w:ascii="Times New Roman;Times;Serif" w:hAnsi="Times New Roman;Times;Serif"/>
                  <w:sz w:val="20"/>
                  <w:u w:val="single"/>
                </w:rPr>
                <w:t>Exhibit 4.1</w:t>
              </w:r>
            </w:hyperlink>
            <w:r>
              <w:rPr/>
              <w:t xml:space="preserve"> </w:t>
            </w:r>
            <w:r>
              <w:rPr>
                <w:rFonts w:ascii="Times New Roman;Times;Serif" w:hAnsi="Times New Roman;Times;Serif"/>
                <w:sz w:val="20"/>
              </w:rPr>
              <w:t>of our Annual Report on Form 10-K for the year ended December 31, 2022 filed with the SEC on March 31, 2023.</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filings filed by us pursuant to the Exchange Act after the date of the initial filing of the registration statement of which this prospectus forms a part and prior to the effectiveness of such registration statement (excluding information furnished pursuant to Items 2.02, 7.01 and 9.01 of Form 8-K or any other information that is identified as “furnished” rather than filed) shall also be deemed to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 Kiryat Hadassah, Minrav Building - Fifth Floor, Jerusalem, Israel, Attention: Miranda Toledano, Chief Executive Officer, or made by phone at +972-2-532-7151. You may also access the documents incorporated by reference in this prospectus through our website at www.enterabio.com.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jc w:val="center"/>
        <w:rPr>
          <w:bdr w:val="single" w:sz="8" w:space="1" w:color="000000"/>
        </w:rPr>
      </w:pP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3"/>
      <w:bookmarkEnd w:id="13"/>
      <w:r>
        <w:rPr>
          <w:rFonts w:ascii="Times New Roman;Times;Serif" w:hAnsi="Times New Roman;Times;Serif"/>
          <w:b/>
          <w:i w:val="false"/>
          <w:caps/>
          <w:sz w:val="20"/>
        </w:rPr>
        <w:t>SERVICE OF PROCESS AND ENFORCEMENT OF JUDGMENTS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any Israeli experts named in this prospectus, may be difficult to obtain within the United States. Furthermore, because substantially all of our assets and a significant number of our directors and officers are located outside the United States, any judgment obtained in the United States against us or any of our directors and officers may not be collectible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Herzog Fox &amp; Neeman,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 There is little case law in Israel addressing these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rendered after due process by a court which was, according to the laws of the state of the court, competent jurisdiction to render the judgment;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5560" w:type="dxa"/>
        <w:jc w:val="left"/>
        <w:tblInd w:w="0" w:type="dxa"/>
        <w:tblLayout w:type="fixed"/>
        <w:tblCellMar>
          <w:top w:w="0" w:type="dxa"/>
          <w:left w:w="0" w:type="dxa"/>
          <w:bottom w:w="0" w:type="dxa"/>
          <w:right w:w="0" w:type="dxa"/>
        </w:tblCellMar>
      </w:tblPr>
      <w:tblGrid>
        <w:gridCol w:w="75"/>
        <w:gridCol w:w="11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final and is not subject to any right of appeal;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obligations imposed by the judgment are enforceable according to the laws of the State of Israel and according to the laws of the state in which the judgement was given, and the substance of the judgment is not contrary to public policy.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will not declare a foreign civil judgment enforceable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given in a state whose laws do not provide for the enforcement of judgments of Israeli courts (subject to exceptional cases);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enforcement of the judgment is likely to prejudice the sovereignty or security of the State of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283"/>
              <w:jc w:val="both"/>
              <w:rPr/>
            </w:pPr>
            <w:r>
              <w:rPr/>
              <w:t> </w:t>
            </w:r>
          </w:p>
        </w:tc>
      </w:tr>
    </w:tbl>
    <w:tbl>
      <w:tblPr>
        <w:tblW w:w="3190" w:type="dxa"/>
        <w:jc w:val="left"/>
        <w:tblInd w:w="0" w:type="dxa"/>
        <w:tblLayout w:type="fixed"/>
        <w:tblCellMar>
          <w:top w:w="0" w:type="dxa"/>
          <w:left w:w="0" w:type="dxa"/>
          <w:bottom w:w="0" w:type="dxa"/>
          <w:right w:w="0" w:type="dxa"/>
        </w:tblCellMar>
      </w:tblPr>
      <w:tblGrid>
        <w:gridCol w:w="75"/>
        <w:gridCol w:w="11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obtained by fraud;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opportunity given to the defendant to bring its arguments and evidence before the court was not reasonable in the opinion of the Israeli court;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rendered by a court not competent to render it according to the laws of private international law as they apply in Israel;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contradictory to another judgment that was given in the same matter between the same parties and that is still valid;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jc w:val="center"/>
        <w:rPr>
          <w:bdr w:val="single" w:sz="8" w:space="1" w:color="000000"/>
        </w:rPr>
      </w:pP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4"/>
      <w:bookmarkEnd w:id="1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in respect of which this prospectus is being delivered will be passed upon by Herzog, Fox &amp; Neeman, Tel Aviv,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5"/>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jc w:val="center"/>
        <w:rPr>
          <w:bdr w:val="single" w:sz="8" w:space="1" w:color="000000"/>
        </w:rPr>
      </w:pP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1219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381250" cy="1219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firstLine="360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38097/000117891326001797/zk2634461.htm" TargetMode="External"/><Relationship Id="rId4" Type="http://schemas.openxmlformats.org/officeDocument/2006/relationships/hyperlink" Target="https://www.sec.gov/ix?doc=/Archives/edgar/data/1638097/000117891326002458/zk2635165.htm" TargetMode="External"/><Relationship Id="rId5" Type="http://schemas.openxmlformats.org/officeDocument/2006/relationships/hyperlink" Target="https://www.sec.gov/ix?doc=/Archives/edgar/data/1638097/000117891326003947/zk2635812.htm" TargetMode="External"/><Relationship Id="rId6" Type="http://schemas.openxmlformats.org/officeDocument/2006/relationships/hyperlink" Target="https://www.sec.gov/ix?doc=/Archives/edgar/data/1638097/000117891326000300/zk2634279.htm" TargetMode="External"/><Relationship Id="rId7" Type="http://schemas.openxmlformats.org/officeDocument/2006/relationships/hyperlink" Target="https://www.sec.gov/ix?doc=/Archives/edgar/data/1638097/000117891326000355/zk2634303.htm" TargetMode="External"/><Relationship Id="rId8" Type="http://schemas.openxmlformats.org/officeDocument/2006/relationships/hyperlink" Target="https://www.sec.gov/ix?doc=/Archives/edgar/data/1638097/000117891326002001/zk2634965.htm" TargetMode="External"/><Relationship Id="rId9" Type="http://schemas.openxmlformats.org/officeDocument/2006/relationships/hyperlink" Target="https://www.sec.gov/ix?doc=/Archives/edgar/data/1638097/000117891326003510/zk2635691.htm" TargetMode="External"/><Relationship Id="rId10" Type="http://schemas.openxmlformats.org/officeDocument/2006/relationships/hyperlink" Target="https://www.sec.gov/ix?doc=/Archives/edgar/data/1638097/000117891326003617/zk2635734.htm" TargetMode="External"/><Relationship Id="rId11" Type="http://schemas.openxmlformats.org/officeDocument/2006/relationships/hyperlink" Target="https://www.sec.gov/Archives/edgar/data/1638097/000095010318007696/dp92549_8a12b.htm" TargetMode="External"/><Relationship Id="rId12" Type="http://schemas.openxmlformats.org/officeDocument/2006/relationships/hyperlink" Target="https://www.sec.gov/Archives/edgar/data/1638097/000117891321001087/exhibit_2-2.htm" TargetMode="External"/><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15915</Words>
  <Characters>86048</Characters>
  <CharactersWithSpaces>102675</CharactersWithSpaces>
  <Paragraphs>1823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