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zk2635793.xml.htm"/>
      <w:bookmarkStart w:id="1" w:name="kszk263579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Burshtein Gregory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KIRYAT HADASSAH, MINRAV BUILDING,</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JERUSALEM</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9112002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Entera Bio Ltd.</w:t>
              </w:r>
            </w:hyperlink>
            <w:r>
              <w:rPr/>
              <w:t xml:space="preserve"> [ </w:t>
            </w:r>
            <w:r>
              <w:rPr>
                <w:rFonts w:ascii="Times;serif" w:hAnsi="Times;serif"/>
                <w:color w:val="0000FF"/>
                <w:sz w:val="24"/>
                <w:shd w:fill="FFFFFF" w:val="clear"/>
              </w:rPr>
              <w:t>ENTX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of R&amp;D</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8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1026"/>
        <w:gridCol w:w="921"/>
        <w:gridCol w:w="801"/>
        <w:gridCol w:w="936"/>
        <w:gridCol w:w="831"/>
        <w:gridCol w:w="846"/>
      </w:tblGrid>
      <w:tr>
        <w:trPr>
          <w:tblHeader w:val="true"/>
        </w:trPr>
        <w:tc>
          <w:tcPr>
            <w:tcW w:w="123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02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05/07/2036</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 par value NIS 0.0000769 per share</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options to purchase ordinary shares. This grant of options was approved by the Board of Directors (the "Board") of Entera Bio Ltd. (the "Company") on May 7, 2026, subject to the filing by the Company of a Registration Statement on Form S-8 registering the ordinary shares underlying the option grant, which occurred on August 7, 2026. The options vest over a three year period which began on May 7, 2026, with one third of the options vesting on May 7, 2027 and the remaining two-thirds vesting ratably on a quarterly basis over the remaining two-year period, subject to full acceleration upon a Change in Control (as defined in the Company's 2018 Equity Incentive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Dana Yaacov-Garbeli,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26002" TargetMode="External"/><Relationship Id="rId5" Type="http://schemas.openxmlformats.org/officeDocument/2006/relationships/hyperlink" Target="http://www.sec.gov/cgi-bin/browse-edgar?action=getcompany&amp;CIK=00016380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698</Words>
  <Characters>3754</Characters>
  <CharactersWithSpaces>4380</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