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5, 2018.</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333-221472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40"/>
        <w:spacing w:after="0" w:line="226"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30480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6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AMENDMENT NO. 2</w:t>
      </w:r>
    </w:p>
    <w:p>
      <w:pPr>
        <w:ind w:left="5560"/>
        <w:spacing w:after="0" w:line="226" w:lineRule="auto"/>
        <w:rPr>
          <w:sz w:val="20"/>
          <w:szCs w:val="20"/>
          <w:color w:val="auto"/>
        </w:rPr>
      </w:pPr>
      <w:r>
        <w:rPr>
          <w:rFonts w:ascii="Times New Roman" w:cs="Times New Roman" w:eastAsia="Times New Roman" w:hAnsi="Times New Roman"/>
          <w:sz w:val="18"/>
          <w:szCs w:val="18"/>
          <w:b w:val="1"/>
          <w:bCs w:val="1"/>
          <w:color w:val="auto"/>
        </w:rPr>
        <w:t>TO</w:t>
      </w:r>
    </w:p>
    <w:p>
      <w:pPr>
        <w:ind w:left="5260"/>
        <w:spacing w:after="0" w:line="219" w:lineRule="auto"/>
        <w:rPr>
          <w:sz w:val="20"/>
          <w:szCs w:val="20"/>
          <w:color w:val="auto"/>
        </w:rPr>
      </w:pPr>
      <w:r>
        <w:rPr>
          <w:rFonts w:ascii="Times New Roman" w:cs="Times New Roman" w:eastAsia="Times New Roman" w:hAnsi="Times New Roman"/>
          <w:sz w:val="18"/>
          <w:szCs w:val="18"/>
          <w:b w:val="1"/>
          <w:bCs w:val="1"/>
          <w:color w:val="auto"/>
        </w:rPr>
        <w:t>FORM F-1</w:t>
      </w:r>
    </w:p>
    <w:p>
      <w:pPr>
        <w:ind w:left="4420"/>
        <w:spacing w:after="0" w:line="219" w:lineRule="auto"/>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30480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ENTERA BIO LTD.</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47625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69"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2840" w:type="dxa"/>
            <w:vAlign w:val="bottom"/>
          </w:tcPr>
          <w:p>
            <w:pPr>
              <w:jc w:val="center"/>
              <w:ind w:right="982"/>
              <w:spacing w:after="0"/>
              <w:rPr>
                <w:sz w:val="20"/>
                <w:szCs w:val="20"/>
                <w:color w:val="auto"/>
              </w:rPr>
            </w:pPr>
            <w:r>
              <w:rPr>
                <w:rFonts w:ascii="Times New Roman" w:cs="Times New Roman" w:eastAsia="Times New Roman" w:hAnsi="Times New Roman"/>
                <w:sz w:val="18"/>
                <w:szCs w:val="18"/>
                <w:b w:val="1"/>
                <w:bCs w:val="1"/>
                <w:color w:val="auto"/>
                <w:w w:val="99"/>
              </w:rPr>
              <w:t>State of Israel</w:t>
            </w:r>
          </w:p>
        </w:tc>
        <w:tc>
          <w:tcPr>
            <w:tcW w:w="396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360" w:type="dxa"/>
            <w:vAlign w:val="bottom"/>
          </w:tcPr>
          <w:p>
            <w:pPr>
              <w:jc w:val="center"/>
              <w:ind w:left="1142"/>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44"/>
        </w:trPr>
        <w:tc>
          <w:tcPr>
            <w:tcW w:w="2840" w:type="dxa"/>
            <w:vAlign w:val="bottom"/>
          </w:tcPr>
          <w:p>
            <w:pPr>
              <w:jc w:val="center"/>
              <w:ind w:right="1002"/>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960" w:type="dxa"/>
            <w:vAlign w:val="bottom"/>
          </w:tcPr>
          <w:p>
            <w:pPr>
              <w:jc w:val="center"/>
              <w:ind w:right="122"/>
              <w:spacing w:after="0" w:line="145" w:lineRule="exact"/>
              <w:rPr>
                <w:sz w:val="20"/>
                <w:szCs w:val="20"/>
                <w:color w:val="auto"/>
              </w:rPr>
            </w:pPr>
            <w:r>
              <w:rPr>
                <w:rFonts w:ascii="Times New Roman" w:cs="Times New Roman" w:eastAsia="Times New Roman" w:hAnsi="Times New Roman"/>
                <w:sz w:val="14"/>
                <w:szCs w:val="14"/>
                <w:color w:val="auto"/>
              </w:rPr>
              <w:t>(Primary Standard Industrial</w:t>
            </w:r>
          </w:p>
        </w:tc>
        <w:tc>
          <w:tcPr>
            <w:tcW w:w="2360" w:type="dxa"/>
            <w:vAlign w:val="bottom"/>
          </w:tcPr>
          <w:p>
            <w:pPr>
              <w:jc w:val="center"/>
              <w:ind w:left="1102"/>
              <w:spacing w:after="0" w:line="145"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840" w:type="dxa"/>
            <w:vAlign w:val="bottom"/>
          </w:tcPr>
          <w:p>
            <w:pPr>
              <w:jc w:val="center"/>
              <w:ind w:right="98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96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2360" w:type="dxa"/>
            <w:vAlign w:val="bottom"/>
          </w:tcPr>
          <w:p>
            <w:pPr>
              <w:jc w:val="center"/>
              <w:ind w:left="1142"/>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Entera Bio Ltd.</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Kiryat Hadassah</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Minrav Building – Fifth Floor</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Jerusalem 9112002</w:t>
      </w:r>
    </w:p>
    <w:p>
      <w:pPr>
        <w:jc w:val="center"/>
        <w:ind w:right="40"/>
        <w:spacing w:after="0" w:line="219" w:lineRule="auto"/>
        <w:rPr>
          <w:sz w:val="20"/>
          <w:szCs w:val="20"/>
          <w:color w:val="auto"/>
        </w:rPr>
      </w:pPr>
      <w:r>
        <w:rPr>
          <w:rFonts w:ascii="Times New Roman" w:cs="Times New Roman" w:eastAsia="Times New Roman" w:hAnsi="Times New Roman"/>
          <w:sz w:val="18"/>
          <w:szCs w:val="18"/>
          <w:b w:val="1"/>
          <w:bCs w:val="1"/>
          <w:color w:val="auto"/>
        </w:rPr>
        <w:t>Israel</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 (2) 532-7151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52070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700"/>
        <w:spacing w:after="0" w:line="188" w:lineRule="auto"/>
        <w:rPr>
          <w:sz w:val="20"/>
          <w:szCs w:val="20"/>
          <w:color w:val="auto"/>
        </w:rPr>
      </w:pPr>
      <w:r>
        <w:rPr>
          <w:rFonts w:ascii="Times New Roman" w:cs="Times New Roman" w:eastAsia="Times New Roman" w:hAnsi="Times New Roman"/>
          <w:sz w:val="18"/>
          <w:szCs w:val="18"/>
          <w:b w:val="1"/>
          <w:bCs w:val="1"/>
          <w:color w:val="auto"/>
        </w:rPr>
        <w:t>10 E 40</w:t>
      </w:r>
      <w:r>
        <w:rPr>
          <w:rFonts w:ascii="Times New Roman" w:cs="Times New Roman" w:eastAsia="Times New Roman" w:hAnsi="Times New Roman"/>
          <w:sz w:val="27"/>
          <w:szCs w:val="27"/>
          <w:b w:val="1"/>
          <w:bCs w:val="1"/>
          <w:color w:val="auto"/>
          <w:vertAlign w:val="superscript"/>
        </w:rPr>
        <w:t>th</w:t>
      </w:r>
      <w:r>
        <w:rPr>
          <w:rFonts w:ascii="Times New Roman" w:cs="Times New Roman" w:eastAsia="Times New Roman" w:hAnsi="Times New Roman"/>
          <w:sz w:val="18"/>
          <w:szCs w:val="18"/>
          <w:b w:val="1"/>
          <w:bCs w:val="1"/>
          <w:color w:val="auto"/>
        </w:rPr>
        <w:t xml:space="preserve"> Street, 10</w:t>
      </w:r>
      <w:r>
        <w:rPr>
          <w:rFonts w:ascii="Times New Roman" w:cs="Times New Roman" w:eastAsia="Times New Roman" w:hAnsi="Times New Roman"/>
          <w:sz w:val="27"/>
          <w:szCs w:val="27"/>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New York, New York 10016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(800) 221-0102</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52070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bl>
      <w:tblPr>
        <w:tblLayout w:type="fixed"/>
        <w:tblInd w:w="320" w:type="dxa"/>
        <w:tblCellMar>
          <w:top w:w="0" w:type="dxa"/>
          <w:left w:w="0" w:type="dxa"/>
          <w:bottom w:w="0" w:type="dxa"/>
          <w:right w:w="0" w:type="dxa"/>
        </w:tblCellMar>
      </w:tblPr>
      <w:tr>
        <w:trPr>
          <w:trHeight w:val="166"/>
        </w:trPr>
        <w:tc>
          <w:tcPr>
            <w:tcW w:w="2560" w:type="dxa"/>
            <w:vAlign w:val="bottom"/>
          </w:tcPr>
          <w:p>
            <w:pPr>
              <w:jc w:val="center"/>
              <w:ind w:right="355"/>
              <w:spacing w:after="0" w:line="167" w:lineRule="exact"/>
              <w:rPr>
                <w:sz w:val="20"/>
                <w:szCs w:val="20"/>
                <w:color w:val="auto"/>
              </w:rPr>
            </w:pPr>
            <w:r>
              <w:rPr>
                <w:rFonts w:ascii="Times New Roman" w:cs="Times New Roman" w:eastAsia="Times New Roman" w:hAnsi="Times New Roman"/>
                <w:sz w:val="17"/>
                <w:szCs w:val="17"/>
                <w:b w:val="1"/>
                <w:bCs w:val="1"/>
                <w:color w:val="auto"/>
              </w:rPr>
              <w:t>Michael P. Kaplan, Esq.</w:t>
            </w:r>
          </w:p>
        </w:tc>
        <w:tc>
          <w:tcPr>
            <w:tcW w:w="27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8"/>
              </w:rPr>
              <w:t>Yair Geva, Adv.</w:t>
            </w:r>
          </w:p>
        </w:tc>
        <w:tc>
          <w:tcPr>
            <w:tcW w:w="29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9"/>
              </w:rPr>
              <w:t>Ivan K. Blumenthal, Esq.</w:t>
            </w:r>
          </w:p>
        </w:tc>
        <w:tc>
          <w:tcPr>
            <w:tcW w:w="2260" w:type="dxa"/>
            <w:vAlign w:val="bottom"/>
          </w:tcPr>
          <w:p>
            <w:pPr>
              <w:jc w:val="center"/>
              <w:ind w:left="415"/>
              <w:spacing w:after="0" w:line="167" w:lineRule="exact"/>
              <w:rPr>
                <w:sz w:val="20"/>
                <w:szCs w:val="20"/>
                <w:color w:val="auto"/>
              </w:rPr>
            </w:pPr>
            <w:r>
              <w:rPr>
                <w:rFonts w:ascii="Times New Roman" w:cs="Times New Roman" w:eastAsia="Times New Roman" w:hAnsi="Times New Roman"/>
                <w:sz w:val="17"/>
                <w:szCs w:val="17"/>
                <w:b w:val="1"/>
                <w:bCs w:val="1"/>
                <w:color w:val="auto"/>
                <w:w w:val="99"/>
              </w:rPr>
              <w:t>Chaim Friedland, Adv.</w:t>
            </w:r>
          </w:p>
        </w:tc>
      </w:tr>
      <w:tr>
        <w:trPr>
          <w:trHeight w:val="162"/>
        </w:trPr>
        <w:tc>
          <w:tcPr>
            <w:tcW w:w="2560" w:type="dxa"/>
            <w:vAlign w:val="bottom"/>
          </w:tcPr>
          <w:p>
            <w:pPr>
              <w:jc w:val="center"/>
              <w:ind w:right="355"/>
              <w:spacing w:after="0" w:line="162" w:lineRule="exact"/>
              <w:rPr>
                <w:sz w:val="20"/>
                <w:szCs w:val="20"/>
                <w:color w:val="auto"/>
              </w:rPr>
            </w:pPr>
            <w:r>
              <w:rPr>
                <w:rFonts w:ascii="Times New Roman" w:cs="Times New Roman" w:eastAsia="Times New Roman" w:hAnsi="Times New Roman"/>
                <w:sz w:val="17"/>
                <w:szCs w:val="17"/>
                <w:b w:val="1"/>
                <w:bCs w:val="1"/>
                <w:color w:val="auto"/>
              </w:rPr>
              <w:t>Sophia Hudson, Esq.</w:t>
            </w:r>
          </w:p>
        </w:tc>
        <w:tc>
          <w:tcPr>
            <w:tcW w:w="278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9"/>
              </w:rPr>
              <w:t>Ron Ben Menachem, Adv.</w:t>
            </w:r>
          </w:p>
        </w:tc>
        <w:tc>
          <w:tcPr>
            <w:tcW w:w="298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7"/>
                <w:szCs w:val="17"/>
                <w:b w:val="1"/>
                <w:bCs w:val="1"/>
                <w:color w:val="auto"/>
              </w:rPr>
              <w:t>Mintz, Levin, Cohn, Ferris,</w:t>
            </w:r>
          </w:p>
        </w:tc>
        <w:tc>
          <w:tcPr>
            <w:tcW w:w="2260" w:type="dxa"/>
            <w:vAlign w:val="bottom"/>
          </w:tcPr>
          <w:p>
            <w:pPr>
              <w:jc w:val="center"/>
              <w:ind w:left="435"/>
              <w:spacing w:after="0" w:line="162" w:lineRule="exact"/>
              <w:rPr>
                <w:sz w:val="20"/>
                <w:szCs w:val="20"/>
                <w:color w:val="auto"/>
              </w:rPr>
            </w:pPr>
            <w:r>
              <w:rPr>
                <w:rFonts w:ascii="Times New Roman" w:cs="Times New Roman" w:eastAsia="Times New Roman" w:hAnsi="Times New Roman"/>
                <w:sz w:val="17"/>
                <w:szCs w:val="17"/>
                <w:b w:val="1"/>
                <w:bCs w:val="1"/>
                <w:color w:val="auto"/>
                <w:w w:val="98"/>
              </w:rPr>
              <w:t>Ari Fried, Adv.</w:t>
            </w:r>
          </w:p>
        </w:tc>
      </w:tr>
      <w:tr>
        <w:trPr>
          <w:trHeight w:val="162"/>
        </w:trPr>
        <w:tc>
          <w:tcPr>
            <w:tcW w:w="2560" w:type="dxa"/>
            <w:vAlign w:val="bottom"/>
          </w:tcPr>
          <w:p>
            <w:pPr>
              <w:jc w:val="center"/>
              <w:ind w:right="375"/>
              <w:spacing w:after="0" w:line="162" w:lineRule="exact"/>
              <w:rPr>
                <w:sz w:val="20"/>
                <w:szCs w:val="20"/>
                <w:color w:val="auto"/>
              </w:rPr>
            </w:pPr>
            <w:r>
              <w:rPr>
                <w:rFonts w:ascii="Times New Roman" w:cs="Times New Roman" w:eastAsia="Times New Roman" w:hAnsi="Times New Roman"/>
                <w:sz w:val="17"/>
                <w:szCs w:val="17"/>
                <w:b w:val="1"/>
                <w:bCs w:val="1"/>
                <w:color w:val="auto"/>
              </w:rPr>
              <w:t>Davis Polk &amp; Wardwell LLP</w:t>
            </w:r>
          </w:p>
        </w:tc>
        <w:tc>
          <w:tcPr>
            <w:tcW w:w="278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9"/>
              </w:rPr>
              <w:t>Tomer Farkash, Adv.</w:t>
            </w:r>
          </w:p>
        </w:tc>
        <w:tc>
          <w:tcPr>
            <w:tcW w:w="298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Glovsky, and Popeo PC</w:t>
            </w:r>
          </w:p>
        </w:tc>
        <w:tc>
          <w:tcPr>
            <w:tcW w:w="2260" w:type="dxa"/>
            <w:vAlign w:val="bottom"/>
          </w:tcPr>
          <w:p>
            <w:pPr>
              <w:jc w:val="center"/>
              <w:ind w:left="435"/>
              <w:spacing w:after="0" w:line="162" w:lineRule="exact"/>
              <w:rPr>
                <w:sz w:val="20"/>
                <w:szCs w:val="20"/>
                <w:color w:val="auto"/>
              </w:rPr>
            </w:pPr>
            <w:r>
              <w:rPr>
                <w:rFonts w:ascii="Times New Roman" w:cs="Times New Roman" w:eastAsia="Times New Roman" w:hAnsi="Times New Roman"/>
                <w:sz w:val="17"/>
                <w:szCs w:val="17"/>
                <w:b w:val="1"/>
                <w:bCs w:val="1"/>
                <w:color w:val="auto"/>
                <w:w w:val="99"/>
              </w:rPr>
              <w:t>Gornitzky &amp; Co.</w:t>
            </w:r>
          </w:p>
        </w:tc>
      </w:tr>
      <w:tr>
        <w:trPr>
          <w:trHeight w:val="162"/>
        </w:trPr>
        <w:tc>
          <w:tcPr>
            <w:tcW w:w="2560" w:type="dxa"/>
            <w:vAlign w:val="bottom"/>
          </w:tcPr>
          <w:p>
            <w:pPr>
              <w:jc w:val="center"/>
              <w:ind w:right="375"/>
              <w:spacing w:after="0" w:line="162" w:lineRule="exact"/>
              <w:rPr>
                <w:sz w:val="20"/>
                <w:szCs w:val="20"/>
                <w:color w:val="auto"/>
              </w:rPr>
            </w:pPr>
            <w:r>
              <w:rPr>
                <w:rFonts w:ascii="Times New Roman" w:cs="Times New Roman" w:eastAsia="Times New Roman" w:hAnsi="Times New Roman"/>
                <w:sz w:val="17"/>
                <w:szCs w:val="17"/>
                <w:b w:val="1"/>
                <w:bCs w:val="1"/>
                <w:color w:val="auto"/>
                <w:w w:val="99"/>
              </w:rPr>
              <w:t>450 Lexington Avenue</w:t>
            </w:r>
          </w:p>
        </w:tc>
        <w:tc>
          <w:tcPr>
            <w:tcW w:w="278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Herzog Fox &amp; Neeman</w:t>
            </w:r>
          </w:p>
        </w:tc>
        <w:tc>
          <w:tcPr>
            <w:tcW w:w="298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666 Third Avenue</w:t>
            </w:r>
          </w:p>
        </w:tc>
        <w:tc>
          <w:tcPr>
            <w:tcW w:w="2260" w:type="dxa"/>
            <w:vAlign w:val="bottom"/>
          </w:tcPr>
          <w:p>
            <w:pPr>
              <w:jc w:val="center"/>
              <w:ind w:left="415"/>
              <w:spacing w:after="0" w:line="162" w:lineRule="exact"/>
              <w:rPr>
                <w:sz w:val="20"/>
                <w:szCs w:val="20"/>
                <w:color w:val="auto"/>
              </w:rPr>
            </w:pPr>
            <w:r>
              <w:rPr>
                <w:rFonts w:ascii="Times New Roman" w:cs="Times New Roman" w:eastAsia="Times New Roman" w:hAnsi="Times New Roman"/>
                <w:sz w:val="17"/>
                <w:szCs w:val="17"/>
                <w:b w:val="1"/>
                <w:bCs w:val="1"/>
                <w:color w:val="auto"/>
              </w:rPr>
              <w:t>Zion House</w:t>
            </w:r>
          </w:p>
        </w:tc>
      </w:tr>
      <w:tr>
        <w:trPr>
          <w:trHeight w:val="162"/>
        </w:trPr>
        <w:tc>
          <w:tcPr>
            <w:tcW w:w="2560" w:type="dxa"/>
            <w:vAlign w:val="bottom"/>
          </w:tcPr>
          <w:p>
            <w:pPr>
              <w:jc w:val="center"/>
              <w:ind w:right="355"/>
              <w:spacing w:after="0" w:line="162" w:lineRule="exact"/>
              <w:rPr>
                <w:sz w:val="20"/>
                <w:szCs w:val="20"/>
                <w:color w:val="auto"/>
              </w:rPr>
            </w:pPr>
            <w:r>
              <w:rPr>
                <w:rFonts w:ascii="Times New Roman" w:cs="Times New Roman" w:eastAsia="Times New Roman" w:hAnsi="Times New Roman"/>
                <w:sz w:val="17"/>
                <w:szCs w:val="17"/>
                <w:b w:val="1"/>
                <w:bCs w:val="1"/>
                <w:color w:val="auto"/>
                <w:w w:val="98"/>
              </w:rPr>
              <w:t>New York, New York 10017</w:t>
            </w:r>
          </w:p>
        </w:tc>
        <w:tc>
          <w:tcPr>
            <w:tcW w:w="278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9"/>
              </w:rPr>
              <w:t>4 Weizmann Street</w:t>
            </w:r>
          </w:p>
        </w:tc>
        <w:tc>
          <w:tcPr>
            <w:tcW w:w="298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8"/>
              </w:rPr>
              <w:t>New York, New York 10017</w:t>
            </w:r>
          </w:p>
        </w:tc>
        <w:tc>
          <w:tcPr>
            <w:tcW w:w="2260" w:type="dxa"/>
            <w:vAlign w:val="bottom"/>
          </w:tcPr>
          <w:p>
            <w:pPr>
              <w:jc w:val="center"/>
              <w:ind w:left="435"/>
              <w:spacing w:after="0" w:line="162" w:lineRule="exact"/>
              <w:rPr>
                <w:sz w:val="20"/>
                <w:szCs w:val="20"/>
                <w:color w:val="auto"/>
              </w:rPr>
            </w:pPr>
            <w:r>
              <w:rPr>
                <w:rFonts w:ascii="Times New Roman" w:cs="Times New Roman" w:eastAsia="Times New Roman" w:hAnsi="Times New Roman"/>
                <w:sz w:val="17"/>
                <w:szCs w:val="17"/>
                <w:b w:val="1"/>
                <w:bCs w:val="1"/>
                <w:color w:val="auto"/>
                <w:w w:val="99"/>
              </w:rPr>
              <w:t>45 Rothschild Blvd.</w:t>
            </w:r>
          </w:p>
        </w:tc>
      </w:tr>
      <w:tr>
        <w:trPr>
          <w:trHeight w:val="162"/>
        </w:trPr>
        <w:tc>
          <w:tcPr>
            <w:tcW w:w="2560" w:type="dxa"/>
            <w:vAlign w:val="bottom"/>
          </w:tcPr>
          <w:p>
            <w:pPr>
              <w:jc w:val="center"/>
              <w:ind w:right="355"/>
              <w:spacing w:after="0" w:line="162" w:lineRule="exact"/>
              <w:rPr>
                <w:sz w:val="20"/>
                <w:szCs w:val="20"/>
                <w:color w:val="auto"/>
              </w:rPr>
            </w:pPr>
            <w:r>
              <w:rPr>
                <w:rFonts w:ascii="Times New Roman" w:cs="Times New Roman" w:eastAsia="Times New Roman" w:hAnsi="Times New Roman"/>
                <w:sz w:val="17"/>
                <w:szCs w:val="17"/>
                <w:b w:val="1"/>
                <w:bCs w:val="1"/>
                <w:color w:val="auto"/>
              </w:rPr>
              <w:t>(212) 450-4000</w:t>
            </w:r>
          </w:p>
        </w:tc>
        <w:tc>
          <w:tcPr>
            <w:tcW w:w="278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9"/>
              </w:rPr>
              <w:t>Tel Aviv 6423904, Israel</w:t>
            </w:r>
          </w:p>
        </w:tc>
        <w:tc>
          <w:tcPr>
            <w:tcW w:w="298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(212) 935-3000</w:t>
            </w:r>
          </w:p>
        </w:tc>
        <w:tc>
          <w:tcPr>
            <w:tcW w:w="2260" w:type="dxa"/>
            <w:vAlign w:val="bottom"/>
          </w:tcPr>
          <w:p>
            <w:pPr>
              <w:jc w:val="center"/>
              <w:ind w:left="435"/>
              <w:spacing w:after="0" w:line="162" w:lineRule="exact"/>
              <w:rPr>
                <w:sz w:val="20"/>
                <w:szCs w:val="20"/>
                <w:color w:val="auto"/>
              </w:rPr>
            </w:pPr>
            <w:r>
              <w:rPr>
                <w:rFonts w:ascii="Times New Roman" w:cs="Times New Roman" w:eastAsia="Times New Roman" w:hAnsi="Times New Roman"/>
                <w:sz w:val="17"/>
                <w:szCs w:val="17"/>
                <w:b w:val="1"/>
                <w:bCs w:val="1"/>
                <w:color w:val="auto"/>
                <w:w w:val="99"/>
              </w:rPr>
              <w:t>Tel Aviv 6578403, Israel</w:t>
            </w:r>
          </w:p>
        </w:tc>
      </w:tr>
      <w:tr>
        <w:trPr>
          <w:trHeight w:val="226"/>
        </w:trPr>
        <w:tc>
          <w:tcPr>
            <w:tcW w:w="256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+972 (3) 692-2020</w:t>
            </w:r>
          </w:p>
        </w:tc>
        <w:tc>
          <w:tcPr>
            <w:tcW w:w="2980" w:type="dxa"/>
            <w:vAlign w:val="bottom"/>
          </w:tcPr>
          <w:p>
            <w:pPr>
              <w:spacing w:after="0"/>
              <w:rPr>
                <w:sz w:val="19"/>
                <w:szCs w:val="19"/>
                <w:color w:val="auto"/>
              </w:rPr>
            </w:pPr>
          </w:p>
        </w:tc>
        <w:tc>
          <w:tcPr>
            <w:tcW w:w="2260" w:type="dxa"/>
            <w:vAlign w:val="bottom"/>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rPr>
              <w:t>+972 (3) 710-9191</w:t>
            </w:r>
          </w:p>
        </w:tc>
      </w:tr>
    </w:tbl>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effectiveness of this registration statement.</w:t>
      </w:r>
    </w:p>
    <w:p>
      <w:pPr>
        <w:spacing w:after="0" w:line="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340"/>
        <w:spacing w:after="0" w:line="155"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320"/>
        <w:spacing w:after="0" w:line="155"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w:t>
      </w:r>
    </w:p>
    <w:p>
      <w:pPr>
        <w:spacing w:after="0" w:line="1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4" w:lineRule="exact"/>
        <w:rPr>
          <w:sz w:val="24"/>
          <w:szCs w:val="24"/>
          <w:color w:val="auto"/>
        </w:rPr>
      </w:pPr>
    </w:p>
    <w:p>
      <w:pPr>
        <w:ind w:right="60"/>
        <w:spacing w:after="0" w:line="155"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left="180" w:right="560" w:hanging="172"/>
        <w:spacing w:after="0" w:line="239" w:lineRule="auto"/>
        <w:tabs>
          <w:tab w:leader="none" w:pos="1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Proposed Maximum</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Amount To Be</w:t>
            </w:r>
          </w:p>
        </w:tc>
        <w:tc>
          <w:tcPr>
            <w:tcW w:w="18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Aggregate Offering Price</w:t>
            </w:r>
          </w:p>
        </w:tc>
        <w:tc>
          <w:tcPr>
            <w:tcW w:w="19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Proposed Maximum</w:t>
            </w:r>
          </w:p>
        </w:tc>
        <w:tc>
          <w:tcPr>
            <w:tcW w:w="150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Amount of</w:t>
            </w:r>
          </w:p>
        </w:tc>
      </w:tr>
      <w:tr>
        <w:trPr>
          <w:trHeight w:val="166"/>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Title of Each Class of Securities to be Registered</w:t>
            </w:r>
          </w:p>
        </w:tc>
        <w:tc>
          <w:tcPr>
            <w:tcW w:w="104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w w:val="94"/>
              </w:rPr>
              <w:t>Registered</w:t>
            </w:r>
          </w:p>
        </w:tc>
        <w:tc>
          <w:tcPr>
            <w:tcW w:w="18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Per Share(1)</w:t>
            </w:r>
          </w:p>
        </w:tc>
        <w:tc>
          <w:tcPr>
            <w:tcW w:w="19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Aggregate Offering Price</w:t>
            </w: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Registration Fee(3)</w:t>
            </w:r>
          </w:p>
        </w:tc>
      </w:tr>
      <w:tr>
        <w:trPr>
          <w:trHeight w:val="30"/>
        </w:trPr>
        <w:tc>
          <w:tcPr>
            <w:tcW w:w="2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par value NIS 0.0001117 per share</w:t>
            </w:r>
          </w:p>
        </w:tc>
        <w:tc>
          <w:tcPr>
            <w:tcW w:w="20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5,750,000(2)</w:t>
            </w:r>
          </w:p>
        </w:tc>
        <w:tc>
          <w:tcPr>
            <w:tcW w:w="186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4"/>
                <w:szCs w:val="14"/>
                <w:color w:val="auto"/>
              </w:rPr>
              <w:t>$12.00</w:t>
            </w:r>
          </w:p>
        </w:tc>
        <w:tc>
          <w:tcPr>
            <w:tcW w:w="19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$69,000,000(2)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8,591</w:t>
            </w:r>
          </w:p>
        </w:tc>
      </w:tr>
      <w:tr>
        <w:trPr>
          <w:trHeight w:val="206"/>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Ordinary shares, par value NIS 0.0001117 per share(4)</w:t>
            </w:r>
          </w:p>
        </w:tc>
        <w:tc>
          <w:tcPr>
            <w:tcW w:w="20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984,500</w:t>
            </w:r>
          </w:p>
        </w:tc>
        <w:tc>
          <w:tcPr>
            <w:tcW w:w="186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color w:val="auto"/>
              </w:rPr>
              <w:t>$12.00</w:t>
            </w:r>
          </w:p>
        </w:tc>
        <w:tc>
          <w:tcPr>
            <w:tcW w:w="196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$11,814,000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1,471</w:t>
            </w:r>
          </w:p>
        </w:tc>
      </w:tr>
      <w:tr>
        <w:trPr>
          <w:trHeight w:val="24"/>
        </w:trPr>
        <w:tc>
          <w:tcPr>
            <w:tcW w:w="2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05"/>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w w:val="96"/>
              </w:rPr>
              <w:t>6,734,500</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$80,814,000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w w:val="98"/>
              </w:rPr>
              <w:t>10,062</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r>
        <w:trPr>
          <w:trHeight w:val="53"/>
        </w:trPr>
        <w:tc>
          <w:tcPr>
            <w:tcW w:w="2300" w:type="dxa"/>
            <w:vAlign w:val="bottom"/>
            <w:tcBorders>
              <w:bottom w:val="single" w:sz="8" w:color="auto"/>
            </w:tcBorders>
          </w:tcPr>
          <w:p>
            <w:pPr>
              <w:spacing w:after="0"/>
              <w:rPr>
                <w:sz w:val="4"/>
                <w:szCs w:val="4"/>
                <w:color w:val="auto"/>
              </w:rPr>
            </w:pPr>
          </w:p>
        </w:tc>
        <w:tc>
          <w:tcPr>
            <w:tcW w:w="1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60" w:hanging="352"/>
        <w:spacing w:after="0" w:line="191" w:lineRule="auto"/>
        <w:tabs>
          <w:tab w:leader="none" w:pos="3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 457(o) under the Securities Act of 1933.</w:t>
      </w:r>
    </w:p>
    <w:p>
      <w:pPr>
        <w:ind w:left="360" w:hanging="352"/>
        <w:spacing w:after="0" w:line="181" w:lineRule="auto"/>
        <w:tabs>
          <w:tab w:leader="none" w:pos="3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750,000 additional ordinary shares that the underwriters have the option to purchase.</w:t>
      </w:r>
    </w:p>
    <w:p>
      <w:pPr>
        <w:ind w:left="360" w:hanging="352"/>
        <w:spacing w:after="0" w:line="181" w:lineRule="auto"/>
        <w:tabs>
          <w:tab w:leader="none" w:pos="3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has previously paid $6,225 of this amount in connection with the initial filing of the Registration Statement.</w:t>
      </w:r>
    </w:p>
    <w:p>
      <w:pPr>
        <w:ind w:left="360" w:right="760" w:hanging="352"/>
        <w:spacing w:after="0" w:line="229" w:lineRule="auto"/>
        <w:tabs>
          <w:tab w:leader="none" w:pos="3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ordinary shares that are being registered for resale under the Selling Stockholder Resale Prospectus (as defined below) by the selling stockholders named in the Selling Stockholder Resale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6350</wp:posOffset>
            </wp:positionV>
            <wp:extent cx="1449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6" w:lineRule="exact"/>
        <w:rPr>
          <w:sz w:val="24"/>
          <w:szCs w:val="24"/>
          <w:color w:val="auto"/>
        </w:rPr>
      </w:pPr>
    </w:p>
    <w:p>
      <w:pPr>
        <w:jc w:val="both"/>
        <w:ind w:right="100"/>
        <w:spacing w:after="0" w:line="228"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294640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1" w:right="239" w:bottom="1440" w:gutter="0" w:footer="0" w:header="0"/>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registration statement contains two forms of prospectus, as set forth below.</w:t>
      </w:r>
    </w:p>
    <w:p>
      <w:pPr>
        <w:spacing w:after="0" w:line="196" w:lineRule="exact"/>
        <w:rPr>
          <w:sz w:val="20"/>
          <w:szCs w:val="20"/>
          <w:color w:val="auto"/>
        </w:rPr>
      </w:pPr>
    </w:p>
    <w:p>
      <w:pPr>
        <w:ind w:left="360" w:right="340" w:hanging="172"/>
        <w:spacing w:after="0" w:line="267"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Offering Prospectus</w:t>
      </w:r>
      <w:r>
        <w:rPr>
          <w:rFonts w:ascii="Times New Roman" w:cs="Times New Roman" w:eastAsia="Times New Roman" w:hAnsi="Times New Roman"/>
          <w:sz w:val="18"/>
          <w:szCs w:val="18"/>
          <w:color w:val="auto"/>
        </w:rPr>
        <w:t>. A prospectus to be used for the initial public offering by Entera Bio Ltd. of 5,000,000 ordinary shares (and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750,000 ordinary shares which may be sold upon exercise of the underwriters’ over-allotment option) through the underwriters named on the cover page of the Public Offering Prospectus; and</w:t>
      </w:r>
    </w:p>
    <w:p>
      <w:pPr>
        <w:spacing w:after="0" w:line="133" w:lineRule="exact"/>
        <w:rPr>
          <w:rFonts w:ascii="Times New Roman" w:cs="Times New Roman" w:eastAsia="Times New Roman" w:hAnsi="Times New Roman"/>
          <w:sz w:val="18"/>
          <w:szCs w:val="18"/>
          <w:color w:val="auto"/>
        </w:rPr>
      </w:pPr>
    </w:p>
    <w:p>
      <w:pPr>
        <w:ind w:left="360" w:right="280" w:hanging="172"/>
        <w:spacing w:after="0" w:line="284"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Stockholder Resale Prospectus</w:t>
      </w:r>
      <w:r>
        <w:rPr>
          <w:rFonts w:ascii="Times New Roman" w:cs="Times New Roman" w:eastAsia="Times New Roman" w:hAnsi="Times New Roman"/>
          <w:sz w:val="18"/>
          <w:szCs w:val="18"/>
          <w:color w:val="auto"/>
        </w:rPr>
        <w:t>. A prospectus to be used in connection with the potential resale by certain selling stockholders of 984,500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ordinary shares previously issued.</w:t>
      </w:r>
    </w:p>
    <w:p>
      <w:pPr>
        <w:spacing w:after="0" w:line="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Public Offering Prospectus and the Selling Stockholder Resale Prospectus will be substantively identical in all respects except for the following principal points:</w:t>
      </w:r>
    </w:p>
    <w:p>
      <w:pPr>
        <w:spacing w:after="0" w:line="121" w:lineRule="exact"/>
        <w:rPr>
          <w:sz w:val="20"/>
          <w:szCs w:val="20"/>
          <w:color w:val="auto"/>
        </w:rPr>
      </w:pPr>
    </w:p>
    <w:p>
      <w:pPr>
        <w:ind w:left="360" w:hanging="17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contain different front covers;</w:t>
      </w:r>
    </w:p>
    <w:p>
      <w:pPr>
        <w:spacing w:after="0" w:line="198" w:lineRule="exact"/>
        <w:rPr>
          <w:rFonts w:ascii="Times New Roman" w:cs="Times New Roman" w:eastAsia="Times New Roman" w:hAnsi="Times New Roman"/>
          <w:sz w:val="18"/>
          <w:szCs w:val="18"/>
          <w:color w:val="auto"/>
        </w:rPr>
      </w:pPr>
    </w:p>
    <w:p>
      <w:pPr>
        <w:ind w:left="360" w:right="860" w:hanging="172"/>
        <w:spacing w:after="0" w:line="282" w:lineRule="auto"/>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the Public Offering Prospectus to “this offering” or “this initial public offering” will be changed to “the IPO,” defined as the underwritten initial public offering of our ordinary shares, in the Selling Stockholders Resale Prospectus;</w:t>
      </w:r>
    </w:p>
    <w:p>
      <w:pPr>
        <w:spacing w:after="0" w:line="121" w:lineRule="exact"/>
        <w:rPr>
          <w:rFonts w:ascii="Times New Roman" w:cs="Times New Roman" w:eastAsia="Times New Roman" w:hAnsi="Times New Roman"/>
          <w:sz w:val="18"/>
          <w:szCs w:val="18"/>
          <w:color w:val="auto"/>
        </w:rPr>
      </w:pPr>
    </w:p>
    <w:p>
      <w:pPr>
        <w:ind w:left="360" w:right="500" w:hanging="172"/>
        <w:spacing w:after="0" w:line="282" w:lineRule="auto"/>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the Public Offering Prospectus to “underwriters” will be changed to “underwriters of the IPO” in the Selling Stockholders Resale Prospectus;</w:t>
      </w:r>
    </w:p>
    <w:p>
      <w:pPr>
        <w:spacing w:after="0" w:line="12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contain different Use of Proceeds sections;</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“Shares Registered for Resale” section is included in the Selling Stockholder Resale Prospectus;</w:t>
      </w:r>
    </w:p>
    <w:p>
      <w:pPr>
        <w:spacing w:after="0" w:line="198"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“Selling Stockholders” section is included in the Selling Stockholder Resale Prospectus;</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“Summary — The Offering” from the Public Offering Prospectus is deleted from the Selling Stockholder Resale Prospectus;</w:t>
      </w:r>
    </w:p>
    <w:p>
      <w:pPr>
        <w:spacing w:after="0" w:line="184" w:lineRule="exact"/>
        <w:rPr>
          <w:rFonts w:ascii="Times New Roman" w:cs="Times New Roman" w:eastAsia="Times New Roman" w:hAnsi="Times New Roman"/>
          <w:sz w:val="18"/>
          <w:szCs w:val="18"/>
          <w:color w:val="auto"/>
        </w:rPr>
      </w:pPr>
    </w:p>
    <w:p>
      <w:pPr>
        <w:ind w:left="360" w:right="680" w:hanging="172"/>
        <w:spacing w:after="0" w:line="282" w:lineRule="auto"/>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“Shares Eligible For Future Sale — Selling Stockholder Resale Prospectus” from the Public Offering Prospectus is deleted from the Selling Stockholder Resale Prospectus;</w:t>
      </w:r>
    </w:p>
    <w:p>
      <w:pPr>
        <w:spacing w:after="0" w:line="134" w:lineRule="exact"/>
        <w:rPr>
          <w:rFonts w:ascii="Times New Roman" w:cs="Times New Roman" w:eastAsia="Times New Roman" w:hAnsi="Times New Roman"/>
          <w:sz w:val="18"/>
          <w:szCs w:val="18"/>
          <w:color w:val="auto"/>
        </w:rPr>
      </w:pPr>
    </w:p>
    <w:p>
      <w:pPr>
        <w:ind w:left="360" w:right="440" w:hanging="172"/>
        <w:spacing w:after="0" w:line="282" w:lineRule="auto"/>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section from the Public Offering Prospectus is deleted from the Selling Stockholder Resale Prospectus and a Plan of Distribution section is inserted in its place;</w:t>
      </w:r>
    </w:p>
    <w:p>
      <w:pPr>
        <w:spacing w:after="0" w:line="12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Matters section in the Selling Stockholder Resale Prospectus deletes the reference to counsel for the underwriters; and</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contain different back covers.</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included in this registration statement, after the financial statements, a set of alternate pages to reflect the foregoing differences between the Public Offering Prospectus and the Selling Stockholder Resale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FC0014"/>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C0014"/>
        </w:rPr>
        <w:t>PROSPECTUS (Subject to Completion)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C0014"/>
        </w:rPr>
        <w:t>Dated January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64770</wp:posOffset>
            </wp:positionV>
            <wp:extent cx="2160905" cy="1337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090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Entera Bio Ltd. is offering 5,000,000 ordinary shares. This is our initial public offering and no public market exists for our shares. We anticipate that the initial public offering price will be between $10.00 and $12.00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123190</wp:posOffset>
            </wp:positionV>
            <wp:extent cx="17240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applied to list our ordinary shares on the NASDAQ Capital Market under the symbol “ENTX”.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128905</wp:posOffset>
            </wp:positionV>
            <wp:extent cx="17240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2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in the Jumpstart Our Business Startups Act and will therefore be subject to reduced reporting requirements.</w:t>
      </w:r>
    </w:p>
    <w:p>
      <w:pPr>
        <w:spacing w:after="0" w:line="47" w:lineRule="exact"/>
        <w:rPr>
          <w:sz w:val="20"/>
          <w:szCs w:val="20"/>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Investing in our ordinary shares involves risks. See “Risk Factors” beginning on page </w:t>
      </w:r>
      <w:hyperlink w:anchor="page17">
        <w:r>
          <w:rPr>
            <w:rFonts w:ascii="Times New Roman" w:cs="Times New Roman" w:eastAsia="Times New Roman" w:hAnsi="Times New Roman"/>
            <w:sz w:val="18"/>
            <w:szCs w:val="18"/>
            <w:b w:val="1"/>
            <w:bCs w:val="1"/>
            <w:u w:val="single" w:color="auto"/>
            <w:color w:val="0000EE"/>
          </w:rPr>
          <w:t>13</w:t>
        </w:r>
      </w:hyperlink>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157480</wp:posOffset>
            </wp:positionV>
            <wp:extent cx="17240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900" w:type="dxa"/>
            <w:vAlign w:val="bottom"/>
            <w:gridSpan w:val="2"/>
          </w:tcPr>
          <w:p>
            <w:pPr>
              <w:ind w:left="3720"/>
              <w:spacing w:after="0"/>
              <w:rPr>
                <w:sz w:val="20"/>
                <w:szCs w:val="20"/>
                <w:color w:val="auto"/>
              </w:rPr>
            </w:pPr>
            <w:r>
              <w:rPr>
                <w:rFonts w:ascii="Times New Roman" w:cs="Times New Roman" w:eastAsia="Times New Roman" w:hAnsi="Times New Roman"/>
                <w:sz w:val="22"/>
                <w:szCs w:val="22"/>
                <w:b w:val="1"/>
                <w:bCs w:val="1"/>
                <w:color w:val="auto"/>
              </w:rPr>
              <w:t>PRICE $</w:t>
            </w:r>
          </w:p>
        </w:tc>
        <w:tc>
          <w:tcPr>
            <w:tcW w:w="3920" w:type="dxa"/>
            <w:vAlign w:val="bottom"/>
            <w:gridSpan w:val="4"/>
          </w:tcPr>
          <w:p>
            <w:pPr>
              <w:ind w:left="340"/>
              <w:spacing w:after="0"/>
              <w:rPr>
                <w:sz w:val="20"/>
                <w:szCs w:val="20"/>
                <w:color w:val="auto"/>
              </w:rPr>
            </w:pPr>
            <w:r>
              <w:rPr>
                <w:rFonts w:ascii="Times New Roman" w:cs="Times New Roman" w:eastAsia="Times New Roman" w:hAnsi="Times New Roman"/>
                <w:sz w:val="22"/>
                <w:szCs w:val="22"/>
                <w:b w:val="1"/>
                <w:bCs w:val="1"/>
                <w:color w:val="auto"/>
              </w:rPr>
              <w:t>PER ORDINARY SHARE</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3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4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Discounts and</w:t>
            </w:r>
          </w:p>
        </w:tc>
        <w:tc>
          <w:tcPr>
            <w:tcW w:w="1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Proceeds to</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 to Public</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Company(1)</w:t>
            </w:r>
          </w:p>
        </w:tc>
        <w:tc>
          <w:tcPr>
            <w:tcW w:w="0" w:type="dxa"/>
            <w:vAlign w:val="bottom"/>
          </w:tcPr>
          <w:p>
            <w:pPr>
              <w:spacing w:after="0"/>
              <w:rPr>
                <w:sz w:val="1"/>
                <w:szCs w:val="1"/>
                <w:color w:val="auto"/>
              </w:rPr>
            </w:pPr>
          </w:p>
        </w:tc>
      </w:tr>
      <w:tr>
        <w:trPr>
          <w:trHeight w:val="24"/>
        </w:trPr>
        <w:tc>
          <w:tcPr>
            <w:tcW w:w="4900" w:type="dxa"/>
            <w:vAlign w:val="bottom"/>
            <w:tcBorders>
              <w:bottom w:val="single" w:sz="8" w:color="CCEEFF"/>
            </w:tcBorders>
            <w:gridSpan w:val="2"/>
          </w:tcPr>
          <w:p>
            <w:pPr>
              <w:spacing w:after="0"/>
              <w:rPr>
                <w:sz w:val="2"/>
                <w:szCs w:val="2"/>
                <w:color w:val="auto"/>
              </w:rPr>
            </w:pPr>
          </w:p>
        </w:tc>
        <w:tc>
          <w:tcPr>
            <w:tcW w:w="240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ordinary share</w:t>
            </w:r>
          </w:p>
        </w:tc>
        <w:tc>
          <w:tcPr>
            <w:tcW w:w="3720" w:type="dxa"/>
            <w:vAlign w:val="bottom"/>
            <w:gridSpan w:val="3"/>
            <w:shd w:val="clear" w:color="auto" w:fill="CCEEFF"/>
          </w:tcPr>
          <w:p>
            <w:pPr>
              <w:jc w:val="center"/>
              <w:ind w:left="230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7"/>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gridSpan w:val="3"/>
          </w:tcPr>
          <w:p>
            <w:pPr>
              <w:jc w:val="center"/>
              <w:ind w:left="230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6402705</wp:posOffset>
            </wp:positionH>
            <wp:positionV relativeFrom="paragraph">
              <wp:posOffset>-334010</wp:posOffset>
            </wp:positionV>
            <wp:extent cx="137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56000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00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7151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agreed to reimburse the underwriter for certain expenses. See “Underwriting” for additional information regarding underwriting compensation.</w:t>
      </w:r>
    </w:p>
    <w:p>
      <w:pPr>
        <w:spacing w:after="0" w:line="11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Entera Bio Ltd. has granted the underwriters the right to purchase up to an additional 750,000 ordinary shares to cover over-allotments, if any, at the initial public offering price less the underwriting discounts and commissions payable by us, for 30 days after the date of this prospectus.</w:t>
      </w:r>
    </w:p>
    <w:p>
      <w:pPr>
        <w:spacing w:after="0" w:line="5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 underwriters expect to deliver the ordinary shares to purchasers 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351790</wp:posOffset>
            </wp:positionV>
            <wp:extent cx="17240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Oppenheimer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8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720" w:type="dxa"/>
            <w:vAlign w:val="bottom"/>
            <w:gridSpan w:val="10"/>
            <w:shd w:val="clear" w:color="auto" w:fill="CCEEFF"/>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Presentation of Financial Information</w:t>
              </w:r>
            </w:hyperlink>
          </w:p>
        </w:tc>
        <w:tc>
          <w:tcPr>
            <w:tcW w:w="2460" w:type="dxa"/>
            <w:vAlign w:val="bottom"/>
            <w:gridSpan w:val="3"/>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rFonts w:ascii="Times New Roman" w:cs="Times New Roman" w:eastAsia="Times New Roman" w:hAnsi="Times New Roman"/>
                <w:sz w:val="14"/>
                <w:szCs w:val="14"/>
                <w:color w:val="0000EE"/>
                <w:w w:val="72"/>
              </w:rPr>
            </w:pPr>
            <w:hyperlink w:anchor="page4">
              <w:r>
                <w:rPr>
                  <w:rFonts w:ascii="Times New Roman" w:cs="Times New Roman" w:eastAsia="Times New Roman" w:hAnsi="Times New Roman"/>
                  <w:sz w:val="14"/>
                  <w:szCs w:val="14"/>
                  <w:color w:val="0000EE"/>
                  <w:w w:val="72"/>
                </w:rPr>
                <w:t>iv</w:t>
              </w:r>
            </w:hyperlink>
          </w:p>
        </w:tc>
        <w:tc>
          <w:tcPr>
            <w:tcW w:w="8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14"/>
            <w:shd w:val="clear" w:color="auto" w:fill="CCEEFF"/>
          </w:tcPr>
          <w:p>
            <w:pPr>
              <w:spacing w:after="0"/>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Management</w:t>
              </w:r>
            </w:hyperlink>
          </w:p>
        </w:tc>
        <w:tc>
          <w:tcPr>
            <w:tcW w:w="50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6"/>
              </w:rPr>
            </w:pPr>
            <w:hyperlink w:anchor="page124">
              <w:r>
                <w:rPr>
                  <w:rFonts w:ascii="Times New Roman" w:cs="Times New Roman" w:eastAsia="Times New Roman" w:hAnsi="Times New Roman"/>
                  <w:sz w:val="18"/>
                  <w:szCs w:val="18"/>
                  <w:color w:val="0000EE"/>
                  <w:w w:val="96"/>
                </w:rPr>
                <w:t>120</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0"/>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Market and Industry Data</w:t>
              </w:r>
            </w:hyperlink>
          </w:p>
        </w:tc>
        <w:tc>
          <w:tcPr>
            <w:tcW w:w="246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rFonts w:ascii="Times New Roman" w:cs="Times New Roman" w:eastAsia="Times New Roman" w:hAnsi="Times New Roman"/>
                <w:sz w:val="14"/>
                <w:szCs w:val="14"/>
                <w:color w:val="0000EE"/>
                <w:w w:val="72"/>
              </w:rPr>
            </w:pPr>
            <w:hyperlink w:anchor="page4">
              <w:r>
                <w:rPr>
                  <w:rFonts w:ascii="Times New Roman" w:cs="Times New Roman" w:eastAsia="Times New Roman" w:hAnsi="Times New Roman"/>
                  <w:sz w:val="14"/>
                  <w:szCs w:val="14"/>
                  <w:color w:val="0000EE"/>
                  <w:w w:val="72"/>
                </w:rPr>
                <w:t>iv</w:t>
              </w:r>
            </w:hyperlink>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gridSpan w:val="14"/>
          </w:tcPr>
          <w:p>
            <w:pPr>
              <w:spacing w:after="0" w:line="196" w:lineRule="exact"/>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Certain Relationships and Related Party Transactions</w:t>
              </w:r>
            </w:hyperlink>
          </w:p>
        </w:tc>
        <w:tc>
          <w:tcPr>
            <w:tcW w:w="500" w:type="dxa"/>
            <w:vAlign w:val="bottom"/>
            <w:gridSpan w:val="3"/>
          </w:tcPr>
          <w:p>
            <w:pPr>
              <w:jc w:val="center"/>
              <w:spacing w:after="0" w:line="196" w:lineRule="exact"/>
              <w:rPr>
                <w:rFonts w:ascii="Times New Roman" w:cs="Times New Roman" w:eastAsia="Times New Roman" w:hAnsi="Times New Roman"/>
                <w:sz w:val="18"/>
                <w:szCs w:val="18"/>
                <w:color w:val="0000EE"/>
                <w:w w:val="96"/>
              </w:rPr>
            </w:pPr>
            <w:hyperlink w:anchor="page137">
              <w:r>
                <w:rPr>
                  <w:rFonts w:ascii="Times New Roman" w:cs="Times New Roman" w:eastAsia="Times New Roman" w:hAnsi="Times New Roman"/>
                  <w:sz w:val="18"/>
                  <w:szCs w:val="18"/>
                  <w:color w:val="0000EE"/>
                  <w:w w:val="96"/>
                </w:rPr>
                <w:t>133</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860" w:type="dxa"/>
            <w:vAlign w:val="bottom"/>
            <w:gridSpan w:val="9"/>
            <w:shd w:val="clear" w:color="auto" w:fill="CCEEFF"/>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Summary</w:t>
              </w:r>
            </w:hyperlink>
          </w:p>
        </w:tc>
        <w:tc>
          <w:tcPr>
            <w:tcW w:w="3320" w:type="dxa"/>
            <w:vAlign w:val="bottom"/>
            <w:gridSpan w:val="4"/>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1</w:t>
              </w:r>
            </w:hyperlink>
          </w:p>
        </w:tc>
        <w:tc>
          <w:tcPr>
            <w:tcW w:w="80" w:type="dxa"/>
            <w:vAlign w:val="bottom"/>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3840" w:type="dxa"/>
            <w:vAlign w:val="bottom"/>
            <w:gridSpan w:val="13"/>
            <w:shd w:val="clear" w:color="auto" w:fill="CCEEFF"/>
          </w:tcPr>
          <w:p>
            <w:pPr>
              <w:spacing w:after="0"/>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Principal Shareholders</w:t>
              </w:r>
            </w:hyperlink>
          </w:p>
        </w:tc>
        <w:tc>
          <w:tcPr>
            <w:tcW w:w="118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6"/>
              </w:rPr>
            </w:pPr>
            <w:hyperlink w:anchor="page142">
              <w:r>
                <w:rPr>
                  <w:rFonts w:ascii="Times New Roman" w:cs="Times New Roman" w:eastAsia="Times New Roman" w:hAnsi="Times New Roman"/>
                  <w:sz w:val="18"/>
                  <w:szCs w:val="18"/>
                  <w:color w:val="0000EE"/>
                  <w:w w:val="96"/>
                </w:rPr>
                <w:t>138</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gridSpan w:val="13"/>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Risk Factors</w:t>
              </w:r>
            </w:hyperlink>
          </w:p>
        </w:tc>
        <w:tc>
          <w:tcPr>
            <w:tcW w:w="280" w:type="dxa"/>
            <w:vAlign w:val="bottom"/>
            <w:gridSpan w:val="2"/>
          </w:tcPr>
          <w:p>
            <w:pPr>
              <w:jc w:val="right"/>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13</w:t>
              </w:r>
            </w:hyperlink>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14"/>
          </w:tcPr>
          <w:p>
            <w:pPr>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Description of Share Capital</w:t>
              </w:r>
            </w:hyperlink>
          </w:p>
        </w:tc>
        <w:tc>
          <w:tcPr>
            <w:tcW w:w="500" w:type="dxa"/>
            <w:vAlign w:val="bottom"/>
            <w:gridSpan w:val="3"/>
          </w:tcPr>
          <w:p>
            <w:pPr>
              <w:jc w:val="center"/>
              <w:spacing w:after="0"/>
              <w:rPr>
                <w:rFonts w:ascii="Times New Roman" w:cs="Times New Roman" w:eastAsia="Times New Roman" w:hAnsi="Times New Roman"/>
                <w:sz w:val="18"/>
                <w:szCs w:val="18"/>
                <w:color w:val="0000EE"/>
                <w:w w:val="96"/>
              </w:rPr>
            </w:pPr>
            <w:hyperlink w:anchor="page146">
              <w:r>
                <w:rPr>
                  <w:rFonts w:ascii="Times New Roman" w:cs="Times New Roman" w:eastAsia="Times New Roman" w:hAnsi="Times New Roman"/>
                  <w:sz w:val="18"/>
                  <w:szCs w:val="18"/>
                  <w:color w:val="0000EE"/>
                  <w:w w:val="96"/>
                </w:rPr>
                <w:t>142</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8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Special Note Regarding Forward-Looking Statements</w:t>
              </w:r>
            </w:hyperlink>
          </w:p>
        </w:tc>
        <w:tc>
          <w:tcPr>
            <w:tcW w:w="280" w:type="dxa"/>
            <w:vAlign w:val="bottom"/>
            <w:gridSpan w:val="2"/>
            <w:shd w:val="clear" w:color="auto" w:fill="CCEEFF"/>
          </w:tcPr>
          <w:p>
            <w:pPr>
              <w:jc w:val="right"/>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52</w:t>
              </w:r>
            </w:hyperlink>
          </w:p>
        </w:tc>
        <w:tc>
          <w:tcPr>
            <w:tcW w:w="80" w:type="dxa"/>
            <w:vAlign w:val="bottom"/>
            <w:shd w:val="clear" w:color="auto" w:fill="CCEEFF"/>
          </w:tcPr>
          <w:p>
            <w:pPr>
              <w:spacing w:after="0"/>
              <w:rPr>
                <w:sz w:val="20"/>
                <w:szCs w:val="20"/>
                <w:color w:val="auto"/>
              </w:rPr>
            </w:pPr>
          </w:p>
        </w:tc>
        <w:tc>
          <w:tcPr>
            <w:tcW w:w="300" w:type="dxa"/>
            <w:vAlign w:val="bottom"/>
          </w:tcPr>
          <w:p>
            <w:pPr>
              <w:spacing w:after="0"/>
              <w:rPr>
                <w:sz w:val="20"/>
                <w:szCs w:val="20"/>
                <w:color w:val="auto"/>
              </w:rPr>
            </w:pPr>
          </w:p>
        </w:tc>
        <w:tc>
          <w:tcPr>
            <w:tcW w:w="502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w:anchor="page154">
              <w:r>
                <w:rPr>
                  <w:rFonts w:ascii="Times New Roman" w:cs="Times New Roman" w:eastAsia="Times New Roman" w:hAnsi="Times New Roman"/>
                  <w:sz w:val="18"/>
                  <w:szCs w:val="18"/>
                  <w:color w:val="0000EE"/>
                </w:rPr>
                <w:t>Taxation and Government Programs</w:t>
              </w:r>
            </w:hyperlink>
          </w:p>
        </w:tc>
        <w:tc>
          <w:tcPr>
            <w:tcW w:w="500" w:type="dxa"/>
            <w:vAlign w:val="bottom"/>
            <w:gridSpan w:val="3"/>
            <w:shd w:val="clear" w:color="auto" w:fill="CCEEFF"/>
          </w:tcPr>
          <w:p>
            <w:pPr>
              <w:jc w:val="center"/>
              <w:spacing w:after="0" w:line="196" w:lineRule="exact"/>
              <w:rPr>
                <w:rFonts w:ascii="Times New Roman" w:cs="Times New Roman" w:eastAsia="Times New Roman" w:hAnsi="Times New Roman"/>
                <w:sz w:val="18"/>
                <w:szCs w:val="18"/>
                <w:color w:val="0000EE"/>
                <w:w w:val="96"/>
              </w:rPr>
            </w:pPr>
            <w:hyperlink w:anchor="page154">
              <w:r>
                <w:rPr>
                  <w:rFonts w:ascii="Times New Roman" w:cs="Times New Roman" w:eastAsia="Times New Roman" w:hAnsi="Times New Roman"/>
                  <w:sz w:val="18"/>
                  <w:szCs w:val="18"/>
                  <w:color w:val="0000EE"/>
                  <w:w w:val="96"/>
                </w:rPr>
                <w:t>150</w:t>
              </w:r>
            </w:hyperlink>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80" w:type="dxa"/>
            <w:vAlign w:val="bottom"/>
            <w:gridSpan w:val="11"/>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Use of Proceeds</w:t>
              </w:r>
            </w:hyperlink>
          </w:p>
        </w:tc>
        <w:tc>
          <w:tcPr>
            <w:tcW w:w="1300" w:type="dxa"/>
            <w:vAlign w:val="bottom"/>
            <w:gridSpan w:val="2"/>
          </w:tcPr>
          <w:p>
            <w:pPr>
              <w:spacing w:after="0"/>
              <w:rPr>
                <w:sz w:val="19"/>
                <w:szCs w:val="19"/>
                <w:color w:val="auto"/>
              </w:rPr>
            </w:pPr>
          </w:p>
        </w:tc>
        <w:tc>
          <w:tcPr>
            <w:tcW w:w="280" w:type="dxa"/>
            <w:vAlign w:val="bottom"/>
            <w:gridSpan w:val="2"/>
          </w:tcPr>
          <w:p>
            <w:pPr>
              <w:jc w:val="right"/>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54</w:t>
              </w:r>
            </w:hyperlink>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14"/>
          </w:tcPr>
          <w:p>
            <w:pPr>
              <w:spacing w:after="0"/>
              <w:rPr>
                <w:rFonts w:ascii="Times New Roman" w:cs="Times New Roman" w:eastAsia="Times New Roman" w:hAnsi="Times New Roman"/>
                <w:sz w:val="18"/>
                <w:szCs w:val="18"/>
                <w:color w:val="0000EE"/>
              </w:rPr>
            </w:pPr>
            <w:hyperlink w:anchor="page163">
              <w:r>
                <w:rPr>
                  <w:rFonts w:ascii="Times New Roman" w:cs="Times New Roman" w:eastAsia="Times New Roman" w:hAnsi="Times New Roman"/>
                  <w:sz w:val="18"/>
                  <w:szCs w:val="18"/>
                  <w:color w:val="0000EE"/>
                </w:rPr>
                <w:t>Shares Eligible for Future Sale</w:t>
              </w:r>
            </w:hyperlink>
          </w:p>
        </w:tc>
        <w:tc>
          <w:tcPr>
            <w:tcW w:w="500" w:type="dxa"/>
            <w:vAlign w:val="bottom"/>
            <w:gridSpan w:val="3"/>
          </w:tcPr>
          <w:p>
            <w:pPr>
              <w:jc w:val="center"/>
              <w:spacing w:after="0"/>
              <w:rPr>
                <w:rFonts w:ascii="Times New Roman" w:cs="Times New Roman" w:eastAsia="Times New Roman" w:hAnsi="Times New Roman"/>
                <w:sz w:val="18"/>
                <w:szCs w:val="18"/>
                <w:color w:val="0000EE"/>
                <w:w w:val="96"/>
              </w:rPr>
            </w:pPr>
            <w:hyperlink w:anchor="page163">
              <w:r>
                <w:rPr>
                  <w:rFonts w:ascii="Times New Roman" w:cs="Times New Roman" w:eastAsia="Times New Roman" w:hAnsi="Times New Roman"/>
                  <w:sz w:val="18"/>
                  <w:szCs w:val="18"/>
                  <w:color w:val="0000EE"/>
                  <w:w w:val="96"/>
                </w:rPr>
                <w:t>159</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gridSpan w:val="13"/>
            <w:shd w:val="clear" w:color="auto" w:fill="CCEEFF"/>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Dividend Policy</w:t>
              </w:r>
            </w:hyperlink>
          </w:p>
        </w:tc>
        <w:tc>
          <w:tcPr>
            <w:tcW w:w="280" w:type="dxa"/>
            <w:vAlign w:val="bottom"/>
            <w:gridSpan w:val="2"/>
            <w:shd w:val="clear" w:color="auto" w:fill="CCEEFF"/>
          </w:tcPr>
          <w:p>
            <w:pPr>
              <w:jc w:val="right"/>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55</w:t>
              </w:r>
            </w:hyperlink>
          </w:p>
        </w:tc>
        <w:tc>
          <w:tcPr>
            <w:tcW w:w="8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14"/>
            <w:shd w:val="clear" w:color="auto" w:fill="CCEEFF"/>
          </w:tcPr>
          <w:p>
            <w:pPr>
              <w:spacing w:after="0"/>
              <w:rPr>
                <w:rFonts w:ascii="Times New Roman" w:cs="Times New Roman" w:eastAsia="Times New Roman" w:hAnsi="Times New Roman"/>
                <w:sz w:val="18"/>
                <w:szCs w:val="18"/>
                <w:color w:val="0000EE"/>
              </w:rPr>
            </w:pPr>
            <w:hyperlink w:anchor="page166">
              <w:r>
                <w:rPr>
                  <w:rFonts w:ascii="Times New Roman" w:cs="Times New Roman" w:eastAsia="Times New Roman" w:hAnsi="Times New Roman"/>
                  <w:sz w:val="18"/>
                  <w:szCs w:val="18"/>
                  <w:color w:val="0000EE"/>
                </w:rPr>
                <w:t>Underwriting</w:t>
              </w:r>
            </w:hyperlink>
          </w:p>
        </w:tc>
        <w:tc>
          <w:tcPr>
            <w:tcW w:w="50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6"/>
              </w:rPr>
            </w:pPr>
            <w:hyperlink w:anchor="page166">
              <w:r>
                <w:rPr>
                  <w:rFonts w:ascii="Times New Roman" w:cs="Times New Roman" w:eastAsia="Times New Roman" w:hAnsi="Times New Roman"/>
                  <w:sz w:val="18"/>
                  <w:szCs w:val="18"/>
                  <w:color w:val="0000EE"/>
                  <w:w w:val="96"/>
                </w:rPr>
                <w:t>162</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80" w:type="dxa"/>
            <w:vAlign w:val="bottom"/>
            <w:gridSpan w:val="6"/>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Capitalization</w:t>
              </w:r>
            </w:hyperlink>
          </w:p>
        </w:tc>
        <w:tc>
          <w:tcPr>
            <w:tcW w:w="4000" w:type="dxa"/>
            <w:vAlign w:val="bottom"/>
            <w:gridSpan w:val="7"/>
          </w:tcPr>
          <w:p>
            <w:pPr>
              <w:spacing w:after="0"/>
              <w:rPr>
                <w:sz w:val="19"/>
                <w:szCs w:val="19"/>
                <w:color w:val="auto"/>
              </w:rPr>
            </w:pPr>
          </w:p>
        </w:tc>
        <w:tc>
          <w:tcPr>
            <w:tcW w:w="280" w:type="dxa"/>
            <w:vAlign w:val="bottom"/>
            <w:gridSpan w:val="2"/>
          </w:tcPr>
          <w:p>
            <w:pPr>
              <w:jc w:val="right"/>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56</w:t>
              </w:r>
            </w:hyperlink>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14"/>
          </w:tcPr>
          <w:p>
            <w:pPr>
              <w:spacing w:after="0"/>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color w:val="0000EE"/>
                </w:rPr>
                <w:t>Expenses Related to the Offering</w:t>
              </w:r>
            </w:hyperlink>
          </w:p>
        </w:tc>
        <w:tc>
          <w:tcPr>
            <w:tcW w:w="500" w:type="dxa"/>
            <w:vAlign w:val="bottom"/>
            <w:gridSpan w:val="3"/>
          </w:tcPr>
          <w:p>
            <w:pPr>
              <w:jc w:val="center"/>
              <w:spacing w:after="0"/>
              <w:rPr>
                <w:rFonts w:ascii="Times New Roman" w:cs="Times New Roman" w:eastAsia="Times New Roman" w:hAnsi="Times New Roman"/>
                <w:sz w:val="18"/>
                <w:szCs w:val="18"/>
                <w:color w:val="0000EE"/>
                <w:w w:val="96"/>
              </w:rPr>
            </w:pPr>
            <w:hyperlink w:anchor="page172">
              <w:r>
                <w:rPr>
                  <w:rFonts w:ascii="Times New Roman" w:cs="Times New Roman" w:eastAsia="Times New Roman" w:hAnsi="Times New Roman"/>
                  <w:sz w:val="18"/>
                  <w:szCs w:val="18"/>
                  <w:color w:val="0000EE"/>
                  <w:w w:val="96"/>
                </w:rPr>
                <w:t>168</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gridSpan w:val="13"/>
            <w:shd w:val="clear" w:color="auto" w:fill="CCEEFF"/>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Dilution</w:t>
              </w:r>
            </w:hyperlink>
          </w:p>
        </w:tc>
        <w:tc>
          <w:tcPr>
            <w:tcW w:w="280" w:type="dxa"/>
            <w:vAlign w:val="bottom"/>
            <w:gridSpan w:val="2"/>
            <w:shd w:val="clear" w:color="auto" w:fill="CCEEFF"/>
          </w:tcPr>
          <w:p>
            <w:pPr>
              <w:jc w:val="right"/>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58</w:t>
              </w:r>
            </w:hyperlink>
          </w:p>
        </w:tc>
        <w:tc>
          <w:tcPr>
            <w:tcW w:w="8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14"/>
            <w:shd w:val="clear" w:color="auto" w:fill="CCEEFF"/>
          </w:tcPr>
          <w:p>
            <w:pPr>
              <w:spacing w:after="0"/>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color w:val="0000EE"/>
                </w:rPr>
                <w:t>Validity of Ordinary Shares</w:t>
              </w:r>
            </w:hyperlink>
          </w:p>
        </w:tc>
        <w:tc>
          <w:tcPr>
            <w:tcW w:w="50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6"/>
              </w:rPr>
            </w:pPr>
            <w:hyperlink w:anchor="page172">
              <w:r>
                <w:rPr>
                  <w:rFonts w:ascii="Times New Roman" w:cs="Times New Roman" w:eastAsia="Times New Roman" w:hAnsi="Times New Roman"/>
                  <w:sz w:val="18"/>
                  <w:szCs w:val="18"/>
                  <w:color w:val="0000EE"/>
                  <w:w w:val="96"/>
                </w:rPr>
                <w:t>168</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gridSpan w:val="13"/>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Exchange Rates</w:t>
              </w:r>
            </w:hyperlink>
          </w:p>
        </w:tc>
        <w:tc>
          <w:tcPr>
            <w:tcW w:w="280" w:type="dxa"/>
            <w:vAlign w:val="bottom"/>
            <w:gridSpan w:val="2"/>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60</w:t>
              </w:r>
            </w:hyperlink>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14"/>
          </w:tcPr>
          <w:p>
            <w:pPr>
              <w:spacing w:after="0"/>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color w:val="0000EE"/>
                </w:rPr>
                <w:t>Experts</w:t>
              </w:r>
            </w:hyperlink>
          </w:p>
        </w:tc>
        <w:tc>
          <w:tcPr>
            <w:tcW w:w="500" w:type="dxa"/>
            <w:vAlign w:val="bottom"/>
            <w:gridSpan w:val="3"/>
          </w:tcPr>
          <w:p>
            <w:pPr>
              <w:jc w:val="center"/>
              <w:spacing w:after="0"/>
              <w:rPr>
                <w:rFonts w:ascii="Times New Roman" w:cs="Times New Roman" w:eastAsia="Times New Roman" w:hAnsi="Times New Roman"/>
                <w:sz w:val="18"/>
                <w:szCs w:val="18"/>
                <w:color w:val="0000EE"/>
                <w:w w:val="96"/>
              </w:rPr>
            </w:pPr>
            <w:hyperlink w:anchor="page172">
              <w:r>
                <w:rPr>
                  <w:rFonts w:ascii="Times New Roman" w:cs="Times New Roman" w:eastAsia="Times New Roman" w:hAnsi="Times New Roman"/>
                  <w:sz w:val="18"/>
                  <w:szCs w:val="18"/>
                  <w:color w:val="0000EE"/>
                  <w:w w:val="96"/>
                </w:rPr>
                <w:t>168</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20" w:type="dxa"/>
            <w:vAlign w:val="bottom"/>
            <w:gridSpan w:val="7"/>
            <w:shd w:val="clear" w:color="auto" w:fill="CCEEFF"/>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Selected Financial Data</w:t>
              </w:r>
            </w:hyperlink>
          </w:p>
        </w:tc>
        <w:tc>
          <w:tcPr>
            <w:tcW w:w="3460" w:type="dxa"/>
            <w:vAlign w:val="bottom"/>
            <w:gridSpan w:val="6"/>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61</w:t>
              </w:r>
            </w:hyperlink>
          </w:p>
        </w:tc>
        <w:tc>
          <w:tcPr>
            <w:tcW w:w="8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14"/>
            <w:shd w:val="clear" w:color="auto" w:fill="CCEEFF"/>
          </w:tcPr>
          <w:p>
            <w:pPr>
              <w:spacing w:after="0"/>
              <w:rPr>
                <w:rFonts w:ascii="Times New Roman" w:cs="Times New Roman" w:eastAsia="Times New Roman" w:hAnsi="Times New Roman"/>
                <w:sz w:val="18"/>
                <w:szCs w:val="18"/>
                <w:color w:val="0000EE"/>
              </w:rPr>
            </w:pPr>
            <w:hyperlink w:anchor="page173">
              <w:r>
                <w:rPr>
                  <w:rFonts w:ascii="Times New Roman" w:cs="Times New Roman" w:eastAsia="Times New Roman" w:hAnsi="Times New Roman"/>
                  <w:sz w:val="18"/>
                  <w:szCs w:val="18"/>
                  <w:color w:val="0000EE"/>
                </w:rPr>
                <w:t>Enforceability of Civil Liabilities</w:t>
              </w:r>
            </w:hyperlink>
          </w:p>
        </w:tc>
        <w:tc>
          <w:tcPr>
            <w:tcW w:w="500" w:type="dxa"/>
            <w:vAlign w:val="bottom"/>
            <w:gridSpan w:val="3"/>
            <w:shd w:val="clear" w:color="auto" w:fill="CCEEFF"/>
          </w:tcPr>
          <w:p>
            <w:pPr>
              <w:jc w:val="center"/>
              <w:spacing w:after="0"/>
              <w:rPr>
                <w:rFonts w:ascii="Times New Roman" w:cs="Times New Roman" w:eastAsia="Times New Roman" w:hAnsi="Times New Roman"/>
                <w:sz w:val="18"/>
                <w:szCs w:val="18"/>
                <w:color w:val="0000EE"/>
                <w:w w:val="96"/>
              </w:rPr>
            </w:pPr>
            <w:hyperlink w:anchor="page173">
              <w:r>
                <w:rPr>
                  <w:rFonts w:ascii="Times New Roman" w:cs="Times New Roman" w:eastAsia="Times New Roman" w:hAnsi="Times New Roman"/>
                  <w:sz w:val="18"/>
                  <w:szCs w:val="18"/>
                  <w:color w:val="0000EE"/>
                  <w:w w:val="96"/>
                </w:rPr>
                <w:t>169</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gridSpan w:val="13"/>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Management’s Discussion and Analysis of Financial Condition and</w:t>
              </w:r>
            </w:hyperlink>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gridSpan w:val="14"/>
          </w:tcPr>
          <w:p>
            <w:pPr>
              <w:spacing w:after="0" w:line="196" w:lineRule="exact"/>
              <w:rPr>
                <w:rFonts w:ascii="Times New Roman" w:cs="Times New Roman" w:eastAsia="Times New Roman" w:hAnsi="Times New Roman"/>
                <w:sz w:val="18"/>
                <w:szCs w:val="18"/>
                <w:color w:val="0000EE"/>
              </w:rPr>
            </w:pPr>
            <w:hyperlink w:anchor="page174">
              <w:r>
                <w:rPr>
                  <w:rFonts w:ascii="Times New Roman" w:cs="Times New Roman" w:eastAsia="Times New Roman" w:hAnsi="Times New Roman"/>
                  <w:sz w:val="18"/>
                  <w:szCs w:val="18"/>
                  <w:color w:val="0000EE"/>
                </w:rPr>
                <w:t>Where You Can Find More Information</w:t>
              </w:r>
            </w:hyperlink>
          </w:p>
        </w:tc>
        <w:tc>
          <w:tcPr>
            <w:tcW w:w="500" w:type="dxa"/>
            <w:vAlign w:val="bottom"/>
            <w:gridSpan w:val="3"/>
          </w:tcPr>
          <w:p>
            <w:pPr>
              <w:jc w:val="center"/>
              <w:spacing w:after="0" w:line="196" w:lineRule="exact"/>
              <w:rPr>
                <w:rFonts w:ascii="Times New Roman" w:cs="Times New Roman" w:eastAsia="Times New Roman" w:hAnsi="Times New Roman"/>
                <w:sz w:val="18"/>
                <w:szCs w:val="18"/>
                <w:color w:val="0000EE"/>
                <w:w w:val="96"/>
              </w:rPr>
            </w:pPr>
            <w:hyperlink w:anchor="page174">
              <w:r>
                <w:rPr>
                  <w:rFonts w:ascii="Times New Roman" w:cs="Times New Roman" w:eastAsia="Times New Roman" w:hAnsi="Times New Roman"/>
                  <w:sz w:val="18"/>
                  <w:szCs w:val="18"/>
                  <w:color w:val="0000EE"/>
                  <w:w w:val="96"/>
                </w:rPr>
                <w:t>170</w:t>
              </w:r>
            </w:hyperlink>
          </w:p>
        </w:tc>
        <w:tc>
          <w:tcPr>
            <w:tcW w:w="0" w:type="dxa"/>
            <w:vAlign w:val="bottom"/>
          </w:tcPr>
          <w:p>
            <w:pPr>
              <w:spacing w:after="0"/>
              <w:rPr>
                <w:sz w:val="1"/>
                <w:szCs w:val="1"/>
                <w:color w:val="auto"/>
              </w:rPr>
            </w:pPr>
          </w:p>
        </w:tc>
      </w:tr>
      <w:tr>
        <w:trPr>
          <w:trHeight w:val="20"/>
        </w:trPr>
        <w:tc>
          <w:tcPr>
            <w:tcW w:w="4860" w:type="dxa"/>
            <w:vAlign w:val="bottom"/>
            <w:tcBorders>
              <w:top w:val="single" w:sz="8" w:color="0000EE"/>
            </w:tcBorders>
            <w:gridSpan w:val="12"/>
            <w:vMerge w:val="restart"/>
          </w:tcPr>
          <w:p>
            <w:pPr>
              <w:ind w:left="180"/>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Results of Operations</w:t>
              </w:r>
            </w:hyperlink>
          </w:p>
        </w:tc>
        <w:tc>
          <w:tcPr>
            <w:tcW w:w="320" w:type="dxa"/>
            <w:vAlign w:val="bottom"/>
            <w:vMerge w:val="restart"/>
          </w:tcPr>
          <w:p>
            <w:pPr>
              <w:spacing w:after="0" w:line="20" w:lineRule="exact"/>
              <w:rPr>
                <w:sz w:val="1"/>
                <w:szCs w:val="1"/>
                <w:color w:val="auto"/>
              </w:rPr>
            </w:pPr>
          </w:p>
        </w:tc>
        <w:tc>
          <w:tcPr>
            <w:tcW w:w="280" w:type="dxa"/>
            <w:vAlign w:val="bottom"/>
            <w:gridSpan w:val="2"/>
            <w:vMerge w:val="restart"/>
          </w:tcPr>
          <w:p>
            <w:pPr>
              <w:jc w:val="right"/>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63</w:t>
              </w:r>
            </w:hyperlink>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60" w:type="dxa"/>
            <w:vAlign w:val="bottom"/>
            <w:gridSpan w:val="1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12"/>
            <w:vMerge w:val="restart"/>
            <w:shd w:val="clear" w:color="auto" w:fill="CCEEFF"/>
          </w:tcPr>
          <w:p>
            <w:pPr>
              <w:spacing w:after="0"/>
              <w:rPr>
                <w:rFonts w:ascii="Times New Roman" w:cs="Times New Roman" w:eastAsia="Times New Roman" w:hAnsi="Times New Roman"/>
                <w:sz w:val="18"/>
                <w:szCs w:val="18"/>
                <w:color w:val="0000EE"/>
              </w:rPr>
            </w:pPr>
            <w:hyperlink w:anchor="page175">
              <w:r>
                <w:rPr>
                  <w:rFonts w:ascii="Times New Roman" w:cs="Times New Roman" w:eastAsia="Times New Roman" w:hAnsi="Times New Roman"/>
                  <w:sz w:val="18"/>
                  <w:szCs w:val="18"/>
                  <w:color w:val="0000EE"/>
                </w:rPr>
                <w:t>Index to Financial Statements</w:t>
              </w:r>
            </w:hyperlink>
          </w:p>
        </w:tc>
        <w:tc>
          <w:tcPr>
            <w:tcW w:w="2160" w:type="dxa"/>
            <w:vAlign w:val="bottom"/>
            <w:gridSpan w:val="2"/>
            <w:vMerge w:val="restart"/>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360" w:type="dxa"/>
            <w:vAlign w:val="bottom"/>
            <w:gridSpan w:val="2"/>
            <w:vMerge w:val="restart"/>
            <w:shd w:val="clear" w:color="auto" w:fill="CCEEFF"/>
          </w:tcPr>
          <w:p>
            <w:pPr>
              <w:jc w:val="center"/>
              <w:ind w:right="120"/>
              <w:spacing w:after="0"/>
              <w:rPr>
                <w:rFonts w:ascii="Times New Roman" w:cs="Times New Roman" w:eastAsia="Times New Roman" w:hAnsi="Times New Roman"/>
                <w:sz w:val="18"/>
                <w:szCs w:val="18"/>
                <w:color w:val="0000EE"/>
                <w:w w:val="95"/>
              </w:rPr>
            </w:pPr>
            <w:hyperlink w:anchor="page175">
              <w:r>
                <w:rPr>
                  <w:rFonts w:ascii="Times New Roman" w:cs="Times New Roman" w:eastAsia="Times New Roman" w:hAnsi="Times New Roman"/>
                  <w:sz w:val="18"/>
                  <w:szCs w:val="18"/>
                  <w:color w:val="0000EE"/>
                  <w:w w:val="95"/>
                </w:rPr>
                <w:t>F-1</w:t>
              </w:r>
            </w:hyperlink>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60" w:type="dxa"/>
            <w:vAlign w:val="bottom"/>
            <w:tcBorders>
              <w:top w:val="single" w:sz="8" w:color="CCEEFF"/>
            </w:tcBorders>
            <w:gridSpan w:val="12"/>
            <w:vMerge w:val="continue"/>
            <w:shd w:val="clear" w:color="auto" w:fill="CCEEFF"/>
          </w:tcPr>
          <w:p>
            <w:pPr>
              <w:spacing w:after="0"/>
              <w:rPr>
                <w:sz w:val="5"/>
                <w:szCs w:val="5"/>
                <w:color w:val="auto"/>
              </w:rPr>
            </w:pPr>
          </w:p>
        </w:tc>
        <w:tc>
          <w:tcPr>
            <w:tcW w:w="2160" w:type="dxa"/>
            <w:vAlign w:val="bottom"/>
            <w:tcBorders>
              <w:top w:val="single" w:sz="8" w:color="CCEEFF"/>
            </w:tcBorders>
            <w:gridSpan w:val="2"/>
            <w:vMerge w:val="continue"/>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360" w:type="dxa"/>
            <w:vAlign w:val="bottom"/>
            <w:tcBorders>
              <w:top w:val="single" w:sz="8" w:color="CCEEFF"/>
            </w:tcBorders>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180" w:type="dxa"/>
            <w:vAlign w:val="bottom"/>
            <w:tcBorders>
              <w:top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Business</w:t>
              </w:r>
            </w:hyperlink>
          </w:p>
        </w:tc>
        <w:tc>
          <w:tcPr>
            <w:tcW w:w="280" w:type="dxa"/>
            <w:vAlign w:val="bottom"/>
            <w:tcBorders>
              <w:top w:val="single" w:sz="8" w:color="CCEEFF"/>
            </w:tcBorders>
            <w:gridSpan w:val="2"/>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79</w:t>
              </w:r>
            </w:hyperlink>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8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231775</wp:posOffset>
            </wp:positionV>
            <wp:extent cx="17240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-2366010</wp:posOffset>
            </wp:positionV>
            <wp:extent cx="72123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information other than that contained in this prospectus, any amendment or supplement to this prospectus or in any free writing prospectus prepared by us or on our behalf. Neither we nor the underwriters take any responsibility for, and can provide no assurance as to the reliability of, any information other than the information in this prospectus, any amendment or supplement to this prospectus and any free writing prospectus prepared by us or on our behalf. You should assume that the information appearing in this prospectus is accurate only as of the date on the front cover of this prospectus, regardless of the time of delivery of this prospectus or any sale of our ordinary shares. This prospectus is not an offer to sell or the solicitation of an offer to buy these ordinary shares in any circumstances under which such offer or solicitation is unlawful.</w:t>
      </w:r>
    </w:p>
    <w:p>
      <w:pPr>
        <w:spacing w:after="0" w:line="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have not taken any action to permit a public offering of the ordinary shares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ordinary shares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2726690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PRESENTATION OF FINANCIAL INFORMATION</w:t>
      </w:r>
    </w:p>
    <w:p>
      <w:pPr>
        <w:spacing w:after="0" w:line="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report under International Financial Reporting Standards as issued by the International Accounting Standards Board (the “IFRS” and the “IASB”). None of the financial statements were prepared in accordance with generally accepted accounting principles in the United States. We present our financial statements in U.S. dollars. We have made rounding adjustments to some of the figures included in this prospectus. Accordingly, numerical figures shown as totals in some tables may not be an arithmetic aggregation of the figures that precede them.</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Items included in our financial statements are measured using the currency of the primary economic environment in which we operate, the U.S. dollar (“the functional currency”). Our financial statements and other financial information included in this prospectus are presented in U.S. dollars unless otherwise noted. See Note 2 to our financial statements included elsewhere in this prospectus.</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 “NIS” are to the legal currency of Israel, “U.S. dollars,” “$” or “dollars” are to United States dollars, “euro” or “€” are to the Euro, the legal currency of certain countries of the European Union.</w:t>
      </w:r>
    </w:p>
    <w:p>
      <w:pPr>
        <w:spacing w:after="0" w:line="1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MARKET AND INDUSTRY DATA</w:t>
      </w:r>
    </w:p>
    <w:p>
      <w:pPr>
        <w:spacing w:after="0" w:line="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includes market and industry data and forecasts that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Certain estimates and forecasts involve uncertainties and risks and are subject to change based on various factors, including those discussed under the headings “Special Note Regarding Forward-Looking Statements” and “Risk Factors” in this prospectus.</w:t>
      </w:r>
    </w:p>
    <w:p>
      <w:pPr>
        <w:spacing w:after="0" w:line="2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 w:right="359"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50430" cy="807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60"/>
          </w:cols>
          <w:pgMar w:left="240" w:top="11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SUMMARY</w:t>
      </w:r>
    </w:p>
    <w:p>
      <w:pPr>
        <w:spacing w:after="0" w:line="96" w:lineRule="exact"/>
        <w:rPr>
          <w:sz w:val="20"/>
          <w:szCs w:val="20"/>
          <w:color w:val="auto"/>
        </w:rPr>
      </w:pPr>
    </w:p>
    <w:p>
      <w:pPr>
        <w:ind w:left="280" w:right="2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that you should consider before deciding to invest in our ordinary shares. You should read this entire prospectus carefully, including the “Risk Factors” section and the financial statements included elsewhere in this prospectus and the notes to those financial statements, before making an investment decision. In this prospectus, the terms “Entera,” “we,” “us,” “our,” “the Company” and “our company” refer to Entera Bio Ltd.</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08" w:lineRule="exact"/>
        <w:rPr>
          <w:sz w:val="20"/>
          <w:szCs w:val="20"/>
          <w:color w:val="auto"/>
        </w:rPr>
      </w:pPr>
    </w:p>
    <w:p>
      <w:pPr>
        <w:ind w:left="280" w:right="20"/>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orally delivered large molecule therapeutics for use in orphan indications and other areas with significant unmet medical need. We are initially applying our technology to develop an oral formulation of parathyroid hormone, or PTH, which has been approved in the United States in injectable form for over a decade. Our lead oral PTH product candidate, EB612, has successfully completed a Phase 2a trial for hypoparathyroidism, a rare condition in which the body fails to produce sufficient amounts of PTH. The U.S. Food and Drug Administration, or FDA, and the European Medicines Agency, or EMA, have granted EB612 orphan drug designation for the treatment of hypoparathyroidism. We expect to initiate a Phase 2b/3 clinical trial of EB612 in the second half of 2018, and we plan to submit applications for regulatory approval of EB612 in the second half of 2020.</w:t>
      </w:r>
    </w:p>
    <w:p>
      <w:pPr>
        <w:spacing w:after="0" w:line="81" w:lineRule="exact"/>
        <w:rPr>
          <w:sz w:val="20"/>
          <w:szCs w:val="20"/>
          <w:color w:val="auto"/>
        </w:rPr>
      </w:pPr>
    </w:p>
    <w:p>
      <w:pPr>
        <w:ind w:left="280" w:right="40"/>
        <w:spacing w:after="0" w:line="244" w:lineRule="auto"/>
        <w:rPr>
          <w:sz w:val="20"/>
          <w:szCs w:val="20"/>
          <w:color w:val="auto"/>
        </w:rPr>
      </w:pPr>
      <w:r>
        <w:rPr>
          <w:rFonts w:ascii="Times New Roman" w:cs="Times New Roman" w:eastAsia="Times New Roman" w:hAnsi="Times New Roman"/>
          <w:sz w:val="18"/>
          <w:szCs w:val="18"/>
          <w:color w:val="auto"/>
        </w:rPr>
        <w:t>Hypoparathyroidism is a rare condition in which the body does not produce sufficient amounts of PTH, or the PTH produced lacks biologic activity. Individuals with a deficiency of PTH typically exhibit abnormally low levels of calcium in the blood, or hypocalcemia, and high levels of phosphorus, or hyperphosphatemia. Hypoparathyroidism is estimated to affect approximately 58,700 insured individuals in the United States. Historically, the treatments for hypoparathyroidism have been calcium supplements, vitamin D supplements and phosphate binders, the chronic use of which results in serious side effects with significant costs to the healthcare system. Natpara</w:t>
      </w: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8"/>
          <w:szCs w:val="18"/>
          <w:color w:val="auto"/>
        </w:rPr>
        <w:t>, a once-daily injectable form of PTH, has been approved for the treatment of hypoparathyroidism. Our lead product candidate, EB612, is delivered orally and can be administered in customized doses several times a day. Multiple dosing per day has been shown to more effectively treat the symptoms of hypoparathyroidism than a once-daily injection, thus reducing the serious side effects of supplement treatment and improving patient outcomes. Studies performed by researchers at the National Institutes of Health, or the NIH, have shown that dosing PTH multiple times per day significantly increases the efficacy of therapy and would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 In addition, we believe patients generally prefer oral drugs. For these reasons, we believe EB612 is clinically superior to existing therapies and has the potential to become the standard of care for hypoparathyroidism.</w:t>
      </w:r>
    </w:p>
    <w:p>
      <w:pPr>
        <w:spacing w:after="0" w:line="90" w:lineRule="exact"/>
        <w:rPr>
          <w:sz w:val="20"/>
          <w:szCs w:val="20"/>
          <w:color w:val="auto"/>
        </w:rPr>
      </w:pPr>
    </w:p>
    <w:p>
      <w:pPr>
        <w:ind w:left="280"/>
        <w:spacing w:after="0" w:line="253" w:lineRule="auto"/>
        <w:rPr>
          <w:sz w:val="20"/>
          <w:szCs w:val="20"/>
          <w:color w:val="auto"/>
        </w:rPr>
      </w:pPr>
      <w:r>
        <w:rPr>
          <w:rFonts w:ascii="Times New Roman" w:cs="Times New Roman" w:eastAsia="Times New Roman" w:hAnsi="Times New Roman"/>
          <w:sz w:val="18"/>
          <w:szCs w:val="18"/>
          <w:color w:val="auto"/>
        </w:rPr>
        <w:t>In the third quarter of 2015, we successfully completed our Phase 2a trial for EB612. The end points in the trial were met, and 17 subjects completed the four-month trial and reported no confirmed related serious or significant adverse events as defined by the study protocol. Although our Phase 2a trial involved a smaller number of patients, was conducted for a shorter duration and did not include an initial optimization period in comparison to the design of the pivotal trial used for regulatory approval of Natpara, the REPLACE study, our Phase 2a trial showed the potential for similar efficacy, a result that we plan to confirm by conducting a Phase 2b/3 trial, which will further evaluate the dosage, effectiveness and safety profile of EB612 in an expanded patient population at multiple trial sites. We believe that EB612 will have inherent advantages compared to injectable forms of PTH, including convenience of application, that no special preparations are required and that it can be stored under normal storage conditions (room temperature or refrigeration). Additionally, based on the results of our preliminary study, we believe that EB612 will have an enhanced clinical profile as compared to Natpara, with an additional normalizing effect on elevated urinary calcium, as well as reduced side effects. If our preliminary results are borne out in additional trials, we believe this combination of advantages and long term clinical benefits will be very compelling to both patients and physicians.</w:t>
      </w:r>
    </w:p>
    <w:p>
      <w:pPr>
        <w:sectPr>
          <w:pgSz w:w="11900" w:h="16838" w:orient="portrait"/>
          <w:cols w:equalWidth="0" w:num="1">
            <w:col w:w="11160"/>
          </w:cols>
          <w:pgMar w:left="240" w:top="11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60"/>
          </w:cols>
          <w:pgMar w:left="240" w:top="114" w:right="499"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50430" cy="807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1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80" w:right="320"/>
        <w:spacing w:after="0" w:line="266" w:lineRule="auto"/>
        <w:rPr>
          <w:sz w:val="20"/>
          <w:szCs w:val="20"/>
          <w:color w:val="auto"/>
        </w:rPr>
      </w:pPr>
      <w:r>
        <w:rPr>
          <w:rFonts w:ascii="Times New Roman" w:cs="Times New Roman" w:eastAsia="Times New Roman" w:hAnsi="Times New Roman"/>
          <w:sz w:val="18"/>
          <w:szCs w:val="18"/>
          <w:color w:val="auto"/>
        </w:rPr>
        <w:t>Based on consultations with key opinion leaders in the hypoparathyroidism field who have reviewed our Phase 2a results and are familiar with the REPLACE study, we are planning for a Phase 2b/3 trial, designed to possibly be a pivotal study for registration. This Phase 2b/3 study will be designed to repeat the REPLACE study in virtually every aspect, as well as to achieve a reduction in urinary calcium.</w:t>
      </w:r>
    </w:p>
    <w:p>
      <w:pPr>
        <w:spacing w:after="0" w:line="68" w:lineRule="exact"/>
        <w:rPr>
          <w:sz w:val="20"/>
          <w:szCs w:val="20"/>
          <w:color w:val="auto"/>
        </w:rPr>
      </w:pPr>
    </w:p>
    <w:p>
      <w:pPr>
        <w:ind w:left="280"/>
        <w:spacing w:after="0" w:line="242" w:lineRule="auto"/>
        <w:rPr>
          <w:sz w:val="20"/>
          <w:szCs w:val="20"/>
          <w:color w:val="auto"/>
        </w:rPr>
      </w:pPr>
      <w:r>
        <w:rPr>
          <w:rFonts w:ascii="Times New Roman" w:cs="Times New Roman" w:eastAsia="Times New Roman" w:hAnsi="Times New Roman"/>
          <w:sz w:val="18"/>
          <w:szCs w:val="18"/>
          <w:color w:val="auto"/>
        </w:rPr>
        <w:t>We are also developing a distinct oral PTH product candidate, EB613, for the treatment of osteoporosis. Osteoporosis is a systemic skeletal disease characterized by low bone mass, deterioration of bone tissue and increased bone fragility and susceptibility to fracture. An estimated 10 million people in the United States have osteoporosis, and another approximately 43 million have low bone mass placing them at increased risk for osteoporosis. PTH plays a key role in the ongoing process of formation and degradation of bones. Forteo</w:t>
      </w: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8"/>
          <w:szCs w:val="18"/>
          <w:color w:val="auto"/>
        </w:rPr>
        <w:t>, a once-daily injectable form of PTH, has been approved for the treatment of osteoporosis in the United States for over 10 years and is widely considered one of the most effective treatments due to its ability to build bone. Because our product candidate EB613 is delivered orally, we believe it will reduce the treatment burden on patients and lead to significantly higher patient and physician acceptance compared to an injectable form of PTH. We intend to commence a Phase 2a clinical trial of EB613 in the first half of 2018. After completing this trial, we intend to seek to collaborate with a strategic partner to further develop and commercialize EB613. We are also preparing to conduct a clinical trial of our oral PTH in non-union fractures, one indication within the field of bone healing.</w:t>
      </w:r>
    </w:p>
    <w:p>
      <w:pPr>
        <w:spacing w:after="0" w:line="91" w:lineRule="exact"/>
        <w:rPr>
          <w:sz w:val="20"/>
          <w:szCs w:val="20"/>
          <w:color w:val="auto"/>
        </w:rPr>
      </w:pPr>
    </w:p>
    <w:p>
      <w:pPr>
        <w:ind w:left="280" w:right="60"/>
        <w:spacing w:after="0" w:line="254" w:lineRule="auto"/>
        <w:rPr>
          <w:sz w:val="20"/>
          <w:szCs w:val="20"/>
          <w:color w:val="auto"/>
        </w:rPr>
      </w:pPr>
      <w:r>
        <w:rPr>
          <w:rFonts w:ascii="Times New Roman" w:cs="Times New Roman" w:eastAsia="Times New Roman" w:hAnsi="Times New Roman"/>
          <w:sz w:val="18"/>
          <w:szCs w:val="18"/>
          <w:color w:val="auto"/>
        </w:rPr>
        <w:t>Our product candidates utilize our proprietary technology for the oral delivery of large molecules. Drug development has shifted towards the use of peptides, proteins and other large molecules for the treatment of various diseases. Between 1993 and 2004, large-molecule clinical approval success rates have outpaced small molecules by about two-to-one. Large molecules have been particularly widely used in orphan indications. Oral drug delivery reduces the treatment burden on patients relative to injectable drugs and provides significantly more flexibility, both in size of dose and number of doses per day, than injectable drugs, which are frequently administered once per day by preset injection pen. However, peptides, proteins and other large molecule therapeutics can currently only be delivered via injections and other non-oral pathways because oral administration leads to poor absorption into the blood stream as well as enzymatic degradation within the gastrointestinal tract. Our proprietary oral drug delivery technology is designed to address both of these issues by utilizing a combination of a synthetic absorption enhancer to facilitate the enhanced absorption of large molecules and protease inhibitors to prevent enzymatic degradation.</w:t>
      </w:r>
    </w:p>
    <w:p>
      <w:pPr>
        <w:spacing w:after="0" w:line="81" w:lineRule="exact"/>
        <w:rPr>
          <w:sz w:val="20"/>
          <w:szCs w:val="20"/>
          <w:color w:val="auto"/>
        </w:rPr>
      </w:pPr>
    </w:p>
    <w:p>
      <w:pPr>
        <w:ind w:left="280" w:right="160"/>
        <w:spacing w:after="0" w:line="258" w:lineRule="auto"/>
        <w:rPr>
          <w:sz w:val="20"/>
          <w:szCs w:val="20"/>
          <w:color w:val="auto"/>
        </w:rPr>
      </w:pPr>
      <w:r>
        <w:rPr>
          <w:rFonts w:ascii="Times New Roman" w:cs="Times New Roman" w:eastAsia="Times New Roman" w:hAnsi="Times New Roman"/>
          <w:sz w:val="18"/>
          <w:szCs w:val="18"/>
          <w:color w:val="auto"/>
        </w:rPr>
        <w:t>We also intend to use our technology as a platform for the oral delivery of other protein and large molecule therapeutics. We initially intend to focus on the development of products based on previously approved therapeutic agents. We believe this will allow us to more efficiently and predictably advance product candidates through the development cycle based on well-defined clinical and regulatory approval pathways. We have conducted initial feasibility studies with a number of candidates and intend to commence clinical development for our next, non-PTH, product candidate by the end of 2018.</w:t>
      </w:r>
    </w:p>
    <w:p>
      <w:pPr>
        <w:spacing w:after="0" w:line="76" w:lineRule="exact"/>
        <w:rPr>
          <w:sz w:val="20"/>
          <w:szCs w:val="20"/>
          <w:color w:val="auto"/>
        </w:rPr>
      </w:pPr>
    </w:p>
    <w:p>
      <w:pPr>
        <w:ind w:left="280" w:right="380"/>
        <w:spacing w:after="0" w:line="266" w:lineRule="auto"/>
        <w:rPr>
          <w:sz w:val="20"/>
          <w:szCs w:val="20"/>
          <w:color w:val="auto"/>
        </w:rPr>
      </w:pPr>
      <w:r>
        <w:rPr>
          <w:rFonts w:ascii="Times New Roman" w:cs="Times New Roman" w:eastAsia="Times New Roman" w:hAnsi="Times New Roman"/>
          <w:sz w:val="18"/>
          <w:szCs w:val="18"/>
          <w:color w:val="auto"/>
        </w:rPr>
        <w:t>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ectPr>
          <w:pgSz w:w="11900" w:h="16838" w:orient="portrait"/>
          <w:cols w:equalWidth="0" w:num="1">
            <w:col w:w="11140"/>
          </w:cols>
          <w:pgMar w:left="240" w:top="11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14" w:right="519"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50430" cy="807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1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80"/>
        <w:spacing w:after="0" w:line="261" w:lineRule="auto"/>
        <w:rPr>
          <w:sz w:val="20"/>
          <w:szCs w:val="20"/>
          <w:color w:val="auto"/>
        </w:rPr>
      </w:pPr>
      <w:r>
        <w:rPr>
          <w:rFonts w:ascii="Times New Roman" w:cs="Times New Roman" w:eastAsia="Times New Roman" w:hAnsi="Times New Roman"/>
          <w:sz w:val="18"/>
          <w:szCs w:val="18"/>
          <w:color w:val="auto"/>
        </w:rPr>
        <w:t>We commenced operations in August 2010 after receiving startup financing in the form of $0.6 million in cash from D.N.A Biomedical Solutions Ltd. and a license from Oramed Ltd., a subsidiary of Oramed Pharmaceuticals, Inc., to certain patent rights relating to the oral administration of proteins. These previously licensed patent rights were assigned to us in 2011, subject to an exclusive, royalty-free license in specified fields under such patent rights that we granted to Oramed Ltd.</w:t>
      </w:r>
    </w:p>
    <w:p>
      <w:pPr>
        <w:spacing w:after="0" w:line="72" w:lineRule="exact"/>
        <w:rPr>
          <w:sz w:val="20"/>
          <w:szCs w:val="20"/>
          <w:color w:val="auto"/>
        </w:rPr>
      </w:pPr>
    </w:p>
    <w:p>
      <w:pPr>
        <w:ind w:left="280" w:right="1160"/>
        <w:spacing w:after="0" w:line="282" w:lineRule="auto"/>
        <w:rPr>
          <w:sz w:val="20"/>
          <w:szCs w:val="20"/>
          <w:color w:val="auto"/>
        </w:rPr>
      </w:pPr>
      <w:r>
        <w:rPr>
          <w:rFonts w:ascii="Times New Roman" w:cs="Times New Roman" w:eastAsia="Times New Roman" w:hAnsi="Times New Roman"/>
          <w:sz w:val="18"/>
          <w:szCs w:val="18"/>
          <w:color w:val="auto"/>
        </w:rPr>
        <w:t>We subsequently advanced our oral PTH product candidates from preclinical studies in animals to a Phase 2a clinical trial of EB612 in hypoparathyroidism in less than five years.</w:t>
      </w:r>
    </w:p>
    <w:p>
      <w:pPr>
        <w:spacing w:after="0" w:line="54" w:lineRule="exact"/>
        <w:rPr>
          <w:sz w:val="20"/>
          <w:szCs w:val="20"/>
          <w:color w:val="auto"/>
        </w:rPr>
      </w:pPr>
    </w:p>
    <w:p>
      <w:pPr>
        <w:ind w:left="280" w:right="320"/>
        <w:spacing w:after="0" w:line="282" w:lineRule="auto"/>
        <w:rPr>
          <w:sz w:val="20"/>
          <w:szCs w:val="20"/>
          <w:color w:val="auto"/>
        </w:rPr>
      </w:pPr>
      <w:r>
        <w:rPr>
          <w:rFonts w:ascii="Times New Roman" w:cs="Times New Roman" w:eastAsia="Times New Roman" w:hAnsi="Times New Roman"/>
          <w:sz w:val="18"/>
          <w:szCs w:val="18"/>
          <w:color w:val="auto"/>
        </w:rPr>
        <w:t>While our operations are currently focused in our offices in Israel, we intend eventually to build a substantial U.S. presence to execute on our later stage development of our products, including clinical operations, regulatory operations, and commercialization.</w:t>
      </w:r>
    </w:p>
    <w:p>
      <w:pPr>
        <w:spacing w:after="0" w:line="1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08" w:lineRule="exact"/>
        <w:rPr>
          <w:sz w:val="20"/>
          <w:szCs w:val="20"/>
          <w:color w:val="auto"/>
        </w:rPr>
      </w:pPr>
    </w:p>
    <w:p>
      <w:pPr>
        <w:ind w:left="280" w:right="260"/>
        <w:spacing w:after="0" w:line="281" w:lineRule="auto"/>
        <w:rPr>
          <w:sz w:val="20"/>
          <w:szCs w:val="20"/>
          <w:color w:val="auto"/>
        </w:rPr>
      </w:pPr>
      <w:r>
        <w:rPr>
          <w:rFonts w:ascii="Times New Roman" w:cs="Times New Roman" w:eastAsia="Times New Roman" w:hAnsi="Times New Roman"/>
          <w:sz w:val="18"/>
          <w:szCs w:val="18"/>
          <w:color w:val="auto"/>
        </w:rPr>
        <w:t>Our goal is to become a leading biopharmaceutical company focused on the development and commercialization of orally delivered large molecule therapeutics in indications with significant unmet medical need. The key elements of our strategy to achieve this goal are to:</w:t>
      </w:r>
    </w:p>
    <w:p>
      <w:pPr>
        <w:spacing w:after="0" w:line="2" w:lineRule="exact"/>
        <w:rPr>
          <w:sz w:val="20"/>
          <w:szCs w:val="20"/>
          <w:color w:val="auto"/>
        </w:rPr>
      </w:pPr>
    </w:p>
    <w:p>
      <w:pPr>
        <w:ind w:left="640" w:right="1660" w:hanging="182"/>
        <w:spacing w:after="0" w:line="28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EB612, through clinical development and into commercialization for the treatment of hypoparathyroidism;</w:t>
      </w:r>
    </w:p>
    <w:p>
      <w:pPr>
        <w:spacing w:after="0" w:line="1" w:lineRule="exact"/>
        <w:rPr>
          <w:rFonts w:ascii="Times New Roman" w:cs="Times New Roman" w:eastAsia="Times New Roman" w:hAnsi="Times New Roman"/>
          <w:sz w:val="18"/>
          <w:szCs w:val="18"/>
          <w:color w:val="auto"/>
        </w:rPr>
      </w:pPr>
    </w:p>
    <w:p>
      <w:pPr>
        <w:ind w:left="640" w:right="360" w:hanging="182"/>
        <w:spacing w:after="0" w:line="28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supportive clinical data for our second product candidate, EB613, for the treatment of osteoporosis, before advancing into late-stage clinical trials;</w:t>
      </w:r>
    </w:p>
    <w:p>
      <w:pPr>
        <w:spacing w:after="0" w:line="1"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expertise in the oral delivery of PTH to develop product candidates in additional indications;</w:t>
      </w:r>
    </w:p>
    <w:p>
      <w:pPr>
        <w:spacing w:after="0" w:line="63"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efficacy profile of large molecule therapeutics through the application of our proprietary oral delivery technology;</w:t>
      </w:r>
    </w:p>
    <w:p>
      <w:pPr>
        <w:spacing w:after="0" w:line="63"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our development and commercialization efforts on indications with significant unmet medical need; and</w:t>
      </w:r>
    </w:p>
    <w:p>
      <w:pPr>
        <w:spacing w:after="0" w:line="63"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develop products based on FDA-approved large molecule therapeutics.</w:t>
      </w:r>
    </w:p>
    <w:p>
      <w:pPr>
        <w:spacing w:after="0" w:line="2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08" w:lineRule="exact"/>
        <w:rPr>
          <w:sz w:val="20"/>
          <w:szCs w:val="20"/>
          <w:color w:val="auto"/>
        </w:rPr>
      </w:pPr>
    </w:p>
    <w:p>
      <w:pPr>
        <w:ind w:left="280" w:right="140"/>
        <w:spacing w:after="0" w:line="256" w:lineRule="auto"/>
        <w:rPr>
          <w:sz w:val="20"/>
          <w:szCs w:val="20"/>
          <w:color w:val="auto"/>
        </w:rPr>
      </w:pPr>
      <w:r>
        <w:rPr>
          <w:rFonts w:ascii="Times New Roman" w:cs="Times New Roman" w:eastAsia="Times New Roman" w:hAnsi="Times New Roman"/>
          <w:sz w:val="18"/>
          <w:szCs w:val="18"/>
          <w:color w:val="auto"/>
        </w:rPr>
        <w:t>Currently, peptides, proteins and other large molecule therapeutics can only be delivered via injections and other non-oral-pathways because oral administration leads to poor absorption into the blood stream (bioavailability) due to enzymatic degradation within the gastrointestinal tract and poor permeability though the intestinal wall. Most oral drug delivery technologies attempting to overcome this hurdle nevertheless manage to attain only very low bioavailability (less than 1%). Orally-delivered large molecules with low systemic levels present high variability of dose exposure, both between patients and within the same patient at different times of administration since small changes in the level of absorption lead to significant changes in the bioavailability. Absorption variability is generally decreased as the drug bioavailability is increased.</w:t>
      </w:r>
    </w:p>
    <w:p>
      <w:pPr>
        <w:spacing w:after="0" w:line="80" w:lineRule="exact"/>
        <w:rPr>
          <w:sz w:val="20"/>
          <w:szCs w:val="20"/>
          <w:color w:val="auto"/>
        </w:rPr>
      </w:pPr>
    </w:p>
    <w:p>
      <w:pPr>
        <w:ind w:left="280" w:right="60"/>
        <w:spacing w:after="0" w:line="256" w:lineRule="auto"/>
        <w:rPr>
          <w:sz w:val="20"/>
          <w:szCs w:val="20"/>
          <w:color w:val="auto"/>
        </w:rPr>
      </w:pPr>
      <w:r>
        <w:rPr>
          <w:rFonts w:ascii="Times New Roman" w:cs="Times New Roman" w:eastAsia="Times New Roman" w:hAnsi="Times New Roman"/>
          <w:sz w:val="18"/>
          <w:szCs w:val="18"/>
          <w:color w:val="auto"/>
        </w:rPr>
        <w:t>Oral formulations of large molecules must therefore ensure that the large molecule is able to pass through the intestinal wall so that it can be absorbed into the bloodstream and that the large molecule therapeutic is not exposed to enzymatic degradation in order to protect its biological activity and availability for absorption. Our proprietary technology is designed to address both of these issues by utilizing a combination of a synthetic absorption enhancer, or carrier molecule, to facilitate the enhanced absorption of large molecules, and protease inhibitors to prevent enzymatic degradation. By designing our product candidates to address both the issues of absorption and degradation, we have been able to significantly increase bioavailability and decrease the variability of the PTH dose delivered in our clinical trials to date.</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Oral PTH Therapeutics</w:t>
      </w:r>
    </w:p>
    <w:p>
      <w:pPr>
        <w:spacing w:after="0" w:line="106" w:lineRule="exact"/>
        <w:rPr>
          <w:sz w:val="20"/>
          <w:szCs w:val="20"/>
          <w:color w:val="auto"/>
        </w:rPr>
      </w:pPr>
    </w:p>
    <w:p>
      <w:pPr>
        <w:ind w:left="280" w:right="220"/>
        <w:spacing w:after="0" w:line="282" w:lineRule="auto"/>
        <w:rPr>
          <w:sz w:val="20"/>
          <w:szCs w:val="20"/>
          <w:color w:val="auto"/>
        </w:rPr>
      </w:pPr>
      <w:r>
        <w:rPr>
          <w:rFonts w:ascii="Times New Roman" w:cs="Times New Roman" w:eastAsia="Times New Roman" w:hAnsi="Times New Roman"/>
          <w:sz w:val="18"/>
          <w:szCs w:val="18"/>
          <w:color w:val="auto"/>
        </w:rPr>
        <w:t>PTH is a hormone that regulates the levels of calcium and phosphorus in the blood. The naturally occurring form of PTH that is found in the human body is composed of 84 amino acids, although only the</w:t>
      </w:r>
    </w:p>
    <w:p>
      <w:pPr>
        <w:sectPr>
          <w:pgSz w:w="11900" w:h="16838" w:orient="portrait"/>
          <w:cols w:equalWidth="0" w:num="1">
            <w:col w:w="11140"/>
          </w:cols>
          <w:pgMar w:left="240" w:top="11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14" w:right="519"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50430" cy="807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20"/>
          </w:cols>
          <w:pgMar w:left="240" w:top="114"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0" w:right="40"/>
        <w:spacing w:after="0" w:line="255" w:lineRule="auto"/>
        <w:rPr>
          <w:sz w:val="20"/>
          <w:szCs w:val="20"/>
          <w:color w:val="auto"/>
        </w:rPr>
      </w:pPr>
      <w:r>
        <w:rPr>
          <w:rFonts w:ascii="Times New Roman" w:cs="Times New Roman" w:eastAsia="Times New Roman" w:hAnsi="Times New Roman"/>
          <w:sz w:val="18"/>
          <w:szCs w:val="18"/>
          <w:color w:val="auto"/>
        </w:rPr>
        <w:t>first 34 amino acids are believed to be responsible for its biological effects. A recombinant form of PTH that is comprised of only the first 34 amino acids, or PTH (1-34), can be used as a treatment for a number of indications, including hypoparathyroidism, osteoporosis and non-union fractures. An injectable form of PTH (1-34), marketed under the name Forteo, has been approved in the United States for more than 10 years and has been used by millions of patients for the treatment of osteoporosis. An injectable form of full length PTH (1-84), marketed under the name Natpara, has also been approved for the treatment of hypoparathyroidism. We are developing a number of distinct oral PTH (1-34) products, with significant differences in dose and pharmacokinetic, or PK, profile that can be used for a number of proposed indications. We believe that our oral PTH product candidates, if approved, have the potential to become the standard of care for patients with hypoparathyroidism, osteoporosis and non-union bone fractures.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EB612 for Hypoparathyroidism</w:t>
      </w:r>
    </w:p>
    <w:p>
      <w:pPr>
        <w:spacing w:after="0" w:line="106" w:lineRule="exact"/>
        <w:rPr>
          <w:sz w:val="20"/>
          <w:szCs w:val="20"/>
          <w:color w:val="auto"/>
        </w:rPr>
      </w:pPr>
    </w:p>
    <w:p>
      <w:pPr>
        <w:ind w:left="280"/>
        <w:spacing w:after="0" w:line="255" w:lineRule="auto"/>
        <w:rPr>
          <w:sz w:val="20"/>
          <w:szCs w:val="20"/>
          <w:color w:val="auto"/>
        </w:rPr>
      </w:pPr>
      <w:r>
        <w:rPr>
          <w:rFonts w:ascii="Times New Roman" w:cs="Times New Roman" w:eastAsia="Times New Roman" w:hAnsi="Times New Roman"/>
          <w:sz w:val="18"/>
          <w:szCs w:val="18"/>
          <w:color w:val="auto"/>
        </w:rPr>
        <w:t>Our lead product candidate, EB612, is an oral formulation of PTH (1-34). EB612 is a synthetic form of the first 34 amino acids of human PTH to which we have applied our proprietary technology for the oral delivery of large molecule therapeutics. In the third quarter of 2015, we successfully completed our Phase 2a trial. The end points in the trial were met, and 17 subjects completed the four-month trial and reported no serious or significant related adverse events as defined by the study protocol. Although our Phase 2a trial involved a smaller number of patients, was conducted for a shorter duration and did not include an initial optimization period in comparison to the design of the pivotal trial used for regulatory approval of Natpara, the REPLACE study, our Phase 2a trial showed the potential for similar efficacy, a result that we plan to confirm by conducting a Phase 2b/3 trial. We expect to initiate a Phase 2b/3 clinical trial of EB612 in the second half of 2018 and we plan to submit applications for regulatory approval of EB612 in the second half of 2020. The FDA and EMA have granted EB612 orphan drug designation for the treatment of hypoparathyroidism.</w:t>
      </w:r>
    </w:p>
    <w:p>
      <w:pPr>
        <w:spacing w:after="0" w:line="77" w:lineRule="exact"/>
        <w:rPr>
          <w:sz w:val="20"/>
          <w:szCs w:val="20"/>
          <w:color w:val="auto"/>
        </w:rPr>
      </w:pPr>
    </w:p>
    <w:p>
      <w:pPr>
        <w:ind w:left="280" w:right="180"/>
        <w:spacing w:after="0" w:line="258" w:lineRule="auto"/>
        <w:rPr>
          <w:sz w:val="20"/>
          <w:szCs w:val="20"/>
          <w:color w:val="auto"/>
        </w:rPr>
      </w:pPr>
      <w:r>
        <w:rPr>
          <w:rFonts w:ascii="Times New Roman" w:cs="Times New Roman" w:eastAsia="Times New Roman" w:hAnsi="Times New Roman"/>
          <w:sz w:val="18"/>
          <w:szCs w:val="18"/>
          <w:color w:val="auto"/>
        </w:rPr>
        <w:t>Individuals with a deficiency of parathyroid hormone may exhibit hypocalcemia and hyperphosphatemia. Hypocalcemia can cause one or more of a variety of symptoms, including weakness, muscle cramps, excessive nervousness, headaches and uncontrollable twitching and cramping spasms of muscles such as those of the hands, feet, arms, legs and face, which is known as tetany. Acute hypocalcemia can result in cardiac failure, failure of nervous system functions and death. Hyperphosphatemia can result in soft tissue calcium deposition, which may lead to severe issues, including damage to the circulatory system and central nervous system.</w:t>
      </w:r>
    </w:p>
    <w:p>
      <w:pPr>
        <w:spacing w:after="0" w:line="76" w:lineRule="exact"/>
        <w:rPr>
          <w:sz w:val="20"/>
          <w:szCs w:val="20"/>
          <w:color w:val="auto"/>
        </w:rPr>
      </w:pPr>
    </w:p>
    <w:p>
      <w:pPr>
        <w:ind w:left="280"/>
        <w:spacing w:after="0" w:line="261" w:lineRule="auto"/>
        <w:rPr>
          <w:sz w:val="20"/>
          <w:szCs w:val="20"/>
          <w:color w:val="auto"/>
        </w:rPr>
      </w:pPr>
      <w:r>
        <w:rPr>
          <w:rFonts w:ascii="Times New Roman" w:cs="Times New Roman" w:eastAsia="Times New Roman" w:hAnsi="Times New Roman"/>
          <w:sz w:val="18"/>
          <w:szCs w:val="18"/>
          <w:color w:val="auto"/>
        </w:rPr>
        <w:t>The prevalence of hypoparathyroidism is estimated to be 37 per 100,000 in the United States, with 78% of cases caused by surgery, 7% due to genetic disorder and 6% due to idiopathic origin. Although incidence rates have been difficult to quantify, it is estimated that chronic hypoparathyroidism, which affects patients for more than six months, affects approximately 58,700 insured individuals in the United States, with an estimated 43% of these chronic cases characterized as mild, 39% characterized as moderate, and 18% characterized as severe.</w:t>
      </w:r>
    </w:p>
    <w:p>
      <w:pPr>
        <w:spacing w:after="0" w:line="72" w:lineRule="exact"/>
        <w:rPr>
          <w:sz w:val="20"/>
          <w:szCs w:val="20"/>
          <w:color w:val="auto"/>
        </w:rPr>
      </w:pPr>
    </w:p>
    <w:p>
      <w:pPr>
        <w:ind w:left="280" w:right="100"/>
        <w:spacing w:after="0" w:line="255" w:lineRule="auto"/>
        <w:rPr>
          <w:sz w:val="20"/>
          <w:szCs w:val="20"/>
          <w:color w:val="auto"/>
        </w:rPr>
      </w:pPr>
      <w:r>
        <w:rPr>
          <w:rFonts w:ascii="Times New Roman" w:cs="Times New Roman" w:eastAsia="Times New Roman" w:hAnsi="Times New Roman"/>
          <w:sz w:val="18"/>
          <w:szCs w:val="18"/>
          <w:color w:val="auto"/>
        </w:rPr>
        <w:t>If a product receives the first FDA approval for the indication for which it has orphan designation, the product is entitled to orphan drug exclusivity, which means that the FDA may not approve any other application to market the same drug for the same indication for a period of seven years, except in limited circumstances, such as a showing of clinical superiority over the product with orphan exclusivity. In January 2015, the FDA approved Natpara, an injectable form of PTH, for hypoparathyroidism, and awarded Natpara orphan drug exclusivity until January 23, 2022. In order for our biologics license application, or BLA, for EB612 to be approved by the FDA prior to this date, we will need to demonstrate that EB612 is clinically superior to Natpara in that it demonstrates greater effectiveness or safety than Natpara or that it otherwise makes a major contribution to patient care, which we believe we will be able to do.</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EB613 for Osteoporosis</w:t>
      </w:r>
    </w:p>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Osteoporosis</w:t>
      </w:r>
    </w:p>
    <w:p>
      <w:pPr>
        <w:spacing w:after="0" w:line="106" w:lineRule="exact"/>
        <w:rPr>
          <w:sz w:val="20"/>
          <w:szCs w:val="20"/>
          <w:color w:val="auto"/>
        </w:rPr>
      </w:pPr>
    </w:p>
    <w:p>
      <w:pPr>
        <w:ind w:left="280" w:right="20"/>
        <w:spacing w:after="0" w:line="282" w:lineRule="auto"/>
        <w:rPr>
          <w:sz w:val="20"/>
          <w:szCs w:val="20"/>
          <w:color w:val="auto"/>
        </w:rPr>
      </w:pPr>
      <w:r>
        <w:rPr>
          <w:rFonts w:ascii="Times New Roman" w:cs="Times New Roman" w:eastAsia="Times New Roman" w:hAnsi="Times New Roman"/>
          <w:sz w:val="18"/>
          <w:szCs w:val="18"/>
          <w:color w:val="auto"/>
        </w:rPr>
        <w:t>We are also developing a distinct oral PTH product candidate, EB613, for the treatment of osteoporosis. We are preparing a Phase 2a trial of EB613 in osteoporosis that we plan to conduct in Israel in the first half of</w:t>
      </w:r>
    </w:p>
    <w:p>
      <w:pPr>
        <w:sectPr>
          <w:pgSz w:w="11900" w:h="16838" w:orient="portrait"/>
          <w:cols w:equalWidth="0" w:num="1">
            <w:col w:w="11120"/>
          </w:cols>
          <w:pgMar w:left="240" w:top="114"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20"/>
          </w:cols>
          <w:pgMar w:left="240" w:top="114" w:right="539"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50430" cy="8074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20"/>
          </w:cols>
          <w:pgMar w:left="240" w:top="114"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0" w:right="260"/>
        <w:spacing w:after="0" w:line="282" w:lineRule="auto"/>
        <w:rPr>
          <w:sz w:val="20"/>
          <w:szCs w:val="20"/>
          <w:color w:val="auto"/>
        </w:rPr>
      </w:pPr>
      <w:r>
        <w:rPr>
          <w:rFonts w:ascii="Times New Roman" w:cs="Times New Roman" w:eastAsia="Times New Roman" w:hAnsi="Times New Roman"/>
          <w:sz w:val="18"/>
          <w:szCs w:val="18"/>
          <w:color w:val="auto"/>
        </w:rPr>
        <w:t>2018. Following this Phase 2a trial, we intend to submit an investigational new drug application, or IND, to the FDA for a Phase 2b clinical trial of EB613 in osteoporosis. Prior to submission, we plan to solicit feedback from the FDA on our proposed clinical trial design.</w:t>
      </w:r>
    </w:p>
    <w:p>
      <w:pPr>
        <w:spacing w:after="0" w:line="54" w:lineRule="exact"/>
        <w:rPr>
          <w:sz w:val="20"/>
          <w:szCs w:val="20"/>
          <w:color w:val="auto"/>
        </w:rPr>
      </w:pPr>
    </w:p>
    <w:p>
      <w:pPr>
        <w:ind w:left="280" w:right="20"/>
        <w:spacing w:after="0" w:line="256" w:lineRule="auto"/>
        <w:rPr>
          <w:sz w:val="20"/>
          <w:szCs w:val="20"/>
          <w:color w:val="auto"/>
        </w:rPr>
      </w:pPr>
      <w:r>
        <w:rPr>
          <w:rFonts w:ascii="Times New Roman" w:cs="Times New Roman" w:eastAsia="Times New Roman" w:hAnsi="Times New Roman"/>
          <w:sz w:val="18"/>
          <w:szCs w:val="18"/>
          <w:color w:val="auto"/>
        </w:rPr>
        <w:t>Osteoporosis is a systemic skeletal disease characterized by low bone mass, deterioration of bone tissue and increased bone fragility and susceptibility to fracture. Osteoporosis often leads to loss of mobility, admission to nursing homes and dependence on caregivers. These debilitating effects of osteoporosis have substantial costs. The prevalence of osteoporosis is growing and, according to the National Osteoporosis Foundation, or NOF, is significantly under-recognized and under-treated in the population. While the aging of the population is a primary driver of an increase in cases, osteoporosis is also increasing due to the use of drugs that induce bone loss, such as chronic use of glucocorticoids and aromatase inhibitors that are increasingly used for breast cancer and the hormone therapies used for prostate cancer.</w:t>
      </w:r>
    </w:p>
    <w:p>
      <w:pPr>
        <w:spacing w:after="0" w:line="80" w:lineRule="exact"/>
        <w:rPr>
          <w:sz w:val="20"/>
          <w:szCs w:val="20"/>
          <w:color w:val="auto"/>
        </w:rPr>
      </w:pPr>
    </w:p>
    <w:p>
      <w:pPr>
        <w:ind w:left="280" w:right="20"/>
        <w:spacing w:after="0" w:line="255" w:lineRule="auto"/>
        <w:rPr>
          <w:sz w:val="20"/>
          <w:szCs w:val="20"/>
          <w:color w:val="auto"/>
        </w:rPr>
      </w:pPr>
      <w:r>
        <w:rPr>
          <w:rFonts w:ascii="Times New Roman" w:cs="Times New Roman" w:eastAsia="Times New Roman" w:hAnsi="Times New Roman"/>
          <w:sz w:val="18"/>
          <w:szCs w:val="18"/>
          <w:color w:val="auto"/>
        </w:rPr>
        <w:t>The NOF has estimated that 10 million people in the United States have osteoporosis, and another approximately 43 million have low bone mass placing them at increased risk for osteoporosis. In addition, the NOF has estimated that osteoporosis is responsible for more than two million fractures in the United States each year resulting in an estimated $19 billion in costs annually. The NOF expects that the number of fractures in the United States due to osteoporosis will rise to three million by 2025, resulting in an estimated $25.3 billion in costs each year. Worldwide, osteoporosis affects an estimated 200 million women according to the International Osteoporosis Foundation, or IOF, and causes more than 8.9 million fractures annually, which is equivalent to an osteoporotic fracture occurring approximately every three seconds. The IOF has estimated that 1.6 million hip fractures occur worldwide each year, and by 2050 this number could reach between 4.5 million and 6.3 million. The IOF estimates that in Europe alone, the annual cost of osteoporotic fractures could surpass €76 billion by 2050.</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Bone Healing/Non-union Fractures</w:t>
      </w:r>
    </w:p>
    <w:p>
      <w:pPr>
        <w:spacing w:after="0" w:line="106" w:lineRule="exact"/>
        <w:rPr>
          <w:sz w:val="20"/>
          <w:szCs w:val="20"/>
          <w:color w:val="auto"/>
        </w:rPr>
      </w:pPr>
    </w:p>
    <w:p>
      <w:pPr>
        <w:jc w:val="both"/>
        <w:ind w:left="280"/>
        <w:spacing w:after="0" w:line="277" w:lineRule="auto"/>
        <w:rPr>
          <w:sz w:val="20"/>
          <w:szCs w:val="20"/>
          <w:color w:val="auto"/>
        </w:rPr>
      </w:pPr>
      <w:r>
        <w:rPr>
          <w:rFonts w:ascii="Times New Roman" w:cs="Times New Roman" w:eastAsia="Times New Roman" w:hAnsi="Times New Roman"/>
          <w:sz w:val="17"/>
          <w:szCs w:val="17"/>
          <w:color w:val="auto"/>
        </w:rPr>
        <w:t>We intend to investigate the efficacy of our oral PTH product candidates for non-union bone fractures. We may either pursue fracture treatment as an additional use of EB613 or further modify the formulation if studies suggest we could achieve a PK profile that is more efficacious for bone fractures. As non-union fractures and bone healing are non-chronic conditions, generally entailing three to six months of treatment, we believe the acceptance of oral PTH will be higher than other potential pharmacological alternatives. We believe we will be able to use the data generated with EB613 in Phase 1 clinical trials relating to osteoporosis to progress directly to a Phase 2a clinical trial of our oral PTH product candidates for non-union bone fractures.</w:t>
      </w:r>
    </w:p>
    <w:p>
      <w:pPr>
        <w:spacing w:after="0" w:line="60" w:lineRule="exact"/>
        <w:rPr>
          <w:sz w:val="20"/>
          <w:szCs w:val="20"/>
          <w:color w:val="auto"/>
        </w:rPr>
      </w:pPr>
    </w:p>
    <w:p>
      <w:pPr>
        <w:ind w:left="280" w:right="20"/>
        <w:spacing w:after="0" w:line="258" w:lineRule="auto"/>
        <w:rPr>
          <w:sz w:val="20"/>
          <w:szCs w:val="20"/>
          <w:color w:val="auto"/>
        </w:rPr>
      </w:pPr>
      <w:r>
        <w:rPr>
          <w:rFonts w:ascii="Times New Roman" w:cs="Times New Roman" w:eastAsia="Times New Roman" w:hAnsi="Times New Roman"/>
          <w:sz w:val="18"/>
          <w:szCs w:val="18"/>
          <w:color w:val="auto"/>
        </w:rPr>
        <w:t>Non-union fractures occur when the normal process of bone healing is interrupted and a fracture does not heal properly or does not heal at all. By definition, a non-union fracture will not heal on its own. Most non-union fractures require surgery, which can involve bone grafts or stabilizing the affected bone by affixing rods, plates or screws. Risks of surgery include neurovascular injury, infection and hemorrhage. In the United States, there are approximately seven million new fractures each year, with approximately 300,000 delayed union or non-union fractures. Estimates for the average non-union treatment cost vary from approximately $25,000 to $45,000.</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Future Development of Orally Delivered Large Molecule Therapeutics</w:t>
      </w:r>
    </w:p>
    <w:p>
      <w:pPr>
        <w:spacing w:after="0" w:line="108" w:lineRule="exact"/>
        <w:rPr>
          <w:sz w:val="20"/>
          <w:szCs w:val="20"/>
          <w:color w:val="auto"/>
        </w:rPr>
      </w:pPr>
    </w:p>
    <w:p>
      <w:pPr>
        <w:ind w:left="280" w:right="80"/>
        <w:spacing w:after="0" w:line="255" w:lineRule="auto"/>
        <w:rPr>
          <w:sz w:val="20"/>
          <w:szCs w:val="20"/>
          <w:color w:val="auto"/>
        </w:rPr>
      </w:pPr>
      <w:r>
        <w:rPr>
          <w:rFonts w:ascii="Times New Roman" w:cs="Times New Roman" w:eastAsia="Times New Roman" w:hAnsi="Times New Roman"/>
          <w:sz w:val="18"/>
          <w:szCs w:val="18"/>
          <w:color w:val="auto"/>
        </w:rPr>
        <w:t>We intend to use our technology as a platform for the oral delivery of protein and other large molecule therapeutics. We have conducted initial feasibility studies with a number of candidates, including human growth hormone, and intend to commence clinical development for our next, non-PTH, product candidate in the first half of 2018. For example, in initial rodent studies utilizing Entera’s drug delivery technology, an oral formulation of human growth hormone obtained significant concentrations of intact human growth hormone throughout the blood stream. We expect that the key criteria in selecting our next clinical candidate will include: the size of the molecule and other chemical characteristics that would benefit from our technology, whether the molecule is best delivered through the intestinal tract rather than through injection, and the drug’s dosing schedule (more specifically, whether it is prescribed for at least three months and would likely be best administered at least once a day). Additionally, we may target large proteins that are prone to inducing damaging immune responses when injected subcutaneously. In some cases, the</w:t>
      </w:r>
    </w:p>
    <w:p>
      <w:pPr>
        <w:sectPr>
          <w:pgSz w:w="11900" w:h="16838" w:orient="portrait"/>
          <w:cols w:equalWidth="0" w:num="1">
            <w:col w:w="11120"/>
          </w:cols>
          <w:pgMar w:left="240" w:top="114"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20"/>
          </w:cols>
          <w:pgMar w:left="240" w:top="114" w:right="539"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50430" cy="807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1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0" w:right="280"/>
        <w:spacing w:after="0" w:line="313" w:lineRule="auto"/>
        <w:rPr>
          <w:sz w:val="20"/>
          <w:szCs w:val="20"/>
          <w:color w:val="auto"/>
        </w:rPr>
      </w:pPr>
      <w:r>
        <w:rPr>
          <w:rFonts w:ascii="Times New Roman" w:cs="Times New Roman" w:eastAsia="Times New Roman" w:hAnsi="Times New Roman"/>
          <w:sz w:val="17"/>
          <w:szCs w:val="17"/>
          <w:color w:val="auto"/>
        </w:rPr>
        <w:t>immune response to the injection is so severe as to reduce or eliminate all physiological effect of the drug upon the illness. We are also considering whether to partner the development of any such additional product candidates and are in early stage discussions with a number of external parties.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8" w:lineRule="exact"/>
        <w:rPr>
          <w:sz w:val="20"/>
          <w:szCs w:val="20"/>
          <w:color w:val="auto"/>
        </w:rPr>
      </w:pPr>
    </w:p>
    <w:p>
      <w:pPr>
        <w:ind w:left="280" w:right="180"/>
        <w:spacing w:after="0" w:line="261" w:lineRule="auto"/>
        <w:rPr>
          <w:sz w:val="20"/>
          <w:szCs w:val="20"/>
          <w:color w:val="auto"/>
        </w:rPr>
      </w:pPr>
      <w:r>
        <w:rPr>
          <w:rFonts w:ascii="Times New Roman" w:cs="Times New Roman" w:eastAsia="Times New Roman" w:hAnsi="Times New Roman"/>
          <w:sz w:val="18"/>
          <w:szCs w:val="18"/>
          <w:color w:val="auto"/>
        </w:rPr>
        <w:t>From October to December 2017, we entered into Series B preferred share purchase agreements with certain investors (together, the “Investors”) for the sale of shares of our Series B preferred shares, at a price per share of $908.78, for an aggregate purchase price of $13.0 million (the “Series B Private Placement”). In connection with the Series B Private Placement, the Company issued and sold to the Investors 14,283 Series B preferred shares.</w:t>
      </w:r>
    </w:p>
    <w:p>
      <w:pPr>
        <w:spacing w:after="0" w:line="72" w:lineRule="exact"/>
        <w:rPr>
          <w:sz w:val="20"/>
          <w:szCs w:val="20"/>
          <w:color w:val="auto"/>
        </w:rPr>
      </w:pPr>
    </w:p>
    <w:p>
      <w:pPr>
        <w:ind w:left="280"/>
        <w:spacing w:after="0" w:line="258" w:lineRule="auto"/>
        <w:rPr>
          <w:sz w:val="20"/>
          <w:szCs w:val="20"/>
          <w:color w:val="auto"/>
        </w:rPr>
      </w:pPr>
      <w:r>
        <w:rPr>
          <w:rFonts w:ascii="Times New Roman" w:cs="Times New Roman" w:eastAsia="Times New Roman" w:hAnsi="Times New Roman"/>
          <w:sz w:val="18"/>
          <w:szCs w:val="18"/>
          <w:color w:val="auto"/>
        </w:rPr>
        <w:t>The Series B Private Placement qualified as a Qualified Financing and thus constituted a 2016 Triggering Event under the 2016 Convertible Loan agreement (as discussed further under “Management’s Discussion and Analysis — Contractual Obligations and Commitments — 2016 Convertible Loan”). As a result of the Series B Private Placement, the entire loan amount due to holders under the 2016 Convertible Loan agreement, together with all accrued interest, was converted into a total of 13,229 of our Series B-1 preferred shares at a price per share of $681.585. The rights of the Series B-1 preferred shares are identical in all respects (other than the price per share) to the Series B preferred shares.</w:t>
      </w:r>
    </w:p>
    <w:p>
      <w:pPr>
        <w:spacing w:after="0" w:line="76" w:lineRule="exact"/>
        <w:rPr>
          <w:sz w:val="20"/>
          <w:szCs w:val="20"/>
          <w:color w:val="auto"/>
        </w:rPr>
      </w:pPr>
    </w:p>
    <w:p>
      <w:pPr>
        <w:ind w:left="280" w:right="100"/>
        <w:spacing w:after="0" w:line="266" w:lineRule="auto"/>
        <w:rPr>
          <w:sz w:val="20"/>
          <w:szCs w:val="20"/>
          <w:color w:val="auto"/>
        </w:rPr>
      </w:pPr>
      <w:r>
        <w:rPr>
          <w:rFonts w:ascii="Times New Roman" w:cs="Times New Roman" w:eastAsia="Times New Roman" w:hAnsi="Times New Roman"/>
          <w:sz w:val="18"/>
          <w:szCs w:val="18"/>
          <w:color w:val="auto"/>
        </w:rPr>
        <w:t>As a result of the Series B Private Placement, the 2016 Warrants (as discussed in “Description of Share Capital — 2016 Warrants”) that the Company previously issued in connection with the 2016 Convertible Loan became warrants to purchase our Series B preferred shares at an exercise price of $908.78.</w:t>
      </w:r>
    </w:p>
    <w:p>
      <w:pPr>
        <w:spacing w:after="0" w:line="68" w:lineRule="exact"/>
        <w:rPr>
          <w:sz w:val="20"/>
          <w:szCs w:val="20"/>
          <w:color w:val="auto"/>
        </w:rPr>
      </w:pPr>
    </w:p>
    <w:p>
      <w:pPr>
        <w:ind w:left="280" w:right="160"/>
        <w:spacing w:after="0" w:line="261" w:lineRule="auto"/>
        <w:rPr>
          <w:sz w:val="20"/>
          <w:szCs w:val="20"/>
          <w:color w:val="auto"/>
        </w:rPr>
      </w:pPr>
      <w:r>
        <w:rPr>
          <w:rFonts w:ascii="Times New Roman" w:cs="Times New Roman" w:eastAsia="Times New Roman" w:hAnsi="Times New Roman"/>
          <w:sz w:val="18"/>
          <w:szCs w:val="18"/>
          <w:color w:val="auto"/>
        </w:rPr>
        <w:t>In addition, as a result of the Series B Private Placement, the additional warrants (as discussed in “Description of Share Capital — Additional Warrants”) that the Company previously issued in connection with the second amendment to the Centillion preferred share purchase agreement and the first amendment to the additional preferred share purchase agreements with the certain other preferred shareholders became warrants to purchase our Series B-1 preferred shares at an exercise price of $681.585.</w:t>
      </w:r>
    </w:p>
    <w:p>
      <w:pPr>
        <w:spacing w:after="0" w:line="72" w:lineRule="exact"/>
        <w:rPr>
          <w:sz w:val="20"/>
          <w:szCs w:val="20"/>
          <w:color w:val="auto"/>
        </w:rPr>
      </w:pPr>
    </w:p>
    <w:p>
      <w:pPr>
        <w:jc w:val="both"/>
        <w:ind w:left="280" w:right="100"/>
        <w:spacing w:after="0" w:line="261" w:lineRule="auto"/>
        <w:rPr>
          <w:sz w:val="20"/>
          <w:szCs w:val="20"/>
          <w:color w:val="auto"/>
        </w:rPr>
      </w:pPr>
      <w:r>
        <w:rPr>
          <w:rFonts w:ascii="Times New Roman" w:cs="Times New Roman" w:eastAsia="Times New Roman" w:hAnsi="Times New Roman"/>
          <w:sz w:val="18"/>
          <w:szCs w:val="18"/>
          <w:color w:val="auto"/>
        </w:rPr>
        <w:t>Under the terms of the applicable agreements and pursuant to the IPO Transactions (as defined below), the Series B and B-1 preferred shares will be automatically converted into our ordinary shares, and the warrants to purchase Series B and B-1 preferred shares will be automatically converted into warrants to purchase ordinary shares, upon the closing of this offering, which issuances will be adjusted to reflect the 1-for-89.5 split of our ordinary shares that will be effected immediately following the pricing of this offering, as described below.</w:t>
      </w:r>
    </w:p>
    <w:p>
      <w:pPr>
        <w:spacing w:after="0" w:line="72" w:lineRule="exact"/>
        <w:rPr>
          <w:sz w:val="20"/>
          <w:szCs w:val="20"/>
          <w:color w:val="auto"/>
        </w:rPr>
      </w:pPr>
    </w:p>
    <w:p>
      <w:pPr>
        <w:jc w:val="both"/>
        <w:ind w:left="280" w:right="220"/>
        <w:spacing w:after="0" w:line="266" w:lineRule="auto"/>
        <w:rPr>
          <w:sz w:val="20"/>
          <w:szCs w:val="20"/>
          <w:color w:val="auto"/>
        </w:rPr>
      </w:pPr>
      <w:r>
        <w:rPr>
          <w:rFonts w:ascii="Times New Roman" w:cs="Times New Roman" w:eastAsia="Times New Roman" w:hAnsi="Times New Roman"/>
          <w:sz w:val="18"/>
          <w:szCs w:val="18"/>
          <w:color w:val="auto"/>
        </w:rPr>
        <w:t>We refer to the Series B Private Placement and the conversion of the 2016 Convertible Loan and set of the final terms of the 2016 Warrants and the additional warrants as the “Recent Developments Transactions.” For further information, see “Certain Relationships and Related Party Transactions — Preferred Share Purchases — Series B Private Placement.”</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08" w:lineRule="exact"/>
        <w:rPr>
          <w:sz w:val="20"/>
          <w:szCs w:val="20"/>
          <w:color w:val="auto"/>
        </w:rPr>
      </w:pPr>
    </w:p>
    <w:p>
      <w:pPr>
        <w:ind w:left="280" w:right="80"/>
        <w:spacing w:after="0" w:line="261" w:lineRule="auto"/>
        <w:rPr>
          <w:sz w:val="20"/>
          <w:szCs w:val="20"/>
          <w:color w:val="auto"/>
        </w:rPr>
      </w:pPr>
      <w:r>
        <w:rPr>
          <w:rFonts w:ascii="Times New Roman" w:cs="Times New Roman" w:eastAsia="Times New Roman" w:hAnsi="Times New Roman"/>
          <w:sz w:val="18"/>
          <w:szCs w:val="18"/>
          <w:color w:val="auto"/>
        </w:rPr>
        <w:t>Investing in our ordinary shares involves risks. You should carefully consider the risks described in “Risk Factors” before making a decision to invest in our ordinary shares. If any of these risks actually occurs, our business, financial condition or results of operations would likely be materially adversely affected. In such case, the trading price of our ordinary shares would likely decline, and you may lose all or part of your investment. The following is a summary of some of the principal risks we face:</w:t>
      </w:r>
    </w:p>
    <w:p>
      <w:pPr>
        <w:spacing w:after="0" w:line="140" w:lineRule="exact"/>
        <w:rPr>
          <w:sz w:val="20"/>
          <w:szCs w:val="20"/>
          <w:color w:val="auto"/>
        </w:rPr>
      </w:pPr>
    </w:p>
    <w:p>
      <w:pPr>
        <w:ind w:left="640" w:hanging="18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 as a development stage company with limited operating history and a history of operating losses;</w:t>
      </w:r>
    </w:p>
    <w:p>
      <w:pPr>
        <w:spacing w:after="0" w:line="184"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product candidates into, and successfully complete, clinical studies;</w:t>
      </w:r>
    </w:p>
    <w:p>
      <w:pPr>
        <w:spacing w:after="0" w:line="198" w:lineRule="exact"/>
        <w:rPr>
          <w:rFonts w:ascii="Times New Roman" w:cs="Times New Roman" w:eastAsia="Times New Roman" w:hAnsi="Times New Roman"/>
          <w:sz w:val="18"/>
          <w:szCs w:val="18"/>
          <w:color w:val="auto"/>
        </w:rPr>
      </w:pPr>
    </w:p>
    <w:p>
      <w:pPr>
        <w:ind w:left="640" w:right="680" w:hanging="182"/>
        <w:spacing w:after="0" w:line="266"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whether any of our product candidates will receive regulatory approval, which is necessary before they can be commercialized, including whether we will be able to demonstrate to regulators the clinical superiority of EB612 over Natpara, which is required to overcome Natpara’s drug exclusivity;</w:t>
      </w:r>
    </w:p>
    <w:p>
      <w:pPr>
        <w:sectPr>
          <w:pgSz w:w="11900" w:h="16838" w:orient="portrait"/>
          <w:cols w:equalWidth="0" w:num="1">
            <w:col w:w="11140"/>
          </w:cols>
          <w:pgMar w:left="240" w:top="11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14" w:right="519"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50430" cy="8074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000"/>
          </w:cols>
          <w:pgMar w:left="240" w:top="114"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hanging="18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if EB612 is approved, especially with respect to Natpara, our key competitor for hypoparathyroidism treatment;</w:t>
      </w:r>
    </w:p>
    <w:p>
      <w:pPr>
        <w:spacing w:after="0" w:line="130" w:lineRule="exact"/>
        <w:rPr>
          <w:rFonts w:ascii="Times New Roman" w:cs="Times New Roman" w:eastAsia="Times New Roman" w:hAnsi="Times New Roman"/>
          <w:sz w:val="18"/>
          <w:szCs w:val="18"/>
          <w:color w:val="auto"/>
        </w:rPr>
      </w:pPr>
    </w:p>
    <w:p>
      <w:pPr>
        <w:ind w:left="640" w:right="320" w:hanging="182"/>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recurring losses from operations, which have raised substantial doubt regarding our ability to continue as a going concern absent access to sources of liquidity;</w:t>
      </w:r>
    </w:p>
    <w:p>
      <w:pPr>
        <w:spacing w:after="0" w:line="80"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and expand our drug delivery technology to other product candidates;</w:t>
      </w:r>
    </w:p>
    <w:p>
      <w:pPr>
        <w:spacing w:after="0" w:line="130"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and reimbursement for our product candidates, if approved;</w:t>
      </w:r>
    </w:p>
    <w:p>
      <w:pPr>
        <w:spacing w:after="0" w:line="144"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being subject to ongoing regulatory obligations if our products secure regulatory approval and compliance therewith;</w:t>
      </w:r>
    </w:p>
    <w:p>
      <w:pPr>
        <w:spacing w:after="0" w:line="144"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marketing and distribution infrastructure;</w:t>
      </w:r>
    </w:p>
    <w:p>
      <w:pPr>
        <w:spacing w:after="0" w:line="130"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clinical trials and on third-party suppliers to supply or produce our product candidates;</w:t>
      </w:r>
    </w:p>
    <w:p>
      <w:pPr>
        <w:spacing w:after="0" w:line="144"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market acceptance for our product candidates;</w:t>
      </w:r>
    </w:p>
    <w:p>
      <w:pPr>
        <w:spacing w:after="0" w:line="130"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adequate intellectual property rights and adequately protect and enforce such rights;</w:t>
      </w:r>
    </w:p>
    <w:p>
      <w:pPr>
        <w:spacing w:after="0" w:line="144"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and recruit additional qualified personnel;</w:t>
      </w:r>
    </w:p>
    <w:p>
      <w:pPr>
        <w:spacing w:after="0" w:line="144"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this offering;</w:t>
      </w:r>
    </w:p>
    <w:p>
      <w:pPr>
        <w:spacing w:after="0" w:line="130"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 and</w:t>
      </w:r>
    </w:p>
    <w:p>
      <w:pPr>
        <w:spacing w:after="0" w:line="144"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“Risk Factors.”</w:t>
      </w:r>
    </w:p>
    <w:p>
      <w:pPr>
        <w:spacing w:after="0" w:line="2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08" w:lineRule="exact"/>
        <w:rPr>
          <w:sz w:val="20"/>
          <w:szCs w:val="20"/>
          <w:color w:val="auto"/>
        </w:rPr>
      </w:pPr>
    </w:p>
    <w:p>
      <w:pPr>
        <w:ind w:left="280" w:right="20"/>
        <w:spacing w:after="0" w:line="261" w:lineRule="auto"/>
        <w:rPr>
          <w:sz w:val="20"/>
          <w:szCs w:val="20"/>
          <w:color w:val="auto"/>
        </w:rPr>
      </w:pPr>
      <w:r>
        <w:rPr>
          <w:rFonts w:ascii="Times New Roman" w:cs="Times New Roman" w:eastAsia="Times New Roman" w:hAnsi="Times New Roman"/>
          <w:sz w:val="18"/>
          <w:szCs w:val="18"/>
          <w:color w:val="auto"/>
        </w:rPr>
        <w:t>Our legal and commercial name is Entera Bio Ltd. We were incorporated in Israel in September 2009. Our principal executive offices are located at Kiryat Hadassah, Minrav Building — Fifth Floor, Jerusalem 9112002, Israel and our telephone number is +972 (2) 532-7151. Our website address is www.enterabio.com. Information contained on, or that can be accessed through, our website does not constitute a part of this prospectus and is not incorporated by reference herein. We have included our website address in this prospectus solely for informational purposes.</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All trademarks or service marks appearing in this prospectus are trademarks or service marks of others.</w:t>
      </w:r>
    </w:p>
    <w:p>
      <w:pPr>
        <w:spacing w:after="0" w:line="2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Foreign Private Issuer</w:t>
      </w:r>
    </w:p>
    <w:p>
      <w:pPr>
        <w:spacing w:after="0" w:line="108" w:lineRule="exact"/>
        <w:rPr>
          <w:sz w:val="20"/>
          <w:szCs w:val="20"/>
          <w:color w:val="auto"/>
        </w:rPr>
      </w:pPr>
    </w:p>
    <w:p>
      <w:pPr>
        <w:ind w:left="28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82" w:lineRule="exact"/>
        <w:rPr>
          <w:sz w:val="20"/>
          <w:szCs w:val="20"/>
          <w:color w:val="auto"/>
        </w:rPr>
      </w:pPr>
    </w:p>
    <w:p>
      <w:pPr>
        <w:ind w:left="640" w:right="180" w:hanging="182"/>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have only two years of audited financial statements and only two years of related Management’s Discussion and Analysis of Financial Condition and Results of Operations disclosure in its initial registration statement;</w:t>
      </w:r>
    </w:p>
    <w:p>
      <w:pPr>
        <w:spacing w:after="0" w:line="80" w:lineRule="exact"/>
        <w:rPr>
          <w:rFonts w:ascii="Times New Roman" w:cs="Times New Roman" w:eastAsia="Times New Roman" w:hAnsi="Times New Roman"/>
          <w:sz w:val="18"/>
          <w:szCs w:val="18"/>
          <w:color w:val="auto"/>
        </w:rPr>
      </w:pPr>
    </w:p>
    <w:p>
      <w:pPr>
        <w:ind w:left="640" w:right="680" w:hanging="182"/>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the Sarbanes-Oxley Act of 2002;</w:t>
      </w:r>
    </w:p>
    <w:p>
      <w:pPr>
        <w:spacing w:after="0" w:line="67" w:lineRule="exact"/>
        <w:rPr>
          <w:rFonts w:ascii="Times New Roman" w:cs="Times New Roman" w:eastAsia="Times New Roman" w:hAnsi="Times New Roman"/>
          <w:sz w:val="18"/>
          <w:szCs w:val="18"/>
          <w:color w:val="auto"/>
        </w:rPr>
      </w:pPr>
    </w:p>
    <w:p>
      <w:pPr>
        <w:ind w:left="640" w:right="600" w:hanging="182"/>
        <w:spacing w:after="0" w:line="26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any requirement that the Public Company Accounting Oversight Board, or PCAOB, may adopt regarding mandatory audit firm rotation or a supplement to the auditor’s report providing additional information about the audit and the financial statements; and</w:t>
      </w:r>
    </w:p>
    <w:p>
      <w:pPr>
        <w:spacing w:after="0" w:line="95" w:lineRule="exact"/>
        <w:rPr>
          <w:rFonts w:ascii="Times New Roman" w:cs="Times New Roman" w:eastAsia="Times New Roman" w:hAnsi="Times New Roman"/>
          <w:sz w:val="18"/>
          <w:szCs w:val="18"/>
          <w:color w:val="auto"/>
        </w:rPr>
      </w:pPr>
    </w:p>
    <w:p>
      <w:pPr>
        <w:ind w:left="640" w:right="320" w:hanging="182"/>
        <w:spacing w:after="0" w:line="26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(1) reduced disclosure about the company’s executive compensation arrangements, and (2) exemptions from the requirements to obtain a non-binding advisory vote on executive compensation or a shareholder approval of any golden parachute arrangements.</w:t>
      </w:r>
    </w:p>
    <w:p>
      <w:pPr>
        <w:sectPr>
          <w:pgSz w:w="11900" w:h="16838" w:orient="portrait"/>
          <w:cols w:equalWidth="0" w:num="1">
            <w:col w:w="11000"/>
          </w:cols>
          <w:pgMar w:left="240" w:top="114"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00"/>
          </w:cols>
          <w:pgMar w:left="240" w:top="114" w:right="659"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50430" cy="8074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040"/>
          </w:cols>
          <w:pgMar w:left="240" w:top="114"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80" w:right="100"/>
        <w:spacing w:after="0" w:line="261" w:lineRule="auto"/>
        <w:rPr>
          <w:sz w:val="20"/>
          <w:szCs w:val="20"/>
          <w:color w:val="auto"/>
        </w:rPr>
      </w:pPr>
      <w:r>
        <w:rPr>
          <w:rFonts w:ascii="Times New Roman" w:cs="Times New Roman" w:eastAsia="Times New Roman" w:hAnsi="Times New Roman"/>
          <w:sz w:val="18"/>
          <w:szCs w:val="18"/>
          <w:color w:val="auto"/>
        </w:rPr>
        <w:t>We may take advantage of these provisions for up to five years or such earlier time that we are no longer an emerging growth company. We would cease to be an emerging growth company if we have more than $1.07 billion in annual revenue, have more than $700 million in market value of our ordinary shares held by non-affiliates or issue more than $1.0 billion of non-convertible debt over a three-year period. We may choose to take advantage of some but not all of these reduced burdens.</w:t>
      </w:r>
    </w:p>
    <w:p>
      <w:pPr>
        <w:spacing w:after="0" w:line="72" w:lineRule="exact"/>
        <w:rPr>
          <w:sz w:val="20"/>
          <w:szCs w:val="20"/>
          <w:color w:val="auto"/>
        </w:rPr>
      </w:pPr>
    </w:p>
    <w:p>
      <w:pPr>
        <w:ind w:left="280"/>
        <w:spacing w:after="0" w:line="258"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Given that we currently report and expect to continue to report under IFRS as issued by the IASB, we will not be able to avail ourselves of this extended transition period and, as a result, we will adopt new or revised accounting standards on the relevant dates on which adoption of such standards is required by the IASB.</w:t>
      </w:r>
    </w:p>
    <w:p>
      <w:pPr>
        <w:spacing w:after="0" w:line="76" w:lineRule="exact"/>
        <w:rPr>
          <w:sz w:val="20"/>
          <w:szCs w:val="20"/>
          <w:color w:val="auto"/>
        </w:rPr>
      </w:pPr>
    </w:p>
    <w:p>
      <w:pPr>
        <w:ind w:left="280" w:right="40"/>
        <w:spacing w:after="0" w:line="261" w:lineRule="auto"/>
        <w:rPr>
          <w:sz w:val="20"/>
          <w:szCs w:val="20"/>
          <w:color w:val="auto"/>
        </w:rPr>
      </w:pPr>
      <w:r>
        <w:rPr>
          <w:rFonts w:ascii="Times New Roman" w:cs="Times New Roman" w:eastAsia="Times New Roman" w:hAnsi="Times New Roman"/>
          <w:sz w:val="18"/>
          <w:szCs w:val="18"/>
          <w:color w:val="auto"/>
        </w:rPr>
        <w:t>Upon consummation of this offering, we will report under the Securities Exchange Act of 1934, as amended, or the Exchange Act, as a non-U.S. company with foreign private issuer, or FPI, status. Even after we no longer qualify as an emerging growth company, as long as we qualify as an FPI under the Exchange Act, we will be exempt from certain provisions of the Exchange Act that are applicable to U.S. domestic public companies, including:</w:t>
      </w:r>
    </w:p>
    <w:p>
      <w:pPr>
        <w:spacing w:after="0" w:line="140" w:lineRule="exact"/>
        <w:rPr>
          <w:sz w:val="20"/>
          <w:szCs w:val="20"/>
          <w:color w:val="auto"/>
        </w:rPr>
      </w:pPr>
    </w:p>
    <w:p>
      <w:pPr>
        <w:ind w:left="640" w:right="260" w:hanging="182"/>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21" w:lineRule="exact"/>
        <w:rPr>
          <w:rFonts w:ascii="Times New Roman" w:cs="Times New Roman" w:eastAsia="Times New Roman" w:hAnsi="Times New Roman"/>
          <w:sz w:val="18"/>
          <w:szCs w:val="18"/>
          <w:color w:val="auto"/>
        </w:rPr>
      </w:pPr>
    </w:p>
    <w:p>
      <w:pPr>
        <w:ind w:left="640" w:right="700" w:hanging="182"/>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w:t>
      </w:r>
    </w:p>
    <w:p>
      <w:pPr>
        <w:spacing w:after="0" w:line="134" w:lineRule="exact"/>
        <w:rPr>
          <w:rFonts w:ascii="Times New Roman" w:cs="Times New Roman" w:eastAsia="Times New Roman" w:hAnsi="Times New Roman"/>
          <w:sz w:val="18"/>
          <w:szCs w:val="18"/>
          <w:color w:val="auto"/>
        </w:rPr>
      </w:pPr>
    </w:p>
    <w:p>
      <w:pPr>
        <w:ind w:left="640" w:right="440" w:hanging="182"/>
        <w:spacing w:after="0" w:line="266"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 and</w:t>
      </w:r>
    </w:p>
    <w:p>
      <w:pPr>
        <w:spacing w:after="0" w:line="135"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Fair Disclosure, or Regulation FD, which regulates selective disclosures of material information by issuers.</w:t>
      </w:r>
    </w:p>
    <w:p>
      <w:pPr>
        <w:spacing w:after="0" w:line="117" w:lineRule="exact"/>
        <w:rPr>
          <w:sz w:val="20"/>
          <w:szCs w:val="20"/>
          <w:color w:val="auto"/>
        </w:rPr>
      </w:pPr>
    </w:p>
    <w:p>
      <w:pPr>
        <w:ind w:left="280" w:right="120"/>
        <w:spacing w:after="0" w:line="282" w:lineRule="auto"/>
        <w:rPr>
          <w:sz w:val="20"/>
          <w:szCs w:val="20"/>
          <w:color w:val="auto"/>
        </w:rPr>
      </w:pPr>
      <w:r>
        <w:rPr>
          <w:rFonts w:ascii="Times New Roman" w:cs="Times New Roman" w:eastAsia="Times New Roman" w:hAnsi="Times New Roman"/>
          <w:sz w:val="18"/>
          <w:szCs w:val="18"/>
          <w:color w:val="auto"/>
        </w:rPr>
        <w:t>We do, however, intend to make available to our shareholders quarterly reports containing unaudited financial information for each of the first three quarters of each fiscal year.</w:t>
      </w:r>
    </w:p>
    <w:p>
      <w:pPr>
        <w:sectPr>
          <w:pgSz w:w="11900" w:h="16838" w:orient="portrait"/>
          <w:cols w:equalWidth="0" w:num="1">
            <w:col w:w="11040"/>
          </w:cols>
          <w:pgMar w:left="240" w:top="114"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40" w:top="114" w:right="619"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50430" cy="8074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20"/>
          </w:cols>
          <w:pgMar w:left="240" w:top="114"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THE OFFERING</w:t>
      </w:r>
    </w:p>
    <w:p>
      <w:pPr>
        <w:spacing w:after="0" w:line="111" w:lineRule="exact"/>
        <w:rPr>
          <w:sz w:val="20"/>
          <w:szCs w:val="20"/>
          <w:color w:val="auto"/>
        </w:rPr>
      </w:pPr>
    </w:p>
    <w:p>
      <w:pPr>
        <w:ind w:left="280"/>
        <w:spacing w:after="0"/>
        <w:tabs>
          <w:tab w:leader="none" w:pos="3960" w:val="left"/>
        </w:tabs>
        <w:rPr>
          <w:sz w:val="20"/>
          <w:szCs w:val="20"/>
          <w:color w:val="auto"/>
        </w:rPr>
      </w:pPr>
      <w:r>
        <w:rPr>
          <w:rFonts w:ascii="Times New Roman" w:cs="Times New Roman" w:eastAsia="Times New Roman" w:hAnsi="Times New Roman"/>
          <w:sz w:val="18"/>
          <w:szCs w:val="18"/>
          <w:color w:val="auto"/>
        </w:rPr>
        <w:t>Ordinary shares offered by us</w:t>
      </w:r>
      <w:r>
        <w:rPr>
          <w:sz w:val="20"/>
          <w:szCs w:val="20"/>
          <w:color w:val="auto"/>
        </w:rPr>
        <w:tab/>
      </w:r>
      <w:r>
        <w:rPr>
          <w:rFonts w:ascii="Times New Roman" w:cs="Times New Roman" w:eastAsia="Times New Roman" w:hAnsi="Times New Roman"/>
          <w:sz w:val="17"/>
          <w:szCs w:val="17"/>
          <w:color w:val="auto"/>
        </w:rPr>
        <w:t>5,000,000 ordinary shares (or 5,750,000 ordinary shares if the underwriters exercise in full their</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option to purchase additional ordinary shares)</w:t>
      </w:r>
    </w:p>
    <w:p>
      <w:pPr>
        <w:spacing w:after="0" w:line="99" w:lineRule="exact"/>
        <w:rPr>
          <w:sz w:val="20"/>
          <w:szCs w:val="20"/>
          <w:color w:val="auto"/>
        </w:rPr>
      </w:pPr>
    </w:p>
    <w:p>
      <w:pPr>
        <w:ind w:left="280"/>
        <w:spacing w:after="0"/>
        <w:tabs>
          <w:tab w:leader="none" w:pos="3960" w:val="left"/>
        </w:tabs>
        <w:rPr>
          <w:sz w:val="20"/>
          <w:szCs w:val="20"/>
          <w:color w:val="auto"/>
        </w:rPr>
      </w:pPr>
      <w:r>
        <w:rPr>
          <w:rFonts w:ascii="Times New Roman" w:cs="Times New Roman" w:eastAsia="Times New Roman" w:hAnsi="Times New Roman"/>
          <w:sz w:val="18"/>
          <w:szCs w:val="18"/>
          <w:color w:val="auto"/>
        </w:rPr>
        <w:t>Ordinary shares to be outstanding after this</w:t>
      </w:r>
      <w:r>
        <w:rPr>
          <w:sz w:val="20"/>
          <w:szCs w:val="20"/>
          <w:color w:val="auto"/>
        </w:rPr>
        <w:tab/>
      </w:r>
      <w:r>
        <w:rPr>
          <w:rFonts w:ascii="Times New Roman" w:cs="Times New Roman" w:eastAsia="Times New Roman" w:hAnsi="Times New Roman"/>
          <w:sz w:val="17"/>
          <w:szCs w:val="17"/>
          <w:color w:val="auto"/>
        </w:rPr>
        <w:t>11,897,252 ordinary shares (or 12,647,252 ordinary shares if the underwriters exercise in full their</w:t>
      </w:r>
    </w:p>
    <w:p>
      <w:pPr>
        <w:spacing w:after="0" w:line="27" w:lineRule="exact"/>
        <w:rPr>
          <w:sz w:val="20"/>
          <w:szCs w:val="20"/>
          <w:color w:val="auto"/>
        </w:rPr>
      </w:pPr>
    </w:p>
    <w:p>
      <w:pPr>
        <w:ind w:left="460"/>
        <w:spacing w:after="0"/>
        <w:tabs>
          <w:tab w:leader="none" w:pos="3960" w:val="left"/>
        </w:tabs>
        <w:rPr>
          <w:sz w:val="20"/>
          <w:szCs w:val="20"/>
          <w:color w:val="auto"/>
        </w:rPr>
      </w:pPr>
      <w:r>
        <w:rPr>
          <w:rFonts w:ascii="Times New Roman" w:cs="Times New Roman" w:eastAsia="Times New Roman" w:hAnsi="Times New Roman"/>
          <w:sz w:val="18"/>
          <w:szCs w:val="18"/>
          <w:color w:val="auto"/>
        </w:rPr>
        <w:t>offering</w:t>
      </w:r>
      <w:r>
        <w:rPr>
          <w:sz w:val="20"/>
          <w:szCs w:val="20"/>
          <w:color w:val="auto"/>
        </w:rPr>
        <w:tab/>
      </w:r>
      <w:r>
        <w:rPr>
          <w:rFonts w:ascii="Times New Roman" w:cs="Times New Roman" w:eastAsia="Times New Roman" w:hAnsi="Times New Roman"/>
          <w:sz w:val="18"/>
          <w:szCs w:val="18"/>
          <w:color w:val="auto"/>
        </w:rPr>
        <w:t>option to purchase additional ordinary shares)</w:t>
      </w:r>
    </w:p>
    <w:p>
      <w:pPr>
        <w:spacing w:after="0" w:line="139" w:lineRule="exact"/>
        <w:rPr>
          <w:sz w:val="20"/>
          <w:szCs w:val="20"/>
          <w:color w:val="auto"/>
        </w:rPr>
      </w:pPr>
    </w:p>
    <w:p>
      <w:pPr>
        <w:ind w:left="280"/>
        <w:spacing w:after="0"/>
        <w:tabs>
          <w:tab w:leader="none" w:pos="3960" w:val="left"/>
        </w:tabs>
        <w:rPr>
          <w:sz w:val="20"/>
          <w:szCs w:val="20"/>
          <w:color w:val="auto"/>
        </w:rPr>
      </w:pPr>
      <w:r>
        <w:rPr>
          <w:rFonts w:ascii="Times New Roman" w:cs="Times New Roman" w:eastAsia="Times New Roman" w:hAnsi="Times New Roman"/>
          <w:sz w:val="18"/>
          <w:szCs w:val="18"/>
          <w:color w:val="auto"/>
        </w:rPr>
        <w:t>Over-allotment option</w:t>
      </w:r>
      <w:r>
        <w:rPr>
          <w:sz w:val="20"/>
          <w:szCs w:val="20"/>
          <w:color w:val="auto"/>
        </w:rPr>
        <w:tab/>
      </w:r>
      <w:r>
        <w:rPr>
          <w:rFonts w:ascii="Times New Roman" w:cs="Times New Roman" w:eastAsia="Times New Roman" w:hAnsi="Times New Roman"/>
          <w:sz w:val="17"/>
          <w:szCs w:val="17"/>
          <w:color w:val="auto"/>
        </w:rPr>
        <w:t>We have granted the underwriters a 30-day option to purchase up to an additional 750,000 ordinary</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shares from us to cover over-allotments.</w:t>
      </w:r>
    </w:p>
    <w:p>
      <w:pPr>
        <w:spacing w:after="0" w:line="139" w:lineRule="exact"/>
        <w:rPr>
          <w:sz w:val="20"/>
          <w:szCs w:val="20"/>
          <w:color w:val="auto"/>
        </w:rPr>
      </w:pPr>
    </w:p>
    <w:p>
      <w:pPr>
        <w:ind w:left="280"/>
        <w:spacing w:after="0"/>
        <w:tabs>
          <w:tab w:leader="none" w:pos="396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estimate that we will receive net proceeds of approximately $49.9 million from our sale of</w:t>
      </w:r>
    </w:p>
    <w:p>
      <w:pPr>
        <w:spacing w:after="0" w:line="27" w:lineRule="exact"/>
        <w:rPr>
          <w:sz w:val="20"/>
          <w:szCs w:val="20"/>
          <w:color w:val="auto"/>
        </w:rPr>
      </w:pPr>
    </w:p>
    <w:p>
      <w:pPr>
        <w:ind w:left="3980" w:right="120"/>
        <w:spacing w:after="0" w:line="253" w:lineRule="auto"/>
        <w:rPr>
          <w:sz w:val="20"/>
          <w:szCs w:val="20"/>
          <w:color w:val="auto"/>
        </w:rPr>
      </w:pPr>
      <w:r>
        <w:rPr>
          <w:rFonts w:ascii="Times New Roman" w:cs="Times New Roman" w:eastAsia="Times New Roman" w:hAnsi="Times New Roman"/>
          <w:sz w:val="18"/>
          <w:szCs w:val="18"/>
          <w:color w:val="auto"/>
        </w:rPr>
        <w:t>ordinary shares in this offering, after deducting the estimated underwriting discount and the estimated offering expenses payable by us. This assumes an offering price of $11.00 per share, which is the midpoint of the estimated offering price range on the cover page of this prospectus. We intend to use the net proceeds from this offering, together with $11.7 million of cash and cash equivalents on hand as of December 31, 2017, as follows:</w:t>
      </w:r>
    </w:p>
    <w:p>
      <w:pPr>
        <w:spacing w:after="0" w:line="12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  approximately $45.0 million to fund research and development expenses of our oral PTH</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candidate, EB612;</w:t>
      </w:r>
    </w:p>
    <w:p>
      <w:pPr>
        <w:spacing w:after="0" w:line="13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  approximately $1.5 million to fund research and development expenses of our oral PTH</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candidate, EB613;</w:t>
      </w:r>
    </w:p>
    <w:p>
      <w:pPr>
        <w:spacing w:after="0" w:line="139" w:lineRule="exact"/>
        <w:rPr>
          <w:sz w:val="20"/>
          <w:szCs w:val="20"/>
          <w:color w:val="auto"/>
        </w:rPr>
      </w:pPr>
    </w:p>
    <w:p>
      <w:pPr>
        <w:ind w:left="3980" w:right="1040"/>
        <w:spacing w:after="0" w:line="422" w:lineRule="auto"/>
        <w:rPr>
          <w:sz w:val="20"/>
          <w:szCs w:val="20"/>
          <w:color w:val="auto"/>
        </w:rPr>
      </w:pPr>
      <w:r>
        <w:rPr>
          <w:rFonts w:ascii="Times New Roman" w:cs="Times New Roman" w:eastAsia="Times New Roman" w:hAnsi="Times New Roman"/>
          <w:sz w:val="18"/>
          <w:szCs w:val="18"/>
          <w:color w:val="auto"/>
        </w:rPr>
        <w:t>• approximately $2.5 million to fund other research and development expenses; and • the remainder for working capital and general corporate purposes. See “Use of Proceeds.”</w:t>
      </w:r>
    </w:p>
    <w:p>
      <w:pPr>
        <w:spacing w:after="0" w:line="2" w:lineRule="exact"/>
        <w:rPr>
          <w:sz w:val="20"/>
          <w:szCs w:val="20"/>
          <w:color w:val="auto"/>
        </w:rPr>
      </w:pPr>
    </w:p>
    <w:p>
      <w:pPr>
        <w:ind w:left="280"/>
        <w:spacing w:after="0"/>
        <w:tabs>
          <w:tab w:leader="none" w:pos="3960" w:val="left"/>
        </w:tabs>
        <w:rPr>
          <w:sz w:val="20"/>
          <w:szCs w:val="20"/>
          <w:color w:val="auto"/>
        </w:rPr>
      </w:pPr>
      <w:r>
        <w:rPr>
          <w:rFonts w:ascii="Times New Roman" w:cs="Times New Roman" w:eastAsia="Times New Roman" w:hAnsi="Times New Roman"/>
          <w:sz w:val="18"/>
          <w:szCs w:val="18"/>
          <w:color w:val="auto"/>
        </w:rPr>
        <w:t>Dividend Policy</w:t>
      </w:r>
      <w:r>
        <w:rPr>
          <w:sz w:val="20"/>
          <w:szCs w:val="20"/>
          <w:color w:val="auto"/>
        </w:rPr>
        <w:tab/>
      </w:r>
      <w:r>
        <w:rPr>
          <w:rFonts w:ascii="Times New Roman" w:cs="Times New Roman" w:eastAsia="Times New Roman" w:hAnsi="Times New Roman"/>
          <w:sz w:val="17"/>
          <w:szCs w:val="17"/>
          <w:color w:val="auto"/>
        </w:rPr>
        <w:t>We have never paid or declared any cash dividends on our ordinary shares, and we do not</w:t>
      </w:r>
    </w:p>
    <w:p>
      <w:pPr>
        <w:spacing w:after="0" w:line="27" w:lineRule="exact"/>
        <w:rPr>
          <w:sz w:val="20"/>
          <w:szCs w:val="20"/>
          <w:color w:val="auto"/>
        </w:rPr>
      </w:pPr>
    </w:p>
    <w:p>
      <w:pPr>
        <w:ind w:left="3980" w:right="700"/>
        <w:spacing w:after="0" w:line="261" w:lineRule="auto"/>
        <w:rPr>
          <w:sz w:val="20"/>
          <w:szCs w:val="20"/>
          <w:color w:val="auto"/>
        </w:rPr>
      </w:pPr>
      <w:r>
        <w:rPr>
          <w:rFonts w:ascii="Times New Roman" w:cs="Times New Roman" w:eastAsia="Times New Roman" w:hAnsi="Times New Roman"/>
          <w:sz w:val="18"/>
          <w:szCs w:val="18"/>
          <w:color w:val="auto"/>
        </w:rPr>
        <w:t>anticipate paying any cash dividends on our ordinary shares in the foreseeable future. See “Dividend Policy.”</w:t>
      </w:r>
    </w:p>
    <w:p>
      <w:pPr>
        <w:spacing w:after="0" w:line="112" w:lineRule="exact"/>
        <w:rPr>
          <w:sz w:val="20"/>
          <w:szCs w:val="20"/>
          <w:color w:val="auto"/>
        </w:rPr>
      </w:pPr>
    </w:p>
    <w:p>
      <w:pPr>
        <w:ind w:left="280"/>
        <w:spacing w:after="0"/>
        <w:tabs>
          <w:tab w:leader="none" w:pos="396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See “Risk Factors” and other information included in this prospectus for a discussion of factors</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you should carefully consider before deciding to invest in our ordinary shares.</w:t>
      </w:r>
    </w:p>
    <w:p>
      <w:pPr>
        <w:spacing w:after="0" w:line="139" w:lineRule="exact"/>
        <w:rPr>
          <w:sz w:val="20"/>
          <w:szCs w:val="20"/>
          <w:color w:val="auto"/>
        </w:rPr>
      </w:pPr>
    </w:p>
    <w:p>
      <w:pPr>
        <w:ind w:left="280"/>
        <w:spacing w:after="0"/>
        <w:tabs>
          <w:tab w:leader="none" w:pos="3960" w:val="left"/>
        </w:tabs>
        <w:rPr>
          <w:sz w:val="20"/>
          <w:szCs w:val="20"/>
          <w:color w:val="auto"/>
        </w:rPr>
      </w:pPr>
      <w:r>
        <w:rPr>
          <w:rFonts w:ascii="Times New Roman" w:cs="Times New Roman" w:eastAsia="Times New Roman" w:hAnsi="Times New Roman"/>
          <w:sz w:val="18"/>
          <w:szCs w:val="18"/>
          <w:color w:val="auto"/>
        </w:rPr>
        <w:t>Proposed Listing</w:t>
      </w:r>
      <w:r>
        <w:rPr>
          <w:sz w:val="20"/>
          <w:szCs w:val="20"/>
          <w:color w:val="auto"/>
        </w:rPr>
        <w:tab/>
      </w:r>
      <w:r>
        <w:rPr>
          <w:rFonts w:ascii="Times New Roman" w:cs="Times New Roman" w:eastAsia="Times New Roman" w:hAnsi="Times New Roman"/>
          <w:sz w:val="17"/>
          <w:szCs w:val="17"/>
          <w:color w:val="auto"/>
        </w:rPr>
        <w:t>We have applied to list our ordinary shares on the NASDAQ Capital Market under the symbol</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“ENTX”.</w:t>
      </w:r>
    </w:p>
    <w:p>
      <w:pPr>
        <w:spacing w:after="0" w:line="315" w:lineRule="exact"/>
        <w:rPr>
          <w:sz w:val="20"/>
          <w:szCs w:val="20"/>
          <w:color w:val="auto"/>
        </w:rPr>
      </w:pPr>
    </w:p>
    <w:p>
      <w:pPr>
        <w:jc w:val="both"/>
        <w:ind w:left="280" w:right="160"/>
        <w:spacing w:after="0" w:line="266" w:lineRule="auto"/>
        <w:rPr>
          <w:sz w:val="20"/>
          <w:szCs w:val="20"/>
          <w:color w:val="auto"/>
        </w:rPr>
      </w:pPr>
      <w:r>
        <w:rPr>
          <w:rFonts w:ascii="Times New Roman" w:cs="Times New Roman" w:eastAsia="Times New Roman" w:hAnsi="Times New Roman"/>
          <w:sz w:val="18"/>
          <w:szCs w:val="18"/>
          <w:color w:val="auto"/>
        </w:rPr>
        <w:t>We have based the number of our ordinary shares to be outstanding immediately following this offering on 6,897,252 ordinary shares outstanding as of December 31, 2017, after giving effect to the 1-for-89.5 split of our ordinary shares that will be effected immediately following the pricing of this offering (as described below), excluding:</w:t>
      </w:r>
    </w:p>
    <w:p>
      <w:pPr>
        <w:spacing w:after="0" w:line="95" w:lineRule="exact"/>
        <w:rPr>
          <w:sz w:val="20"/>
          <w:szCs w:val="20"/>
          <w:color w:val="auto"/>
        </w:rPr>
      </w:pPr>
    </w:p>
    <w:p>
      <w:pPr>
        <w:ind w:left="640" w:right="540" w:hanging="182"/>
        <w:spacing w:after="0" w:line="261"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2,365,760 ordinary shares issuable upon the exercise of options consisting of (i) options to purchase 2,098,960 ordinary shares under our 2013 Share Incentive Plan at a weighted average exercise price of $6.67 per share outstanding as of December 31, 2017 and (ii) options to purchase 266,800 ordinary shares to be granted to certain holders of our Series A preferred shares upon the closing of this offering, at a weighted average exercise price of $5.36, as described below;</w:t>
      </w:r>
    </w:p>
    <w:p>
      <w:pPr>
        <w:spacing w:after="0" w:line="112"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1,137,821 ordinary shares issuable upon exercise of warrants, as described below; and</w:t>
      </w:r>
    </w:p>
    <w:p>
      <w:pPr>
        <w:sectPr>
          <w:pgSz w:w="11900" w:h="16838" w:orient="portrait"/>
          <w:cols w:equalWidth="0" w:num="1">
            <w:col w:w="11120"/>
          </w:cols>
          <w:pgMar w:left="240" w:top="114"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20"/>
          </w:cols>
          <w:pgMar w:left="240" w:top="114" w:right="539"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50430" cy="8074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080"/>
          </w:cols>
          <w:pgMar w:left="240" w:top="114"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560" w:hanging="182"/>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1,427,670 ordinary shares reserved for future grants under the 2018 Equity Incentive Plan (the “2018 Plan”), which we intend to adopt in connection with this offering.</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Unless we specifically state otherwise, this prospectus reflects and assumes:</w:t>
      </w:r>
    </w:p>
    <w:p>
      <w:pPr>
        <w:spacing w:after="0" w:line="185" w:lineRule="exact"/>
        <w:rPr>
          <w:sz w:val="20"/>
          <w:szCs w:val="20"/>
          <w:color w:val="auto"/>
        </w:rPr>
      </w:pPr>
    </w:p>
    <w:p>
      <w:pPr>
        <w:ind w:left="640" w:hanging="18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or warrants described above;</w:t>
      </w:r>
    </w:p>
    <w:p>
      <w:pPr>
        <w:spacing w:after="0" w:line="198" w:lineRule="exact"/>
        <w:rPr>
          <w:rFonts w:ascii="Times New Roman" w:cs="Times New Roman" w:eastAsia="Times New Roman" w:hAnsi="Times New Roman"/>
          <w:sz w:val="18"/>
          <w:szCs w:val="18"/>
          <w:color w:val="auto"/>
        </w:rPr>
      </w:pPr>
    </w:p>
    <w:p>
      <w:pPr>
        <w:ind w:left="640" w:right="680" w:hanging="182"/>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public offering price of $11.00 per share, which is the midpoint of the estimated offering price range on the cover page of this prospectus; and</w:t>
      </w:r>
    </w:p>
    <w:p>
      <w:pPr>
        <w:spacing w:after="0" w:line="121" w:lineRule="exact"/>
        <w:rPr>
          <w:rFonts w:ascii="Times New Roman" w:cs="Times New Roman" w:eastAsia="Times New Roman" w:hAnsi="Times New Roman"/>
          <w:sz w:val="18"/>
          <w:szCs w:val="18"/>
          <w:color w:val="auto"/>
        </w:rPr>
      </w:pPr>
    </w:p>
    <w:p>
      <w:pPr>
        <w:ind w:left="640" w:hanging="18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underwriters do not exercise their over-allotment option.</w:t>
      </w:r>
    </w:p>
    <w:p>
      <w:pPr>
        <w:spacing w:after="0" w:line="117" w:lineRule="exact"/>
        <w:rPr>
          <w:sz w:val="20"/>
          <w:szCs w:val="20"/>
          <w:color w:val="auto"/>
        </w:rPr>
      </w:pPr>
    </w:p>
    <w:p>
      <w:pPr>
        <w:ind w:left="280"/>
        <w:spacing w:after="0" w:line="282" w:lineRule="auto"/>
        <w:rPr>
          <w:sz w:val="20"/>
          <w:szCs w:val="20"/>
          <w:color w:val="auto"/>
        </w:rPr>
      </w:pPr>
      <w:r>
        <w:rPr>
          <w:rFonts w:ascii="Times New Roman" w:cs="Times New Roman" w:eastAsia="Times New Roman" w:hAnsi="Times New Roman"/>
          <w:sz w:val="18"/>
          <w:szCs w:val="18"/>
          <w:color w:val="auto"/>
        </w:rPr>
        <w:t>In addition, unless otherwise indicated, this prospectus reflects and assumes that a number of actions will be completed in connection with the closing of this offering, which we refer to as the “IPO Transactions.” These actions include the following:</w:t>
      </w:r>
    </w:p>
    <w:p>
      <w:pPr>
        <w:spacing w:after="0" w:line="121" w:lineRule="exact"/>
        <w:rPr>
          <w:sz w:val="20"/>
          <w:szCs w:val="20"/>
          <w:color w:val="auto"/>
        </w:rPr>
      </w:pPr>
    </w:p>
    <w:p>
      <w:pPr>
        <w:ind w:left="640" w:right="640" w:hanging="182"/>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our Sixth Amended and Restated Articles of Association (the “amended Articles”), immediately upon the closing of this offering, to replace the current Articles;</w:t>
      </w:r>
    </w:p>
    <w:p>
      <w:pPr>
        <w:spacing w:after="0" w:line="121" w:lineRule="exact"/>
        <w:rPr>
          <w:rFonts w:ascii="Times New Roman" w:cs="Times New Roman" w:eastAsia="Times New Roman" w:hAnsi="Times New Roman"/>
          <w:sz w:val="18"/>
          <w:szCs w:val="18"/>
          <w:color w:val="auto"/>
        </w:rPr>
      </w:pPr>
    </w:p>
    <w:p>
      <w:pPr>
        <w:ind w:left="640" w:right="340" w:hanging="182"/>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1-for-89.5 split of our ordinary shares that will be effected immediately following the pricing of this offering (which ordinary share split is not reflected in our historical financial statements included in this prospectus);</w:t>
      </w:r>
    </w:p>
    <w:p>
      <w:pPr>
        <w:spacing w:after="0" w:line="134" w:lineRule="exact"/>
        <w:rPr>
          <w:rFonts w:ascii="Times New Roman" w:cs="Times New Roman" w:eastAsia="Times New Roman" w:hAnsi="Times New Roman"/>
          <w:sz w:val="18"/>
          <w:szCs w:val="18"/>
          <w:color w:val="auto"/>
        </w:rPr>
      </w:pPr>
    </w:p>
    <w:p>
      <w:pPr>
        <w:ind w:left="640" w:right="240" w:hanging="182"/>
        <w:spacing w:after="0" w:line="256"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of our issued and outstanding Series A preferred shares, par value NIS 0.01 per share, into 914,869 of our ordinary shares, par value NIS 0.0001117, upon the closing of this offering, as provided in our current Articles; the automatic conversion of all of our issued and outstanding Series B preferred shares, par value NIS 0.01 per share, into 1,278,344 of our ordinary shares, par value NIS 0.0001117, upon the closing of this offering, as provided in our current Articles; the automatic conversion of all of our issued and outstanding Series B-1 Preferred Shares, par value NIS 0.01 per share, into 1,184,000 of our ordinary shares, par value NIS 0.0001117, upon the closing of this offering, as provided in our current Articles; and</w:t>
      </w:r>
    </w:p>
    <w:p>
      <w:pPr>
        <w:spacing w:after="0" w:line="147" w:lineRule="exact"/>
        <w:rPr>
          <w:rFonts w:ascii="Times New Roman" w:cs="Times New Roman" w:eastAsia="Times New Roman" w:hAnsi="Times New Roman"/>
          <w:sz w:val="18"/>
          <w:szCs w:val="18"/>
          <w:color w:val="auto"/>
        </w:rPr>
      </w:pPr>
    </w:p>
    <w:p>
      <w:pPr>
        <w:ind w:left="640" w:right="520" w:hanging="182"/>
        <w:spacing w:after="0" w:line="266"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outstanding convertible loans under the Convertible Financing Agreements to which we are a party into 428,348 of our ordinary shares immediately prior to the closing of this offering, as described below in “Certain Relationships and Related Party Transactions”;</w:t>
      </w:r>
    </w:p>
    <w:p>
      <w:pPr>
        <w:spacing w:after="0" w:line="135" w:lineRule="exact"/>
        <w:rPr>
          <w:rFonts w:ascii="Times New Roman" w:cs="Times New Roman" w:eastAsia="Times New Roman" w:hAnsi="Times New Roman"/>
          <w:sz w:val="18"/>
          <w:szCs w:val="18"/>
          <w:color w:val="auto"/>
        </w:rPr>
      </w:pPr>
    </w:p>
    <w:p>
      <w:pPr>
        <w:ind w:left="640" w:right="360" w:hanging="182"/>
        <w:spacing w:after="0" w:line="266"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options to purchase 266,800 ordinary shares at a weighted average exercise price of $5.36 and warrants to purchase 66,858 ordinary shares at a weighted average exercise price of $5.36 granted to certain holders of our Series A preferred shares upon the closing of this offering, as described below in “Certain Relationships and Related Party Transactions;</w:t>
      </w:r>
    </w:p>
    <w:p>
      <w:pPr>
        <w:spacing w:after="0" w:line="149" w:lineRule="exact"/>
        <w:rPr>
          <w:rFonts w:ascii="Times New Roman" w:cs="Times New Roman" w:eastAsia="Times New Roman" w:hAnsi="Times New Roman"/>
          <w:sz w:val="18"/>
          <w:szCs w:val="18"/>
          <w:color w:val="auto"/>
        </w:rPr>
      </w:pPr>
    </w:p>
    <w:p>
      <w:pPr>
        <w:ind w:left="640" w:right="280" w:hanging="182"/>
        <w:spacing w:after="0" w:line="256"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warrants to purchase 2,554 of our Series A preferred shares, at an exercise price of $479.38 per share, into warrants to purchase 228,583 of our ordinary shares, at an exercise price of $5.36 per share; the automatic conversion of warrants to purchase 5,818 of our Series B preferred shares, at an exercise price of $908.78 per share, into warrants to purchase 520,716 of our ordinary shares, at an exercise price of $10.15 per share; and the automatic conversion of warrants to purchase 3,594 of our Series B-1 preferred shares, at an exercise price of $681.585 per share, into warrants to purchase 321,664 of our ordinary shares, at an exercise price of $7.62 per share, all upon the closing of this offering, as described below in “Description of Share Capital — Warrants.”</w:t>
      </w:r>
    </w:p>
    <w:p>
      <w:pPr>
        <w:sectPr>
          <w:pgSz w:w="11900" w:h="16838" w:orient="portrait"/>
          <w:cols w:equalWidth="0" w:num="1">
            <w:col w:w="11080"/>
          </w:cols>
          <w:pgMar w:left="240" w:top="114"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0"/>
          </w:cols>
          <w:pgMar w:left="240" w:top="114" w:right="579"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50430" cy="8074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1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SUMMARY FINANCIAL DATA</w:t>
      </w:r>
    </w:p>
    <w:p>
      <w:pPr>
        <w:spacing w:after="0" w:line="98" w:lineRule="exact"/>
        <w:rPr>
          <w:sz w:val="20"/>
          <w:szCs w:val="20"/>
          <w:color w:val="auto"/>
        </w:rPr>
      </w:pPr>
    </w:p>
    <w:p>
      <w:pPr>
        <w:jc w:val="both"/>
        <w:ind w:left="280" w:right="20"/>
        <w:spacing w:after="0" w:line="261" w:lineRule="auto"/>
        <w:rPr>
          <w:sz w:val="20"/>
          <w:szCs w:val="20"/>
          <w:color w:val="auto"/>
        </w:rPr>
      </w:pPr>
      <w:r>
        <w:rPr>
          <w:rFonts w:ascii="Times New Roman" w:cs="Times New Roman" w:eastAsia="Times New Roman" w:hAnsi="Times New Roman"/>
          <w:sz w:val="18"/>
          <w:szCs w:val="18"/>
          <w:color w:val="auto"/>
        </w:rPr>
        <w:t>The following tables set forth summary financial and other data. You should read the following summary financial and other data in conjunction with “Presentation of Financial Information,” “Management’s Discussion and Analysis of Financial Condition and Results of Operations” and our financial statements and related notes included elsewhere in this prospectus. Historical results are not necessarily indicative of the results that may be expected in the future. Our financial statements have been prepared in accordance with IFRS as issued by the IASB.</w:t>
      </w:r>
    </w:p>
    <w:p>
      <w:pPr>
        <w:spacing w:after="0" w:line="72" w:lineRule="exact"/>
        <w:rPr>
          <w:sz w:val="20"/>
          <w:szCs w:val="20"/>
          <w:color w:val="auto"/>
        </w:rPr>
      </w:pPr>
    </w:p>
    <w:p>
      <w:pPr>
        <w:ind w:left="280" w:right="220"/>
        <w:spacing w:after="0" w:line="261" w:lineRule="auto"/>
        <w:rPr>
          <w:sz w:val="20"/>
          <w:szCs w:val="20"/>
          <w:color w:val="auto"/>
        </w:rPr>
      </w:pPr>
      <w:r>
        <w:rPr>
          <w:rFonts w:ascii="Times New Roman" w:cs="Times New Roman" w:eastAsia="Times New Roman" w:hAnsi="Times New Roman"/>
          <w:sz w:val="18"/>
          <w:szCs w:val="18"/>
          <w:color w:val="auto"/>
        </w:rPr>
        <w:t>The summary statements of comprehensive loss data for each of the nine month periods ended September 30, 2017 and 2016 and the statement of financial position data as of September 30, 2017 are derived from our unaudited condensed interim financial statements, each included elsewhere in this prospectus. The summary statements of comprehensive loss data for each of the years in the two-year period ended December 31, 2016 are derived from our audited financial statements included elsewhere in this prospectus.</w:t>
      </w:r>
    </w:p>
    <w:p>
      <w:pPr>
        <w:spacing w:after="0" w:line="93"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left="293"/>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5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40" w:type="dxa"/>
            <w:vAlign w:val="bottom"/>
            <w:gridSpan w:val="9"/>
          </w:tcPr>
          <w:p>
            <w:pPr>
              <w:jc w:val="right"/>
              <w:ind w:right="660"/>
              <w:spacing w:after="0"/>
              <w:rPr>
                <w:sz w:val="20"/>
                <w:szCs w:val="20"/>
                <w:color w:val="auto"/>
              </w:rPr>
            </w:pPr>
            <w:r>
              <w:rPr>
                <w:rFonts w:ascii="Times New Roman" w:cs="Times New Roman" w:eastAsia="Times New Roman" w:hAnsi="Times New Roman"/>
                <w:sz w:val="14"/>
                <w:szCs w:val="14"/>
                <w:color w:val="auto"/>
              </w:rPr>
              <w:t>(In thousands, except shares and per share data)</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loss: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operating loss</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8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5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(income) expenses:</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from change in fair value of financial liabilities at fair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expenses, net</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Loss per ordinary share(1)</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gridSpan w:val="3"/>
            <w:vMerge w:val="continue"/>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vMerge w:val="continue"/>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used in computing loss</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share(1)</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34,544</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34,396</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34,409</w:t>
            </w:r>
          </w:p>
        </w:tc>
        <w:tc>
          <w:tcPr>
            <w:tcW w:w="6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34,396</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37,098</w:t>
            </w: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51,958</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51,972</w:t>
            </w: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34,396</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 forma loss per ordinary share(2) (unaudited)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6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used in computing</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loss per share(2) (unaudited)</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62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5,618,943</w:t>
            </w: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5,071,663</w:t>
            </w:r>
          </w:p>
        </w:tc>
        <w:tc>
          <w:tcPr>
            <w:tcW w:w="6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5,847,526</w:t>
            </w: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5,955,543</w:t>
            </w: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580" w:type="dxa"/>
            <w:vAlign w:val="bottom"/>
            <w:tcBorders>
              <w:bottom w:val="single" w:sz="8" w:color="auto"/>
            </w:tcBorders>
          </w:tcPr>
          <w:p>
            <w:pPr>
              <w:spacing w:after="0"/>
              <w:rPr>
                <w:sz w:val="22"/>
                <w:szCs w:val="22"/>
                <w:color w:val="auto"/>
              </w:rPr>
            </w:pPr>
          </w:p>
        </w:tc>
        <w:tc>
          <w:tcPr>
            <w:tcW w:w="2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40" w:right="360" w:hanging="362"/>
        <w:spacing w:after="0" w:line="282"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loss per ordinary share in 2015 are the same because the financial instruments as described in the financial statements are excluded from the calculation, since their effect was anti-dilutive. See Note 13 to our financial statements included elsewhere in this prospectus for further details on the calculation of basic and diluted loss per ordinary share.</w:t>
      </w:r>
    </w:p>
    <w:p>
      <w:pPr>
        <w:sectPr>
          <w:pgSz w:w="11900" w:h="16838" w:orient="portrait"/>
          <w:cols w:equalWidth="0" w:num="1">
            <w:col w:w="11140"/>
          </w:cols>
          <w:pgMar w:left="240" w:top="11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14" w:right="519"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50430" cy="8074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1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right="300" w:hanging="362"/>
        <w:spacing w:after="0" w:line="282"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basic and diluted loss per ordinary share give effect to the 1-for-89.5 ordinary share split described in this prospectus and the assumed conversion of our outstanding convertible loans and preferred shares into ordinary shares upon the closing of this offering, but not the exercise of any outstanding options or warrants, as though the conversion had occurred as of the beginning of the period or the original date of issuance, if later, and do not reflect the issuance of shares in connection with this offering.</w:t>
      </w:r>
    </w:p>
    <w:p>
      <w:pPr>
        <w:spacing w:after="0" w:line="92"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0"/>
        </w:trPr>
        <w:tc>
          <w:tcPr>
            <w:tcW w:w="25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gridSpan w:val="6"/>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As of September 30, 2017</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4"/>
        </w:trPr>
        <w:tc>
          <w:tcPr>
            <w:tcW w:w="2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r>
      <w:tr>
        <w:trPr>
          <w:trHeight w:val="171"/>
        </w:trPr>
        <w:tc>
          <w:tcPr>
            <w:tcW w:w="25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Pro forma as</w:t>
            </w:r>
          </w:p>
        </w:tc>
        <w:tc>
          <w:tcPr>
            <w:tcW w:w="1760" w:type="dxa"/>
            <w:vAlign w:val="bottom"/>
            <w:gridSpan w:val="4"/>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Pro forma as</w:t>
            </w:r>
          </w:p>
        </w:tc>
      </w:tr>
      <w:tr>
        <w:trPr>
          <w:trHeight w:val="190"/>
        </w:trPr>
        <w:tc>
          <w:tcPr>
            <w:tcW w:w="25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Pro forma(1)</w:t>
            </w:r>
          </w:p>
        </w:tc>
        <w:tc>
          <w:tcPr>
            <w:tcW w:w="1640" w:type="dxa"/>
            <w:vAlign w:val="bottom"/>
            <w:gridSpan w:val="4"/>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Adjusted(2)</w:t>
            </w:r>
          </w:p>
        </w:tc>
        <w:tc>
          <w:tcPr>
            <w:tcW w:w="1760" w:type="dxa"/>
            <w:vAlign w:val="bottom"/>
            <w:gridSpan w:val="4"/>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Further Adjusted(3)</w:t>
            </w:r>
          </w:p>
        </w:tc>
      </w:tr>
      <w:tr>
        <w:trPr>
          <w:trHeight w:val="24"/>
        </w:trPr>
        <w:tc>
          <w:tcPr>
            <w:tcW w:w="2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3"/>
        </w:trPr>
        <w:tc>
          <w:tcPr>
            <w:tcW w:w="25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color w:val="auto"/>
              </w:rPr>
              <w:t>(In thousands)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57"/>
        </w:trPr>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financial position data:</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r>
      <w:tr>
        <w:trPr>
          <w:trHeight w:val="257"/>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320" w:type="dxa"/>
            <w:vAlign w:val="bottom"/>
          </w:tcPr>
          <w:p>
            <w:pPr>
              <w:spacing w:after="0"/>
              <w:rPr>
                <w:sz w:val="22"/>
                <w:szCs w:val="22"/>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$ 13,735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13,735</w:t>
            </w:r>
          </w:p>
        </w:tc>
        <w:tc>
          <w:tcPr>
            <w:tcW w:w="4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63,760</w:t>
            </w:r>
          </w:p>
        </w:tc>
        <w:tc>
          <w:tcPr>
            <w:tcW w:w="500" w:type="dxa"/>
            <w:vAlign w:val="bottom"/>
          </w:tcPr>
          <w:p>
            <w:pPr>
              <w:spacing w:after="0"/>
              <w:rPr>
                <w:sz w:val="22"/>
                <w:szCs w:val="22"/>
                <w:color w:val="auto"/>
              </w:rPr>
            </w:pPr>
          </w:p>
        </w:tc>
      </w:tr>
      <w:tr>
        <w:trPr>
          <w:trHeight w:val="257"/>
        </w:trPr>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deposits</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shd w:val="clear" w:color="auto" w:fill="CCEEFF"/>
          </w:tcPr>
          <w:p>
            <w:pPr>
              <w:spacing w:after="0"/>
              <w:rPr>
                <w:sz w:val="22"/>
                <w:szCs w:val="22"/>
                <w:color w:val="auto"/>
              </w:rPr>
            </w:pPr>
          </w:p>
        </w:tc>
      </w:tr>
      <w:tr>
        <w:trPr>
          <w:trHeight w:val="264"/>
        </w:trPr>
        <w:tc>
          <w:tcPr>
            <w:tcW w:w="5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4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500" w:type="dxa"/>
            <w:vAlign w:val="bottom"/>
            <w:tcBorders>
              <w:bottom w:val="single" w:sz="8" w:color="CCEEFF"/>
            </w:tcBorders>
          </w:tcPr>
          <w:p>
            <w:pPr>
              <w:spacing w:after="0"/>
              <w:rPr>
                <w:sz w:val="22"/>
                <w:szCs w:val="22"/>
                <w:color w:val="auto"/>
              </w:rPr>
            </w:pPr>
          </w:p>
        </w:tc>
      </w:tr>
      <w:tr>
        <w:trPr>
          <w:trHeight w:val="264"/>
        </w:trPr>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14,187</w:t>
            </w:r>
          </w:p>
        </w:tc>
        <w:tc>
          <w:tcPr>
            <w:tcW w:w="4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64,212</w:t>
            </w:r>
          </w:p>
        </w:tc>
        <w:tc>
          <w:tcPr>
            <w:tcW w:w="500" w:type="dxa"/>
            <w:vAlign w:val="bottom"/>
            <w:tcBorders>
              <w:bottom w:val="single" w:sz="8" w:color="CCEEFF"/>
            </w:tcBorders>
            <w:shd w:val="clear" w:color="auto" w:fill="CCEEFF"/>
          </w:tcPr>
          <w:p>
            <w:pPr>
              <w:spacing w:after="0"/>
              <w:rPr>
                <w:sz w:val="22"/>
                <w:szCs w:val="22"/>
                <w:color w:val="auto"/>
              </w:rPr>
            </w:pPr>
          </w:p>
        </w:tc>
      </w:tr>
      <w:tr>
        <w:trPr>
          <w:trHeight w:val="257"/>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500" w:type="dxa"/>
            <w:vAlign w:val="bottom"/>
          </w:tcPr>
          <w:p>
            <w:pPr>
              <w:spacing w:after="0"/>
              <w:rPr>
                <w:sz w:val="22"/>
                <w:szCs w:val="22"/>
                <w:color w:val="auto"/>
              </w:rPr>
            </w:pPr>
          </w:p>
        </w:tc>
      </w:tr>
      <w:tr>
        <w:trPr>
          <w:trHeight w:val="264"/>
        </w:trPr>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4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500" w:type="dxa"/>
            <w:vAlign w:val="bottom"/>
            <w:tcBorders>
              <w:bottom w:val="single" w:sz="8" w:color="CCEEFF"/>
            </w:tcBorders>
            <w:shd w:val="clear" w:color="auto" w:fill="CCEEFF"/>
          </w:tcPr>
          <w:p>
            <w:pPr>
              <w:spacing w:after="0"/>
              <w:rPr>
                <w:sz w:val="22"/>
                <w:szCs w:val="22"/>
                <w:color w:val="auto"/>
              </w:rPr>
            </w:pPr>
          </w:p>
        </w:tc>
      </w:tr>
      <w:tr>
        <w:trPr>
          <w:trHeight w:val="304"/>
        </w:trPr>
        <w:tc>
          <w:tcPr>
            <w:tcW w:w="5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3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$ 15,056</w:t>
            </w:r>
          </w:p>
        </w:tc>
        <w:tc>
          <w:tcPr>
            <w:tcW w:w="1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15,056</w:t>
            </w:r>
          </w:p>
        </w:tc>
        <w:tc>
          <w:tcPr>
            <w:tcW w:w="4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65,081</w:t>
            </w:r>
          </w:p>
        </w:tc>
        <w:tc>
          <w:tcPr>
            <w:tcW w:w="500" w:type="dxa"/>
            <w:vAlign w:val="bottom"/>
            <w:tcBorders>
              <w:bottom w:val="single" w:sz="8" w:color="CCEEFF"/>
            </w:tcBorders>
          </w:tcPr>
          <w:p>
            <w:pPr>
              <w:spacing w:after="0"/>
              <w:rPr>
                <w:sz w:val="24"/>
                <w:szCs w:val="24"/>
                <w:color w:val="auto"/>
              </w:rPr>
            </w:pPr>
          </w:p>
        </w:tc>
      </w:tr>
      <w:tr>
        <w:trPr>
          <w:trHeight w:val="230"/>
        </w:trPr>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Trade and other</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4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500" w:type="dxa"/>
            <w:vAlign w:val="bottom"/>
            <w:shd w:val="clear" w:color="auto" w:fill="CCEEFF"/>
          </w:tcPr>
          <w:p>
            <w:pPr>
              <w:spacing w:after="0"/>
              <w:rPr>
                <w:sz w:val="20"/>
                <w:szCs w:val="20"/>
                <w:color w:val="auto"/>
              </w:rPr>
            </w:pPr>
          </w:p>
        </w:tc>
      </w:tr>
      <w:tr>
        <w:trPr>
          <w:trHeight w:val="250"/>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Receipts on account of sale of Series B preferred shares</w:t>
            </w: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convertible loans</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3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r>
      <w:tr>
        <w:trPr>
          <w:trHeight w:val="264"/>
        </w:trPr>
        <w:tc>
          <w:tcPr>
            <w:tcW w:w="5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14,273</w:t>
            </w:r>
          </w:p>
        </w:tc>
        <w:tc>
          <w:tcPr>
            <w:tcW w:w="3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4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500" w:type="dxa"/>
            <w:vAlign w:val="bottom"/>
            <w:tcBorders>
              <w:bottom w:val="single" w:sz="8" w:color="CCEEFF"/>
            </w:tcBorders>
          </w:tcPr>
          <w:p>
            <w:pPr>
              <w:spacing w:after="0"/>
              <w:rPr>
                <w:sz w:val="22"/>
                <w:szCs w:val="22"/>
                <w:color w:val="auto"/>
              </w:rPr>
            </w:pPr>
          </w:p>
        </w:tc>
      </w:tr>
      <w:tr>
        <w:trPr>
          <w:trHeight w:val="257"/>
        </w:trPr>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convertible loans</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3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320" w:type="dxa"/>
            <w:vAlign w:val="bottom"/>
          </w:tcPr>
          <w:p>
            <w:pPr>
              <w:spacing w:after="0"/>
              <w:rPr>
                <w:sz w:val="22"/>
                <w:szCs w:val="22"/>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33,517</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preferred shares and shares</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3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Liability to issue preferred shares and warrants</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3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 obligations, net</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tcBorders>
              <w:bottom w:val="single" w:sz="8" w:color="CCEEFF"/>
            </w:tcBorders>
            <w:shd w:val="clear" w:color="auto" w:fill="CCEEFF"/>
          </w:tcPr>
          <w:p>
            <w:pPr>
              <w:spacing w:after="0"/>
              <w:rPr>
                <w:sz w:val="22"/>
                <w:szCs w:val="22"/>
                <w:color w:val="auto"/>
              </w:rPr>
            </w:pPr>
          </w:p>
        </w:tc>
      </w:tr>
      <w:tr>
        <w:trPr>
          <w:trHeight w:val="304"/>
        </w:trPr>
        <w:tc>
          <w:tcPr>
            <w:tcW w:w="5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32,856</w:t>
            </w:r>
          </w:p>
        </w:tc>
        <w:tc>
          <w:tcPr>
            <w:tcW w:w="3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$ 44,759</w:t>
            </w:r>
          </w:p>
        </w:tc>
        <w:tc>
          <w:tcPr>
            <w:tcW w:w="1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4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500" w:type="dxa"/>
            <w:vAlign w:val="bottom"/>
            <w:tcBorders>
              <w:bottom w:val="single" w:sz="8" w:color="CCEEFF"/>
            </w:tcBorders>
          </w:tcPr>
          <w:p>
            <w:pPr>
              <w:spacing w:after="0"/>
              <w:rPr>
                <w:sz w:val="24"/>
                <w:szCs w:val="24"/>
                <w:color w:val="auto"/>
              </w:rPr>
            </w:pPr>
          </w:p>
        </w:tc>
      </w:tr>
      <w:tr>
        <w:trPr>
          <w:trHeight w:val="237"/>
        </w:trPr>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(capital deficiency)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(28,636)</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$(29,703)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13,697</w:t>
            </w:r>
          </w:p>
        </w:tc>
        <w:tc>
          <w:tcPr>
            <w:tcW w:w="4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63,722</w:t>
            </w:r>
          </w:p>
        </w:tc>
        <w:tc>
          <w:tcPr>
            <w:tcW w:w="500" w:type="dxa"/>
            <w:vAlign w:val="bottom"/>
            <w:shd w:val="clear" w:color="auto" w:fill="CCEEFF"/>
          </w:tcPr>
          <w:p>
            <w:pPr>
              <w:spacing w:after="0"/>
              <w:rPr>
                <w:sz w:val="20"/>
                <w:szCs w:val="20"/>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r>
      <w:tr>
        <w:trPr>
          <w:trHeight w:val="230"/>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Working capital(4)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(10,922)</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$ 12,884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12,884</w:t>
            </w:r>
          </w:p>
        </w:tc>
        <w:tc>
          <w:tcPr>
            <w:tcW w:w="4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62,909</w:t>
            </w:r>
          </w:p>
        </w:tc>
        <w:tc>
          <w:tcPr>
            <w:tcW w:w="500" w:type="dxa"/>
            <w:vAlign w:val="bottom"/>
          </w:tcPr>
          <w:p>
            <w:pPr>
              <w:spacing w:after="0"/>
              <w:rPr>
                <w:sz w:val="20"/>
                <w:szCs w:val="20"/>
                <w:color w:val="auto"/>
              </w:rPr>
            </w:pPr>
          </w:p>
        </w:tc>
      </w:tr>
      <w:tr>
        <w:trPr>
          <w:trHeight w:val="20"/>
        </w:trPr>
        <w:tc>
          <w:tcPr>
            <w:tcW w:w="2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1"/>
        </w:trPr>
        <w:tc>
          <w:tcPr>
            <w:tcW w:w="2580" w:type="dxa"/>
            <w:vAlign w:val="bottom"/>
            <w:tcBorders>
              <w:bottom w:val="single" w:sz="8" w:color="auto"/>
            </w:tcBorders>
          </w:tcPr>
          <w:p>
            <w:pPr>
              <w:spacing w:after="0"/>
              <w:rPr>
                <w:sz w:val="21"/>
                <w:szCs w:val="21"/>
                <w:color w:val="auto"/>
              </w:rPr>
            </w:pPr>
          </w:p>
        </w:tc>
        <w:tc>
          <w:tcPr>
            <w:tcW w:w="2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207" w:lineRule="exact"/>
        <w:rPr>
          <w:sz w:val="20"/>
          <w:szCs w:val="20"/>
          <w:color w:val="auto"/>
        </w:rPr>
      </w:pPr>
    </w:p>
    <w:p>
      <w:pPr>
        <w:ind w:left="640" w:hanging="362"/>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amounts give effect to the Recent Developments Transactions as described in “Summary — Recent Developments.”</w:t>
      </w:r>
    </w:p>
    <w:p>
      <w:pPr>
        <w:spacing w:after="0" w:line="190" w:lineRule="exact"/>
        <w:rPr>
          <w:rFonts w:ascii="Times New Roman" w:cs="Times New Roman" w:eastAsia="Times New Roman" w:hAnsi="Times New Roman"/>
          <w:sz w:val="14"/>
          <w:szCs w:val="14"/>
          <w:color w:val="auto"/>
        </w:rPr>
      </w:pPr>
    </w:p>
    <w:p>
      <w:pPr>
        <w:ind w:left="640" w:hanging="362"/>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as adjusted amounts give effect to the Recent Developments Transactions and IPO Transactions as described in “Summary — The Offering.”</w:t>
      </w:r>
    </w:p>
    <w:p>
      <w:pPr>
        <w:spacing w:after="0" w:line="190" w:lineRule="exact"/>
        <w:rPr>
          <w:rFonts w:ascii="Times New Roman" w:cs="Times New Roman" w:eastAsia="Times New Roman" w:hAnsi="Times New Roman"/>
          <w:sz w:val="14"/>
          <w:szCs w:val="14"/>
          <w:color w:val="auto"/>
        </w:rPr>
      </w:pPr>
    </w:p>
    <w:p>
      <w:pPr>
        <w:ind w:left="640" w:right="580" w:hanging="362"/>
        <w:spacing w:after="0" w:line="282"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as further adjusted amounts give effect to (a) the IPO Transactions (b) the Recent Developments Transactions and (c) our sale of 5,000,000 ordinary shares at an assumed initial public offering price of $11.00 per ordinary share, which is the midpoint of the estimated offering price range on the cover page of this prospectus, and after deducting the estimated underwriting discounts and commissions and estimated offering expenses payable by us (of which $106,000 was paid as of September 30, 2017).</w:t>
      </w:r>
    </w:p>
    <w:p>
      <w:pPr>
        <w:spacing w:after="0" w:line="134" w:lineRule="exact"/>
        <w:rPr>
          <w:rFonts w:ascii="Times New Roman" w:cs="Times New Roman" w:eastAsia="Times New Roman" w:hAnsi="Times New Roman"/>
          <w:sz w:val="14"/>
          <w:szCs w:val="14"/>
          <w:color w:val="auto"/>
        </w:rPr>
      </w:pPr>
    </w:p>
    <w:p>
      <w:pPr>
        <w:ind w:left="640" w:hanging="362"/>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is defined as total current assets minus total current liabilities.</w:t>
      </w:r>
    </w:p>
    <w:p>
      <w:pPr>
        <w:sectPr>
          <w:pgSz w:w="11900" w:h="16838" w:orient="portrait"/>
          <w:cols w:equalWidth="0" w:num="1">
            <w:col w:w="11140"/>
          </w:cols>
          <w:pgMar w:left="240" w:top="11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14" w:right="519"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Any investment in our securities involves a high degree of risk. You should consider carefully the risks described below and all other information contained in this prospectus before you make a decision to invest in our ordinary shares. If any of the following risks actually occurs, our business, prospects, financial condition and results of operations could be materially and adversely affected. In that event, the trading price of our ordinary shares could decline, and you might lose all or part of your investment.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Need for Additional Capital</w:t>
      </w:r>
    </w:p>
    <w:p>
      <w:pPr>
        <w:spacing w:after="0" w:line="19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We are a research and development stage company with a history of operating losses and negative cash flow, and we may never achieve or maintain profitability.</w:t>
      </w:r>
    </w:p>
    <w:p>
      <w:pPr>
        <w:spacing w:after="0" w:line="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research and development stage company with no revenues from our research and development activities. Consequently, we have incurred net losses and negative cash flows since our inception in 2009, including operating losses of $4.1 million and $7.0 million for the nine months ended September 30, 2016 and 2017, respectively, and $3.7 million and $5.4 million for the years ended December 31, 2015 and 2016. As of September 30, 2017, we had an accumulated deficit of $38.0 million.</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audited financial statements for the year ended December 31, 2016 and our unaudited condensed interim financial statements for the nine months ended September 30, 2017, each included elsewhere in this prospectus, note that there is substantial doubt about our ability to continue as a going concern, absent sources of additional liquidity. From October to December 2017, we raised $13.0 million from sales of our Series B preferred shares. In order to fund further operations, we may need to raise capital in addition to the net proceeds of this offering. We may seek these funds through a combination of private and public equity offerings, debt financings, government grants, strategic collaborations and licensing arrangements. Additional financing may not be available when we need it or may not be available on terms that are favorable to us. These conditions raise substantial doubt about our ability to continue as a going concern, and we will be required to raise additional funds, seek alternative means of financial support, or both, in order to continue operations. The accompanying financial statements have been prepared assuming that we will continue as a going concern and do not include adjustments that might result from the outcome of this uncertainty. If we are unable to raise the requisite funds, we will need to curtail or cease operations.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currently have no product revenues and may not succeed in developing or commercializing any products that could generate revenues. We expect to continue to incur losses for the foreseeable future, and we expect these losses to increase as we continue our research and development of, and seek regulatory approvals for, our product candidates, prepare for and begin to commercialize any approved products, and add infrastructure and personnel to support our product development efforts and operations as a public company. In addition, development of our product candidates requires a process of preclinical and clinical testing, during which our products could fail. We may not be able to enter into agreements with one or more companies experienced in the manufacturing and marketing of therapeutic drugs and, to the extent that we are unable to do so, we will not be able to market our product candidates. Our eventual profitability will depend on our success in developing, manufacturing, and marketing our product candidates, and we cannot assure you that we will be able to achieve profitability in the future.</w:t>
      </w: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For example, our expenses could increase if we are required by the FDA, the EMA or other regulators to perform trials in addition to those that we currently expect to perform, or if there are any delays in completing our currently planned clinical trials or in the development of any of our product candidates.</w:t>
      </w:r>
    </w:p>
    <w:p>
      <w:pPr>
        <w:spacing w:after="0" w:line="7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commercializing products that generate significant market revenues. This will require us to be successful in a range of challenging activities for which we are only in the preliminary stages, including developing product candidates, completing pre-clinical and clinical trials for such product candidates, obtaining regulatory approval for them, and manufacturing, marketing and selling those products for which we may obtain regulatory approval. We may</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never succeed in these activities and, even if we do, we may never generate revenue from product sales that is significant enough to achieve profitability. Our ability to generate future revenue from product sales depends heavily on our success in many areas, including but not limited to:</w:t>
      </w:r>
    </w:p>
    <w:p>
      <w:pPr>
        <w:spacing w:after="0" w:line="81" w:lineRule="exact"/>
        <w:rPr>
          <w:sz w:val="20"/>
          <w:szCs w:val="20"/>
          <w:color w:val="auto"/>
        </w:rPr>
      </w:pPr>
    </w:p>
    <w:p>
      <w:pPr>
        <w:ind w:left="360" w:hanging="17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clinical development of our product candidates;</w:t>
      </w:r>
    </w:p>
    <w:p>
      <w:pPr>
        <w:spacing w:after="0" w:line="14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approvals for our product candidates for which we complete clinical trials;</w:t>
      </w:r>
    </w:p>
    <w:p>
      <w:pPr>
        <w:spacing w:after="0" w:line="130" w:lineRule="exact"/>
        <w:rPr>
          <w:rFonts w:ascii="Times New Roman" w:cs="Times New Roman" w:eastAsia="Times New Roman" w:hAnsi="Times New Roman"/>
          <w:sz w:val="18"/>
          <w:szCs w:val="18"/>
          <w:color w:val="auto"/>
        </w:rPr>
      </w:pPr>
    </w:p>
    <w:p>
      <w:pPr>
        <w:ind w:left="360" w:right="480" w:hanging="172"/>
        <w:spacing w:after="0" w:line="266"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95"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marketing approval, either directly or with a collaborator or distributor;</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in the United States;</w:t>
      </w:r>
    </w:p>
    <w:p>
      <w:pPr>
        <w:spacing w:after="0" w:line="14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for any of our product candidates that receive marketing approval, if any, as viable treatment options;</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4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 candidates;</w:t>
      </w:r>
    </w:p>
    <w:p>
      <w:pPr>
        <w:spacing w:after="0" w:line="14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144" w:lineRule="exact"/>
        <w:rPr>
          <w:rFonts w:ascii="Times New Roman" w:cs="Times New Roman" w:eastAsia="Times New Roman" w:hAnsi="Times New Roman"/>
          <w:sz w:val="18"/>
          <w:szCs w:val="18"/>
          <w:color w:val="auto"/>
        </w:rPr>
      </w:pPr>
    </w:p>
    <w:p>
      <w:pPr>
        <w:ind w:left="360" w:right="440" w:hanging="172"/>
        <w:spacing w:after="0" w:line="282"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protecting, enforcing and expanding our portfolio of intellectual property rights, including patents, trade secrets, and know-how; and</w:t>
      </w:r>
    </w:p>
    <w:p>
      <w:pPr>
        <w:spacing w:after="0" w:line="8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you to lose all or part of your investment.</w:t>
      </w:r>
    </w:p>
    <w:p>
      <w:pPr>
        <w:spacing w:after="0" w:line="170"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8"/>
          <w:szCs w:val="18"/>
          <w:b w:val="1"/>
          <w:bCs w:val="1"/>
          <w:color w:val="auto"/>
        </w:rPr>
        <w:t>Even if this offering is successful, we will need substantial additional capital in order to satisfy our long-term growth strategy, which may not be available to us on acceptable terms, or at all, and, if not available, may require us to delay, scale back, or cease our product development programs or operations.</w:t>
      </w:r>
    </w:p>
    <w:p>
      <w:pPr>
        <w:spacing w:after="0" w:line="7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anticipate that our available resources, excluding the proceeds from this offering, will be sufficient to meet our anticipated working capital needs for at least the next six months, we believe that we would need to raise approximately $12.0 million in additional funds in order to fund our operations for the next 12 months, mainly to support our research and development programs for EB612 and EB613. We anticipate that our current resources, together with the proceeds from this offering, will be sufficient to meet our anticipated working capital needs for at least the next two years, although we expect that we would still need to raise additional funds to support the execution of our long-term growth strategy, including further development and commercialization of our product candidates. We may require substantial additional financing at various intervals in order to continue our research and development programs, including significant requirements for operating expenses including intellectual property protection and enforcement, pursuit of regulatory approvals, and commercialization of our products. We can provide no assurance that additional funding will be available on a timely basis, on terms acceptable to us, or at all. Because successful development of our product candidates is uncertain, we are unable to estimate the actual financing we will require to complete research and development and to commercialize our product candidates.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financing requirements will depend on many factors, including but not limited to:</w:t>
      </w:r>
    </w:p>
    <w:p>
      <w:pPr>
        <w:spacing w:after="0" w:line="144" w:lineRule="exact"/>
        <w:rPr>
          <w:sz w:val="20"/>
          <w:szCs w:val="20"/>
          <w:color w:val="auto"/>
        </w:rPr>
      </w:pPr>
    </w:p>
    <w:p>
      <w:pPr>
        <w:ind w:left="360" w:hanging="17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other product candidates that we pursue;</w:t>
      </w:r>
    </w:p>
    <w:p>
      <w:pPr>
        <w:spacing w:after="0" w:line="15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 and results of research, preclinical development, and clinical trials;</w:t>
      </w:r>
    </w:p>
    <w:p>
      <w:pPr>
        <w:spacing w:after="0" w:line="14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and obtaining FDA and non-U.S. regulatory approvals;</w:t>
      </w:r>
    </w:p>
    <w:p>
      <w:pPr>
        <w:spacing w:after="0" w:line="14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product candidates and establishing sales, marketing, and distribution capabilities;</w:t>
      </w:r>
    </w:p>
    <w:p>
      <w:pPr>
        <w:spacing w:after="0" w:line="144" w:lineRule="exact"/>
        <w:rPr>
          <w:rFonts w:ascii="Times New Roman" w:cs="Times New Roman" w:eastAsia="Times New Roman" w:hAnsi="Times New Roman"/>
          <w:sz w:val="18"/>
          <w:szCs w:val="18"/>
          <w:color w:val="auto"/>
        </w:rPr>
      </w:pPr>
    </w:p>
    <w:p>
      <w:pPr>
        <w:ind w:left="360" w:right="400" w:hanging="172"/>
        <w:spacing w:after="0" w:line="266"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obtaining, maintaining, expanding, defending and enforcing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108"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or technologies;</w:t>
      </w:r>
    </w:p>
    <w:p>
      <w:pPr>
        <w:spacing w:after="0" w:line="14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hire additional management, scientific, and medical personnel;</w:t>
      </w:r>
    </w:p>
    <w:p>
      <w:pPr>
        <w:spacing w:after="0" w:line="14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that may limit market penetration of our product candidates;</w:t>
      </w:r>
    </w:p>
    <w:p>
      <w:pPr>
        <w:spacing w:after="0" w:line="157" w:lineRule="exact"/>
        <w:rPr>
          <w:rFonts w:ascii="Times New Roman" w:cs="Times New Roman" w:eastAsia="Times New Roman" w:hAnsi="Times New Roman"/>
          <w:sz w:val="18"/>
          <w:szCs w:val="18"/>
          <w:color w:val="auto"/>
        </w:rPr>
      </w:pPr>
    </w:p>
    <w:p>
      <w:pPr>
        <w:ind w:left="360" w:right="420" w:hanging="172"/>
        <w:spacing w:after="0" w:line="282"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revenues, if any, we receive from commercial sales of any product candidates for which we receive marketing approval in the future;</w:t>
      </w:r>
    </w:p>
    <w:p>
      <w:pPr>
        <w:spacing w:after="0" w:line="80" w:lineRule="exact"/>
        <w:rPr>
          <w:rFonts w:ascii="Times New Roman" w:cs="Times New Roman" w:eastAsia="Times New Roman" w:hAnsi="Times New Roman"/>
          <w:sz w:val="18"/>
          <w:szCs w:val="18"/>
          <w:color w:val="auto"/>
        </w:rPr>
      </w:pPr>
    </w:p>
    <w:p>
      <w:pPr>
        <w:ind w:left="360" w:right="400" w:hanging="172"/>
        <w:spacing w:after="0" w:line="282"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to support our operations as a public company; and</w:t>
      </w:r>
    </w:p>
    <w:p>
      <w:pPr>
        <w:spacing w:after="0" w:line="80" w:lineRule="exact"/>
        <w:rPr>
          <w:rFonts w:ascii="Times New Roman" w:cs="Times New Roman" w:eastAsia="Times New Roman" w:hAnsi="Times New Roman"/>
          <w:sz w:val="18"/>
          <w:szCs w:val="18"/>
          <w:color w:val="auto"/>
        </w:rPr>
      </w:pPr>
    </w:p>
    <w:p>
      <w:pPr>
        <w:ind w:left="360" w:right="580" w:hanging="172"/>
        <w:spacing w:after="0" w:line="282"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of and success of any collaboration, licensing, or other arrangements into which we may enter in the future, including the timing of achievement of milestones and receipt of any milestone or royalty payments under these agreements.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Until we can generate a sufficient amount of product revenue to finance our cash requirements, which we may never do, we expect to finance future cash needs primarily through a combination of public or private equity offerings, debt financings, strategic collaborations, and grant funding. If sufficient financing on acceptable terms are not available when needed, or at all, we could be forced to significantly reduce operating expenses and delay, scale back or eliminate one or more of our development programs or our business operations or even go bankrupt.</w:t>
      </w:r>
    </w:p>
    <w:p>
      <w:pPr>
        <w:spacing w:after="0" w:line="16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Raising additional capital may cause dilution to our shareholders, including purchasers of ordinary shares in this offering, restrict our operations or require us to relinquish substantial rights.</w:t>
      </w:r>
    </w:p>
    <w:p>
      <w:pPr>
        <w:spacing w:after="0" w:line="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public or private equity offerings, debt financings, strategic collaborations and grant funding. We do not have any committed external sources of funds. To the extent that we raise additional capital through the sale of equity or convertible debt securities, your ownership interest will be diluted, and the terms of these new securities may include liquidation or other preferences that adversely affect your rights as a holder of our ordinary shares. Debt financing, if available at all, may involve agreements that include covenants limiting or restricting our ability to take specific actions such as incurring additional debt, making capital expenditures, or declaring dividends, and may be secured by all or a portion of our assets. Further, we may incur substantial costs in pursuing future capital and/or financing, including investment banking fees, legal fees, accounting fees, printing and distribution expenses and other costs and such efforts may divert our management from their day-to-day activities, which may compromise our ability to develop and market our product candidates. We may also be required to recognize non-cash expenses in connection with certain securities we may issue, such as convertible notes and warrants, which will adversely impact our financial condition.</w:t>
      </w:r>
    </w:p>
    <w:p>
      <w:pPr>
        <w:spacing w:after="0" w:line="8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the past we have incurred indebtedness that may convert into equity securities, including our ordinary shares, upon the election of the lender or upon certain automatic triggering events. Any such conversion may cause our shareholders to experience substantial dilution of their ownership interest. In addition, if such convertible indebtedness is not converted before maturity upon the triggering events, we will be</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required to repay such indebtedness, which may adversely affect our liquidity. See “Dilution” and “Management’s Discussion and Analysis of Financial Condition and Results of Operations — Contractual Obligations and Commitments — Convertible Loans.”</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development programs or grant rights to develop and market product candidates that we would otherwise prefer to develop and market ourselves.</w:t>
      </w:r>
    </w:p>
    <w:p>
      <w:pPr>
        <w:spacing w:after="0" w:line="166" w:lineRule="exact"/>
        <w:rPr>
          <w:sz w:val="20"/>
          <w:szCs w:val="20"/>
          <w:color w:val="auto"/>
        </w:rPr>
      </w:pPr>
    </w:p>
    <w:p>
      <w:pPr>
        <w:ind w:right="680"/>
        <w:spacing w:after="0" w:line="255" w:lineRule="auto"/>
        <w:rPr>
          <w:sz w:val="20"/>
          <w:szCs w:val="20"/>
          <w:color w:val="auto"/>
        </w:rPr>
      </w:pPr>
      <w:r>
        <w:rPr>
          <w:rFonts w:ascii="Times New Roman" w:cs="Times New Roman" w:eastAsia="Times New Roman" w:hAnsi="Times New Roman"/>
          <w:sz w:val="18"/>
          <w:szCs w:val="18"/>
          <w:b w:val="1"/>
          <w:bCs w:val="1"/>
          <w:color w:val="auto"/>
        </w:rPr>
        <w:t>We have a limited operating history and no history of commercializing pharmaceutical products, which may make it difficult to evaluate the prospects for our future viability.</w:t>
      </w:r>
    </w:p>
    <w:p>
      <w:pPr>
        <w:spacing w:after="0" w:line="3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began operations in 2010. Our operations to date have been limited to financing and staffing our company, developing our drug delivery technology and developing our product candidates. We have not yet demonstrated an ability successfully to complete a large-scale, pivotal clinical trial,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16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b w:val="1"/>
          <w:b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5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Following the completion of this offering, we will be required to comply with various regulatory and reporting requirements, including those required by the Securities and Exchange Commission, or the SEC. Complying with these reporting and regulatory requirements will be time consuming, result in increased costs to us and could have a negative effect on our business, results of operations and financial condition.</w:t>
      </w:r>
    </w:p>
    <w:p>
      <w:pPr>
        <w:spacing w:after="0" w:line="5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As a public company, we will be subject to the reporting requirements of the Securities Exchange Act of 1934, as amended, or the Exchange Act, and the requirements of the Sarbanes-Oxley Act of 2002, as amended, or the Sarbanes-Oxley Act. These requirements may place a strain on our systems and resources. The Exchange Act requires that we file annual and current reports with respect to our business and financial condition. The Sarbanes-Oxley Act requires that we maintain effective disclosure controls and procedures and internal control over financial reporting. We will be implementing additional procedures and processes for the purpose of addressing the standards and requirements applicable to public companies. These activities may divert management’s attention from other business concerns, which could have a material adverse effect on our business, financial condition, results of operations and cash flows.</w:t>
      </w:r>
    </w:p>
    <w:p>
      <w:pPr>
        <w:spacing w:after="0" w:line="8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As an “emerging growth company,” as defined in the Jumpstart Our Business Startups Act, or the JOBS Act, we may take advantage of certain temporary exemptions from various reporting requirements including, but not limited to, not being required to comply with the auditor attestation requirements of Section 404 of the Sarbanes-Oxley Act and the rules and regulations of the SEC thereunder. We plan to take advantage of these exemptions but we cannot guarantee that we will not be required to implement these requirements sooner than budgeted or planned and thereby incur unexpected expenses. We will remain an “emerging growth company” until the earliest of: (a) the last day of our fiscal year during which we have total annual gross revenues of at least $1.07 billion; (b) the last day of our fiscal year following the fifth anniversary of the completion of this offering; (c) the date on which we have, during the previous three-year period, issued more than $1.0 billion in non-convertible debt; or (d) the date on which we are deemed to be a “large accelerated filer” under the Exchange Act. We cannot predict or estimate the amount of additional costs we may incur as a result of becoming a public company or the timing of such costs.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applied to list our ordinary shares on the NASDAQ Capital Market and, although no assurance can be given that our application will be approved, we expect that our ordinary shares will be listed on the NASDAQ Capital Market prior to the completion of this offering. As a public company listed on the NASDAQ Capital Market, we will incur significant legal, accounting and other expenses that we did not incur prior to the listing of our ordinary shares on the NASDAQ Capital Market.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changing laws, regulations and standards, in the United States or Israel, relating to corporate governance and public disclosure and other matters, may be implemented in the future, which may increase our legal and financial compliance costs, make some activities more time consuming and divert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We also expect that being a publicly traded company in the United States and being subject to U.S.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qualified executive officers.</w:t>
      </w:r>
    </w:p>
    <w:p>
      <w:pPr>
        <w:spacing w:after="0" w:line="168" w:lineRule="exact"/>
        <w:rPr>
          <w:sz w:val="20"/>
          <w:szCs w:val="20"/>
          <w:color w:val="auto"/>
        </w:rPr>
      </w:pPr>
    </w:p>
    <w:p>
      <w:pPr>
        <w:ind w:right="640"/>
        <w:spacing w:after="0" w:line="255" w:lineRule="auto"/>
        <w:rPr>
          <w:sz w:val="20"/>
          <w:szCs w:val="20"/>
          <w:color w:val="auto"/>
        </w:rPr>
      </w:pPr>
      <w:r>
        <w:rPr>
          <w:rFonts w:ascii="Times New Roman" w:cs="Times New Roman" w:eastAsia="Times New Roman" w:hAnsi="Times New Roman"/>
          <w:sz w:val="18"/>
          <w:szCs w:val="18"/>
          <w:b w:val="1"/>
          <w:bCs w:val="1"/>
          <w:color w:val="auto"/>
        </w:rPr>
        <w:t>We manage our business and develop our technology with a small number of employees and key consultants, and in the event of their loss or unavailability we may not be able to grow our business or develop and commercialize our products.</w:t>
      </w:r>
    </w:p>
    <w:p>
      <w:pPr>
        <w:spacing w:after="0" w:line="3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currently depend upon the efforts and abilities of our senior executives, including Dr. Phillip Schwartz, our Chief Executive Officer, and a small number of employees and key consultants. Our success depends upon the continued contributions of these senior executives, employees and consultants, many of whom have substantial scientific and technical experience with, and have been instrumental for, us and our technologies. The loss of our senior executives or senior scientists could delay our research and development activities. We do not maintain “key man” life insurance policies for any of our employees.</w:t>
      </w:r>
    </w:p>
    <w:p>
      <w:pPr>
        <w:spacing w:after="0" w:line="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Recruiting and retaining qualified scientific personnel to perform future research and development work will be critical to our success. Competition for skilled personnel is intense and turnover rates are high, and our ability to attract and retain qualified personnel may be limited. The loss or unavailability of the services of any of these individuals for any significant period of time or our inability to attract and retain qualified skilled personnel could have a material adverse effect on our business, technology, prospects, financial condition and results of operations.</w:t>
      </w:r>
    </w:p>
    <w:p>
      <w:pPr>
        <w:spacing w:after="0" w:line="16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b w:val="1"/>
          <w:bCs w:val="1"/>
          <w:color w:val="auto"/>
        </w:rPr>
        <w:t>We expect to grow our organization, particularly in the United States, specifically to supplement and expand our management, clinical development and regulatory capabilities and marketing infrastructure, and we may experience difficulties in managing these changes and this growth, which could disrupt our operations.</w:t>
      </w:r>
    </w:p>
    <w:p>
      <w:pPr>
        <w:spacing w:after="0" w:line="5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As our clinical development and commercialization plans and strategies develop, we expect to supplement and expand our employee base, particularly in the United States, for clinical development, regulatory, operational, sales, marketing, financial and other capabilities and with senior managers with U.S. public company experience. The need to identify, recruit, maintain, motivate and integrate additional employees and senior members of management is expected to impose significant responsibilities on our senior executives and may divert a disproportionate amount of their attention away from our day-to-day activities. The addition of such employees and managers may have an impact on the decisions that we make over time.</w:t>
      </w:r>
    </w:p>
    <w:p>
      <w:pPr>
        <w:spacing w:after="0" w:line="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conjunction with the addition of these employees and managers, we intend to grow our company. Due to our limited financial resources and the limited experience of our management team, it is possible that our management, finance, development personnel, systems and facilities currently in place may not be adequate to support this future growth. We may not be able to effectively manage the expansion of our operations, which may result in weaknesses in our infrastructure, give rise to operational errors, loss of business opportunities, loss of employees and reduced productivity among remaining employees. Our expected growth could require significant expenditures and may divert financial resources from other projects, such as the development of existing and additional product candidates. If we are unable to effectively manage our expected growth, our expenses may increase more than expected, our ability to generate or grow revenue could be reduced and we may not be able to implement our strategy. Our future financial performance and our ability to develop our product candidates and compete effectively with others in our industry will depend, in part, on our ability to effectively manage any future growth. In addition, pursuant to both Israeli law and the NASDAQ Capital Market listing requirements, and in accordance with the applicable transition rules, we will be required to appoint additional independent directors, which may result in a change in the company’s direction over time, as discussed in further detail in “Management — Board of Directors.”</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Clinical Development of Our Product Candidates</w:t>
      </w:r>
    </w:p>
    <w:p>
      <w:pPr>
        <w:spacing w:after="0" w:line="1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All of our product candidates are in preclinical or clinical development. Clinical drug development is expensive, time consuming and uncertain, and we may ultimately not be able to obtain regulatory approvals for the commercialization of some or all of our product candidates.</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marketing and distribution of drug products are subject to extensive regulation by the U.S. Food and Drug Administration, or FDA, European Union, and EU Member State legislators and agencies, such as the European Medicines Agency, or EMA, and other non-U.S. regulatory authorities, which enforce regulations that differ from country to country. We are not permitted to market our product candidates in the United States until we receive approval of a BLA from the FDA or in any other country until we receive marketing approval from applicable regulatory authorities outside the United States. Our product candidates are in various stages of development and are subject to the risks of failure inherent in drug development. We have not submitted an application, or received marketing approval, for any of our product candidates. We have limited experience in conducting and managing the clinical trials necessary to obtain regulatory approvals, including approval by the FDA or the EMA. Obtaining approval of a BLA or other marketing application can be a lengthy, expensive and uncertain process.</w:t>
      </w:r>
    </w:p>
    <w:p>
      <w:pPr>
        <w:spacing w:after="0" w:line="7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present, our lead product candidate is EB612, our oral PTH (1-34) tablet, which is under development for the treatment of hypoparathyroidism. We are also developing EB613, a distinct oral PTH (1-34) product candidate, with significant modifications to dose and formulation, for the treatment of osteoporosis. Each of our oral PTH product candidates, including EB612 and EB613, are in an early stage of clinical development and face a variety of risks and uncertainties, including the following:</w:t>
      </w:r>
    </w:p>
    <w:p>
      <w:pPr>
        <w:spacing w:after="0" w:line="153" w:lineRule="exact"/>
        <w:rPr>
          <w:sz w:val="20"/>
          <w:szCs w:val="20"/>
          <w:color w:val="auto"/>
        </w:rPr>
      </w:pPr>
    </w:p>
    <w:p>
      <w:pPr>
        <w:ind w:left="360" w:right="560" w:hanging="172"/>
        <w:spacing w:after="0" w:line="282"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clinical trial results may show that our oral PTH (1-34) is not effective for many reasons, including if our drug delivery technology is not effective, our product candidates are not effective, our clinical trial designs are flawed or clinical trial subjects do not comply with trial protocols;</w:t>
      </w:r>
    </w:p>
    <w:p>
      <w:pPr>
        <w:spacing w:after="0" w:line="12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be well tolerated or may cause negative side effects;</w:t>
      </w:r>
    </w:p>
    <w:p>
      <w:pPr>
        <w:spacing w:after="0" w:line="184" w:lineRule="exact"/>
        <w:rPr>
          <w:rFonts w:ascii="Times New Roman" w:cs="Times New Roman" w:eastAsia="Times New Roman" w:hAnsi="Times New Roman"/>
          <w:sz w:val="18"/>
          <w:szCs w:val="18"/>
          <w:color w:val="auto"/>
        </w:rPr>
      </w:pPr>
    </w:p>
    <w:p>
      <w:pPr>
        <w:jc w:val="both"/>
        <w:ind w:left="360" w:right="700" w:hanging="172"/>
        <w:spacing w:after="0" w:line="266"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the development and commercialization of our oral PTH for our intended uses may be significantly dependent upon our ability to obtain and maintain experienced and committed collaborators to assist us with obtaining clinical and regulatory approvals for, and the manufacturing, marketing and distribution of, our oral PTH;</w:t>
      </w:r>
    </w:p>
    <w:p>
      <w:pPr>
        <w:spacing w:after="0" w:line="149" w:lineRule="exact"/>
        <w:rPr>
          <w:rFonts w:ascii="Times New Roman" w:cs="Times New Roman" w:eastAsia="Times New Roman" w:hAnsi="Times New Roman"/>
          <w:sz w:val="18"/>
          <w:szCs w:val="18"/>
          <w:color w:val="auto"/>
        </w:rPr>
      </w:pPr>
    </w:p>
    <w:p>
      <w:pPr>
        <w:ind w:left="360" w:right="580" w:hanging="172"/>
        <w:spacing w:after="0" w:line="282"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oral PTH is shown to be safe and effective for its intended purposes, we may face significant or unforeseen difficulties in obtaining or manufacturing sufficient quantities at reasonable prices, or at all;</w:t>
      </w:r>
    </w:p>
    <w:p>
      <w:pPr>
        <w:spacing w:after="0" w:line="121" w:lineRule="exact"/>
        <w:rPr>
          <w:rFonts w:ascii="Times New Roman" w:cs="Times New Roman" w:eastAsia="Times New Roman" w:hAnsi="Times New Roman"/>
          <w:sz w:val="18"/>
          <w:szCs w:val="18"/>
          <w:color w:val="auto"/>
        </w:rPr>
      </w:pPr>
    </w:p>
    <w:p>
      <w:pPr>
        <w:ind w:left="360" w:right="540" w:hanging="172"/>
        <w:spacing w:after="0" w:line="282"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oral PTH is successfully developed, commercially produced and receives all necessary regulatory approvals, there is no guarantee that there will be market acceptance;</w:t>
      </w:r>
    </w:p>
    <w:p>
      <w:pPr>
        <w:spacing w:after="0" w:line="121" w:lineRule="exact"/>
        <w:rPr>
          <w:rFonts w:ascii="Times New Roman" w:cs="Times New Roman" w:eastAsia="Times New Roman" w:hAnsi="Times New Roman"/>
          <w:sz w:val="18"/>
          <w:szCs w:val="18"/>
          <w:color w:val="auto"/>
        </w:rPr>
      </w:pPr>
    </w:p>
    <w:p>
      <w:pPr>
        <w:ind w:left="360" w:right="480" w:hanging="172"/>
        <w:spacing w:after="0" w:line="266"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oral PTH is successfully developed, commercially produced and receives all necessary regulatory approvals for the treatment of hypoparathyroidism, there is no guarantee that we will successfully develop and commercialize it for other indications, including osteoporosis and nonunion fractures; and</w:t>
      </w:r>
    </w:p>
    <w:p>
      <w:pPr>
        <w:spacing w:after="0" w:line="135" w:lineRule="exact"/>
        <w:rPr>
          <w:rFonts w:ascii="Times New Roman" w:cs="Times New Roman" w:eastAsia="Times New Roman" w:hAnsi="Times New Roman"/>
          <w:sz w:val="18"/>
          <w:szCs w:val="18"/>
          <w:color w:val="auto"/>
        </w:rPr>
      </w:pPr>
    </w:p>
    <w:p>
      <w:pPr>
        <w:ind w:left="360" w:right="300" w:hanging="172"/>
        <w:spacing w:after="0" w:line="282"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develop therapeutics or other treatments that are superior to or less costly than our own with the result that our products, even if they are successfully developed, manufactured and approved, may not generate significant revenues.</w:t>
      </w:r>
    </w:p>
    <w:p>
      <w:pPr>
        <w:spacing w:after="0" w:line="5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If we are unsuccessful in dealing with any of these risks, or if we are unable to successfully commercialize our oral PTH for some other reason, it would likely have a material adverse effect on our business, prospects, financial condition and results of operations. In addition, in the event we are able to successfully commercialize our oral PTH, we may sell the tablets at a discounted sales price for the initial period in order to gain market acceptance of the product, which could adversely affect our financial condition and results of operations.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commencement and completion of clinical trials can be delayed or prevented for a number of reasons.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to initiate a Phase 2b/3 clinical trial of EB612 in hypoparathyroidism in the second half of 2018 and we plan to submit applications for regulatory approval of EB612 in the second half of 2020. For osteoporosis, we intend to commence a Phase 2a clinical trial of EB613 in the first half of 2018 followed by an additional Phase 2b clinical trial in the United States. We also plan to conduct clinical trials of a formulation of oral PTH for the treatment of non-union fractures. Drug development is a long, expensive and uncertain process, and delay or failure can occur at any stage of any of our clinical trials. Clinical trials can be delayed or prevented for a number of reasons, including:</w:t>
      </w:r>
    </w:p>
    <w:p>
      <w:pPr>
        <w:spacing w:after="0" w:line="116" w:lineRule="exact"/>
        <w:rPr>
          <w:sz w:val="20"/>
          <w:szCs w:val="20"/>
          <w:color w:val="auto"/>
        </w:rPr>
      </w:pPr>
    </w:p>
    <w:p>
      <w:pPr>
        <w:ind w:left="360" w:right="380" w:hanging="172"/>
        <w:spacing w:after="0" w:line="282"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regulatory approval to commence a clinical trial or complying with conditions imposed by a regulatory authority regarding the scope or term of a clinical trial;</w:t>
      </w:r>
    </w:p>
    <w:p>
      <w:pPr>
        <w:spacing w:after="0" w:line="94" w:lineRule="exact"/>
        <w:rPr>
          <w:rFonts w:ascii="Times New Roman" w:cs="Times New Roman" w:eastAsia="Times New Roman" w:hAnsi="Times New Roman"/>
          <w:sz w:val="18"/>
          <w:szCs w:val="18"/>
          <w:color w:val="auto"/>
        </w:rPr>
      </w:pPr>
    </w:p>
    <w:p>
      <w:pPr>
        <w:ind w:left="360" w:right="840" w:hanging="172"/>
        <w:spacing w:after="0" w:line="282"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contract research organizations, contract manufacturing organizations, and trial sites, the terms of which can be subject to extensive negotiation and may vary significantly;</w:t>
      </w:r>
    </w:p>
    <w:p>
      <w:pPr>
        <w:spacing w:after="0" w:line="80" w:lineRule="exact"/>
        <w:rPr>
          <w:rFonts w:ascii="Times New Roman" w:cs="Times New Roman" w:eastAsia="Times New Roman" w:hAnsi="Times New Roman"/>
          <w:sz w:val="18"/>
          <w:szCs w:val="18"/>
          <w:color w:val="auto"/>
        </w:rPr>
      </w:pPr>
    </w:p>
    <w:p>
      <w:pPr>
        <w:ind w:left="360" w:right="820" w:hanging="172"/>
        <w:spacing w:after="0" w:line="282"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such as contract research organizations and contract manufacturing organizations, or our investigators to comply with regulatory requirements or otherwise meet their contractual obligations in a timely manner;</w:t>
      </w:r>
    </w:p>
    <w:p>
      <w:pPr>
        <w:spacing w:after="0" w:line="9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quality of a product candidate or other materials necessary to conduct our clinical trials;</w:t>
      </w:r>
    </w:p>
    <w:p>
      <w:pPr>
        <w:spacing w:after="0" w:line="15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institutional review board, or IRB, or ethics committee approval to conduct a clinical trial at a prospective site;</w:t>
      </w:r>
    </w:p>
    <w:p>
      <w:pPr>
        <w:spacing w:after="0" w:line="15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regulatory authority requiring alterations to any of our study designs, our pre-clinical strategy or our manufacturing plans;</w:t>
      </w:r>
    </w:p>
    <w:p>
      <w:pPr>
        <w:spacing w:after="0" w:line="157" w:lineRule="exact"/>
        <w:rPr>
          <w:rFonts w:ascii="Times New Roman" w:cs="Times New Roman" w:eastAsia="Times New Roman" w:hAnsi="Times New Roman"/>
          <w:sz w:val="18"/>
          <w:szCs w:val="18"/>
          <w:color w:val="auto"/>
        </w:rPr>
      </w:pPr>
    </w:p>
    <w:p>
      <w:pPr>
        <w:ind w:left="360" w:right="380" w:hanging="172"/>
        <w:spacing w:after="0" w:line="261"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challenges recruiting and enrolling subjects to participate in clinical trials, including size and nature of subject population, proximity of subjects to clinical sites, eligibility criteria for the trial, budgetary limitations, nature of trial protocol, the patient referral practices of physicians, changes in the readiness of subjects to volunteer for a trial, the availability of approved effective treatments for the relevant disease and competition from other clinical trial programs for similar indications;</w:t>
      </w:r>
    </w:p>
    <w:p>
      <w:pPr>
        <w:spacing w:after="0" w:line="112"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contact with subjects after treatment, which results in incomplete data;</w:t>
      </w:r>
    </w:p>
    <w:p>
      <w:pPr>
        <w:spacing w:after="0" w:line="14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regulatory requirements, policy and guidelines; and</w:t>
      </w:r>
    </w:p>
    <w:p>
      <w:pPr>
        <w:spacing w:after="0" w:line="15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foreign regulatory agencies.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Changes in regulatory requirements and guidance may also occur and we may need to significantly amend clinical trial protocols or submit new clinical trial protocols with appropriate regulatory authorities to reflect these changes. Amendments may require us to renegotiate terms with contract research organizations, or CROs, or resubmit clinical trial protocols to IRBs or ethics committees for re-examination, which may impact the costs, timing or successful completion of a clinical trial. Our clinical trials may be suspended or terminated at any time by the FDA, other regulatory authorities, the IRB or ethics committee overseeing the clinical trial at issue, any of our clinical trial sites with respect to that site, or us, due to a number of factors, including:</w:t>
      </w:r>
    </w:p>
    <w:p>
      <w:pPr>
        <w:spacing w:after="0" w:line="116" w:lineRule="exact"/>
        <w:rPr>
          <w:sz w:val="20"/>
          <w:szCs w:val="20"/>
          <w:color w:val="auto"/>
        </w:rPr>
      </w:pPr>
    </w:p>
    <w:p>
      <w:pPr>
        <w:ind w:left="360" w:hanging="17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15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findings of an inspection of the clinical trial operations or trial sites by the FDA or other regulatory authorities;</w:t>
      </w:r>
    </w:p>
    <w:p>
      <w:pPr>
        <w:spacing w:after="0" w:line="157" w:lineRule="exact"/>
        <w:rPr>
          <w:rFonts w:ascii="Times New Roman" w:cs="Times New Roman" w:eastAsia="Times New Roman" w:hAnsi="Times New Roman"/>
          <w:sz w:val="18"/>
          <w:szCs w:val="18"/>
          <w:color w:val="auto"/>
        </w:rPr>
      </w:pPr>
    </w:p>
    <w:p>
      <w:pPr>
        <w:ind w:left="360" w:right="420" w:hanging="172"/>
        <w:spacing w:after="0" w:line="282"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issues, including serious adverse events associated with a product candidate, or lack of effectiveness or any determination that a clinical trial presents unacceptable health risks;</w:t>
      </w:r>
    </w:p>
    <w:p>
      <w:pPr>
        <w:spacing w:after="0" w:line="9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 due to unforeseen costs or other business decisions; and</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right="440" w:hanging="172"/>
        <w:spacing w:after="0" w:line="282" w:lineRule="auto"/>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breach or pursuant to the terms of any agreement with, or for any other reason by, current or future collaborators that have responsibility for the clinical development of any of our product candidates.</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one or more of our product candidates.</w:t>
      </w:r>
    </w:p>
    <w:p>
      <w:pPr>
        <w:spacing w:after="0" w:line="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we do not succeed in conducting and managing our preclinical development activities or clinical trials, or in obtaining regulatory approvals, we might not be able to commercialize our product candidates, or might be significantly delayed in doing so, which could have a material adverse effect on our business, prospects, financial condition and results of operations.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The results of previous clinical trials may not be predictive of future results, our progress in trials for one product candidate may not be indicative of progress in trials for other product candidates, and our trials may not be designed so as to support regulatory approval.</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currently have no products approved for sale and we cannot guarantee that we will ever have marketable products. Clinical failure can occur at any stage of clinical development. Clinical trials may produce negative or inconclusive results, and we or any of our current and future collaborators may decide, or regulators may require us, to conduct additional clinical or preclinical testing. We will be required to demonstrate with substantial evidence through well-controlled clinical trials that our product candidates are safe and effective for use in a diverse population before we can seek regulatory approvals for their commercial sale. Success in early clinical trials does not mean that future clinical trials will be successful because product candidates in later-stage clinical trials may fail to demonstrate sufficient safety and efficacy to the satisfaction of the FDA and non-U.S. regulatory authorities despite having progressed through initial clinical trials. Product candidates that have shown promising results in early clinical trials may still suffer significant setbacks in subsequent clinical trials. Similarly, the outcome of preclinical testing and early clinical trials may not be predictive of the success of later clinical trials, and interim results of a clinical trial do not necessarily predict final results. Progress in trials of one product candidate does not indicate that we will make similar progress in additional trials for that product candidate or in trials for our other product candidates.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8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design of a clinical trial can determine whether its results will support approval of a product. We may be unable to design and/or execute a clinical trial to support regulatory approval. Flaws in the design of a clinical trial may not become apparent until the clinical trial is well advanced. In addition, we may have little control over whether subjects comply with important aspects of clinical trial protocols. In particular, in trials of our oral PTH, if subjects do not comply with restrictions on eating and drinking before and after administration of our product candidates, interaction between the drug and food in the gastrointestinal tract, or a “food effect,” may decrease the bioavailability and increase the variability of drug delivered to the subject, which may negatively affect efficacy.</w:t>
      </w:r>
    </w:p>
    <w:p>
      <w:pPr>
        <w:spacing w:after="0" w:line="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and/or efficacy results between different trials of the same product candidate due to numerous factors, including changes in trial protocols, differences in size and type of the patient populations, adherence to the dosing regimen and other trial protocols, modifications in the formulation throughout the course of development and the rate of dropout among clinical trial participants. While our oral PTH product candidates have exhibited no serious related adverse events in our clinical trials to date, we may need to change future trial design in response to adverse events that occur during future clinical development. We do not know whether any Phase 2, Phase 3 or other clinical trials we or any of our collaborators may conduct will demonstrate consistent or adequate efficacy and safety to obtain regulatory approval to market our product candidates.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b w:val="1"/>
          <w:bCs w:val="1"/>
          <w:color w:val="auto"/>
        </w:rPr>
        <w:t>We depend on enrollment of patients in our clinical trials for our product candidates. If we are unable to enroll patients in our clinical trials, our research and development efforts could be materially adversely affected.</w:t>
      </w:r>
    </w:p>
    <w:p>
      <w:pPr>
        <w:spacing w:after="0" w:line="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subjects. Trials may be subject to delays as a result of enrollment taking longer than anticipated or subject withdrawal. Enrollment depends on many factors, including the size and nature of the patient population, eligibility criteria for the trial, the proximity of patients to clinical sites, the design of the clinical protocol, the availability of competing clinical trials, the availability of drugs approved for the indication the clinical trial is investigating, and clinicians’ and patients’ perceptions as to the potential advantages of the product being studied in relation to other available therapies. Our product candidate EB612 has orphan drug designation for the treatment of hypoparathyroidism, which means that the potential patient population is limited. In addition, there may be other marketed drugs or drugs in development for hypoparathyroidism, and we may compete for patients with such marketed drugs, such as Natpara, or the sponsors of trials for drugs in development. These factors may make it difficult for us to enroll enough subjects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successful in our efforts to use and expand our drug delivery technology to other product candidates.</w:t>
      </w:r>
    </w:p>
    <w:p>
      <w:pPr>
        <w:spacing w:after="0" w:line="1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use and expand our oral drug delivery technology platform to build a pipeline of product candidates and progress these product candidates through clinical development for the treatment of a variety of different types of diseases. Our strategy is to focus on the development of our oral drug delivery technology in combination with a known active pharmaceutical ingredient, or API, to validate our platform and potentially minimize risk and development timelines. We intend, by utilizing this approach, to both validate and enhance the credibility of our platform. We intend to use our technology as a platform for the oral delivery of other protein and large molecule APIs.</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initial product candidates combine our oral drug delivery technology with PTH, a hormone that has been used in injectable form for many years for osteoporosis. Our business is substantially dependent on our ability to complete the development of, obtain regulatory approval for, and successfully commercialize our oral PTH product candidates in a timely manner. If we are unable to validate our oral drug delivery technology with our PTH product candidates, in particular our lead candidate EB612, we may be unsuccessful in leveraging our oral drug delivery technology for use with other APIs. In addition, we must significantly modify the formulation of EB612 to develop new formulations for applications in osteoporosis and other indications. If we are not successful in optimizing the formation of our PTH product candidates for additional indications, or if we are not otherwise able to obtain regulatory approval for them or successfully commercialize them, our business and prospects may be severely limited due to the small size of the population with hypoparathyroidism.</w:t>
      </w:r>
    </w:p>
    <w:p>
      <w:pPr>
        <w:spacing w:after="0" w:line="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our technology makes use of synthetically bioengineered ingredients. Our oral PTH is a synthetic form of the first 34 amino acids of human PTH to which we have applied our proprietary drug delivery technology. Although our product candidates utilize a synthesized PTH molecule with a known mechanism of action, they may cause patients to exhibit safety or immune responses that do not match the biological effect of a human protein. Such responses could result in increased regulatory scrutiny, delays or other impediments to our planned development or the public acceptance and commercialization of our products.</w:t>
      </w:r>
    </w:p>
    <w:p>
      <w:pPr>
        <w:spacing w:after="0" w:line="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Even if we are successful in expanding our drug delivery technology to other APIs for other indications,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We may never successfully develop or commercialize our technology with other APIs, which could limit our business and prospects.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b w:val="1"/>
          <w:bCs w:val="1"/>
          <w:color w:val="auto"/>
        </w:rPr>
        <w:t>Our product candidates may have serious adverse, undesirable or unacceptable side effects that may delay or prevent marketing approval. If any such side effects are identified during the development of our product candidates or following any regulatory approval, we may need to abandon our development of such product candidates, any approved label may be limited or we may be subject to other significant negative consequences following regulatory approval.</w:t>
      </w:r>
    </w:p>
    <w:p>
      <w:pPr>
        <w:spacing w:after="0" w:line="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all of our product candidates have undergone or will undergo safety testing to the extent possible and agreed with health authorities, not all adverse effects of drugs can be predicted or anticipated. Unforeseen side effects from any of our product candidates could arise either during clinical development or, if such side effects are more rare, after our product candidates have been approved by regulatory authorities and the approved product has been marketed, resulting in the exposure of additional patients. All of our product candidates are still in clinical or preclinical development. While our oral PTH has exhibited no serious related adverse events in our clinical trials to date, the results of future clinical trials may show that our product candidates cause undesirable or unacceptable side effects, which could interrupt, delay or halt clinical trials, and result in delay of, or failure to obtain, marketing approval from the FDA, the EMA and other regulatory authorities, or result in marketing approval from the FDA, the EMA and other regulatory authorities with restrictive label warnings or potential product liability claims. For instance, other PTH products have been issued with labels that disclose a potential risk of osteosarcoma.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our product candidates receives marketing approval and we or others later identify undesirable or unacceptable side effects caused by such products:</w:t>
      </w:r>
    </w:p>
    <w:p>
      <w:pPr>
        <w:spacing w:after="0" w:line="63" w:lineRule="exact"/>
        <w:rPr>
          <w:sz w:val="20"/>
          <w:szCs w:val="20"/>
          <w:color w:val="auto"/>
        </w:rPr>
      </w:pPr>
    </w:p>
    <w:p>
      <w:pPr>
        <w:ind w:left="360" w:hanging="17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 off the market;</w:t>
      </w:r>
    </w:p>
    <w:p>
      <w:pPr>
        <w:spacing w:after="0" w:line="63" w:lineRule="exact"/>
        <w:rPr>
          <w:rFonts w:ascii="Times New Roman" w:cs="Times New Roman" w:eastAsia="Times New Roman" w:hAnsi="Times New Roman"/>
          <w:sz w:val="18"/>
          <w:szCs w:val="18"/>
          <w:color w:val="auto"/>
        </w:rPr>
      </w:pPr>
    </w:p>
    <w:p>
      <w:pPr>
        <w:ind w:left="360" w:right="1020" w:hanging="172"/>
        <w:spacing w:after="0" w:line="281" w:lineRule="auto"/>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conduct additional clinical trials or change the labeling of the product;</w:t>
      </w:r>
    </w:p>
    <w:p>
      <w:pPr>
        <w:spacing w:after="0" w:line="63"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63"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63"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63"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or our potential future collaborators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5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b w:val="1"/>
          <w:bCs w:val="1"/>
          <w:color w:val="auto"/>
        </w:rPr>
        <w:t>Due to our limited resources and access to capital, we must and have in the past decided to prioritize development of certain product candidates; these decisions may prove to have been wrong and may adversely affect our revenues.</w:t>
      </w:r>
    </w:p>
    <w:p>
      <w:pPr>
        <w:spacing w:after="0" w:line="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As such, we are currently primarily focused on the development of EB612 and EB613 for the treatment of hypoparathyroidism and osteoporosis, respectively.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our business, financial condition and results of operations could be materially adversely affected.</w:t>
      </w:r>
    </w:p>
    <w:p>
      <w:pPr>
        <w:spacing w:after="0" w:line="1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Our internal computer systems, or those of our CROs or other contractors or consultants, may fail or suffer security breaches, which could result in a disruption of our drug development programs.</w:t>
      </w:r>
    </w:p>
    <w:p>
      <w:pPr>
        <w:spacing w:after="0" w:line="6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are vulnerable to damage from cyber-security threats, including</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computer viruses, harmful code and unauthorized access, natural disasters, fire, terrorism, war and telecommunication and electrical failures.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Approval of Our Product Candidates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Obtaining regulatory approval even after clinical trials that are believed to be successful is an uncertain process.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Even if we complete our planned clinical trials and believe the results to be successful, all of which are uncertain, obtaining regulatory approval is an extensive, lengthy, expensive and uncertain process, and the FDA, EMA and other regulatory agencies may delay, limit or deny approval of our oral PTH for many reasons, including:</w:t>
      </w:r>
    </w:p>
    <w:p>
      <w:pPr>
        <w:spacing w:after="0" w:line="122" w:lineRule="exact"/>
        <w:rPr>
          <w:sz w:val="20"/>
          <w:szCs w:val="20"/>
          <w:color w:val="auto"/>
        </w:rPr>
      </w:pPr>
    </w:p>
    <w:p>
      <w:pPr>
        <w:ind w:left="360" w:right="420" w:hanging="172"/>
        <w:spacing w:after="0" w:line="282"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to the satisfaction of the FDA, EMA or other regulatory agencies that our oral PTH is safe and effective for any indication;</w:t>
      </w:r>
    </w:p>
    <w:p>
      <w:pPr>
        <w:spacing w:after="0" w:line="121" w:lineRule="exact"/>
        <w:rPr>
          <w:rFonts w:ascii="Times New Roman" w:cs="Times New Roman" w:eastAsia="Times New Roman" w:hAnsi="Times New Roman"/>
          <w:sz w:val="18"/>
          <w:szCs w:val="18"/>
          <w:color w:val="auto"/>
        </w:rPr>
      </w:pPr>
    </w:p>
    <w:p>
      <w:pPr>
        <w:ind w:left="360" w:right="480" w:hanging="172"/>
        <w:spacing w:after="0" w:line="282"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or clinical significance required by the FDA, EMA or other regulatory agencies for approval;</w:t>
      </w:r>
    </w:p>
    <w:p>
      <w:pPr>
        <w:spacing w:after="0" w:line="107" w:lineRule="exact"/>
        <w:rPr>
          <w:rFonts w:ascii="Times New Roman" w:cs="Times New Roman" w:eastAsia="Times New Roman" w:hAnsi="Times New Roman"/>
          <w:sz w:val="18"/>
          <w:szCs w:val="18"/>
          <w:color w:val="auto"/>
        </w:rPr>
      </w:pPr>
    </w:p>
    <w:p>
      <w:pPr>
        <w:ind w:left="360" w:right="340" w:hanging="172"/>
        <w:spacing w:after="0" w:line="282"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regulatory agencies may require that EB613 meet additional requirements to obtain regulatory approval for the treatment of osteoporosis, a much larger indication than hypoparathyroidism;</w:t>
      </w:r>
    </w:p>
    <w:p>
      <w:pPr>
        <w:spacing w:after="0" w:line="10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regulatory agencies may disagree with the number, design, size, conduct or implementation of our clinical trials;</w:t>
      </w:r>
    </w:p>
    <w:p>
      <w:pPr>
        <w:spacing w:after="0" w:line="171" w:lineRule="exact"/>
        <w:rPr>
          <w:rFonts w:ascii="Times New Roman" w:cs="Times New Roman" w:eastAsia="Times New Roman" w:hAnsi="Times New Roman"/>
          <w:sz w:val="18"/>
          <w:szCs w:val="18"/>
          <w:color w:val="auto"/>
        </w:rPr>
      </w:pPr>
    </w:p>
    <w:p>
      <w:pPr>
        <w:ind w:left="360" w:right="420" w:hanging="172"/>
        <w:spacing w:after="0" w:line="282"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regulatory agencies may not find the data from pre-clinical studies and clinical trials sufficient to demonstrate that our oral PTH’s clinical and other benefits outweigh its safety risks;</w:t>
      </w:r>
    </w:p>
    <w:p>
      <w:pPr>
        <w:spacing w:after="0" w:line="107" w:lineRule="exact"/>
        <w:rPr>
          <w:rFonts w:ascii="Times New Roman" w:cs="Times New Roman" w:eastAsia="Times New Roman" w:hAnsi="Times New Roman"/>
          <w:sz w:val="18"/>
          <w:szCs w:val="18"/>
          <w:color w:val="auto"/>
        </w:rPr>
      </w:pPr>
    </w:p>
    <w:p>
      <w:pPr>
        <w:ind w:left="360" w:right="780" w:hanging="172"/>
        <w:spacing w:after="0" w:line="282"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regulatory agencies may disagree with our interpretation of data from pre-clinical studies or clinical trials, or may not accept data generated at our clinical trial sites;</w:t>
      </w:r>
    </w:p>
    <w:p>
      <w:pPr>
        <w:spacing w:after="0" w:line="121" w:lineRule="exact"/>
        <w:rPr>
          <w:rFonts w:ascii="Times New Roman" w:cs="Times New Roman" w:eastAsia="Times New Roman" w:hAnsi="Times New Roman"/>
          <w:sz w:val="18"/>
          <w:szCs w:val="18"/>
          <w:color w:val="auto"/>
        </w:rPr>
      </w:pPr>
    </w:p>
    <w:p>
      <w:pPr>
        <w:ind w:left="360" w:right="540" w:hanging="172"/>
        <w:spacing w:after="0" w:line="282"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regulatory agencies may not recognize a synthesized molecule like the synthesized PTH molecule that is used in our oral PTH formulation;</w:t>
      </w:r>
    </w:p>
    <w:p>
      <w:pPr>
        <w:spacing w:after="0" w:line="107" w:lineRule="exact"/>
        <w:rPr>
          <w:rFonts w:ascii="Times New Roman" w:cs="Times New Roman" w:eastAsia="Times New Roman" w:hAnsi="Times New Roman"/>
          <w:sz w:val="18"/>
          <w:szCs w:val="18"/>
          <w:color w:val="auto"/>
        </w:rPr>
      </w:pPr>
    </w:p>
    <w:p>
      <w:pPr>
        <w:ind w:left="360" w:right="500" w:hanging="172"/>
        <w:spacing w:after="0" w:line="282"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pre-clinical studies and clinical trials of our oral PTH may not be sufficient to support the submission of an application for regulatory approval;</w:t>
      </w:r>
    </w:p>
    <w:p>
      <w:pPr>
        <w:spacing w:after="0" w:line="107" w:lineRule="exact"/>
        <w:rPr>
          <w:rFonts w:ascii="Times New Roman" w:cs="Times New Roman" w:eastAsia="Times New Roman" w:hAnsi="Times New Roman"/>
          <w:sz w:val="18"/>
          <w:szCs w:val="18"/>
          <w:color w:val="auto"/>
        </w:rPr>
      </w:pPr>
    </w:p>
    <w:p>
      <w:pPr>
        <w:ind w:left="360" w:right="520" w:hanging="172"/>
        <w:spacing w:after="0" w:line="266"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22"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as a condition of approval;</w:t>
      </w:r>
    </w:p>
    <w:p>
      <w:pPr>
        <w:spacing w:after="0" w:line="184" w:lineRule="exact"/>
        <w:rPr>
          <w:rFonts w:ascii="Times New Roman" w:cs="Times New Roman" w:eastAsia="Times New Roman" w:hAnsi="Times New Roman"/>
          <w:sz w:val="18"/>
          <w:szCs w:val="18"/>
          <w:color w:val="auto"/>
        </w:rPr>
      </w:pPr>
    </w:p>
    <w:p>
      <w:pPr>
        <w:ind w:left="360" w:right="400" w:hanging="172"/>
        <w:spacing w:after="0" w:line="282"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regulatory agencies may identify deficiencies in the manufacturing processes or facilities of third party manufacturers with which we enter into agreements for clinical and commercial supplies;</w:t>
      </w:r>
    </w:p>
    <w:p>
      <w:pPr>
        <w:spacing w:after="0" w:line="10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regulatory agencies may change their approval policies or adopt new regulations; and</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right="600" w:hanging="172"/>
        <w:spacing w:after="0" w:line="282" w:lineRule="auto"/>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regulatory agencies may require simultaneous approval for both adults and for children and adolescents delaying needed approvals, or we may have successful clinical trial results for adults but not children and adolescents, or vice versa.</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Before we can submit an application for regulatory approval in the United States, we must conduct a pivotal trial that will be substantially broader than our completed Phase 2a trial. We will also need to agree on a protocol with the FDA for a clinical trial before commencing the trial. Phase 3 clinical trials frequently produce unsatisfactory results even though prior clinical trials were successful. Therefore, even if the results of our Phase 2 trials are successful, the results of the additional trials that we conduct may or may not be successful. Further, our product candidates may not be approved even if they achieve their primary endpoints in Phase 3 clinical trials. The FDA, the EMA or other non-U.S. regulatory authorities may disagree with our trial design and our interpretation of data from preclinical studies and clinical trials. Moreover, there is no FDA guidance on the acceptable level of variability in orally delivered products with large molecule APIs, and, therefore we are unable to be certain that we are designing our product candidates or clinical trials to satisfy the FDA in this regard. In addition, any of these regulatory authorities may change requirements for the approval of a product candidate even after reviewing and providing comments or advice on a protocol for a clinical trial. The FDA, EMA or other regulatory agencies may require that we conduct additional clinical, nonclinical,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EMA or other regulatory agencies. If any of these outcomes occur, we would not receive approval for our oral PTH (1-34) tablet.</w:t>
      </w:r>
    </w:p>
    <w:p>
      <w:pPr>
        <w:spacing w:after="0" w:line="8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the FDA, EMA or other regulatory agencies may also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The FDA, EMA or other regulatory agencies may not accept the labeling claims that we believe would be necessary or desirable for the successful commercialization of our product candidates.</w:t>
      </w:r>
    </w:p>
    <w:p>
      <w:pPr>
        <w:spacing w:after="0" w:line="16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7"/>
          <w:szCs w:val="17"/>
          <w:b w:val="1"/>
          <w:bCs w:val="1"/>
          <w:color w:val="auto"/>
        </w:rPr>
        <w:t>In order to obtain FDA approval for EB612 prior to the expiration of Natpara’s orphan drug exclusivity in 2022, we need to show that EB612 is clinically superior to Natpara. Moreover, although we have obtained orphan drug designation for EB612 for the treatment of hypoparathyroidism, we may be unable to maintain the benefits associated with orphan drug designation, including the potential for market exclusivity.</w:t>
      </w:r>
    </w:p>
    <w:p>
      <w:pPr>
        <w:spacing w:after="0" w:line="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Under the Orphan Drug Act, the FDA may designate a product candidate as an orphan drug if it is a drug intended to treat a rare disease or condition, which is generally defined as a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drug in the United States. In the European Union, the European Commission may designate a product candidate as an orphan medicinal product if it is a medicine for the diagnosis, prevention or treatment of life-threatening or very serious conditions that affects not more than five in 10,000 persons in the European Union, or it is unlikely that marketing of the medicine would generate sufficient returns to justify the investment needed for its development and no satisfactory method of diagnosis, prevention or treatment of the condition concerned is authorized, or, if such method exists, that the medicinal product will be of significant benefit to those affected by the condition. We have received orphan drug designation for oral PTH for the treatment of hypoparathyroidism from the FDA, but orphan drug designation may not ensure that we have market exclusivity in a particular market and there is no assurance we will be able to receive orphan drug designation for any additional product candidates. Further, the granting of a request for orphan drug designation does not alter the standard regulatory requirements and process for obtaining marketing approval, including the development time or regulatory review time of a drug.</w:t>
      </w:r>
    </w:p>
    <w:p>
      <w:pPr>
        <w:spacing w:after="0" w:line="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receives the first marketing approval for the indication for which it has such designation, the product is entitled to a period of marketing exclusivity,</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which, subject to certain exceptions, precludes the FDA from approving another drug with the same active moiety for the same indication for that time period or precludes the EMA, and other national drug regulators in the European Union, from accepting the marketing application for a similar medicinal product for the same indication. The applicable period is seven years in the United States and 10 years in the European Union. The EU period can be reduced to six years if, at the end of the fifth year of marketing exclusivity, a product no longer meets the criteria for orphan drug designation, for instance if the product is sufficiently profitable so that market exclusivity is no longer justified. In the European Union, orphan exclusivity may also be extended for an additional two years (i.e., a maximum of 12 years’ orphan exclusivity) if the product is approved on the basis of a dossier that includes pediatric clinical trial data generated in accordance with an approved pediatric investigation plan. Orphan drug exclusivity may be lost in the United States if the FDA determines that the request for designation was materially defective or if the manufacturer is unable to assure sufficient quantity of the product to meet the needs of patients with the rare disease or condition.</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Orphan drug exclusivity may not effectively protect the product from competition because exclusivity can be suspended under certain circumstances. In the United States, even after an orphan drug is approved, the FDA can subsequently approve another drug with the same active moiety for the same condition if the FDA concludes that the later drug is clinically superior in that it is shown to be safer, more effective or makes a major contribution to patient care. In the European Union, orphan exclusivity will not prevent a marketing authorization being granted for a similar medicinal product in the same indication if the new product is safer, more effective or otherwise clinically superior to the first product or if the marketing authorization holder of the first product is unable to supply sufficient quantities of the product.</w:t>
      </w:r>
    </w:p>
    <w:p>
      <w:pPr>
        <w:spacing w:after="0" w:line="80" w:lineRule="exact"/>
        <w:rPr>
          <w:sz w:val="20"/>
          <w:szCs w:val="20"/>
          <w:color w:val="auto"/>
        </w:rPr>
      </w:pPr>
    </w:p>
    <w:p>
      <w:pPr>
        <w:jc w:val="both"/>
        <w:ind w:right="240"/>
        <w:spacing w:after="0" w:line="257" w:lineRule="auto"/>
        <w:rPr>
          <w:sz w:val="20"/>
          <w:szCs w:val="20"/>
          <w:color w:val="auto"/>
        </w:rPr>
      </w:pPr>
      <w:r>
        <w:rPr>
          <w:rFonts w:ascii="Times New Roman" w:cs="Times New Roman" w:eastAsia="Times New Roman" w:hAnsi="Times New Roman"/>
          <w:sz w:val="18"/>
          <w:szCs w:val="18"/>
          <w:color w:val="auto"/>
        </w:rPr>
        <w:t>We believe that our key competitor in hypoparathyroidism treatment is Shire plc, whose product Natpara, an injectable bioengineered recombinant form of PTH (1-84), was approved by the FDA in January 2015. Natpara has been granted orphan drug designation for hypoparathyroidism by the FDA and, as the first approved product for this indication, has orphan drug market exclusivity for seven years in the United States and, if Natpara is approved by the EMA,</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10 years after receipt of market approval in the European Union. Therefore, we will only be able to obtain regulatory approval for EB612 prior to expiration of Natpara’s orphan exclusivity period in the United States, which expires in January 2022, if we demonstrate EB612’s clinical superiority over Natpara in that it demonstrates greater effectiveness or safety than Natpara or that it otherwise makes a major contribution to patient care. We believe that we will be able to demonstrate to the satisfaction of the FDA and EMA that our formulation of PTH is clinically superior to Natpara, and therefore we do not believe that the FDA or EMA will be precluded from approving a marketing application prior to Natpara’s expiration of orphan exclusivity, but there can be no assurance that we will be able to demonstrate that EB612 is clinically superior to Natpara under the applicable FDA and EMA standards and obtain regulatory approval, even if EB612 would otherwise satisfy each regulator’s standards for approval.</w:t>
      </w:r>
    </w:p>
    <w:p>
      <w:pPr>
        <w:spacing w:after="0" w:line="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Even if we obtain regulatory approval of EB612, we may not enjoy the benefits of our orphan designation for EB612 for hypoparathyroidism. For example, even if we were to overcome Natpara’s exclusivity, regulatory approval of EB612 would not create exclusivity vis-a-vis Natpara, and we would still have to compete with Natpara for market acceptance and on other factors that contribute to commercial success, such as reimbursement. Moreover, even if we obtain orphan drug exclusivity for EB612 vis-à-vis other products in development, that exclusivity may not effectively protect EB612 from competition because different drugs with different active moieties can be approved for the same condition. Even after an orphan drug is approved, the FDA or EMA can subsequently approve the same drug with the same active moiety for the same condition if the FDA or EMA concludes that the later drug is safer, more effective, or makes a major contribution to patient care.</w:t>
      </w:r>
    </w:p>
    <w:p>
      <w:pPr>
        <w:spacing w:after="0" w:line="1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Even if regulatory approvals are obtained for our product candidates, we will be subject to ongoing government regulation. If we fail to comply with applicable current and future laws and government regulations, it could delay or prevent the promotion, marketing or sale of our products.</w:t>
      </w:r>
    </w:p>
    <w:p>
      <w:pPr>
        <w:spacing w:after="0" w:line="6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all of which may result in</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significant expense and limit our ability to commercialize our products. Our products will also be subject to ongoing requirements governing the labeling, packaging, storage, advertising, distribution, promotion, recordkeeping and submission of safety and other post-market information, including adverse events, and any changes to the approved product, product labeling or manufacturing process. In addition, manufacturers of drug products and their facilities are subject to continual review and periodic inspections by the FDA and other regulatory authorities for compliance with current good manufacturing practice, or cGMP, requirements and other regulations.</w:t>
      </w:r>
    </w:p>
    <w:p>
      <w:pPr>
        <w:spacing w:after="0" w:line="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we, our drug products or the manufacturing facilities for our drug products fail to comply with applicable regulatory requirements, a regulatory agency may:</w:t>
      </w:r>
    </w:p>
    <w:p>
      <w:pPr>
        <w:spacing w:after="0" w:line="54" w:lineRule="exact"/>
        <w:rPr>
          <w:sz w:val="20"/>
          <w:szCs w:val="20"/>
          <w:color w:val="auto"/>
        </w:rPr>
      </w:pPr>
    </w:p>
    <w:p>
      <w:pPr>
        <w:ind w:left="360" w:hanging="17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 or take similar enforcement actions;</w:t>
      </w:r>
    </w:p>
    <w:p>
      <w:pPr>
        <w:spacing w:after="0" w:line="11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1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marketing approval;</w:t>
      </w:r>
    </w:p>
    <w:p>
      <w:pPr>
        <w:spacing w:after="0" w:line="11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w:t>
      </w:r>
    </w:p>
    <w:p>
      <w:pPr>
        <w:spacing w:after="0" w:line="11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w:t>
      </w:r>
    </w:p>
    <w:p>
      <w:pPr>
        <w:spacing w:after="0" w:line="117" w:lineRule="exact"/>
        <w:rPr>
          <w:rFonts w:ascii="Times New Roman" w:cs="Times New Roman" w:eastAsia="Times New Roman" w:hAnsi="Times New Roman"/>
          <w:sz w:val="18"/>
          <w:szCs w:val="18"/>
          <w:color w:val="auto"/>
        </w:rPr>
      </w:pPr>
    </w:p>
    <w:p>
      <w:pPr>
        <w:ind w:left="360" w:right="620" w:hanging="172"/>
        <w:spacing w:after="0" w:line="282" w:lineRule="auto"/>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exclude products from federal healthcare programs, or request that we initiate a product recall; or</w:t>
      </w:r>
    </w:p>
    <w:p>
      <w:pPr>
        <w:spacing w:after="0" w:line="53"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and compliance with such regulation may be expensive and consume substantial financial and management resources. If we or any future marketing collaborators or contract manufacturers are slow or unable to adapt to changes in existing requirements or the adoption of new requirements or policies or are not able to maintain regulatory compliance, it could delay or prevent the promotion, marketing or sale of our products, which would adversely affect our business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legislative changes may harm our business and future prospects.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Healthcare costs have risen significantly over the past decade. Globally, governments are becoming increasingly aggressive in imposing health care cost-containment measures. Certain proposals, if passed, would impose limitations on the prices we will be able to charge for the products that we are developing, or the amounts of reimbursement available for these products from governmental agencies or third-party payors. These limitations could in turn reduce the amount of revenues that we will be able to generate in the future from sales of our products and licenses of our technology.</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or MMA changed the way Medicare covers and pays for pharmaceutical products. The MMA expanded Medicare coverage for outpatient drug purchases by those covered by Medicare under a new Part D and introduced a new reimbursement methodology based on average sales prices for Medicare Part B physician-administered drugs. In addition, the MMA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the MMA could decrease the coverage and price that we receive for any approved products and could seriously harm our future business prospects. While this law applies only to drug benefits for Medicare beneficiaries, private payors often follow Medicare coverage policy and payment limitations in setting their own reimbursement rates, and any reduction in reimbursement that results from this law may result in a similar reduction in payments from private payors.</w:t>
      </w:r>
    </w:p>
    <w:p>
      <w:pPr>
        <w:spacing w:after="0" w:line="8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March 2010, President Obama signed into law the Patient Protection and Affordable Care Act, as amended by the Health Care and Education Reconciliation Act, or collectively, the ACA, a sweeping law intended to broaden access to health insurance, reduce or constrain the growth of healthcare spending,</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enhance remedies against fraud and abuse, add new transparency requirements for health care and health insurance industries, impose new taxes and fees on the health industry and impose additional health policy reforms. The Affordable Care Act,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 The ACA appears likely to continue the pressure on pharmaceutical pricing and may also increase our regulatory burdens and operating costs.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Affordable Care Act was enacted. These changes included aggregate reductions to Medicare payments to providers of 2% per fiscal year effective April 1, 2013 and, due to subsequent legislative amendments to the statute, will stay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President Trump and the majorities of both houses of Congress have stated their intention to repeal and replace the ACA. In May 2017, the House of Representatives voted to pass the American Healthcare Act of 2017, which repeals certain portions of the ACA and adds material new provisions. On June 22, 2017, the Senate introduced its own healthcare reform bill. In addition, the Senate considered proposed healthcare reform legislation known as the Graham-Cassidy bill. Although none of these measures have been enacted by Congress to date, Congress may consider other legislation to repeal and replace all or elements of the ACA. In December 2017, the Tax Cuts and Jobs Act was enacted and signed into law, one part of which repeals the “individual mandate” introduced by the ACA starting in 2019. The repeal of the “individual mandate” may have an adverse effect on ACA insurance markets and lead to further legislative changes. Congress will likely consider other legislation to replace elements of the ACA, during the next Congressional session. Though the full future impact of the new administration and the U.S. Congress on our business remains unclear, legislative and regulatory changes may continue the downward pressure on pharmaceutical pricing, especially under the Medicare and Medicaid programs, and may also increase our regulatory burdens and operating costs.</w:t>
      </w:r>
    </w:p>
    <w:p>
      <w:pPr>
        <w:spacing w:after="0" w:line="7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b w:val="1"/>
          <w:b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7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Healthcare providers, physicians and others will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99" w:lineRule="exact"/>
        <w:rPr>
          <w:sz w:val="20"/>
          <w:szCs w:val="20"/>
          <w:color w:val="auto"/>
        </w:rPr>
      </w:pPr>
    </w:p>
    <w:p>
      <w:pPr>
        <w:ind w:left="360" w:right="380" w:hanging="172"/>
        <w:spacing w:after="0" w:line="256"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06" w:lineRule="exact"/>
        <w:rPr>
          <w:rFonts w:ascii="Times New Roman" w:cs="Times New Roman" w:eastAsia="Times New Roman" w:hAnsi="Times New Roman"/>
          <w:sz w:val="18"/>
          <w:szCs w:val="18"/>
          <w:color w:val="auto"/>
        </w:rPr>
      </w:pPr>
    </w:p>
    <w:p>
      <w:pPr>
        <w:jc w:val="both"/>
        <w:ind w:left="360" w:right="800" w:hanging="172"/>
        <w:spacing w:after="0" w:line="266"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81" w:lineRule="exact"/>
        <w:rPr>
          <w:rFonts w:ascii="Times New Roman" w:cs="Times New Roman" w:eastAsia="Times New Roman" w:hAnsi="Times New Roman"/>
          <w:sz w:val="18"/>
          <w:szCs w:val="18"/>
          <w:color w:val="auto"/>
        </w:rPr>
      </w:pPr>
    </w:p>
    <w:p>
      <w:pPr>
        <w:jc w:val="both"/>
        <w:ind w:left="360" w:right="560" w:hanging="172"/>
        <w:spacing w:after="0" w:line="289" w:lineRule="auto"/>
        <w:tabs>
          <w:tab w:leader="none" w:pos="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spacing w:after="0" w:line="77" w:lineRule="exact"/>
        <w:rPr>
          <w:rFonts w:ascii="Times New Roman" w:cs="Times New Roman" w:eastAsia="Times New Roman" w:hAnsi="Times New Roman"/>
          <w:sz w:val="17"/>
          <w:szCs w:val="17"/>
          <w:color w:val="auto"/>
        </w:rPr>
      </w:pPr>
    </w:p>
    <w:p>
      <w:pPr>
        <w:ind w:left="360" w:right="460" w:hanging="172"/>
        <w:spacing w:after="0" w:line="282"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80" w:lineRule="exact"/>
        <w:rPr>
          <w:rFonts w:ascii="Times New Roman" w:cs="Times New Roman" w:eastAsia="Times New Roman" w:hAnsi="Times New Roman"/>
          <w:sz w:val="18"/>
          <w:szCs w:val="18"/>
          <w:color w:val="auto"/>
        </w:rPr>
      </w:pPr>
    </w:p>
    <w:p>
      <w:pPr>
        <w:ind w:left="360" w:right="520" w:hanging="172"/>
        <w:spacing w:after="0" w:line="266"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Affordable Care Act requires certain manufacturers of drugs, devices, biologics and medical supplies to report to the Department of Health and Human Services information related to payments and other transfers of value to physicians and teaching hospitals and the ownership and investment interests of such physicians or their family members;</w:t>
      </w:r>
    </w:p>
    <w:p>
      <w:pPr>
        <w:spacing w:after="0" w:line="81" w:lineRule="exact"/>
        <w:rPr>
          <w:rFonts w:ascii="Times New Roman" w:cs="Times New Roman" w:eastAsia="Times New Roman" w:hAnsi="Times New Roman"/>
          <w:sz w:val="18"/>
          <w:szCs w:val="18"/>
          <w:color w:val="auto"/>
        </w:rPr>
      </w:pPr>
    </w:p>
    <w:p>
      <w:pPr>
        <w:ind w:left="360" w:right="380" w:hanging="172"/>
        <w:spacing w:after="0" w:line="261"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w:t>
      </w:r>
    </w:p>
    <w:p>
      <w:pPr>
        <w:spacing w:after="0" w:line="99" w:lineRule="exact"/>
        <w:rPr>
          <w:rFonts w:ascii="Times New Roman" w:cs="Times New Roman" w:eastAsia="Times New Roman" w:hAnsi="Times New Roman"/>
          <w:sz w:val="18"/>
          <w:szCs w:val="18"/>
          <w:color w:val="auto"/>
        </w:rPr>
      </w:pPr>
    </w:p>
    <w:p>
      <w:pPr>
        <w:ind w:left="360" w:right="340" w:hanging="172"/>
        <w:spacing w:after="0" w:line="255"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non-U.S. laws and regulations, such as certain state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right="540" w:hanging="172"/>
        <w:spacing w:after="0" w:line="282" w:lineRule="auto"/>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by the Centers for Medicare and Medicaid Services and enforcement by the U.S. Department of Health and Human Services (Office of Inspector General) or the U.S. Department of Justice.</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future business activities could be subject to challenge under one or more of such laws.</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Commercialization of Our Product Candidates</w:t>
      </w:r>
    </w:p>
    <w:p>
      <w:pPr>
        <w:spacing w:after="0" w:line="19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color w:val="auto"/>
        </w:rPr>
        <w:t>We are likely to face significant competition, and if our competitors’ products are more effective, safer or less expensive than ours, our commercial opportunities will be negatively affected. Our lead product candidates, if approved, would compete with existing products.</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industry is highly competitive and subject to rapid and significant technological change. While we believe that our technology, knowledge, experience and scientific resources provide us with competitive advantages, we face competition from many different sources, including large pharmaceutical, specialty pharmaceutical, biotechnology and generic drug companies and academic and government institutions. These organizations may have significantly greater resources than we do and conduct similar research, seek and obtain patent protection that may impact our freedom to operate and establish collaborative arrangements for research, development, manufacturing and marketing of products that compete with our product candidates. We believe that the key competitive factors that will affect the development and commercial success of our oral PTH product candidates, and any other product candidates that we develop, are efficacy, safety and tolerability profile, convenience in dosing, product labeling, price and availability of reimbursement from the government and other third-parties. Our commercial opportunity could be reduced or eliminated if our competitors have products that are better in one or more of these categories. Furthermore, our competitors may, among other things: develop and commercialize products that are safer, more effective, less expensive, or more convenient or easier to administer; obtain quicker regulatory approval; establish superior proprietary positions; have access to more manufacturing capacity; implement more effective approaches to sales and marketing; or form more advantageous strategic alliances.</w:t>
      </w:r>
    </w:p>
    <w:p>
      <w:pPr>
        <w:spacing w:after="0" w:line="85" w:lineRule="exact"/>
        <w:rPr>
          <w:sz w:val="20"/>
          <w:szCs w:val="20"/>
          <w:color w:val="auto"/>
        </w:rPr>
      </w:pPr>
    </w:p>
    <w:p>
      <w:pPr>
        <w:ind w:right="380"/>
        <w:spacing w:after="0" w:line="313" w:lineRule="auto"/>
        <w:rPr>
          <w:sz w:val="20"/>
          <w:szCs w:val="20"/>
          <w:color w:val="auto"/>
        </w:rPr>
      </w:pPr>
      <w:r>
        <w:rPr>
          <w:rFonts w:ascii="Times New Roman" w:cs="Times New Roman" w:eastAsia="Times New Roman" w:hAnsi="Times New Roman"/>
          <w:sz w:val="17"/>
          <w:szCs w:val="17"/>
          <w:color w:val="auto"/>
        </w:rPr>
        <w:t>Our primary innovation is our development of an oral drug delivery technology for large peptides, protein and other large molecules. If another company develops an alternative technology for oral delivery of such molecules that is equal to or better than our technology, we may be unable to compete.</w:t>
      </w:r>
    </w:p>
    <w:p>
      <w:pPr>
        <w:spacing w:after="0" w:line="3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believe that our key competitor in hypoparathyroidism treatment is Natpara. If we obtain regulatory approval for EB612, it will compete with Natpara, which by that time will have been marketed for several years and may have wide-spread market acceptance that may be difficult to overcome. See “— In order to obtain FDA approval for EB612 prior to the expiration of Natpara’s orphan drug exclusivity in 2022, we need to show that EB612 is clinically superior to Natpara. Moreover, although we have obtained orphan drug designation for EB612 for the treatment of hypoparathyroidism, we may be unable to maintain the benefits associated with orphan drug designation, including the potential for market exclusivity.” In addition, Ascendis Pharma has reported that it is developing a long-acting, oral prodrug formulation of PTH for the treatment of hypoparathyroidism. Ascendis’ oral PTH product is currently in preclinical development, and Ascendis has reported that it plans to initiate a Phase 1 trial for the drug in the third quarter of 2017.</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osteoporosis market is already served by a variety of competing products based on a number of APIs. Many of these existing products have achieved widespread acceptance among physicians, patients and payors for the treatment of osteoporosis. The market has been dominated by bisphosphonates for many years, although bisphosphonates’ market share has declined due to the occurrence of serious side effects, as well as the introduction of newly developed pharmacological treatments. Many of the new drugs have serious side effects of their own. Eli Lilly’s Forteo, an injectable PTH (1-34), is one of the most effective osteoporosis medications. We anticipate that our product candidate EB613, if approved, will compete with Forteo and the rest of the pharmacological treatments for osteoporosis. Many of these products are available on a generic basis, and EB613 may not demonstrate sufficient additional clinical benefits to physicians, patients or payors to justify a higher price compared to generic products. In many cases, insurers or other third-party payors, particularly Medicare, seek to encourage the use of generic products. Furthermore, our competitors in this market are large pharmaceutical companies and the alternatives have been on the market for many years and have widespread market acceptance.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manufacturing risks that could substantially increase our costs and limit supply of our products.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of manufacturing our products is complex, highly regulated and subject to several risks, including:</w:t>
      </w:r>
    </w:p>
    <w:p>
      <w:pPr>
        <w:spacing w:after="0" w:line="185" w:lineRule="exact"/>
        <w:rPr>
          <w:sz w:val="20"/>
          <w:szCs w:val="20"/>
          <w:color w:val="auto"/>
        </w:rPr>
      </w:pPr>
    </w:p>
    <w:p>
      <w:pPr>
        <w:ind w:left="360" w:right="440" w:hanging="172"/>
        <w:spacing w:after="0" w:line="255" w:lineRule="auto"/>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experience in manufacturing our product candidates at commercial scale. We may not succeed in the scaling up of our process. We may need a larger-scale manufacturing process for our oral PTH than what we have planned, depending on the dose and regimen that will be determined in future studies. Any changes in our manufacturing processes as a result of scaling up may result in the need to obtain additional regulatory approvals. Difficulties in achieving commercial-scale production or the need for additional regulatory approvals as a result of scaling up could delay the development and regulatory approval of our product candidates and ultimately affect our success. Contract manufacturers may not have sufficient expertise to manufacture a dry oral formulation with a large molecule API, in which case we may have to establish our own commercial manufacturing capabilities, which could be expensive and delay launch of product candidates.</w:t>
      </w:r>
    </w:p>
    <w:p>
      <w:pPr>
        <w:spacing w:after="0" w:line="135" w:lineRule="exact"/>
        <w:rPr>
          <w:rFonts w:ascii="Times New Roman" w:cs="Times New Roman" w:eastAsia="Times New Roman" w:hAnsi="Times New Roman"/>
          <w:sz w:val="18"/>
          <w:szCs w:val="18"/>
          <w:color w:val="auto"/>
        </w:rPr>
      </w:pPr>
    </w:p>
    <w:p>
      <w:pPr>
        <w:ind w:left="360" w:right="480" w:hanging="172"/>
        <w:spacing w:after="0" w:line="255" w:lineRule="auto"/>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for biologics is more complex and subject to greater regulation than that of other drugs. The process of manufacturing biologics, such as our product candidates, is extremely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35" w:lineRule="exact"/>
        <w:rPr>
          <w:rFonts w:ascii="Times New Roman" w:cs="Times New Roman" w:eastAsia="Times New Roman" w:hAnsi="Times New Roman"/>
          <w:sz w:val="18"/>
          <w:szCs w:val="18"/>
          <w:color w:val="auto"/>
        </w:rPr>
      </w:pPr>
    </w:p>
    <w:p>
      <w:pPr>
        <w:ind w:left="360" w:right="540" w:hanging="172"/>
        <w:spacing w:after="0" w:line="282" w:lineRule="auto"/>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our product candidates are made could be adversely affected by equipment failures, labor shortages, natural disasters, power failures and numerous other factors.</w:t>
      </w:r>
    </w:p>
    <w:p>
      <w:pPr>
        <w:spacing w:after="0" w:line="121" w:lineRule="exact"/>
        <w:rPr>
          <w:rFonts w:ascii="Times New Roman" w:cs="Times New Roman" w:eastAsia="Times New Roman" w:hAnsi="Times New Roman"/>
          <w:sz w:val="18"/>
          <w:szCs w:val="18"/>
          <w:color w:val="auto"/>
        </w:rPr>
      </w:pPr>
    </w:p>
    <w:p>
      <w:pPr>
        <w:ind w:left="360" w:right="340" w:hanging="172"/>
        <w:spacing w:after="0" w:line="254" w:lineRule="auto"/>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applicable current cGMP, regulations and guidelines. We may encounter difficulties in achieving quality control and quality assurance and may experience shortages in qualified personnel. We are subject to inspections by the FDA and comparable agencies in other jurisdictions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drug product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w:t>
      </w: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spacing w:after="0" w:line="266" w:lineRule="auto"/>
        <w:rPr>
          <w:sz w:val="20"/>
          <w:szCs w:val="20"/>
          <w:color w:val="auto"/>
        </w:rPr>
      </w:pPr>
      <w:r>
        <w:rPr>
          <w:rFonts w:ascii="Times New Roman" w:cs="Times New Roman" w:eastAsia="Times New Roman" w:hAnsi="Times New Roman"/>
          <w:sz w:val="18"/>
          <w:szCs w:val="18"/>
          <w:color w:val="auto"/>
        </w:rPr>
        <w:t>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122" w:lineRule="exact"/>
        <w:rPr>
          <w:sz w:val="20"/>
          <w:szCs w:val="20"/>
          <w:color w:val="auto"/>
        </w:rPr>
      </w:pPr>
    </w:p>
    <w:p>
      <w:pPr>
        <w:ind w:left="360" w:right="460" w:hanging="172"/>
        <w:spacing w:after="0" w:line="261" w:lineRule="auto"/>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26" w:lineRule="exact"/>
        <w:rPr>
          <w:rFonts w:ascii="Times New Roman" w:cs="Times New Roman" w:eastAsia="Times New Roman" w:hAnsi="Times New Roman"/>
          <w:sz w:val="18"/>
          <w:szCs w:val="18"/>
          <w:color w:val="auto"/>
        </w:rPr>
      </w:pPr>
    </w:p>
    <w:p>
      <w:pPr>
        <w:ind w:left="360" w:right="520" w:hanging="172"/>
        <w:spacing w:after="0" w:line="261" w:lineRule="auto"/>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that have been produced and are stored for later use may degrade, become contaminated or suffer other quality defects, which may cause the affected product candidates to no longer be suitable for their intended use in clinical trials or other development activities. If the defective product candidates cannot be replaced in a timely fashion, we may incur significant delays in our development programs that could adversely affect the value of such product candidates.</w:t>
      </w:r>
    </w:p>
    <w:p>
      <w:pPr>
        <w:spacing w:after="0" w:line="163"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8"/>
          <w:szCs w:val="18"/>
          <w:b w:val="1"/>
          <w:bCs w:val="1"/>
          <w:color w:val="auto"/>
        </w:rPr>
        <w:t>We currently have no sales, marketing or distribution infrastructure. Any failure or delay in the development of our internal sales, marketing and distribution capabilities would adversely affect the commercialization of our products. If we enter into collaborations to market and sell any approved products, our revenue may be lower and we will be dependent on the efforts of a third party.</w:t>
      </w:r>
    </w:p>
    <w:p>
      <w:pPr>
        <w:spacing w:after="0" w:line="7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have not yet established sales, marketing or distribution operations because our product candidates are in early clinical development. Prior to receiving regulatory approval for EB612, we plan to build a focused sales and marketing organization in the United States and other jurisdictions where we anticipate obtaining approval to sell EB612. This would be expensive and time consuming. If we elect to fund and undertake commercialization activities on our own, we may need to obtain additional expertise and additional capital, which may not be available to us on acceptable terms or at all. In addition, the costs of establishing sales and marketing operations may be incurred in advance of any approval of our product candidates. Moreover, we may not be able to hire a sales force that is sufficient in size or has adequate expertise in the medical markets that we intend to target. Any failure or delay in the development of our internal sales, marketing and distribution capabilities would adversely affect the commercialization of our products.</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Alternatively, we may consider entering into a collaboration to commercialize EB612, and we anticipate seeking a collaborator to develop EB613 and that any such collaborator would be responsible for, or substantially support, late stage clinical trials of EB613 as well as regulatory approvals and registrations. These arrangements are typically complex and time consuming to negotiate. To the extent that we enter into collaboration agreements with respect to marketing, sales or distribution, our product revenue may be lower than if we directly marketed and sold any approved products.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spacing w:after="0" w:line="1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Even if approved, if any of our product candidates do not achieve broad market acceptance among physicians, patients, the medical community and third-party payors, our revenue generated from their sales will be limited.</w:t>
      </w:r>
    </w:p>
    <w:p>
      <w:pPr>
        <w:spacing w:after="0" w:line="6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commercial success of our product candidates will depend upon their acceptance among physicians, patients and the medical community. The degree of market acceptance of our product candidates will depend on a number of factors, including:</w:t>
      </w:r>
    </w:p>
    <w:p>
      <w:pPr>
        <w:spacing w:after="0" w:line="94" w:lineRule="exact"/>
        <w:rPr>
          <w:sz w:val="20"/>
          <w:szCs w:val="20"/>
          <w:color w:val="auto"/>
        </w:rPr>
      </w:pPr>
    </w:p>
    <w:p>
      <w:pPr>
        <w:ind w:left="360" w:hanging="17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approved labeling for a product candidate;</w:t>
      </w:r>
    </w:p>
    <w:p>
      <w:pPr>
        <w:spacing w:after="0" w:line="17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any of our product candidates;</w:t>
      </w:r>
    </w:p>
    <w:p>
      <w:pPr>
        <w:spacing w:after="0" w:line="17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the approved clinical indications for our product candidates;</w:t>
      </w:r>
    </w:p>
    <w:p>
      <w:pPr>
        <w:spacing w:after="0" w:line="17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clinical safety and efficacy compared to other products;</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0" w:hanging="17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significant adverse side effects;</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marketing and distribution support;</w:t>
      </w:r>
    </w:p>
    <w:p>
      <w:pPr>
        <w:spacing w:after="0" w:line="11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extent of coverage and reimbursement from managed care plans and other third-party payors;</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and perceived effectiveness of competitive products;</w:t>
      </w:r>
    </w:p>
    <w:p>
      <w:pPr>
        <w:spacing w:after="0" w:line="11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cost-effectiveness of our product candidates;</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therapies at similar or lower cost, including generic and over-the-counter products;</w:t>
      </w:r>
    </w:p>
    <w:p>
      <w:pPr>
        <w:spacing w:after="0" w:line="130" w:lineRule="exact"/>
        <w:rPr>
          <w:rFonts w:ascii="Times New Roman" w:cs="Times New Roman" w:eastAsia="Times New Roman" w:hAnsi="Times New Roman"/>
          <w:sz w:val="18"/>
          <w:szCs w:val="18"/>
          <w:color w:val="auto"/>
        </w:rPr>
      </w:pPr>
    </w:p>
    <w:p>
      <w:pPr>
        <w:ind w:left="360" w:right="780" w:hanging="172"/>
        <w:spacing w:after="0" w:line="282" w:lineRule="auto"/>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product candidate is approved for inclusion on formularies of hospitals and third-party payors, including managed care organizations;</w:t>
      </w:r>
    </w:p>
    <w:p>
      <w:pPr>
        <w:spacing w:after="0" w:line="67" w:lineRule="exact"/>
        <w:rPr>
          <w:rFonts w:ascii="Times New Roman" w:cs="Times New Roman" w:eastAsia="Times New Roman" w:hAnsi="Times New Roman"/>
          <w:sz w:val="18"/>
          <w:szCs w:val="18"/>
          <w:color w:val="auto"/>
        </w:rPr>
      </w:pPr>
    </w:p>
    <w:p>
      <w:pPr>
        <w:ind w:left="360" w:right="740" w:hanging="172"/>
        <w:spacing w:after="0" w:line="282" w:lineRule="auto"/>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first-line therapy or as a second- or third-line therapy for particular diseases;</w:t>
      </w:r>
    </w:p>
    <w:p>
      <w:pPr>
        <w:spacing w:after="0" w:line="53"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candidates or favorable publicity about competitive products;</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of our products; and</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are approved, but do not achieve an adequate level of acceptance by physicians, patients and the medical community, we may not generate sufficient revenue from these products, and we may not become or remain profitable. In addition, efforts to educate the medical community and third-party payors on the benefits of our product candidates may require significant resources and may never be successful.</w:t>
      </w:r>
    </w:p>
    <w:p>
      <w:pPr>
        <w:spacing w:after="0" w:line="159" w:lineRule="exact"/>
        <w:rPr>
          <w:sz w:val="20"/>
          <w:szCs w:val="20"/>
          <w:color w:val="auto"/>
        </w:rPr>
      </w:pPr>
    </w:p>
    <w:p>
      <w:pPr>
        <w:ind w:right="400"/>
        <w:spacing w:after="0" w:line="238" w:lineRule="auto"/>
        <w:rPr>
          <w:sz w:val="20"/>
          <w:szCs w:val="20"/>
          <w:color w:val="auto"/>
        </w:rPr>
      </w:pPr>
      <w:r>
        <w:rPr>
          <w:rFonts w:ascii="Times New Roman" w:cs="Times New Roman" w:eastAsia="Times New Roman" w:hAnsi="Times New Roman"/>
          <w:sz w:val="18"/>
          <w:szCs w:val="18"/>
          <w:b w:val="1"/>
          <w:bCs w:val="1"/>
          <w:color w:val="auto"/>
        </w:rPr>
        <w:t>Even if we obtain regulatory approval of any of our product candidates in a major pharmaceutical market such as the United States or the European Union, we may never obtain approval or commercialize our products in other major markets, which would limit our ability to realize their full market potential.</w:t>
      </w:r>
    </w:p>
    <w:p>
      <w:pPr>
        <w:spacing w:after="0" w:line="7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order to market any products in a country or territory, we must establish and comply with numerous and varying regulatory requirements of such countries or territories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harmed.</w:t>
      </w:r>
    </w:p>
    <w:p>
      <w:pPr>
        <w:spacing w:after="0" w:line="17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b w:val="1"/>
          <w:bCs w:val="1"/>
          <w:color w:val="auto"/>
        </w:rPr>
        <w:t>The successful commercialization of our product candidates, if approved, will depend in part on the extent to which governmental authorities and third-party payors establish adequate coverage and reimbursement levels and pricing policies.</w:t>
      </w:r>
    </w:p>
    <w:p>
      <w:pPr>
        <w:spacing w:after="0" w:line="6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successful commercialization of our product candidates, if approved,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coverage. In light of such challenges to prices and increasing levels of evidence of the benefits and clinical outcomes required of new technologies, we cannot be sure that coverage will be available for our oral PTH product candidates or any other product candidate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Third party payors may deny coverage and reimbursement status altogether of a given drug product, or cover the product but establish prices at levels that are too low to enable us to realize an appropriate return on our investment in product development. Because the coverage and reimbursement policies may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16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Although we maintain limited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 events described above occur, this could have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Dependence on Third Parties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highly dependent upon our ability to enter into agreements with collaborators to develop, commercialize and market our products.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may enter into collaborations with third parties that we believe could provide us with valuable funding and other benefits. For example, we anticipate seeking a collaborator to develop EB613 for osteoporosis and that any such collaborator would be responsible for, or substantially support, late stage clinical trials of EB613 as well as regulatory approvals and registrations.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the EMA or similar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for collaboration and whether such a collaboration could be more attractive than the one with us for our product candidate.</w:t>
      </w:r>
    </w:p>
    <w:p>
      <w:pPr>
        <w:spacing w:after="0" w:line="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If we are unable to reach agreements with suitable collaborators on a timely basis, on acceptable terms, or at all, we may have to curtail the development of a product candidate, reduce or delay one or more of our other development programs, delay potential commercialization of a product candidate or reduce the scope of any sales or marketing activities, or increase our expenditures and undertake development or commercialization activities at our own expense. If we fail to enter into collaborations and do not have sufficient funds or expertise to undertake the necessary development and commercialization activities ourselves, we may not be able to further develop our product candidates or bring them to market or continue to develop our technology platforms and our business may be materially and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collaboration we enter into may pose a number of risks, including the following:</w:t>
      </w:r>
    </w:p>
    <w:p>
      <w:pPr>
        <w:spacing w:after="0" w:line="117" w:lineRule="exact"/>
        <w:rPr>
          <w:sz w:val="20"/>
          <w:szCs w:val="20"/>
          <w:color w:val="auto"/>
        </w:rPr>
      </w:pPr>
    </w:p>
    <w:p>
      <w:pPr>
        <w:ind w:left="360" w:hanging="17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360" w:right="620" w:hanging="172"/>
        <w:spacing w:after="0" w:line="266"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8" w:lineRule="exact"/>
        <w:rPr>
          <w:rFonts w:ascii="Times New Roman" w:cs="Times New Roman" w:eastAsia="Times New Roman" w:hAnsi="Times New Roman"/>
          <w:sz w:val="18"/>
          <w:szCs w:val="18"/>
          <w:color w:val="auto"/>
        </w:rPr>
      </w:pPr>
    </w:p>
    <w:p>
      <w:pPr>
        <w:ind w:left="360" w:right="500" w:hanging="172"/>
        <w:spacing w:after="0" w:line="282"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360" w:right="380" w:hanging="172"/>
        <w:spacing w:after="0" w:line="266"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68" w:lineRule="exact"/>
        <w:rPr>
          <w:rFonts w:ascii="Times New Roman" w:cs="Times New Roman" w:eastAsia="Times New Roman" w:hAnsi="Times New Roman"/>
          <w:sz w:val="18"/>
          <w:szCs w:val="18"/>
          <w:color w:val="auto"/>
        </w:rPr>
      </w:pPr>
    </w:p>
    <w:p>
      <w:pPr>
        <w:ind w:left="360" w:right="700" w:hanging="172"/>
        <w:spacing w:after="0" w:line="282"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40" w:lineRule="exact"/>
        <w:rPr>
          <w:rFonts w:ascii="Times New Roman" w:cs="Times New Roman" w:eastAsia="Times New Roman" w:hAnsi="Times New Roman"/>
          <w:sz w:val="18"/>
          <w:szCs w:val="18"/>
          <w:color w:val="auto"/>
        </w:rPr>
      </w:pPr>
    </w:p>
    <w:p>
      <w:pPr>
        <w:ind w:left="360" w:right="680" w:hanging="172"/>
        <w:spacing w:after="0" w:line="282"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360" w:right="360" w:hanging="172"/>
        <w:spacing w:after="0" w:line="266"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68" w:lineRule="exact"/>
        <w:rPr>
          <w:rFonts w:ascii="Times New Roman" w:cs="Times New Roman" w:eastAsia="Times New Roman" w:hAnsi="Times New Roman"/>
          <w:sz w:val="18"/>
          <w:szCs w:val="18"/>
          <w:color w:val="auto"/>
        </w:rPr>
      </w:pPr>
    </w:p>
    <w:p>
      <w:pPr>
        <w:jc w:val="both"/>
        <w:ind w:left="360" w:right="420" w:hanging="172"/>
        <w:spacing w:after="0" w:line="282"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in such a way as to invite litigation that could jeopardize or invalidate our intellectual property or proprietary information or expose us to potential litigation;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right="340" w:hanging="172"/>
        <w:spacing w:after="0" w:line="281" w:lineRule="auto"/>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rights of third parties, which may expose us to litigation and potential liability;</w:t>
      </w:r>
    </w:p>
    <w:p>
      <w:pPr>
        <w:spacing w:after="0" w:line="1" w:lineRule="exact"/>
        <w:rPr>
          <w:rFonts w:ascii="Times New Roman" w:cs="Times New Roman" w:eastAsia="Times New Roman" w:hAnsi="Times New Roman"/>
          <w:sz w:val="18"/>
          <w:szCs w:val="18"/>
          <w:color w:val="auto"/>
        </w:rPr>
      </w:pPr>
    </w:p>
    <w:p>
      <w:pPr>
        <w:ind w:left="360" w:right="1080" w:hanging="172"/>
        <w:spacing w:after="0" w:line="281" w:lineRule="auto"/>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laws, rules or regulations when performing services for us, which may expose us to legal proceedings and potential liability; and</w:t>
      </w:r>
    </w:p>
    <w:p>
      <w:pPr>
        <w:spacing w:after="0" w:line="1" w:lineRule="exact"/>
        <w:rPr>
          <w:rFonts w:ascii="Times New Roman" w:cs="Times New Roman" w:eastAsia="Times New Roman" w:hAnsi="Times New Roman"/>
          <w:sz w:val="18"/>
          <w:szCs w:val="18"/>
          <w:color w:val="auto"/>
        </w:rPr>
      </w:pPr>
    </w:p>
    <w:p>
      <w:pPr>
        <w:ind w:left="360" w:right="540" w:hanging="172"/>
        <w:spacing w:after="0" w:line="266" w:lineRule="auto"/>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convenience by the collaborator and, if terminated, we could be required to raise additional capital to pursue further development or commercialization of the applicable product candidates, we may suffer from negative publicity and we may find it more difficult to attract new collaborators.</w:t>
      </w:r>
    </w:p>
    <w:p>
      <w:pPr>
        <w:spacing w:after="0" w:line="4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of the risks relating to product development, regulatory approval and commercialization described in this prospectus also apply to the activities of any of our future program collaborators.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secure and maintain research institutions to conduct our clinical trials.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rely on research institutions to conduct our clinical trials. Specifically, the limited number of centers experienced with pharmaceutical product candidates heightens our dependence on such research institutions. Our reliance upon research institutions, including hospitals and clinics, provides us with less control over the timing and cost of clinical trials and the ability to recruit subjects. If we are unable to reach agreements with suitable research institutions on acceptable terms, or if any resulting agreement is terminated, we may be unable to quickly replace the research institution with another qualified institution on acceptable terms. Furthermore, we may not be able to secure and maintain suitable research institutions to conduct our clinical trials.</w:t>
      </w:r>
    </w:p>
    <w:p>
      <w:pPr>
        <w:spacing w:after="0" w:line="9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color w:val="auto"/>
        </w:rPr>
        <w:t>Independent clinical investigators and CROs that we engage to conduct our clinical trials may not devote sufficient time or attention to our clinical trials or be able to repeat their past success.</w:t>
      </w:r>
    </w:p>
    <w:p>
      <w:pPr>
        <w:spacing w:after="0" w:line="2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expect to continue to depend on independent clinical investigators and CROs to conduct our clinical trials. CROs may also assist us in the collection and analysis of data. There is a limited number of third-party service providers that specialize or have the expertise required to achieve our business objectives. Identifying, qualifying and managing performance of third-party service providers can be difficult, time consuming and cause delays in our development programs. These investigators and CROs will not be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Further, the FDA and other regulatory authorities require that we comply with standards, commonly referred to as Good Clinical Practice, or GCP, requirements for conducting, recording and reporting clinical trials to assure that data and reported results are credible and accurate and that the rights, integrity and confidentiality of trial subjects are protected. Regulatory authorities enforce these GCPs through periodic inspections of trial sponsors, principal investigators and trial sites. If we or any of our CROs fail to comply with applicable GCPs, the clinical data generated in our clinical trials may be deemed unreliable and the FDA, EMA or comparable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Failure of clinical investigators or CROs to meet their obligations to us or comply with GCP procedures could adversely affect the clinical development of our product candidates and harm our business.</w:t>
      </w:r>
    </w:p>
    <w:p>
      <w:pPr>
        <w:spacing w:after="0" w:line="110" w:lineRule="exact"/>
        <w:rPr>
          <w:sz w:val="20"/>
          <w:szCs w:val="20"/>
          <w:color w:val="auto"/>
        </w:rPr>
      </w:pPr>
    </w:p>
    <w:p>
      <w:pPr>
        <w:jc w:val="both"/>
        <w:ind w:right="140"/>
        <w:spacing w:after="0" w:line="233" w:lineRule="auto"/>
        <w:rPr>
          <w:sz w:val="20"/>
          <w:szCs w:val="20"/>
          <w:color w:val="auto"/>
        </w:rPr>
      </w:pPr>
      <w:r>
        <w:rPr>
          <w:rFonts w:ascii="Times New Roman" w:cs="Times New Roman" w:eastAsia="Times New Roman" w:hAnsi="Times New Roman"/>
          <w:sz w:val="18"/>
          <w:szCs w:val="18"/>
          <w:b w:val="1"/>
          <w:bCs w:val="1"/>
          <w:color w:val="auto"/>
        </w:rPr>
        <w:t>We contract with third parties for the supply of materials used in drug formulation for clinical testing and expect to contract with third parties for the manufacturing of our product candidates for large-scale testing.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5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anticipate continuing our engagement of third parties to provide our clinical supply as we advance our product candidates into and through clinical development. We expect in the future to use third parties for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manufacture of our product candidates for clinical testing, as well as for commercial manufacture. We plan to enter into long-term supply agreements with several manufacturers for commercial supplies. We may be unable to reach agreement on satisfactory terms with contract manufacturers to manufacture our product candidates. Additionally, the facilities to manufacture our product candidates must be the subject of a satisfactory inspection before the FDA, the EMA or other regulatory authorities approve a BLA or grant a marketing authorization for the product candidate manufactured at that facility. We will depend on these third-party manufacturers for compliance with the FDA’s and the EMA’s requirements for the manufacture of our finished products. We do not control the manufacturing process of, and are completely dependent on, our contract manufacturers for compliance with cGMPs. If our manufacturers cannot successfully manufacture material that conforms to our specifications and the FDA, European Commission and other regulatory authorities’ cGMP requirements,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and may subject us to recalls or enforcement action for products already on the market.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Reliance on third-party manufacturers entails risks to which we would not be subject if we manufactured the product candidates ourselves, including:</w:t>
      </w:r>
    </w:p>
    <w:p>
      <w:pPr>
        <w:spacing w:after="0" w:line="171" w:lineRule="exact"/>
        <w:rPr>
          <w:sz w:val="20"/>
          <w:szCs w:val="20"/>
          <w:color w:val="auto"/>
        </w:rPr>
      </w:pPr>
    </w:p>
    <w:p>
      <w:pPr>
        <w:ind w:left="360" w:hanging="17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 breach of the manufacturing agreements by the third parties because of factors beyond our control;</w:t>
      </w:r>
    </w:p>
    <w:p>
      <w:pPr>
        <w:spacing w:after="0" w:line="157" w:lineRule="exact"/>
        <w:rPr>
          <w:rFonts w:ascii="Times New Roman" w:cs="Times New Roman" w:eastAsia="Times New Roman" w:hAnsi="Times New Roman"/>
          <w:sz w:val="18"/>
          <w:szCs w:val="18"/>
          <w:color w:val="auto"/>
        </w:rPr>
      </w:pPr>
    </w:p>
    <w:p>
      <w:pPr>
        <w:ind w:left="360" w:right="600" w:hanging="172"/>
        <w:spacing w:after="0" w:line="282" w:lineRule="auto"/>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termination or nonrenewal of the agreements by the third parties before we are able to arrange for a qualified replacement third-party manufacturer; and</w:t>
      </w:r>
    </w:p>
    <w:p>
      <w:pPr>
        <w:spacing w:after="0" w:line="107" w:lineRule="exact"/>
        <w:rPr>
          <w:rFonts w:ascii="Times New Roman" w:cs="Times New Roman" w:eastAsia="Times New Roman" w:hAnsi="Times New Roman"/>
          <w:sz w:val="18"/>
          <w:szCs w:val="18"/>
          <w:color w:val="auto"/>
        </w:rPr>
      </w:pPr>
    </w:p>
    <w:p>
      <w:pPr>
        <w:ind w:left="360" w:right="480" w:hanging="172"/>
        <w:spacing w:after="0" w:line="282" w:lineRule="auto"/>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not be able to secure a manufacturer or manufacturing capacity in a timely manner and on satisfactory terms in order to meet our manufacturing needs.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Any of these factors could cause the delay of approval or commercialization of our product candidates, cause us to incur higher costs or prevent us from commercializing our product candidates successfully. Furthermore, if any of our product candidates are approved and contract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product candidates and to have any such new source approved by the FDA, the EMA or any other relevant regulatory authorities.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198"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b w:val="1"/>
          <w:bCs w:val="1"/>
          <w:color w:val="auto"/>
        </w:rPr>
        <w:t>If we fail to establish, maintain, defend and enforce intellectual property rights with respect to our technology, our business, prospects, financial condition and results of operations may be materially adversely affected.</w:t>
      </w:r>
    </w:p>
    <w:p>
      <w:pPr>
        <w:spacing w:after="0" w:line="6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with respect to our intellectual property and proprietary technology. Our product candidates utilize our proprietary technology relating to the oral delivery of large molecules for the treatment of certain conditions with oral PTH. We seek to protect our proprietary position by filing patent applications in the United States and certain foreign jurisdictions relating to our product candidates and technologies that are important to our business. This process is expensive, complex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If we do not adequately obtain, maintain, protect and enforce our proprietary rights in our technologies, competitors may be able to use our technologies and erode or negate any competitive advantage we may have, which could have a material adverse effect on our business and our ability to achieve profitability.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limited patent protection with respect to our product candidates and technologies. We have been issued a patent that contains claims directed to compositions comprising a protein, an absorption enhancer and a protease inhibitor, as well as methods for oral administration of a protein with an enzymatic activity in each of the United States, Australia, Japan, China, Israel and Russia. Related patent applications are pending in the United States, the European Union, Hong Kong, Brazil, India, Israel, Canada, New Zealand and Russia. We have also filed five patent applications in various jurisdictions and one Patent Cooperation Treaty (PCT) application that currently contain claims directed to oral administration technologies, including compositions and drug delivery devices utilizing an absorption enhancer and methods of treating osteoporosis, hypoparathyroidism and bone fractures and related conditions with orally administered parathyroid hormone. We cannot be certain that patents will be issued or granted with respect to any of our pending or future patent applications, or that issued or granted patents will not later be found to be invalid or unenforceable. The patent position of pharmaceutical companies is generally uncertain because it involves complex legal and factual considerations. The standards applied by the United States Patent and Trademark Office, or USPTO, and foreign patent offices in granting patents are not always applied uniformly or predictably, and can change. For example, there is no uniform worldwide policy regarding patentable subject matter or the scope of claims allowable in pharmaceutical or biotechnology patents. Even if our pending patent applications issue as patents, such patents may not cover our product candidates in the United States or in other countries. Accordingly, we cannot predict whether additional patents protecting our technology will issue in the United States or in non-U.S. jurisdictions, or whether any patents that do issue will have claims of adequate scope to provide us with a competitive advantage.</w:t>
      </w:r>
    </w:p>
    <w:p>
      <w:pPr>
        <w:spacing w:after="0" w:line="9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technology and products similar or identical to ours, or limit the duration of the patent protection covering our technology and product candidates. In addition, patents have a limited lifespan. In the United States and most foreign jurisdictions, the natural expiration of a patent is generally 20 years after its effective filing date. Various extensions may be available; however, the life of a patent and the protection it affords is limited. For example, the Drug Price Competition and Patent Term Restoration Act of 1984, or the Hatch-Waxman Act, permits a patent term extension of up to five years beyond the expiration date of a U.S. patent as partial compensation for the useful patent term lost, if any, during the FDA regulatory review process. However, a patent term extension cannot extend the remaining term of a patent beyond a total of</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14 years from the date of the product’s approval by the FDA, only one patent applicable to an approved drug is eligible for the extension, and only those claims covering the approved drug, a method for using it or a method for manufacturing it may be extended. We may not be granted an extension because we may fail to satisfy applicable requirements and even if we are granted an extension, the applicable time period or the scope of patent protection afforded could be less than we request. In addition, if we encounter delays in obtaining regulatory approvals, the period of time during which we could market a product under patent protection could be reduced. Even if patents covering our product candidates are obtained, once such patents expire, we may be vulnerable to competition from similar or generic products. Given the amount of time required for the development, testing and regulatory review of new product candidates, patents protecting such candidates might expire before or shortly after such candidates are commercialized. As a result, we cannot provide any assurance that any of our issued patents or any patents that may issue to us in the future will provide sufficient protections for our technology or product candidates, in whole or in part, or will effectively prevent competitors from commercializing similar or identical technologies and products.</w:t>
      </w:r>
    </w:p>
    <w:p>
      <w:pPr>
        <w:spacing w:after="0" w:line="8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Our issued patents may not be sufficient to provide us with a competitive advantage. For example, competitors and other third parties may be able to circumvent our patents by developing similar or alternative technologies or products in a non-infringing manner. We may also grant licenses under our intellectual property that may limit our ability to exploit such intellectual property. For example, we are party to a patent transfer agreement with Oramed Ltd., or the Patent Transfer Agreement, pursuant to which we have granted Oramed Ltd. an exclusive, worldwide, royalty-free, irrevocable and perpetual license, with the right to sublicense, under certain of our patent rights to develop, manufacture and commercialize</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covered products or otherwise exploit such patent rights in the fields of diabetes and influenza and we have agreed not to, directly or indirectly, engage in any activities within the fields of diabetes and influenza. Even if such agreement were to be terminated, Oramed Ltd. would retain its exclusive license under such patent rights.</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future, we may enter into collaborative agreements or license agreements with third parties which may subject us to obligations that must be fulfilled and require us to manage complex relationships with third parties. If we are unable to meet our obligations or manage our relationships with our collaborators under these agreements, our revenue may decrease. From the standpoint of our future strategic collaborators, the strength of the intellectual property under which we may grant licenses can be a determinant of the value of these relationships. If we are unable to secure, protect and enforce our intellectual property, it may become more difficult for us to attract strategic collaborators. The loss or diminution of our intellectual property rights could also result in a decision by future third-party collaborators to terminate their agreements with us. In addition, these agreements may be complex and may contain provisions that could give rise to legal disputes, including potential disputes concerning financial obligations or ownership of intellectual property and data under such agreements. Such disputes can lead to lengthy, expensive litigation or arbitration, requiring us to divert management time and resources to such dispute. Any such development could have a material adverse effect on our business, prospects, financial condition and results of operations.</w:t>
      </w:r>
    </w:p>
    <w:p>
      <w:pPr>
        <w:spacing w:after="0" w:line="172" w:lineRule="exact"/>
        <w:rPr>
          <w:sz w:val="20"/>
          <w:szCs w:val="20"/>
          <w:color w:val="auto"/>
        </w:rPr>
      </w:pPr>
    </w:p>
    <w:p>
      <w:pPr>
        <w:ind w:right="580"/>
        <w:spacing w:after="0" w:line="255" w:lineRule="auto"/>
        <w:rPr>
          <w:sz w:val="20"/>
          <w:szCs w:val="20"/>
          <w:color w:val="auto"/>
        </w:rPr>
      </w:pPr>
      <w:r>
        <w:rPr>
          <w:rFonts w:ascii="Times New Roman" w:cs="Times New Roman" w:eastAsia="Times New Roman" w:hAnsi="Times New Roman"/>
          <w:sz w:val="18"/>
          <w:szCs w:val="18"/>
          <w:b w:val="1"/>
          <w:bCs w:val="1"/>
          <w:color w:val="auto"/>
        </w:rPr>
        <w:t>We may become involved in proceedings to protect or enforce our proprietary rights, which could be expensive and time consuming, and may ultimately be unsuccessful.</w:t>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Competitors or other third parties may infringe or otherwise violate our patents, trademarks, copyrights or other intellectual property rights.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 Third parties may also raise challenges to the validity of our patent claims before administrative bodies in the United States or abroad, even outside the context of litigation. Such mechanisms include re-examination, post-grant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and equivalent proceedings in foreign jurisdictions such as opposition proceedings. If third parties have prepared and filed patent applications in the United States that also claim technology to which we have rights, we may have to participate in interference proceedings in the USPTO, to determine priority of invention for patent applications filed before March 16, 2013, or in derivation proceedings to determine inventorship for patent applications filed after such date. Such proceedings could result in the revocation of, cancellation of, or amendment to our patents in such a way that they no longer cover our product candidates or provide us with any competitive advantage.</w:t>
      </w:r>
    </w:p>
    <w:p>
      <w:pPr>
        <w:spacing w:after="0" w:line="91"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In addition, we may be subject to third-party challenges regarding our exclusive ownership of our intellectual property. If a third party were successful in challenging our exclusive ownership of any of our intellectual property, we may lose our right to use such intellectual property, such third party may be able to license such intellectual property to other third parties, including our competitors, and third parties could market competing products and technology.</w:t>
      </w:r>
    </w:p>
    <w:p>
      <w:pPr>
        <w:spacing w:after="0" w:line="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Emisphere Technologies, Inc., or Emisphere, has notified us that it believes that it is the exclusive owner of certain U.S. and related foreign patents and patent applications we acquired from Oramed Ltd. We are in the early stages of investigating this claim. If Emisphere were to initiate a legal proceeding against us regarding its claim, we would vigorously defend against such claim. However, if Emisphere were ultimately successful in obtaining ownership of the patent rights that are the subject of its claim, then we may lose our ability to enforce such patent rights against any third party infringers. Moreover, if Emisphere were</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ultimately successful in obtaining ownership of such patent rights and could successfully demonstrate that, absent a license from Emisphere, our product candidates, including EB612, or technologies infringe such patent rights, then we would be required to redesign our product candidates or technologies so they are no longer infringing or obtain a license from Emisphere to such patent rights, which may not be available on commercially reasonable terms or at all. Even if we are successful in defending against Emisphere’s claim, litigation could result in substantial costs and be a distraction to management. Any of the foregoing could have a material adverse effect on our competitive position, business, financial conditions, results of operations, and prospects.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success depends significantly on our ability to operate without infringing the patents and other proprietary rights of third parties.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claims that we are violating the intellectual property rights of others.</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proprietary rights of third parties. Other entities may have or obtain patents or other proprietary rights that could limit our ability to make, use, sell, offer for sale or import our product candidates and future approved products or impair our competitive position. We may face claims, including from direct competitors, asserting that the commercial use of our technology infringes or otherwise violates the intellectual property rights of others. We cannot be certain that our technologies and processes do not violate the intellectual property rights of others. Third parties may assert infringement claims against us based on existing or future intellectual property rights. We expect that we may increasingly be subject to such claims as our product candidates approach commercialization, and as we gain greater visibility as a public company. We may not be aware of all such intellectual property rights potentially relating to our product candidates and their uses. Thus, we do not know with certainty that our oral PTH (1-34) tablet or any other product candidate, or our commercialization thereof, does not and will not infringe or otherwise violate any third party’s intellectual property.</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we were found to infringe or otherwise violate the intellectual property rights of others, we could face significant costs to implement work-arounds, and we cannot provide any assurance that any such work-around would be available or technically equivalent to our current technology. In such cases, we might need to license a third party’s intellectual property, and such required licenses might not be available on acceptable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expose us to similar liabilities and have a similar negative impact on our business.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or predictable. There is a substantial amount of litigation involving patent and other intellectual property rights in the biotechnology and pharmaceutical industries generally, and these lawsuits can be very time consuming and costly. If we are sued for patent infringement, we would need to demonstrate that our products or methods either do not infringe the patent claims of the relevant patent or that the patent claims are invalid, and we may not be successful in doing so.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defending these proceedings, which could have a material adverse effect on our business.</w:t>
      </w:r>
    </w:p>
    <w:p>
      <w:pPr>
        <w:spacing w:after="0" w:line="7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Also, to the extent that our agreements provide that we will defend and indemnify our suppliers, service providers, future strategic collaborators or any other party for claims against them relating to any alleged infringement of the intellectual property rights of third parties in connection with such suppliers’, service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providers’, strategic collaborators’ or other parties’ use of our technologies, we may incur substantial costs defending and indemnifying such parties to the extent they are subject to these types of claims. Any claims brought against us, any suppliers, service providers, future strategic collaborators or any other party indemnified by us alleging that we have violated the intellectual property of others could have a material adverse effect on our business, prospects,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protect and enforce our intellectual property rights throughout the world.</w:t>
      </w:r>
    </w:p>
    <w:p>
      <w:pPr>
        <w:spacing w:after="0" w:line="10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currently have limited patent protection for our product candidates and technologies, and filing, prosecuting, maintaining and defending patents on product candidates in all countries throughout the world would be prohibitively expensive. In addition, we may not pursue or obtain patent protection in all major markets. In addition, the legal systems of some countries, particularly developing countries, do not favor the enforcement of patents and other intellectual property protection, especially those relating to life sciences. This could make it difficult for us to stop the infringement of our other intellectual property rights. For example, many foreign countries have compulsory licensing laws under which a patent owner must grant licenses to third parties. Furthermore, many countries limit the enforceability of patents against third parties, including government agencies or government contractors. In these countries, patents may provide limited or no benefit.</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have not obtained or are unable to adequately enforce patent protection to develop or commercialize their own products. These products may compete with our future products, and our patents or other intellectual property rights may not be effective or sufficient to prevent them from competing. Proceedings to enforce our patent rights in such jurisdictions, whether or not successful, could result in substantial costs and divert our efforts and attention from other aspects of our business, could put our patents at risk of being invalidated or interpreted narrowly, put our patent applications at risk of not issuing and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changes in the law and legal decisions by courts in the United States and foreign countries may affect our ability to obtain adequate protection for our technology and to enforce our intellectual property.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U.S. patent law could diminish the value of our future patents, if issued, thereby impairing our ability to protect our product candidates.</w:t>
      </w:r>
    </w:p>
    <w:p>
      <w:pPr>
        <w:spacing w:after="0" w:line="9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pharmaceutical industry involve both technological and legal complexity. Therefore, obtaining and enforcing pharmaceutical patents is costly, time-consuming and inherently uncertain. In addition, the United States has recently enacted wide-ranging patent reform legislation, which includes provisions that affect the way patent applications are prosecuted, redefine prior art, may affect patent litigation, and switch the U.S. patent system from a “first to invent” system to a “first inventor to file” system. It is not clear what, if any, impact such legislation will have on the operation of our business. Additionally,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increase the uncertainties and costs surrounding the prosecution of our patent applications and the enforcement or defense of any U.S. patents that may issue to us in the future, all of which could have a material adverse effect on our business and financial condition.</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b w:val="1"/>
          <w:bCs w:val="1"/>
          <w:color w:val="auto"/>
        </w:rPr>
        <w:t>Intellectual property litigation may lead to unfavorable publicity that harms our reputation and causes the market price of our ordinary shares to decline.</w:t>
      </w:r>
    </w:p>
    <w:p>
      <w:pPr>
        <w:spacing w:after="0" w:line="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results of hearings, rulings on motions, and other interim proceedings. If securities analysts or investors regard</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these announcements as negative, the perceived value of our product candidates or future products, services or intellectual property could be diminished and the market price of our ordinary shares may decline as a result. Furthermore, such negative publicity could severely impair our capability to enter into future agreements with key commercial collaborators.</w:t>
      </w:r>
    </w:p>
    <w:p>
      <w:pPr>
        <w:spacing w:after="0" w:line="159" w:lineRule="exact"/>
        <w:rPr>
          <w:sz w:val="20"/>
          <w:szCs w:val="20"/>
          <w:color w:val="auto"/>
        </w:rPr>
      </w:pPr>
    </w:p>
    <w:p>
      <w:pPr>
        <w:jc w:val="both"/>
        <w:ind w:right="360"/>
        <w:spacing w:after="0" w:line="238" w:lineRule="auto"/>
        <w:rPr>
          <w:sz w:val="20"/>
          <w:szCs w:val="20"/>
          <w:color w:val="auto"/>
        </w:rPr>
      </w:pPr>
      <w:r>
        <w:rPr>
          <w:rFonts w:ascii="Times New Roman" w:cs="Times New Roman" w:eastAsia="Times New Roman" w:hAnsi="Times New Roman"/>
          <w:sz w:val="18"/>
          <w:szCs w:val="18"/>
          <w:b w:val="1"/>
          <w:b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owned patents and/or applications and any patent rights we may own or license in the future. The USPTO and various non-U.S.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7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b w:val="1"/>
          <w:bCs w:val="1"/>
          <w:color w:val="auto"/>
        </w:rPr>
        <w:t>Under applicable employment laws, we may not be able to enforce covenants not to compete and therefore may be unable to prevent our competitors from benefiting from the expertise of some of our former employees. In addition, our Israeli employees may be entitled to seek compensation for their inventions irrespective of their contractual agreements with us.</w:t>
      </w:r>
    </w:p>
    <w:p>
      <w:pPr>
        <w:spacing w:after="0" w:line="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agreements with our employees and key consultants generally include non-competition provisions. These provisions prohibit such employees and key consultants, if they cease working for us, from competing directly with us or working for our competitors or clients for a limited period of time. We may be unable to enforce these provisions under the laws of the jurisdictions in which our employees and consultants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a significant portion of our intellectual property has been developed by our employees and consultants in the course of their employment or consulting relationship with us. Under the Israeli Patent Law, 5727-1967, inventions conceived by an employee or consultant during the scope of his or her employment or consulting relationship with a company are regarded as “service inventions.” Even when our agreements with our employees and consultants include provisions regarding the assignment and waiver of rights to additional compensation in respect of inventions created within the course of their employment or consulting relationship with us, including in respect of service inventions, we cannot guarantee that such provisions will be upheld by Israeli courts, as a result of uncertainty under Israeli law with respect to the efficacy of such provisions. If we are required to pay additional compensation or face disputes relating to service inventions, our results of operations could be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protect the confidentiality of our technology, which, if disseminated, could negatively impact our plan of operations.</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to seeking patent protection, we also rely on trade secret protection and confidentiality agreements to protect proprietary know-how that may not be patentable, processes for which patents may be difficult to obtain and/or enforce, and other elements of our technology. Any disclosure to or misappropriation by third parties of our confidential proprietary information could enable competitors to quickly duplicate or surpass our technological achievements, which would harm our competitive position. While we strive to maintain systems and procedures to protect the confidentiality of our trade secrets and</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technical know-how, these systems and procedures may fail to provide an adequate degree of protection. For example, although we generally enter into agreements with our employees, consultants, advisors, and other collaborators restricting the disclosure and use of trade secrets, technical know-how and confidential information, we cannot provide any assurance that these agreements will be sufficient to prevent unauthorized use or disclosure of our trade secrets and technical know-how, that these agreements will not be breached or that we have executed agreements with all parties who may have had access to our proprietary information. We may not have adequate remedies in the case of a breach of any such agreements, and our competitors or others may independently develop substantially equivalent or superior proprietary information and techniques or otherwise gain access to our trade secrets or know-how. Monitoring and policing unauthorized use and disclosure of intellectual property is difficult. Further, the laws of certain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or if our competitors or other third parties independently develop any of our trade secrets, we will not be able to establish or maintain a competitive advantage in our market, which could materially adversely affect our business, results of operations and financial condition.</w:t>
      </w:r>
    </w:p>
    <w:p>
      <w:pPr>
        <w:spacing w:after="0" w:line="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currently have relationships with different consultants who perform research and development activities for us and who are not employed by us, and we may enter into additional relationships of such nature in the future. We have limited control over the activities of these consultants and can expect only limited amounts of their time to be dedicated to our activities. These persons may have consulting, employment or advisory arrangements with other entities that may conflict with or compete with their obligations to us. We typically require our consultants to sign agreements that require such consultants treat our proprietary information and results of studies as confidential. However, in connection with each such relationship, we may not be able to maintain the confidentiality of our technology, the dissemination of which could hurt our competitive position and results of operations. To the extent that our scientific consultants develop inventions or processes independently that may be applicable to our product candidates, disputes may arise as to the ownership of the proprietary rights to such information, and we may expend significant resources in such disputes and we may not win those disputes.</w:t>
      </w:r>
    </w:p>
    <w:p>
      <w:pPr>
        <w:spacing w:after="0" w:line="16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color w:val="auto"/>
        </w:rPr>
        <w:t>We may be subject to claims by third parties asserting that we or our employees, consultants or contractors have misappropriated their intellectual property, or claiming ownership of what we regard as our own intellectual property.</w:t>
      </w:r>
    </w:p>
    <w:p>
      <w:pPr>
        <w:spacing w:after="0" w:line="6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Certain of our employees, consultants and contractors were previously employed at other biotechnology or pharmaceutical companies, including our competitors or potential competitors. Although we try to ensure that our employees, consultants and contractors do not use the proprietary information or know-how of others in their work for us, we may be subject to claims that we or these employees, consultants or contractors have used or disclosed intellectual property, including trade secrets or other proprietary information, of any such employee’s, consultant’s or contractor’s former employer.</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Further, such assignment agreements may not be self-executing, may be insufficient in scope or may be breached, and we may be forced to bring claims against third parties, or defend claims they may bring against us, to determine the ownership of what we regard as our intellectual property.</w:t>
      </w:r>
    </w:p>
    <w:p>
      <w:pPr>
        <w:spacing w:after="0" w:line="76"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If trademarks and trade names related to our product candidates are not adequately protected, then we may not be able to build name recognition in our markets of interest and our business may be adversely affected.</w:t>
      </w:r>
    </w:p>
    <w:p>
      <w:pPr>
        <w:spacing w:after="0" w:line="5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do not currently own or use any registered trademarks for our product candidates. In the future, our registered or unregistered trademarks or trade names may be challenged, infringed, circumvented or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declared generic or determined to be infringing on other marks. We may not be able to protect our rights to these trademarks and trade names, which we need to build name recognition by potential collaborators or customers in our markets of interest. Over the long term, if we are unable to establish name recognition based on our trademarks and trade names, then we may not be able to compete effectively and our business may be adversely affected.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Ordinary Shares and this Offering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price of our ordinary shares may be volatile, and you may not be able to resell your shares at or above the initial public offering price.</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share price of publicly traded emerging biopharmaceutical and drug discovery and development companies has been highly volatile and is likely to remain highly volatile in the future. These fluctuations may result from a variety of factors, many of which are beyond our control. These factors include:</w:t>
      </w:r>
    </w:p>
    <w:p>
      <w:pPr>
        <w:spacing w:after="0" w:line="67" w:lineRule="exact"/>
        <w:rPr>
          <w:sz w:val="20"/>
          <w:szCs w:val="20"/>
          <w:color w:val="auto"/>
        </w:rPr>
      </w:pPr>
    </w:p>
    <w:p>
      <w:pPr>
        <w:ind w:left="360" w:hanging="17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w:t>
      </w:r>
    </w:p>
    <w:p>
      <w:pPr>
        <w:spacing w:after="0" w:line="11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and the timing of the release of such results;</w:t>
      </w:r>
    </w:p>
    <w:p>
      <w:pPr>
        <w:spacing w:after="0" w:line="11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cash resources and our ability to obtain additional funding;</w:t>
      </w:r>
    </w:p>
    <w:p>
      <w:pPr>
        <w:spacing w:after="0" w:line="117" w:lineRule="exact"/>
        <w:rPr>
          <w:rFonts w:ascii="Times New Roman" w:cs="Times New Roman" w:eastAsia="Times New Roman" w:hAnsi="Times New Roman"/>
          <w:sz w:val="18"/>
          <w:szCs w:val="18"/>
          <w:color w:val="auto"/>
        </w:rPr>
      </w:pPr>
    </w:p>
    <w:p>
      <w:pPr>
        <w:ind w:left="360" w:right="320" w:hanging="172"/>
        <w:spacing w:after="0" w:line="282" w:lineRule="auto"/>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research activities, business developments, technological innovations or new products, or acquisitions or expansion plans by us or our competitors;</w:t>
      </w:r>
    </w:p>
    <w:p>
      <w:pPr>
        <w:spacing w:after="0" w:line="6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entering into or terminating strategic relationships;</w:t>
      </w:r>
    </w:p>
    <w:p>
      <w:pPr>
        <w:spacing w:after="0" w:line="11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government regulation;</w:t>
      </w:r>
    </w:p>
    <w:p>
      <w:pPr>
        <w:spacing w:after="0" w:line="11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our key personnel;</w:t>
      </w:r>
    </w:p>
    <w:p>
      <w:pPr>
        <w:spacing w:after="0" w:line="117" w:lineRule="exact"/>
        <w:rPr>
          <w:rFonts w:ascii="Times New Roman" w:cs="Times New Roman" w:eastAsia="Times New Roman" w:hAnsi="Times New Roman"/>
          <w:sz w:val="18"/>
          <w:szCs w:val="18"/>
          <w:color w:val="auto"/>
        </w:rPr>
      </w:pPr>
    </w:p>
    <w:p>
      <w:pPr>
        <w:ind w:left="360" w:right="1200" w:hanging="172"/>
        <w:spacing w:after="0" w:line="282" w:lineRule="auto"/>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related to proprietary rights, including patents, litigation matters and our ability to obtain intellectual property protection for our technologies;</w:t>
      </w:r>
    </w:p>
    <w:p>
      <w:pPr>
        <w:spacing w:after="0" w:line="6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or the sale by our significant shareholders, of ordinary shares or other securities in the future;</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regarding the safety, efficacy or other aspects of the products or methodologies being developed;</w:t>
      </w:r>
    </w:p>
    <w:p>
      <w:pPr>
        <w:spacing w:after="0" w:line="11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and changes in estimates of the future size and growth rate of our markets;</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the expectations of market analysts;</w:t>
      </w:r>
    </w:p>
    <w:p>
      <w:pPr>
        <w:spacing w:after="0" w:line="11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ordinary shares; and</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1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15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b w:val="1"/>
          <w:bCs w:val="1"/>
          <w:color w:val="auto"/>
        </w:rPr>
        <w:t>There was no public market for our ordinary shares prior to this offering, and an active market in our ordinary shares may not develop in which investors can resell our ordinary shares.</w:t>
      </w:r>
    </w:p>
    <w:p>
      <w:pPr>
        <w:spacing w:after="0" w:line="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Prior to this offering there was no public market for our ordinary shares. Although we have applied to list our ordinary shares on the NASDAQ Capital Market and expect that our ordinary shares will be listed on the NASDAQ Capital Market prior to the completion of this offering, we cannot predict the extent to which an active market for our ordinary shares will develop or be sustained after this offering, or how the development of such a market might affect the market price for our ordinary shares. The initial public offering price of our ordinary shares in this offering was agreed between us and the underwriters based on a number of factors, including market conditions in effect at the time of this offering, which may not be indicative of the price at which our ordinary shares will trade following completion of this offering. Investors may not be able to sell their ordinary shares at or above the initial public offering price.</w:t>
      </w: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sales by our shareholders may adversely affect our stock price and our ability to raise funds in new stock offerings.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Sales of our ordinary shares in the public market following this offering could lower the market price of our ordinary shares. Sales may also make it more difficult for us to sell equity securities or equity-related securities in the future at a time and price that our management deems acceptable or at all. Most of our outstanding ordinary shares will be restricted from resale immediately after the consummation of this offering, but approximately 984,500 shares of our ordinary shares will be registered for resale by certain shareholders pursuant to the resale prospectus included in this registration statement and are not subject to a lock-up agreement. In the event of a sale of ordinary shares offered by these selling shareholders, the price of our ordinary shares could decline, and such decline could be material.</w:t>
      </w:r>
    </w:p>
    <w:p>
      <w:pPr>
        <w:spacing w:after="0" w:line="17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Immediately following this offering, D.N.A Biomedical will beneficially own approximately 23.6% of our ordinary shares and may therefore be able to significantly influence the outcome of matters requiring shareholder approval.</w:t>
      </w:r>
    </w:p>
    <w:p>
      <w:pPr>
        <w:spacing w:after="0" w:line="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Immediately following this offering, D.N.A Biomedical Solutions Ltd., or D.N.A Biomedical, will beneficially own approximately 23.6% of our outstanding shares. Accordingly, subject to special approvals required by Israeli law for transactions involving controlling shareholders, D.N.A Biomedical may be able to exercise significant influence over all matters requiring shareholder approval, including the election of directors and approval of significant corporate transactions, which could have the effect of delaying or preventing either a third party from acquiring control over us or engaging in other purchases of our ordinary shares that might otherwise give our shareholders the opportunity to realize a premium over the then-prevailing market price for our ordinary shares or any changes, or from making any changes to our management or board of directors. D.N.A Biomedical could also sell its stake in our company and effectively transfer control of our company to another party without your consent.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ordinary shares could be negatively affected by future sales of our ordinary shares.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After this offering, we will have 11,897,252 ordinary shares outstanding. If we or our shareholders sell substantial amounts of our ordinary shares or if there is a public perception that these sales may occur in the future, the market price of our ordinary shares may decline. We, together with our directors, officers and our significant shareholders that, in the aggregate beneficially own approximately 81% of our outstanding ordinary shares as of December 31, 2017 (and not including 984,500 of our outstanding ordinary shares that will be available for resale pursuant to the resale prospectus included in this registration statement), have agreed with the underwriters of this offering not to sell any ordinary shares, other than the shares offered through this prospectus, for a period of 180 days following the date of this prospectus, subject to certain exceptions. See “Shares Eligible for Future Sale” and “Underwriters.”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broad discretion in the use of the net proceeds from this offering and may not use them effectively.</w:t>
      </w:r>
    </w:p>
    <w:p>
      <w:pPr>
        <w:spacing w:after="0" w:line="10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intend to allocate the net proceeds from this offering to our different areas of activity. Our management may not apply the net proceeds in ways that ultimately increase the value of your investment in our ordinary shares. They will have broad discretion in the application of the use of proceeds from this offering, and you will be relying on the judgment of our management regarding the application of these proceeds. If we do not invest or apply the net proceeds from this offering in ways that enhance shareholder value, we may fail to achieve expected financial results, which could cause the price of our ordinary shares to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you purchase ordinary shares in this offering, you will suffer immediate dilution of your investment.</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you purchase ordinary shares in this offering, you will pay a price per ordinary share that exceeds our pro forma as further adjusted net tangible book value per ordinary share. You will experience immediate dilution of $5.70 per ordinary share, representing the difference between our pro forma as further adjusted net tangible book value per ordinary share of $5.30 as of September 30, 2017 and the assumed initial public offering price of $11.00 per ordinary share (the midpoint of the estimated offering price range on the cover of this prospectus). Purchasers of ordinary shares in this offering will have contributed approximately 64% of the aggregate price paid by all purchasers of our ordinary shares but will own only approximately 42% of our ordinary shares outstanding after this offering. To the extent options or warrants for our ordinary shares are exercised, you will incur further dilution. See “Dilution.”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In addition, Israeli law may limit our declaration or payment of dividends, and may subject our dividends to Israeli withholding taxes. We currently intend to retain any future earnings to finance operations and to expand our business and, therefore, do not expect to pay any cash dividends in the foreseeable future.</w:t>
      </w:r>
    </w:p>
    <w:p>
      <w:pPr>
        <w:spacing w:after="0" w:line="159" w:lineRule="exact"/>
        <w:rPr>
          <w:sz w:val="20"/>
          <w:szCs w:val="20"/>
          <w:color w:val="auto"/>
        </w:rPr>
      </w:pPr>
    </w:p>
    <w:p>
      <w:pPr>
        <w:ind w:right="800"/>
        <w:spacing w:after="0" w:line="255" w:lineRule="auto"/>
        <w:rPr>
          <w:sz w:val="20"/>
          <w:szCs w:val="20"/>
          <w:color w:val="auto"/>
        </w:rPr>
      </w:pPr>
      <w:r>
        <w:rPr>
          <w:rFonts w:ascii="Times New Roman" w:cs="Times New Roman" w:eastAsia="Times New Roman" w:hAnsi="Times New Roman"/>
          <w:sz w:val="18"/>
          <w:szCs w:val="18"/>
          <w:b w:val="1"/>
          <w:b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6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Upon consummation of this offering,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We do, however, intend to make available to our shareholders quarterly reports containing unaudited financial information for each of the first three quarters of each fiscal year. In addition, foreign private issuers are not required to file their annual report on Form 20-F until</w:t>
      </w:r>
    </w:p>
    <w:p>
      <w:pPr>
        <w:spacing w:after="0" w:line="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four months after the end of each fiscal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68"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18"/>
          <w:szCs w:val="18"/>
          <w:b w:val="1"/>
          <w:bCs w:val="1"/>
          <w:color w:val="auto"/>
        </w:rPr>
        <w:t>As a foreign private issuer and as permitted by the listing requirements of the NASDAQ Capital Market, we will follow certain home country governance practices rather than the corporate governance requirements of the NASDAQ Capital Market.</w:t>
      </w:r>
    </w:p>
    <w:p>
      <w:pPr>
        <w:spacing w:after="0" w:line="6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As a foreign private issuer, we have the option to follow certain Israeli corporate governance practices rather than those of the NASDAQ Capital Market, except to the extent that such laws would be contrary to U.S. securities laws, and provided that we disclose the requirements we are not following and describe the home country practices we follow instead. We intend to rely on this “foreign private issuer exemption” with respect to the NASDAQ Capital Market shareholder approval requirements in respect of equity issuances and equity-based compensation plans and the quorum requirement for meetings of our shareholders. In addition, we intend to rely on the “foreign private issuer exemption” with respect to the NASDAQ Capital Market compensation committee requirements, independent approval of board nominations, the requirement to have a majority of independent directors on our board and the requirement for independent directors to hold executive sessions. We may in the future elect to follow home country practices in Israel with regard to other matters. As a result, our shareholders may not have the same protections afforded to shareholders of companies that are subject to all NASDAQ Capital Market corporate governance requirements.</w:t>
      </w:r>
    </w:p>
    <w:p>
      <w:pPr>
        <w:spacing w:after="0" w:line="172"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b w:val="1"/>
          <w:bCs w:val="1"/>
          <w:color w:val="auto"/>
        </w:rPr>
        <w:t>We may lose our status as a foreign private issuer, which would increase our compliance costs and could thereby negatively impact our results of operations.</w:t>
      </w:r>
    </w:p>
    <w:p>
      <w:pPr>
        <w:spacing w:after="0" w:line="6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may no longer be a foreign private issuer as of June 30, 2018 (the end of our second fiscal quarter in the fiscal year after this offering), which would require us to comply with all of the periodic disclosure and current reporting requirements of the Exchange Act applicable to U.S. domestic issuers as of January 1, 2019. We will not maintain our current status as a foreign private issuer, if (a) a majority of our ordinary shares is not either directly or indirectly owned of record by non-residents of the United States and (b) one of the following applies: (i) a majority of our executive officers or directors are United States citizens or residents, (ii) more than 50 percent of our assets are located in the United States or (iii) our business is administered principally inside the United States. The regulatory and compliance costs to us under</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may also be required to modify certain of our policies to comply with governance practices associated with U.S. domestic issuers. Such modifications will involve additional costs. In addition, we may lose our ability to rely upon exemptions from certain corporate governance requirements on the NASDAQ Capital Market that are available to foreign private issuers.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72"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b w:val="1"/>
          <w:bCs w:val="1"/>
          <w:color w:val="auto"/>
        </w:rPr>
        <w:t>There is a risk that we will be a passive foreign investment company, or a PFIC, for U.S. federal income tax purposes for any taxable year, which generally would result in certain adverse U.S. federal income tax consequences to our U.S. shareholders.</w:t>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general, a non-U.S. corporation is a “passive foreign investment company,” or a PFIC, for any taxable year in which (i) 75% or more of its gross income consists of passive income, or the income test, or (ii) 50% or more of the average quarterly value of its assets consists of assets that produce, or are held for the production of, passive income, or the assets test. Generally, “passive income” includes interest, dividends, rents, royalties and certain gains, and cash (including cash raised in this offering) is a passive asset for PFIC purposes. The assets shown on our balance sheet are expected to consist primarily of cash and cash equivalents for the foreseeable future. Therefore, whether we will satisfy the assets test for the current or any future taxable year will depend largely on the quarterly value of our goodwill and on how quickly we utilize our cash in our business. Because (i) the value of our goodwill may be determined by reference to the market price of our ordinary shares, which may be volatile given the nature and early stage of our business, (ii) we expect to hold a significant amount of cash following this offering, and (iii) a company’s PFIC status is determined on an annual basis after the end of each taxable year, we cannot express a view as to whether we will be a PFIC for the current or any future taxable year. In addition, it is not clear how to apply the income test to a company such as our company, whose only income for a relevant taxable year is passive interest income but whose overall losses significantly exceed the amount of such passive income. We believe that it is reasonable to take the position that a company like us, whose overall losses exceed its passive income, would not be a PFIC if it otherwise would not be a PFIC under the assets test for the relevant taxable year, but there can be no assurance that the Internal Revenue Service will respect, or a court will uphold, such position. If we were a PFIC for any taxable year during which a U.S. investor owned our ordinary shares, such U.S. shareholder generally will be subject to certain adverse U.S. federal income tax consequences, including increased tax liability on gains from dispositions of the ordinary shares and certain distributions and a requirement to file annual reports with the Internal Revenue Service. See “Taxation and Government Programs — Material U.S. Federal Income Tax Considerations for U.S. Holders — Passive Foreign Investment Company Rules” for more information.</w:t>
      </w:r>
    </w:p>
    <w:p>
      <w:pPr>
        <w:spacing w:after="0" w:line="17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b w:val="1"/>
          <w:bCs w:val="1"/>
          <w:color w:val="auto"/>
        </w:rPr>
        <w:t>We are an “emerging growth company” and we cannot be certain whether the reduced requirements applicable to “emerging growth companies” will make our ordinary shares less attractive to investors.</w:t>
      </w:r>
    </w:p>
    <w:p>
      <w:pPr>
        <w:spacing w:after="0" w:line="6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requirements that are applicable to other public companies that are not “emerging growth companies.” For instance, for so long as we remain an “emerging growth company,” we will not be subject to the provision of Section 404(b) of the Sarbanes-Oxley Act that requires our independent registered public accounting firm to provide an attestation report on the effectiveness of our internal control over financial reporting. This may increase the risk that we will fail to detect and remedy any weaknesses or deficiencies in our internal control over financial reporting. We have also elected to include two years of audited financial statements and selected financial data, as permitted for an “emerging growth company” compared to three and five years, respectively, for comparable data reported by other public companies. In general, these reduced reporting requirements may allow us to refrain from disclosing information that you may find important.</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could be an “emerging growth company” for up to five years, although circumstances could cause us to lose that status earlier, including if the market value of our ordinary shares held by non-affiliates exceeds $700 million as of any June 30 (the end of our second fiscal quarter) before that time, in which case we would no longer be an “emerging growth company” as of the following December 31 (our fiscal year end). When we are no longer deemed to be an “emerging growth company,” we will not be entitled to the exemptions provided in the JOBS Act.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0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color w:val="auto"/>
        </w:rPr>
        <w:t>We have not yet determined whether our existing internal control over financial reporting is compliant with Section 404 of the Sarbanes-Oxley Act, and we cannot provide any assurance that there are no material weaknesses or significant deficiencies in our existing internal controls.</w:t>
      </w:r>
    </w:p>
    <w:p>
      <w:pPr>
        <w:spacing w:after="0" w:line="3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Pursuant to Section 404 of the Sarbanes-Oxley Act and the related rules adopted by the SEC and the Public Company Accounting Oversight Board, or Section 404, starting with the second annual report that we file with the SEC after the consummation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w:t>
      </w:r>
    </w:p>
    <w:p>
      <w:pPr>
        <w:spacing w:after="0" w:line="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only initially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As a result, this process may divert internal resources and take a significant amount of time and effort to complete.</w:t>
      </w:r>
    </w:p>
    <w:p>
      <w:pPr>
        <w:spacing w:after="0" w:line="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we cannot predict the outcome of this determination and whether we will need to implement remedial actions in order to implement effective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0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or publish unfavorable research about our business, our share price and trading volume could decline.</w:t>
      </w:r>
    </w:p>
    <w:p>
      <w:pPr>
        <w:spacing w:after="0" w:line="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will depend in part on the research and reports that securities or industry analysts publish about us or our business. We do not currently have and may never obtain research coverage by securities and industry analysts. If securities or industry analysts do not commence coverage of our company, the trading price for our shares would be negatively affected. In the event we obtain securities or industry analyst coverage, if one or more of the analysts who covers us downgrades our shares, our shares price would likely decline. If one or more of these analysts ceases to cover us or fails to publish regular reports on us, interest in the purchase of our shares could decrease, which could cause our share price or trading volume to decline.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Incorporation and Location in Israel</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b w:val="1"/>
          <w:bCs w:val="1"/>
          <w:color w:val="auto"/>
        </w:rPr>
        <w:t>The Israeli government grants we have received for research and development expenditures restrict our ability to manufacture products and transfer technologies outside of Israel and require us to satisfy specified conditions. If we fail to satisfy these conditions, we may be required to refund grants previously received together with interest and penalties or to pay other amounts according to the formulas set out in the relevant laws.</w:t>
      </w:r>
    </w:p>
    <w:p>
      <w:pPr>
        <w:spacing w:after="0" w:line="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research and development efforts have been financed, in part, through the grants that we have received from the Israeli Innovation Authority (formerly known as the Office of Chief Scientist of the Israeli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Ministry of Economy), or the IIA. Pursuant to these grants, we must comply with the requirements of the Encouragement of Industrial Research, Development and Technological Innovation in Industry Law 5744-1984, or the Research Law. Until the grants are repaid with interest, royalties are payable to the IIA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pacing w:after="0" w:line="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Research Law, we are prohibited from manufacturing products developed using these grants outside of the State of Israel without special approvals. We may not receive the required approvals for any proposed transfer of manufacturing activities. Even if we do receive approval to manufacture products developed with government grants outside of Israel, the royalty rate may be increased and we may be required to pay up to three times the grant amounts plus interest, depending on the manufacturing volume that is performed outside of Israel. This restriction may impair our ability to outsource manufacturing or engage in our own manufacturing operations for those products or technologies. See “Business — The Israeli Innovation Authority Grant” for additional information.</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Additionally, under the Research Law, we are prohibited from transferring in any manner (including by way of license), the IIA-financed technologies and related rights (including know-how and other intellectual property rights) outside of the State of Israel, except under limited circumstances and only with the approval of the IIA Research Committee. We may not receive the required approvals for any proposed transfer and, even if received, we may be required to pay the IIA a portion of the consideration that we receive upon any transfer of such technology to a non-Israeli entity up to 600% of the grant amounts plus interest. The scope of the IIA support received, the royalties that we have already paid to the IIA, the amount of time that has elapsed between the date on which the know-how or other intellectual property rights were transferred and the date on which the IIA grants were received and the sale price and the form of transaction will be taken into account in order to calculate the amount of the payment to the IIA. Approval to transfer the technology to residents of the State of Israel is also required, and may be granted in specific circumstances only if the recipient abides by the provisions of applicable laws, including the restrictions on the transfer of know-how and the obligation to pay royalties. No assurance can be made that approval to any such transfer, if requested, will be granted. Transfer of know-how or rights outside of the state of Israel without IIA approval is a criminal offense.</w:t>
      </w:r>
    </w:p>
    <w:p>
      <w:pPr>
        <w:spacing w:after="0" w:line="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restrictions may impair our ability to sell our technology assets or to perform or outsource manufacturing outside of Israel, engage in change of control transactions or otherwise transfer our know-how outside of Israel and may require us to obtain the approval of the IIA for certain actions and transactions and pay additional royalties and other amounts to the IIA. In addition, any change of control and any change of ownership of our ordinary shares (including by way of an initial public offering) that would make a non-Israeli citizen or resident an “interested party,” as defined in the Israeli Securities Law, 5728-1968, as amended, or the Securities Law, requires written notice to the IIA, and our failure to comply with this requirement could result in monetary fines. Such non-Israeli interested parties, which include 5% shareholders and shareholders who have the right to appoint a director to our board of directors, are required to sign an undertaking towards the IIA in which they would undertake to comply with the Research Law. Shareholders that purchase shares in an IPO would not be required to sign such an undertaking.</w:t>
      </w:r>
    </w:p>
    <w:p>
      <w:pPr>
        <w:spacing w:after="0" w:line="7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These restrictions will continue to apply even after we have repaid the full amount of the grants. If we fail to satisfy the conditions of the Research Law, we may be required to refund certain grants previously received together with interest and penalties, and may become subject to criminal charges.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political and economic instability in the Middle East may harm our business.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principal offices and research and development facilities are located in Israel. Accordingly, political, economic and military conditions in the Middle East may affect our business directly. Since the establishment of the State of Israel in 1948, a number of armed conflicts have occurred between Israel and its neighboring countries, Hamas (an Islamist militia and political group in the Gaza Strip) and Hezbollah (an Islamist militia and political group in Lebanon). Recent political uprisings, social unrest and violence in various countries in the Middle East and North Africa, including Israel’s neighbors Egypt and Syria, are</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53" w:name="page54"/>
    <w:bookmarkEnd w:id="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affecting the political stability of those countries. This instability may lead to deterioration of the political relationships that exist between Israel and certain countries and have raised concerns regarding security in the region and the potential for armed conflict. In addition, Iran has threatened to attack Israel. Iran is also believed to have a strong influence among the Syrian government, Hamas and Hezbollah. These situations may potentially escalate in the future into more violent events which may affect Israel and us. These situations, including conflicts which involved missile strikes against civilian targets in various parts of Israel have in the past negatively affected business conditions in Israel.</w:t>
      </w:r>
    </w:p>
    <w:p>
      <w:pPr>
        <w:spacing w:after="0" w:line="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hostilities involving Israel or the interruption or curtailment of trade between Israel and its present trading partners could have a material adverse effect on our business. Although such hostilities did not in the past have a material adverse impact on our business, we cannot guarantee that hostilities will not be renewed and have such an effect in the future. The political and security situation in Israel may result in parties with whom we have contracts claiming that they are not obligated to perform their commitments under those agreements pursuant to force majeure provisions. These or other Israeli political or economic factors could harm our operations and product development. Any hostilities involving Israel or the interruption or curtailment of trade between Israel and its present trading partners could adversely affect our operations and could make it more difficult for us to raise capital. We could experience disruptions if acts associated with this conflict result in any serious damage to our facilities. Furthermore, several countries restrict business with Israel and Israeli companies, which could have an adverse effect on our business. Our business interruption insurance may not adequately compensate us for losses, if at all, that may occur as a result of an event associated with a security situation in the Middle East, and any losses or damages incurred by us could have a material adverse effect on our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may be disrupted by the obligations of personnel to perform military service.</w:t>
      </w:r>
    </w:p>
    <w:p>
      <w:pPr>
        <w:spacing w:after="0" w:line="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employees in Israel, including executive officers, may be called upon to perform up to 36 days (and in some cases more) of annual military reserve duty until they reach the age of 40 (or older in some cases) and, in emergency circumstances, could be called to active duty. In response to increased tension and hostilities, since September 2000 there have been occasional call-ups of military reservists, including in connection with the mid-2006 war in Lebanon and the December 2008, November 2012 and July 2014 conflicts with Hamas, and it is possible that there will be additional call-ups in the future. Our operations could be disrupted by the absence of a significant number of our employees related to military service or the absence for extended periods of one or more of our key employees for military service. Such disruption could materially adversely affect our operations, business and results of operations.</w:t>
      </w:r>
    </w:p>
    <w:p>
      <w:pPr>
        <w:spacing w:after="0" w:line="17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color w:val="auto"/>
        </w:rPr>
        <w:t>Our business is subject to currency exchange risk and fluctuations between the U.S. dollar and other currencies may negatively affect our earnings and results of operations.</w:t>
      </w:r>
    </w:p>
    <w:p>
      <w:pPr>
        <w:spacing w:after="0" w:line="3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U.S. dollar is both our functional and reporting currency. As a result, our results of operations may be adversely affected by exchange rate fluctuations between the U.S. dollar and the NIS. A significant portion of the expenses associated with our Israeli operations, including personnel and facilities related expenses, are incurred in NIS. Consequently, inflation in Israel will have the effect of increasing the cost of our operations in Israel unless it is offset on a timely basis by a devaluation of the NIS relative to the U.S. dollar. In addition, if the value of the U.S. dollar decreases against the NIS, our earnings may be negatively impacted. Moreover, exchange rate fluctuations in currency exchange rates in countries other than Israel where we operate, perform our clinical trials or conduct business may also negatively affect our earnings and results of operations.</w:t>
      </w:r>
    </w:p>
    <w:p>
      <w:pPr>
        <w:spacing w:after="0" w:line="5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Potential future revenue may be derived from abroad, including outside of the United States. As a result, our business and share price may be affected by fluctuations in foreign exchange rates with these other currencies, which may also have a significant impact on our reported results of operations and cash flows from period to period. Currently, we do not have any exchange rate hedging arrangements in place. Foreign currency fluctuations could materially adversely affect our results of operations or could positively affect our results of operations in ways that may not necessarily be repeated in future periods.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may be difficult to enforce a U.S. judgment against us or our officers and directors and to assert U.S. securities laws claims in Israel.</w:t>
      </w:r>
    </w:p>
    <w:p>
      <w:pPr>
        <w:spacing w:after="0" w:line="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incorporated under the laws of the State of Israel. Service of process upon us, our directors and officers and the Israeli experts, if any, named in this prospectus, substantially all of whom reside outside the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54" w:name="page55"/>
    <w:bookmarkEnd w:id="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United States, may be difficult to obtain within the United States. Furthermore, because the majority of our assets and investments, and substantially all of our directors, officers and such Israeli experts, if any, are located outside the United States, any judgment obtained in the United States against us or any of them may be difficult to collect within the United States. In addition, such judgment may not be enforced by an Israeli court.</w:t>
      </w:r>
    </w:p>
    <w:p>
      <w:pPr>
        <w:spacing w:after="0" w:line="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it may be difficult for an investor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See the section entitled “Enforceability of Civil Liabilities.”</w:t>
      </w:r>
    </w:p>
    <w:p>
      <w:pPr>
        <w:spacing w:after="0" w:line="170"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b w:val="1"/>
          <w:bCs w:val="1"/>
          <w:color w:val="auto"/>
        </w:rPr>
        <w:t>Provisions of Israeli law and our amended Articles may give rise to withholding obligations or delay, prevent or make difficult a change of control and therefore depress the price of our shares.</w:t>
      </w:r>
    </w:p>
    <w:p>
      <w:pPr>
        <w:spacing w:after="0" w:line="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these types of transactions. For example, under the Israeli Companies Law, 5759-1999, or the Companies Law, upon the request of a creditor of either party to a proposed merger, the court may delay or prevent the merger if it concludes that there exists a reasonable concern that as a result of the merger the surviving company will be unable to satisfy the obligations of any of the parties to the merger. For additional information regarding the regulation of mergers and tender offers under the Israeli Companies Law, see “Description of Share Capital — Anti-Takeover Provisions; Mergers and Acquisitions.”</w:t>
      </w:r>
    </w:p>
    <w:p>
      <w:pPr>
        <w:spacing w:after="0" w:line="6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that makes the deferral contingent on the fulfillment of numerous conditions, including a holding period of two years from the date of the transaction during which sales and dispositions of shares of the participating companies are, subject to certain exceptions, restricted. Moreover, with respect to certain share swap transactions, the tax deferral is limited in time, and when the time expires, tax then becomes payable even if no actual disposition of the shares has occurred.</w:t>
      </w:r>
    </w:p>
    <w:p>
      <w:pPr>
        <w:spacing w:after="0" w:line="6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amended Articles provide that our directors (other than external directors) are elected on a staggered basis such that a potential acquirer cannot readily replace our entire board of directors at a single general shareholders meeting.</w:t>
      </w:r>
    </w:p>
    <w:p>
      <w:pPr>
        <w:spacing w:after="0" w:line="2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These provisions could cause our ordinary shares to trade at prices below the price for which third parties might be willing to pay to gain control of us. Third parties who are otherwise willing to pay a premium over prevailing market prices to gain control of us may be unable or unwilling to do so because of these provisions of Israeli law and our amended Articles.</w:t>
      </w:r>
    </w:p>
    <w:p>
      <w:pPr>
        <w:spacing w:after="0" w:line="5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Certain of the IPO Transactions that will be completed in connection with the closing of this offering may be treated, for Israeli income tax purposes, as taxable exchanges, which may give rise to withholding obligations applicable to us, absent a ruling or other written instructions issued by the Israel Tax Authority providing otherwise. We have not applied to the Israel Tax Authority for a ruling or other instructions with respect to any potential withholding obligations we may have in connection with such IPO Transactions. In the event that it is determined that we failed to withhold any applicable withholding tax in connection with such IPO Transactions, in addition to the liability to pay such taxes, we may be liable for payment of interest, and certain penalties and fines.</w:t>
      </w:r>
    </w:p>
    <w:p>
      <w:pPr>
        <w:spacing w:after="0" w:line="170" w:lineRule="exact"/>
        <w:rPr>
          <w:sz w:val="20"/>
          <w:szCs w:val="20"/>
          <w:color w:val="auto"/>
        </w:rPr>
      </w:pPr>
    </w:p>
    <w:p>
      <w:pPr>
        <w:ind w:right="1080"/>
        <w:spacing w:after="0" w:line="255" w:lineRule="auto"/>
        <w:rPr>
          <w:sz w:val="20"/>
          <w:szCs w:val="20"/>
          <w:color w:val="auto"/>
        </w:rPr>
      </w:pPr>
      <w:r>
        <w:rPr>
          <w:rFonts w:ascii="Times New Roman" w:cs="Times New Roman" w:eastAsia="Times New Roman" w:hAnsi="Times New Roman"/>
          <w:sz w:val="18"/>
          <w:szCs w:val="18"/>
          <w:b w:val="1"/>
          <w:bCs w:val="1"/>
          <w:color w:val="auto"/>
        </w:rPr>
        <w:t>Your rights and responsibilities as a shareholder will be governed by Israeli law, which may differ in some respects from the rights and responsibilities of shareholders of U.S. companies.</w:t>
      </w:r>
    </w:p>
    <w:p>
      <w:pPr>
        <w:spacing w:after="0" w:line="2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are incorporated under Israeli law. The rights and responsibilities of the holders of our ordinary shares are governed by our then-current articles of association and Israeli law. These rights and responsibilities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differ in some respects from the rights and responsibilities of shareholders in typical U.S.-based corporations. In particular, a shareholder of an Israeli company has a duty to act in good faith toward the company and other shareholders and to refrain from abusing its power in the company, including, among other things, in voting at the general meeting of shareholders on matters such as amendments to a company’s articles of association, increases in a company’s authorized share capital, mergers and acquisitions and interested party transactions requiring shareholder approval. In addition, a shareholder who knows that it possesses the power to determine the outcome of a shareholder vote or to appoint or prevent the appointment of a director or executive officer in the company has a duty of fairness toward the company. There is limited case law available to assist us in understanding the implications of these provisions that govern shareholders’ actions, and these provisions may be interpreted to impose additional obligations and liabilities on holders of our ordinary shares that are not typically imposed on shareholders of U.S. corporations. See “Description of Share Capital — Our Ordinary Shares.”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Forward-looking statements include all statements that are not historical facts and can be identified by words such as, but not limited to, “believe,” “expect,” “anticipate,” “estimate,” “intend,” “plan,” “targets,” “likely,” “will,” “would,” “could,” and similar expressions or phrases. We have based these forward-looking statements largely on our management’s current expectations and future events and financial trends that we believe may affect our financial condition, results of operations, business strategy and financial needs. Forward-looking statements include, but are not limited to, statements about:</w:t>
      </w:r>
    </w:p>
    <w:p>
      <w:pPr>
        <w:spacing w:after="0" w:line="162" w:lineRule="exact"/>
        <w:rPr>
          <w:sz w:val="20"/>
          <w:szCs w:val="20"/>
          <w:color w:val="auto"/>
        </w:rPr>
      </w:pPr>
    </w:p>
    <w:p>
      <w:pPr>
        <w:ind w:left="360" w:right="360" w:hanging="172"/>
        <w:spacing w:after="0" w:line="282" w:lineRule="auto"/>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 as a development stage company with limited operating history and a history of operating losses and our ability to fund our operations going forward;</w:t>
      </w:r>
    </w:p>
    <w:p>
      <w:pPr>
        <w:spacing w:after="0" w:line="12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product candidates into, and successfully complete, clinical studies;</w:t>
      </w:r>
    </w:p>
    <w:p>
      <w:pPr>
        <w:spacing w:after="0" w:line="184" w:lineRule="exact"/>
        <w:rPr>
          <w:rFonts w:ascii="Times New Roman" w:cs="Times New Roman" w:eastAsia="Times New Roman" w:hAnsi="Times New Roman"/>
          <w:sz w:val="18"/>
          <w:szCs w:val="18"/>
          <w:color w:val="auto"/>
        </w:rPr>
      </w:pPr>
    </w:p>
    <w:p>
      <w:pPr>
        <w:ind w:left="360" w:right="700" w:hanging="172"/>
        <w:spacing w:after="0" w:line="266" w:lineRule="auto"/>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whether any of our product candidates will receive regulatory approval, which is necessary before they can be commercialized, including that we will be able to demonstrate to regulators the clinical superiority of EB612 over Natpara, which is required to overcome Natpara’s drug exclusivity;</w:t>
      </w:r>
    </w:p>
    <w:p>
      <w:pPr>
        <w:spacing w:after="0" w:line="149"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especially with respect to Natpara, our key competitor for hypoparathyroidism treatment;</w:t>
      </w:r>
    </w:p>
    <w:p>
      <w:pPr>
        <w:spacing w:after="0" w:line="184" w:lineRule="exact"/>
        <w:rPr>
          <w:rFonts w:ascii="Times New Roman" w:cs="Times New Roman" w:eastAsia="Times New Roman" w:hAnsi="Times New Roman"/>
          <w:sz w:val="18"/>
          <w:szCs w:val="18"/>
          <w:color w:val="auto"/>
        </w:rPr>
      </w:pPr>
    </w:p>
    <w:p>
      <w:pPr>
        <w:ind w:left="360" w:right="560" w:hanging="172"/>
        <w:spacing w:after="0" w:line="282" w:lineRule="auto"/>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recurring losses from operations have raised substantial doubt regarding our ability to continue as a going concern absent access to sources of liquidity;</w:t>
      </w:r>
    </w:p>
    <w:p>
      <w:pPr>
        <w:spacing w:after="0" w:line="12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and expand our drug delivery technology to other product candidates;</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98"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being subject to ongoing regulatory obligations if our products secure regulatory approval;</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marketing and distribution infrastructure;</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clinical trials and on third-party suppliers to supply or produce our product candidates;</w:t>
      </w:r>
    </w:p>
    <w:p>
      <w:pPr>
        <w:spacing w:after="0" w:line="198"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market acceptance for our product candidates;</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adequate intellectual property rights and adequately protect and enforce such rights;</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and recruit additional qualified personnel;</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this offering;</w:t>
      </w:r>
    </w:p>
    <w:p>
      <w:pPr>
        <w:spacing w:after="0" w:line="198"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 and</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“Risk Factors.”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forward-looking statements involve risks, assumptions and uncertainties. You should not rely upon forward-looking statements as predictors of future events. The occurrence of the events described, and the achievement of expected results, depend on many events, some or all of which are not predictable or within our control. Actual results may differ materially from expected results. See the sections below “Risk Factors” and “Management’s Discussion and Analysis of Financial Condition and Results of Operations” and elsewhere in this prospectus for a more complete discussion of these risks, assumptions and uncertainties and for other risks and uncertainties. These risks, assumptions and uncertainties are not necessarily all of the important factors that could cause actual results to differ materially from those expressed in any of our forward-looking statements. Other unknown or unpredictable factors also could harm our results. All of the forward-looking statements we have included in this prospectus are based on information available to us on the date of this prospectus. We undertake no obligation, and specifically decline any obligation, to update publicly or revise any forward-looking statements, whether as a result of new information, future events or otherwise. In light of these risks, uncertainties and assumptions, the forward-looking events discussed in this prospectus might not occur.</w:t>
      </w: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$49.9 million from our sale of ordinary shares in this offering (or approximately $57.7 million if the underwriters fully exercise their over-allotment option), after deducting the estimated underwriting discounts and commissions and the estimated offering expenses payable by us. This assumes an initial public offering price of $11.00 per ordinary share, which is the midpoint of the estimated offering price range on the cover page of this prospectus.</w:t>
      </w:r>
    </w:p>
    <w:p>
      <w:pPr>
        <w:spacing w:after="0" w:line="7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December 31, 2017, we had cash and cash equivalents of $11.7 million. We intend to use the net proceeds from this offering, together with our cash and cash equivalents, as follows:</w:t>
      </w:r>
    </w:p>
    <w:p>
      <w:pPr>
        <w:spacing w:after="0" w:line="108" w:lineRule="exact"/>
        <w:rPr>
          <w:sz w:val="20"/>
          <w:szCs w:val="20"/>
          <w:color w:val="auto"/>
        </w:rPr>
      </w:pPr>
    </w:p>
    <w:p>
      <w:pPr>
        <w:ind w:left="360" w:hanging="17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$45.0 million to fund research and development expenses of our oral PTH candidate, EB612;</w:t>
      </w:r>
    </w:p>
    <w:p>
      <w:pPr>
        <w:spacing w:after="0" w:line="15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 million to fund research and development expenses of our oral PTH candidate, EB613;</w:t>
      </w:r>
    </w:p>
    <w:p>
      <w:pPr>
        <w:spacing w:after="0" w:line="15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$2.5 million to fund other research and development expenses; and</w:t>
      </w:r>
    </w:p>
    <w:p>
      <w:pPr>
        <w:spacing w:after="0" w:line="17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for working capital and general corporate purposes.</w:t>
      </w:r>
    </w:p>
    <w:p>
      <w:pPr>
        <w:spacing w:after="0" w:line="11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completion of this offering or the amounts that we will actually spend on the uses set forth above. The amounts and timing of our actual use of net proceeds will vary depending on numerous factors, including our ability to obtain additional financing, the relative success and cost of our research, preclinical and clinical development programs, including a change in our planned course of development or the termination of a clinical program necessitated by the results of data received from clinical trials, the amount and timing of revenues, if any, received from future collaborations. As a result, management will have broad discretion in the application of the net proceeds, and investors will be relying on our judgment regarding the application of the net proceeds of this offering. In addition, we might decide to postpone or not pursue other clinical trials or preclinical activities if the net proceeds from this offering and our other sources of cash are less than expected.</w:t>
      </w:r>
    </w:p>
    <w:p>
      <w:pPr>
        <w:spacing w:after="0" w:line="6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Based on our planned use of the net proceeds of this offering and our current cash and cash equivalents described above, we estimate that such funds will be sufficient to enable us to fund our operating expenses and capital expenditure requirements for at least the next two years. Following the completion of this offering, we anticipate that we will eventually need additional capital for the marketing and sales development for our oral PTH candidate, EB612, if approved. We have based these estimates on assumptions that may prove to be incorrect, and we could use our available capital resources sooner than we currently expect. For additional information regarding our capital requirements, see “Even if this offering is successful, we will need substantial additional capital in order to satisfy our long-term growth strategy, which may not be available to us on acceptable terms, or at all, and, if not available, may require us to delay, scale back, or cease our product development programs or operations.” under the heading “Risk Factors.”</w:t>
      </w:r>
    </w:p>
    <w:p>
      <w:pPr>
        <w:spacing w:after="0" w:line="8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Pending their use, we plan to invest the net proceeds from this offering in short- and intermediate-term interest-bearing financial assets and certificates of deposit.</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$11.00 per ordinary share, the midpoint of the range set forth on the cover page of this prospectus, would increase (decrease) our net proceeds from this offering by approximately $4.7 million (or $5.3 million if the underwriters fully exercise their over-allotment option), assuming the number of ordinary shares offered by us remains the same.</w:t>
      </w:r>
    </w:p>
    <w:p>
      <w:pPr>
        <w:spacing w:after="0" w:line="6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may also increase or decrease the number of ordinary shares we are offering. An increase (decrease) of 1,000,000 ordinary shares offered by us would increase (decrease) our net proceeds from this offering by $10.2 million, assuming the public offering price per ordinary share remains the same. The information on net proceeds payable to us discussed above is illustrative only and will adjust based on the actual initial public offering price, the actual number of ordinary shares offered by us, and other terms of the offering determined at pricing.</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59" w:name="page60"/>
    <w:bookmarkEnd w:id="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DIVIDEND POLICY</w:t>
      </w:r>
    </w:p>
    <w:p>
      <w:pPr>
        <w:spacing w:after="0" w:line="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we do not anticipate paying any cash dividends on our ordinary shares in the future. We currently intend to retain all future earnings to finance our operations and to expand our business. Any future determination relating to our dividend policy will be made at the discretion of our board of directors and will depend on a number of factors, which may include future earnings, capital requirements, financial condition and future prospects and other factors the board of directors may deem relevant. Our ability to distribute dividends is limited under Israeli law, as described below under “Description of Share Capital — Our Ordinary Shares — Dividends and Liquidation Rights.”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60" w:name="page61"/>
    <w:bookmarkEnd w:id="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CAPITALIZATION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September 30, 2017:</w:t>
      </w:r>
    </w:p>
    <w:p>
      <w:pPr>
        <w:spacing w:after="0" w:line="198" w:lineRule="exact"/>
        <w:rPr>
          <w:sz w:val="20"/>
          <w:szCs w:val="20"/>
          <w:color w:val="auto"/>
        </w:rPr>
      </w:pPr>
    </w:p>
    <w:p>
      <w:pPr>
        <w:ind w:left="360" w:hanging="17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the Recent Developments Transactions, as described in “Summary — Recent Developments”;</w:t>
      </w:r>
    </w:p>
    <w:p>
      <w:pPr>
        <w:spacing w:after="0" w:line="184" w:lineRule="exact"/>
        <w:rPr>
          <w:rFonts w:ascii="Times New Roman" w:cs="Times New Roman" w:eastAsia="Times New Roman" w:hAnsi="Times New Roman"/>
          <w:sz w:val="18"/>
          <w:szCs w:val="18"/>
          <w:color w:val="auto"/>
        </w:rPr>
      </w:pPr>
    </w:p>
    <w:p>
      <w:pPr>
        <w:ind w:left="360" w:right="340" w:hanging="172"/>
        <w:spacing w:after="0" w:line="282" w:lineRule="auto"/>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 the Recent Developments Transactions and the IPO Transactions, as described in “Summary — The Offering”; and</w:t>
      </w:r>
    </w:p>
    <w:p>
      <w:pPr>
        <w:spacing w:after="0" w:line="134" w:lineRule="exact"/>
        <w:rPr>
          <w:rFonts w:ascii="Times New Roman" w:cs="Times New Roman" w:eastAsia="Times New Roman" w:hAnsi="Times New Roman"/>
          <w:sz w:val="18"/>
          <w:szCs w:val="18"/>
          <w:color w:val="auto"/>
        </w:rPr>
      </w:pPr>
    </w:p>
    <w:p>
      <w:pPr>
        <w:ind w:left="360" w:right="480" w:hanging="172"/>
        <w:spacing w:after="0" w:line="258" w:lineRule="auto"/>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further adjusted basis to give effect to (a) the IPO Transactions (b) the Recent Developments Transactions and (c) our sale in this offering of 5,000,000 ordinary shares (which does not include the 30-day option to purchase up to an additional 750,000 ordinary shares that we have granted to the underwriters to cover over-allotments, if any) at an assumed initial public offering price of $11.00 per share, which is the midpoint of the estimated offering price range on the cover page of this prospectus, after deducting the estimated underwriting discounts and commissions and estimated offering expenses payable by us.</w:t>
      </w:r>
    </w:p>
    <w:p>
      <w:pPr>
        <w:spacing w:after="0" w:line="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You should read this table together with our financial statements and the related notes included elsewhere in this prospectus and the “Management’s Discussion and Analysis of Financial Condition and Results of Operations” and “Certain Relationships and Related Party Transactions” sections and other information contained in this prospectus.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00" w:type="dxa"/>
            <w:vAlign w:val="bottom"/>
            <w:gridSpan w:val="2"/>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0"/>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60" w:type="dxa"/>
            <w:vAlign w:val="bottom"/>
            <w:gridSpan w:val="3"/>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As of September 30, 2017</w:t>
            </w: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171"/>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0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Pro forma as</w:t>
            </w:r>
          </w:p>
        </w:tc>
        <w:tc>
          <w:tcPr>
            <w:tcW w:w="168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Pro forma as</w:t>
            </w:r>
          </w:p>
        </w:tc>
      </w:tr>
      <w:tr>
        <w:trPr>
          <w:trHeight w:val="190"/>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5"/>
              </w:rPr>
              <w:t>Actual</w:t>
            </w:r>
          </w:p>
        </w:tc>
        <w:tc>
          <w:tcPr>
            <w:tcW w:w="110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6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Further Adjusted</w:t>
            </w:r>
          </w:p>
        </w:tc>
      </w:tr>
      <w:tr>
        <w:trPr>
          <w:trHeight w:val="24"/>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5"/>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gridSpan w:val="2"/>
          </w:tcPr>
          <w:p>
            <w:pPr>
              <w:jc w:val="center"/>
              <w:ind w:right="470"/>
              <w:spacing w:after="0"/>
              <w:rPr>
                <w:sz w:val="20"/>
                <w:szCs w:val="20"/>
                <w:color w:val="auto"/>
              </w:rPr>
            </w:pPr>
            <w:r>
              <w:rPr>
                <w:rFonts w:ascii="Times New Roman" w:cs="Times New Roman" w:eastAsia="Times New Roman" w:hAnsi="Times New Roman"/>
                <w:sz w:val="14"/>
                <w:szCs w:val="14"/>
                <w:color w:val="auto"/>
              </w:rPr>
              <w:t>(In thousands)</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6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2,899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2"/>
              </w:rPr>
              <w:t>13,735</w:t>
            </w:r>
          </w:p>
        </w:tc>
        <w:tc>
          <w:tcPr>
            <w:tcW w:w="7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96"/>
              </w:rPr>
              <w:t>13,735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96"/>
              </w:rPr>
              <w:t>63,760</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96"/>
              </w:rPr>
              <w:t>15,614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3,919</w:t>
            </w:r>
          </w:p>
        </w:tc>
        <w:tc>
          <w:tcPr>
            <w:tcW w:w="7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shares of NIS 0.01 par value; 25,000 authorized, 10,222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actual; 25,000 authorized, 10,222 issued and</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pro forma; no shares authorized, issued and outstanding,</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8"/>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as adjusted and pro forma as further adjusted</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8,841</w:t>
            </w: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8,841</w:t>
            </w:r>
          </w:p>
        </w:tc>
        <w:tc>
          <w:tcPr>
            <w:tcW w:w="7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shares of NIS 0.01 par value; 35,000 authorized, no shares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actual; 35,000 authorized, 14,283 issued and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pro forma; no shares authorized, issued and outstanding,</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1"/>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forma as adjusted and pro forma as further adjusted</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2"/>
              </w:rPr>
              <w:t>12,980</w:t>
            </w:r>
          </w:p>
        </w:tc>
        <w:tc>
          <w:tcPr>
            <w:tcW w:w="72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 preferred shares of NIS 0.01 par value; 17,000 authorized, no</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actual; 17,000 authorized, 13,229 issued</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pro forma; no shares authorized, issued and outstanding,</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8"/>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as adjusted and pro forma as further adjusted</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2"/>
              </w:rPr>
              <w:t>11,695</w:t>
            </w:r>
          </w:p>
        </w:tc>
        <w:tc>
          <w:tcPr>
            <w:tcW w:w="7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preferred shares and shares</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4,723</w:t>
            </w:r>
          </w:p>
        </w:tc>
        <w:tc>
          <w:tcPr>
            <w:tcW w:w="440" w:type="dxa"/>
            <w:vAlign w:val="bottom"/>
          </w:tcPr>
          <w:p>
            <w:pPr>
              <w:spacing w:after="0"/>
              <w:rPr>
                <w:sz w:val="22"/>
                <w:szCs w:val="22"/>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4,921</w:t>
            </w:r>
          </w:p>
        </w:tc>
        <w:tc>
          <w:tcPr>
            <w:tcW w:w="720" w:type="dxa"/>
            <w:vAlign w:val="bottom"/>
          </w:tcPr>
          <w:p>
            <w:pPr>
              <w:spacing w:after="0"/>
              <w:rPr>
                <w:sz w:val="22"/>
                <w:szCs w:val="22"/>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to issue preferred shares and warrants</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1,044</w:t>
            </w:r>
          </w:p>
        </w:tc>
        <w:tc>
          <w:tcPr>
            <w:tcW w:w="4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1,044</w:t>
            </w:r>
          </w:p>
        </w:tc>
        <w:tc>
          <w:tcPr>
            <w:tcW w:w="7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5600" w:type="dxa"/>
            <w:vAlign w:val="bottom"/>
          </w:tcPr>
          <w:p>
            <w:pPr>
              <w:spacing w:after="0"/>
              <w:rPr>
                <w:sz w:val="24"/>
                <w:szCs w:val="24"/>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56</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5"/>
        </w:trPr>
        <w:tc>
          <w:tcPr>
            <w:tcW w:w="5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-3086735</wp:posOffset>
            </wp:positionV>
            <wp:extent cx="137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-3086735</wp:posOffset>
            </wp:positionV>
            <wp:extent cx="137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-3086735</wp:posOffset>
            </wp:positionV>
            <wp:extent cx="137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1" w:name="page62"/>
    <w:bookmarkEnd w:id="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90"/>
        </w:trPr>
        <w:tc>
          <w:tcPr>
            <w:tcW w:w="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00" w:type="dxa"/>
            <w:vAlign w:val="bottom"/>
            <w:gridSpan w:val="5"/>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rPr>
              <w:t>As of September 30, 2017</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4"/>
        </w:trPr>
        <w:tc>
          <w:tcPr>
            <w:tcW w:w="1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r>
      <w:tr>
        <w:trPr>
          <w:trHeight w:val="171"/>
        </w:trPr>
        <w:tc>
          <w:tcPr>
            <w:tcW w:w="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 forma as</w:t>
            </w:r>
          </w:p>
        </w:tc>
        <w:tc>
          <w:tcPr>
            <w:tcW w:w="17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Pro forma as</w:t>
            </w:r>
          </w:p>
        </w:tc>
      </w:tr>
      <w:tr>
        <w:trPr>
          <w:trHeight w:val="190"/>
        </w:trPr>
        <w:tc>
          <w:tcPr>
            <w:tcW w:w="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7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Further Adjusted</w:t>
            </w:r>
          </w:p>
        </w:tc>
      </w:tr>
      <w:tr>
        <w:trPr>
          <w:trHeight w:val="24"/>
        </w:trPr>
        <w:tc>
          <w:tcPr>
            <w:tcW w:w="1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3"/>
        </w:trPr>
        <w:tc>
          <w:tcPr>
            <w:tcW w:w="1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color w:val="auto"/>
              </w:rPr>
              <w:t>(In thousands)</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57"/>
        </w:trPr>
        <w:tc>
          <w:tcPr>
            <w:tcW w:w="5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(capital deficiency):</w:t>
            </w:r>
          </w:p>
        </w:tc>
        <w:tc>
          <w:tcPr>
            <w:tcW w:w="6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25"/>
        </w:trPr>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Ordinary shares; 1,000,000 authorized, 34,544 issued and outstanding,</w:t>
            </w: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16"/>
        </w:trPr>
        <w:tc>
          <w:tcPr>
            <w:tcW w:w="140" w:type="dxa"/>
            <w:vAlign w:val="bottom"/>
          </w:tcPr>
          <w:p>
            <w:pPr>
              <w:spacing w:after="0"/>
              <w:rPr>
                <w:sz w:val="18"/>
                <w:szCs w:val="18"/>
                <w:color w:val="auto"/>
              </w:rPr>
            </w:pPr>
          </w:p>
        </w:tc>
        <w:tc>
          <w:tcPr>
            <w:tcW w:w="5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actual, of NIS 0.01 par value; 1,000,000 authorized, 35,544 issued and</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5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outstanding, pro forma of NIS 0.01 par value; 89,500,000 authorized,</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5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6,897,252 issued and outstanding, pro forma as adjusted of NIS</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5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0.0001117 par value; 89,500,000 authorized, 11,897,252 issued and</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41"/>
        </w:trPr>
        <w:tc>
          <w:tcPr>
            <w:tcW w:w="140" w:type="dxa"/>
            <w:vAlign w:val="bottom"/>
          </w:tcPr>
          <w:p>
            <w:pPr>
              <w:spacing w:after="0"/>
              <w:rPr>
                <w:sz w:val="20"/>
                <w:szCs w:val="20"/>
                <w:color w:val="auto"/>
              </w:rPr>
            </w:pPr>
          </w:p>
        </w:tc>
        <w:tc>
          <w:tcPr>
            <w:tcW w:w="5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outstanding, pro forma as further adjusted of NIS 0.0001117 par value</w:t>
            </w: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shd w:val="clear" w:color="auto" w:fill="CCEEFF"/>
          </w:tcPr>
          <w:p>
            <w:pPr>
              <w:spacing w:after="0"/>
              <w:rPr>
                <w:sz w:val="22"/>
                <w:szCs w:val="22"/>
                <w:color w:val="auto"/>
              </w:rPr>
            </w:pPr>
          </w:p>
        </w:tc>
      </w:tr>
      <w:tr>
        <w:trPr>
          <w:trHeight w:val="257"/>
        </w:trPr>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6,876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6,876</w:t>
            </w:r>
          </w:p>
        </w:tc>
        <w:tc>
          <w:tcPr>
            <w:tcW w:w="16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12,841</w:t>
            </w:r>
          </w:p>
        </w:tc>
        <w:tc>
          <w:tcPr>
            <w:tcW w:w="17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12,841</w:t>
            </w:r>
          </w:p>
        </w:tc>
      </w:tr>
      <w:tr>
        <w:trPr>
          <w:trHeight w:val="257"/>
        </w:trPr>
        <w:tc>
          <w:tcPr>
            <w:tcW w:w="5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2,485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2,485</w:t>
            </w:r>
          </w:p>
        </w:tc>
        <w:tc>
          <w:tcPr>
            <w:tcW w:w="16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39,920</w:t>
            </w:r>
          </w:p>
        </w:tc>
        <w:tc>
          <w:tcPr>
            <w:tcW w:w="17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89,945</w:t>
            </w:r>
          </w:p>
        </w:tc>
      </w:tr>
      <w:tr>
        <w:trPr>
          <w:trHeight w:val="263"/>
        </w:trPr>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(38,038)</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(39,105)</w:t>
            </w:r>
          </w:p>
        </w:tc>
        <w:tc>
          <w:tcPr>
            <w:tcW w:w="16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(39,105)</w:t>
            </w:r>
          </w:p>
        </w:tc>
        <w:tc>
          <w:tcPr>
            <w:tcW w:w="17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(39,105)</w:t>
            </w:r>
          </w:p>
        </w:tc>
      </w:tr>
      <w:tr>
        <w:trPr>
          <w:trHeight w:val="20"/>
        </w:trPr>
        <w:tc>
          <w:tcPr>
            <w:tcW w:w="14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r>
      <w:tr>
        <w:trPr>
          <w:trHeight w:val="263"/>
        </w:trPr>
        <w:tc>
          <w:tcPr>
            <w:tcW w:w="140" w:type="dxa"/>
            <w:vAlign w:val="bottom"/>
            <w:shd w:val="clear" w:color="auto" w:fill="CCEEFF"/>
          </w:tcPr>
          <w:p>
            <w:pPr>
              <w:spacing w:after="0"/>
              <w:rPr>
                <w:sz w:val="22"/>
                <w:szCs w:val="22"/>
                <w:color w:val="auto"/>
              </w:rPr>
            </w:pPr>
          </w:p>
        </w:tc>
        <w:tc>
          <w:tcPr>
            <w:tcW w:w="5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 (capital deficiency)</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(28,636)</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(29,703)</w:t>
            </w:r>
          </w:p>
        </w:tc>
        <w:tc>
          <w:tcPr>
            <w:tcW w:w="16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13,697</w:t>
            </w:r>
          </w:p>
        </w:tc>
        <w:tc>
          <w:tcPr>
            <w:tcW w:w="17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63,722</w:t>
            </w:r>
          </w:p>
        </w:tc>
      </w:tr>
      <w:tr>
        <w:trPr>
          <w:trHeight w:val="20"/>
        </w:trPr>
        <w:tc>
          <w:tcPr>
            <w:tcW w:w="2700" w:type="dxa"/>
            <w:vAlign w:val="bottom"/>
            <w:gridSpan w:val="2"/>
            <w:shd w:val="clear" w:color="auto" w:fill="CCEEFF"/>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r>
      <w:tr>
        <w:trPr>
          <w:trHeight w:val="257"/>
        </w:trPr>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1,586</w:t>
            </w:r>
          </w:p>
        </w:tc>
        <w:tc>
          <w:tcPr>
            <w:tcW w:w="6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$ 13,697</w:t>
            </w:r>
          </w:p>
        </w:tc>
        <w:tc>
          <w:tcPr>
            <w:tcW w:w="160" w:type="dxa"/>
            <w:vAlign w:val="bottom"/>
          </w:tcPr>
          <w:p>
            <w:pPr>
              <w:spacing w:after="0"/>
              <w:rPr>
                <w:sz w:val="22"/>
                <w:szCs w:val="22"/>
                <w:color w:val="auto"/>
              </w:rPr>
            </w:pPr>
          </w:p>
        </w:tc>
        <w:tc>
          <w:tcPr>
            <w:tcW w:w="16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$ 13,697</w:t>
            </w:r>
          </w:p>
        </w:tc>
        <w:tc>
          <w:tcPr>
            <w:tcW w:w="17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$ 63,722</w:t>
            </w:r>
          </w:p>
        </w:tc>
      </w:tr>
      <w:tr>
        <w:trPr>
          <w:trHeight w:val="20"/>
        </w:trPr>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1"/>
        </w:trPr>
        <w:tc>
          <w:tcPr>
            <w:tcW w:w="1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320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389"/>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7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represents an amount less than one thousand</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21"/>
        </w:trPr>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number of shares listed in the table above does not reflect:</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6951345</wp:posOffset>
            </wp:positionH>
            <wp:positionV relativeFrom="paragraph">
              <wp:posOffset>-1011555</wp:posOffset>
            </wp:positionV>
            <wp:extent cx="3003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-1011555</wp:posOffset>
            </wp:positionV>
            <wp:extent cx="643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-1011555</wp:posOffset>
            </wp:positionV>
            <wp:extent cx="54629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62905"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-2812415</wp:posOffset>
            </wp:positionV>
            <wp:extent cx="137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-2812415</wp:posOffset>
            </wp:positionV>
            <wp:extent cx="137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-2812415</wp:posOffset>
            </wp:positionV>
            <wp:extent cx="137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1" w:lineRule="exact"/>
        <w:rPr>
          <w:sz w:val="20"/>
          <w:szCs w:val="20"/>
          <w:color w:val="auto"/>
        </w:rPr>
      </w:pPr>
    </w:p>
    <w:p>
      <w:pPr>
        <w:ind w:left="360" w:right="420" w:hanging="172"/>
        <w:spacing w:after="0" w:line="282" w:lineRule="auto"/>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2,365,760 ordinary shares issuable upon the exercise of options outstanding as of December 31, 2017 and issuable upon the closing of this offering, at a weighted average exercise price of $6.52 per share; or</w:t>
      </w:r>
    </w:p>
    <w:p>
      <w:pPr>
        <w:spacing w:after="0" w:line="121" w:lineRule="exact"/>
        <w:rPr>
          <w:rFonts w:ascii="Times New Roman" w:cs="Times New Roman" w:eastAsia="Times New Roman" w:hAnsi="Times New Roman"/>
          <w:sz w:val="18"/>
          <w:szCs w:val="18"/>
          <w:color w:val="auto"/>
        </w:rPr>
      </w:pPr>
    </w:p>
    <w:p>
      <w:pPr>
        <w:ind w:left="360" w:right="320" w:hanging="172"/>
        <w:spacing w:after="0" w:line="282" w:lineRule="auto"/>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1,137,821 ordinary shares issuable upon the exercise of warrants outstanding as of December 31, 2017 and issuable upon the closing of this offering, at a weighted average exercise price of $8.19 per share.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2" w:name="page63"/>
    <w:bookmarkEnd w:id="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DILUTION</w:t>
      </w:r>
    </w:p>
    <w:p>
      <w:pPr>
        <w:spacing w:after="0" w:line="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historical net tangible book value (deficit) as of September 30, 2017, was ($29.3 million), or ($9.47) per share. Historical net tangible book value (deficit) per share is calculated by subtracting our total liabilities from our total tangible assets, which is total assets less intangible assets, and dividing this amount by the 3,091,691 issued and outstanding ordinary shares as of September 30, 2017.</w:t>
      </w:r>
    </w:p>
    <w:p>
      <w:pPr>
        <w:spacing w:after="0" w:line="6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Our pro forma net tangible book value (deficit) as of September 30, 2017, was ($30.4 million), or ($9.82) per share. Pro forma net tangible book value (deficit) per share is calculated by subtracting our total liabilities from our total tangible assets which is total assets less intangible assets, and dividing this amount by the 3,091,691 issued and outstanding ordinary shares as of September 30, 2017, after giving pro forma effect to the Recent Developments Transactions, as described in “Summary — Recent Developments.”</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pro forma as adjusted net tangible book value as of September 30, 2017, was $13.0 million, or $1.89 per share. Pro forma as adjusted net tangible book value per share is calculated by subtracting our total liabilities from our total tangible assets which is total assets less intangible assets, and dividing this amount by the 6,897,252 issued and outstanding ordinary shares as of September 30, 2017, after giving pro forma effect to the Recent Developments Transactions and the IPO Transactions, as described in “Summary — The Offering.”</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After giving effect to the Recent Developments Transactions, the IPO transactions and the sale by us of the 5,000,000 ordinary shares in this offering (which does not include the 30-day option to purchase up to an additional 750,000 ordinary shares that we have granted to the underwriters to cover over-allotments, if any), at an assumed initial public offering price of $11.00 per share, the midpoint of the estimated offering price range set forth on the cover page of this prospectus, our pro forma as further adjusted net tangible book value at September 30, 2017, would have been $63.1 million, or $5.30 per share. This represents an immediate increase in pro forma as further adjusted net tangible book value to existing shareholders of $3.41 per share and immediate dilution to new investors of $5.70 per share.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illustrates this per share dilution on a per share basis:</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49"/>
        </w:trPr>
        <w:tc>
          <w:tcPr>
            <w:tcW w:w="9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9"/>
        </w:trPr>
        <w:tc>
          <w:tcPr>
            <w:tcW w:w="9700" w:type="dxa"/>
            <w:vAlign w:val="bottom"/>
            <w:shd w:val="clear" w:color="auto" w:fill="CCEEFF"/>
          </w:tcPr>
          <w:p>
            <w:pPr>
              <w:ind w:left="540"/>
              <w:spacing w:after="0" w:line="189" w:lineRule="exact"/>
              <w:rPr>
                <w:sz w:val="20"/>
                <w:szCs w:val="20"/>
                <w:color w:val="auto"/>
              </w:rPr>
            </w:pPr>
            <w:r>
              <w:rPr>
                <w:rFonts w:ascii="Times New Roman" w:cs="Times New Roman" w:eastAsia="Times New Roman" w:hAnsi="Times New Roman"/>
                <w:sz w:val="18"/>
                <w:szCs w:val="18"/>
                <w:color w:val="auto"/>
              </w:rPr>
              <w:t>Assumed initial public offering price</w:t>
            </w:r>
          </w:p>
        </w:tc>
        <w:tc>
          <w:tcPr>
            <w:tcW w:w="11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w w:val="93"/>
              </w:rPr>
              <w:t>11.00</w:t>
            </w:r>
          </w:p>
        </w:tc>
      </w:tr>
      <w:tr>
        <w:trPr>
          <w:trHeight w:val="257"/>
        </w:trPr>
        <w:tc>
          <w:tcPr>
            <w:tcW w:w="9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 forma as adjusted net tangible book value (deficit) per ordinary share</w:t>
            </w: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8"/>
              </w:rPr>
              <w:t>$1.89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0"/>
        </w:trPr>
        <w:tc>
          <w:tcPr>
            <w:tcW w:w="97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in pro forma net tangible book value (deficit) per share attributable to this offering</w:t>
            </w:r>
          </w:p>
        </w:tc>
        <w:tc>
          <w:tcPr>
            <w:tcW w:w="10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8"/>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0"/>
        </w:trPr>
        <w:tc>
          <w:tcPr>
            <w:tcW w:w="97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43"/>
        </w:trPr>
        <w:tc>
          <w:tcPr>
            <w:tcW w:w="9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 forma as further adjusted net tangible book value (deficit) per ordinary share after this offering</w:t>
            </w: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8"/>
              </w:rPr>
              <w:t>$5.30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9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Dilution per ordinary share to new investors in this offering</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$11.00 per share, the midpoint of the estimated offering price range set forth on the cover page of this prospectus, would increase (decrease) the pro forma as further adjusted net tangible book value at September 30, 2017 by approximately $4.65 million, or approximately $0.39 per share and the dilution to new investors of $0.61 per share, assuming that the number of shares offered by us remains the same.</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also increase or decrease the number of shares we are offering. An increase of 1,000,000 shares in the number of shares offered by us would result in pro forma as further adjusted net tangible book value at September 30, 2017 of approximately $73.3 million, or $5.68 per share, and dilution to new investors of $5.32 per share, assuming the public offering price per share remains the same. Similarly, a decrease of 1,000,000 shares in the number of shares offered by us would result in pro forma as adjusted net tangible book value at September 30, 2017 of approximately $52.8 million, or $4.85 per share, and dilution to new investors of $6.15 per share, assuming the public offering price per share remains the same. The dilution information discussed above is illustrative only and will change based on the actual public offering price and other terms of this offering determined at pricing.</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3" w:name="page64"/>
    <w:bookmarkEnd w:id="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September 30, 2017, on a pro forma as further adjusted basis, the number of ordinary shares purchased from us, the total consideration paid, or to be paid, and the average price per share paid, or to be paid, by existing shareholders and by the new investors, at an assumed initial public offering price of $11.00 per share, the midpoint of the estimated offering price range set forth on the cover page of this prospectus, before deducting estimated underwriting discounts and commissions and offering expenses payable by us: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4"/>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Pr>
          <w:p>
            <w:pPr>
              <w:spacing w:after="0"/>
              <w:rPr>
                <w:sz w:val="17"/>
                <w:szCs w:val="17"/>
                <w:color w:val="auto"/>
              </w:rPr>
            </w:pPr>
          </w:p>
        </w:tc>
        <w:tc>
          <w:tcPr>
            <w:tcW w:w="13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6,897,252</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$30,532</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156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$ 4.40</w:t>
            </w:r>
          </w:p>
        </w:tc>
        <w:tc>
          <w:tcPr>
            <w:tcW w:w="0" w:type="dxa"/>
            <w:vAlign w:val="bottom"/>
          </w:tcPr>
          <w:p>
            <w:pPr>
              <w:spacing w:after="0"/>
              <w:rPr>
                <w:sz w:val="1"/>
                <w:szCs w:val="1"/>
                <w:color w:val="auto"/>
              </w:rPr>
            </w:pPr>
          </w:p>
        </w:tc>
      </w:tr>
      <w:tr>
        <w:trPr>
          <w:trHeight w:val="26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15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11,897,252</w:t>
            </w: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85,532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6985635</wp:posOffset>
            </wp:positionH>
            <wp:positionV relativeFrom="paragraph">
              <wp:posOffset>-196850</wp:posOffset>
            </wp:positionV>
            <wp:extent cx="2660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6663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-539750</wp:posOffset>
            </wp:positionV>
            <wp:extent cx="137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-539750</wp:posOffset>
            </wp:positionV>
            <wp:extent cx="137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44253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425315"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-539750</wp:posOffset>
            </wp:positionV>
            <wp:extent cx="137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foregoing tables assume no exercise of the underwriters’ over-allotment option or of outstanding options or warrants to purchase our shares after September 30, 2017. At December 31, 2017 and after giving effect to the IPO Transactions and the stock split, 2,365,760 ordinary shares were subject to outstanding options at a weighted average exercise price of $6.52; warrants to purchase 295,441 ordinary shares were outstanding, at an exercise price of $5.36 per share; warrants to purchase 520,716 ordinary shares were outstanding, at an exercise price of $10.15 per share; and warrants to purchase 321,664 ordinary shares were outstanding, at an exercise price of $7.62 per share. See “Summary — The Offering.” To the extent these options and warrants are exercised there will be further dilution to new investors.</w:t>
      </w:r>
    </w:p>
    <w:p>
      <w:pPr>
        <w:spacing w:after="0" w:line="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If the underwriters exercise the over-allotment option in full in this offering, our pro forma as further adjusted net tangible book value will be $70.7 million, or $5.59 per share, representing an immediate increase in pro forma as adjusted net tangible book value of approximately $0.29 per share attributable to this offering to our existing shareholders and immediate dilution of $0.29 per share to new investors purchasing ordinary shares in the offering.</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4" w:name="page65"/>
    <w:bookmarkEnd w:id="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EXCHANGE RATES</w:t>
      </w:r>
    </w:p>
    <w:p>
      <w:pPr>
        <w:spacing w:after="0" w:line="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high, low, average and period-end exchange rates for the purchase of U.S. dollars expressed in NIS per U.S. dollar. The average rate is calculated by using the average of the Bank of Israel’s reported exchange rates on each day during a monthly period and on the last day of each month during an annual period. On January 4, 2018, the exchange rate as reported by the Bank of Israel was NIS 3.4480 to $1.00.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for</w:t>
            </w: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40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1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Period-end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92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4"/>
        </w:trPr>
        <w:tc>
          <w:tcPr>
            <w:tcW w:w="40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5"/>
        </w:trPr>
        <w:tc>
          <w:tcPr>
            <w:tcW w:w="40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(NIS per U.S. dollar)</w:t>
            </w:r>
          </w:p>
        </w:tc>
        <w:tc>
          <w:tcPr>
            <w:tcW w:w="920" w:type="dxa"/>
            <w:vAlign w:val="bottom"/>
          </w:tcPr>
          <w:p>
            <w:pPr>
              <w:spacing w:after="0"/>
              <w:rPr>
                <w:sz w:val="17"/>
                <w:szCs w:val="17"/>
                <w:color w:val="auto"/>
              </w:rPr>
            </w:pPr>
          </w:p>
        </w:tc>
      </w:tr>
      <w:tr>
        <w:trPr>
          <w:trHeight w:val="26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29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4060" w:type="dxa"/>
            <w:vAlign w:val="bottom"/>
            <w:gridSpan w:val="2"/>
          </w:tcPr>
          <w:p>
            <w:pPr>
              <w:jc w:val="center"/>
              <w:ind w:left="2710"/>
              <w:spacing w:after="0"/>
              <w:rPr>
                <w:sz w:val="20"/>
                <w:szCs w:val="20"/>
                <w:color w:val="auto"/>
              </w:rPr>
            </w:pPr>
            <w:r>
              <w:rPr>
                <w:rFonts w:ascii="Times New Roman" w:cs="Times New Roman" w:eastAsia="Times New Roman" w:hAnsi="Times New Roman"/>
                <w:sz w:val="18"/>
                <w:szCs w:val="18"/>
                <w:color w:val="auto"/>
              </w:rPr>
              <w:t>3.7330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3.8438</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3.7000</w:t>
            </w:r>
          </w:p>
        </w:tc>
        <w:tc>
          <w:tcPr>
            <w:tcW w:w="9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4.0840</w:t>
            </w:r>
          </w:p>
        </w:tc>
      </w:tr>
      <w:tr>
        <w:trPr>
          <w:trHeight w:val="25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4060" w:type="dxa"/>
            <w:vAlign w:val="bottom"/>
            <w:gridSpan w:val="2"/>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rPr>
              <w:t>3.4710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3.6023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3.4710</w:t>
            </w:r>
          </w:p>
        </w:tc>
        <w:tc>
          <w:tcPr>
            <w:tcW w:w="9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3.7910</w:t>
            </w:r>
          </w:p>
        </w:tc>
      </w:tr>
      <w:tr>
        <w:trPr>
          <w:trHeight w:val="25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4060" w:type="dxa"/>
            <w:vAlign w:val="bottom"/>
            <w:gridSpan w:val="2"/>
          </w:tcPr>
          <w:p>
            <w:pPr>
              <w:jc w:val="center"/>
              <w:ind w:left="2710"/>
              <w:spacing w:after="0"/>
              <w:rPr>
                <w:sz w:val="20"/>
                <w:szCs w:val="20"/>
                <w:color w:val="auto"/>
              </w:rPr>
            </w:pPr>
            <w:r>
              <w:rPr>
                <w:rFonts w:ascii="Times New Roman" w:cs="Times New Roman" w:eastAsia="Times New Roman" w:hAnsi="Times New Roman"/>
                <w:sz w:val="18"/>
                <w:szCs w:val="18"/>
                <w:color w:val="auto"/>
              </w:rPr>
              <w:t>3.8890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3.5928</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3.4020</w:t>
            </w:r>
          </w:p>
        </w:tc>
        <w:tc>
          <w:tcPr>
            <w:tcW w:w="9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3.9940</w:t>
            </w:r>
          </w:p>
        </w:tc>
      </w:tr>
      <w:tr>
        <w:trPr>
          <w:trHeight w:val="25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4060" w:type="dxa"/>
            <w:vAlign w:val="bottom"/>
            <w:gridSpan w:val="2"/>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rPr>
              <w:t>3.9020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3.8869</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3.7610</w:t>
            </w:r>
          </w:p>
        </w:tc>
        <w:tc>
          <w:tcPr>
            <w:tcW w:w="9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4.0530</w:t>
            </w:r>
          </w:p>
        </w:tc>
      </w:tr>
      <w:tr>
        <w:trPr>
          <w:trHeight w:val="25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4060" w:type="dxa"/>
            <w:vAlign w:val="bottom"/>
            <w:gridSpan w:val="2"/>
          </w:tcPr>
          <w:p>
            <w:pPr>
              <w:jc w:val="center"/>
              <w:ind w:left="2710"/>
              <w:spacing w:after="0"/>
              <w:rPr>
                <w:sz w:val="20"/>
                <w:szCs w:val="20"/>
                <w:color w:val="auto"/>
              </w:rPr>
            </w:pPr>
            <w:r>
              <w:rPr>
                <w:rFonts w:ascii="Times New Roman" w:cs="Times New Roman" w:eastAsia="Times New Roman" w:hAnsi="Times New Roman"/>
                <w:sz w:val="18"/>
                <w:szCs w:val="18"/>
                <w:color w:val="auto"/>
              </w:rPr>
              <w:t>3.8450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3.8406</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3.7460</w:t>
            </w:r>
          </w:p>
        </w:tc>
        <w:tc>
          <w:tcPr>
            <w:tcW w:w="9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3.9830</w:t>
            </w:r>
          </w:p>
        </w:tc>
      </w:tr>
      <w:tr>
        <w:trPr>
          <w:trHeight w:val="365"/>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29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5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4060" w:type="dxa"/>
            <w:vAlign w:val="bottom"/>
            <w:gridSpan w:val="2"/>
          </w:tcPr>
          <w:p>
            <w:pPr>
              <w:jc w:val="center"/>
              <w:ind w:left="2710"/>
              <w:spacing w:after="0"/>
              <w:rPr>
                <w:sz w:val="20"/>
                <w:szCs w:val="20"/>
                <w:color w:val="auto"/>
              </w:rPr>
            </w:pPr>
            <w:r>
              <w:rPr>
                <w:rFonts w:ascii="Times New Roman" w:cs="Times New Roman" w:eastAsia="Times New Roman" w:hAnsi="Times New Roman"/>
                <w:sz w:val="18"/>
                <w:szCs w:val="18"/>
                <w:color w:val="auto"/>
              </w:rPr>
              <w:t>3.7580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3.8432</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3.7460</w:t>
            </w:r>
          </w:p>
        </w:tc>
        <w:tc>
          <w:tcPr>
            <w:tcW w:w="9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3.9830</w:t>
            </w:r>
          </w:p>
        </w:tc>
      </w:tr>
      <w:tr>
        <w:trPr>
          <w:trHeight w:val="25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4060" w:type="dxa"/>
            <w:vAlign w:val="bottom"/>
            <w:gridSpan w:val="2"/>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rPr>
              <w:t>3.5290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3.5375</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3.5040</w:t>
            </w:r>
          </w:p>
        </w:tc>
        <w:tc>
          <w:tcPr>
            <w:tcW w:w="9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3.5840</w:t>
            </w:r>
          </w:p>
        </w:tc>
      </w:tr>
      <w:tr>
        <w:trPr>
          <w:trHeight w:val="25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Month Ended:</w:t>
            </w:r>
          </w:p>
        </w:tc>
        <w:tc>
          <w:tcPr>
            <w:tcW w:w="2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2017</w:t>
            </w:r>
          </w:p>
        </w:tc>
        <w:tc>
          <w:tcPr>
            <w:tcW w:w="4060" w:type="dxa"/>
            <w:vAlign w:val="bottom"/>
            <w:gridSpan w:val="2"/>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rPr>
              <w:t>3.5580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3.5509</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3.4930</w:t>
            </w:r>
          </w:p>
        </w:tc>
        <w:tc>
          <w:tcPr>
            <w:tcW w:w="9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3.5900</w:t>
            </w:r>
          </w:p>
        </w:tc>
      </w:tr>
      <w:tr>
        <w:trPr>
          <w:trHeight w:val="25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August 31, 2017</w:t>
            </w:r>
          </w:p>
        </w:tc>
        <w:tc>
          <w:tcPr>
            <w:tcW w:w="4060" w:type="dxa"/>
            <w:vAlign w:val="bottom"/>
            <w:gridSpan w:val="2"/>
          </w:tcPr>
          <w:p>
            <w:pPr>
              <w:jc w:val="center"/>
              <w:ind w:left="2710"/>
              <w:spacing w:after="0"/>
              <w:rPr>
                <w:sz w:val="20"/>
                <w:szCs w:val="20"/>
                <w:color w:val="auto"/>
              </w:rPr>
            </w:pPr>
            <w:r>
              <w:rPr>
                <w:rFonts w:ascii="Times New Roman" w:cs="Times New Roman" w:eastAsia="Times New Roman" w:hAnsi="Times New Roman"/>
                <w:sz w:val="18"/>
                <w:szCs w:val="18"/>
                <w:color w:val="auto"/>
              </w:rPr>
              <w:t>3.5960</w:t>
            </w:r>
          </w:p>
        </w:tc>
        <w:tc>
          <w:tcPr>
            <w:tcW w:w="128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3.6011</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3.5740</w:t>
            </w:r>
          </w:p>
        </w:tc>
        <w:tc>
          <w:tcPr>
            <w:tcW w:w="9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3.6280</w:t>
            </w:r>
          </w:p>
        </w:tc>
      </w:tr>
      <w:tr>
        <w:trPr>
          <w:trHeight w:val="25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2017</w:t>
            </w:r>
          </w:p>
        </w:tc>
        <w:tc>
          <w:tcPr>
            <w:tcW w:w="4060" w:type="dxa"/>
            <w:vAlign w:val="bottom"/>
            <w:gridSpan w:val="2"/>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rPr>
              <w:t>3.5290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3.5375</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3.5040</w:t>
            </w:r>
          </w:p>
        </w:tc>
        <w:tc>
          <w:tcPr>
            <w:tcW w:w="9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3.5840</w:t>
            </w:r>
          </w:p>
        </w:tc>
      </w:tr>
      <w:tr>
        <w:trPr>
          <w:trHeight w:val="25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2017</w:t>
            </w:r>
          </w:p>
        </w:tc>
        <w:tc>
          <w:tcPr>
            <w:tcW w:w="4060" w:type="dxa"/>
            <w:vAlign w:val="bottom"/>
            <w:gridSpan w:val="2"/>
          </w:tcPr>
          <w:p>
            <w:pPr>
              <w:jc w:val="center"/>
              <w:ind w:left="2710"/>
              <w:spacing w:after="0"/>
              <w:rPr>
                <w:sz w:val="20"/>
                <w:szCs w:val="20"/>
                <w:color w:val="auto"/>
              </w:rPr>
            </w:pPr>
            <w:r>
              <w:rPr>
                <w:rFonts w:ascii="Times New Roman" w:cs="Times New Roman" w:eastAsia="Times New Roman" w:hAnsi="Times New Roman"/>
                <w:sz w:val="18"/>
                <w:szCs w:val="18"/>
                <w:color w:val="auto"/>
              </w:rPr>
              <w:t>3.5210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3.5124</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3.4910</w:t>
            </w:r>
          </w:p>
        </w:tc>
        <w:tc>
          <w:tcPr>
            <w:tcW w:w="9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3.5420</w:t>
            </w:r>
          </w:p>
        </w:tc>
      </w:tr>
      <w:tr>
        <w:trPr>
          <w:trHeight w:val="25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30, 2017</w:t>
            </w:r>
          </w:p>
        </w:tc>
        <w:tc>
          <w:tcPr>
            <w:tcW w:w="4060" w:type="dxa"/>
            <w:vAlign w:val="bottom"/>
            <w:gridSpan w:val="2"/>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rPr>
              <w:t>3.5190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3.5210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3.5060</w:t>
            </w:r>
          </w:p>
        </w:tc>
        <w:tc>
          <w:tcPr>
            <w:tcW w:w="9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3.5440</w:t>
            </w:r>
          </w:p>
        </w:tc>
      </w:tr>
      <w:tr>
        <w:trPr>
          <w:trHeight w:val="25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4060" w:type="dxa"/>
            <w:vAlign w:val="bottom"/>
            <w:gridSpan w:val="2"/>
          </w:tcPr>
          <w:p>
            <w:pPr>
              <w:jc w:val="center"/>
              <w:ind w:left="2710"/>
              <w:spacing w:after="0"/>
              <w:rPr>
                <w:sz w:val="20"/>
                <w:szCs w:val="20"/>
                <w:color w:val="auto"/>
              </w:rPr>
            </w:pPr>
            <w:r>
              <w:rPr>
                <w:rFonts w:ascii="Times New Roman" w:cs="Times New Roman" w:eastAsia="Times New Roman" w:hAnsi="Times New Roman"/>
                <w:sz w:val="18"/>
                <w:szCs w:val="18"/>
                <w:color w:val="auto"/>
              </w:rPr>
              <w:t>3.4670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3.5035</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3.4670</w:t>
            </w:r>
          </w:p>
        </w:tc>
        <w:tc>
          <w:tcPr>
            <w:tcW w:w="9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3.5500</w:t>
            </w:r>
          </w:p>
        </w:tc>
      </w:tr>
      <w:tr>
        <w:trPr>
          <w:trHeight w:val="25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(through January 4, 2018)</w:t>
            </w:r>
          </w:p>
        </w:tc>
        <w:tc>
          <w:tcPr>
            <w:tcW w:w="4060" w:type="dxa"/>
            <w:vAlign w:val="bottom"/>
            <w:gridSpan w:val="2"/>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rPr>
              <w:t>3.4480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3.4550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3.4480</w:t>
            </w:r>
          </w:p>
        </w:tc>
        <w:tc>
          <w:tcPr>
            <w:tcW w:w="9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3.4600</w:t>
            </w:r>
          </w:p>
        </w:tc>
      </w:tr>
      <w:tr>
        <w:trPr>
          <w:trHeight w:val="486"/>
        </w:trPr>
        <w:tc>
          <w:tcPr>
            <w:tcW w:w="4080" w:type="dxa"/>
            <w:vAlign w:val="bottom"/>
          </w:tcPr>
          <w:p>
            <w:pPr>
              <w:spacing w:after="0"/>
              <w:rPr>
                <w:sz w:val="24"/>
                <w:szCs w:val="24"/>
                <w:color w:val="auto"/>
              </w:rPr>
            </w:pPr>
          </w:p>
        </w:tc>
        <w:tc>
          <w:tcPr>
            <w:tcW w:w="29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60</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5"/>
        </w:trPr>
        <w:tc>
          <w:tcPr>
            <w:tcW w:w="40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-3549650</wp:posOffset>
            </wp:positionV>
            <wp:extent cx="137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-3549650</wp:posOffset>
            </wp:positionV>
            <wp:extent cx="137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-3549650</wp:posOffset>
            </wp:positionV>
            <wp:extent cx="137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5" w:name="page66"/>
    <w:bookmarkEnd w:id="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SELECTED FINANCIAL DATA</w:t>
      </w:r>
    </w:p>
    <w:p>
      <w:pPr>
        <w:spacing w:after="0" w:line="9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following tables set forth our selected financial data. You should read the following selected financial and other data in conjunction with “Summary Financial Data”, “Management’s Discussion and Analysis of Financial Condition and Results of Operations” and our financial statements and related notes included elsewhere in this prospectus. Historical results are not necessarily indicative of the results that may be expected in the future. Our financial statements have been prepared in accordance with IFRS as issued by the IASB.</w:t>
      </w:r>
    </w:p>
    <w:p>
      <w:pPr>
        <w:spacing w:after="0" w:line="7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selected statements of comprehensive loss (income) data for each of the nine month periods ended September 30, 2017 and 2016 and the statement of financial position data for the nine months ended September 30, 2017 is derived from our unaudited condensed interim financial statements included elsewhere in this prospectus. The selected statements of comprehensive loss data for each of the years in the two-year period ended December 31, 2016 is derived from our audited financial statements included elsewhere in this prospectus.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2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0" w:type="dxa"/>
            <w:vAlign w:val="bottom"/>
            <w:gridSpan w:val="8"/>
          </w:tcPr>
          <w:p>
            <w:pPr>
              <w:jc w:val="right"/>
              <w:spacing w:after="0"/>
              <w:rPr>
                <w:sz w:val="20"/>
                <w:szCs w:val="20"/>
                <w:color w:val="auto"/>
              </w:rPr>
            </w:pPr>
            <w:r>
              <w:rPr>
                <w:rFonts w:ascii="Times New Roman" w:cs="Times New Roman" w:eastAsia="Times New Roman" w:hAnsi="Times New Roman"/>
                <w:sz w:val="14"/>
                <w:szCs w:val="14"/>
                <w:color w:val="auto"/>
              </w:rPr>
              <w:t>(In thousands, except shares and per share data)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loss:</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1,851</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operating loss</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tcBorders>
              <w:right w:val="single" w:sz="8" w:color="CCEEFF"/>
            </w:tcBorders>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loss from change in fair value of financial liabilities at fair</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403</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(3,917)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expenses, net</w:t>
            </w: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10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469</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(3,805)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Loss per ordinary share(1)</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Borders>
              <w:top w:val="single" w:sz="8" w:color="CCEEFF"/>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Weighted average number of ordinary shares used in computing basic</w:t>
            </w: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right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right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2"/>
                <w:szCs w:val="22"/>
                <w:color w:val="auto"/>
              </w:rPr>
            </w:pPr>
          </w:p>
        </w:tc>
        <w:tc>
          <w:tcPr>
            <w:tcW w:w="59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per ordinary share(1)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34,544</w:t>
            </w: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34,396</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34,409</w:t>
            </w: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34,396</w:t>
            </w: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bottom w:val="single" w:sz="8" w:color="CCEEFF"/>
            </w:tcBorders>
            <w:gridSpan w:val="3"/>
            <w:vMerge w:val="restart"/>
          </w:tcPr>
          <w:p>
            <w:pPr>
              <w:spacing w:after="0" w:line="205" w:lineRule="exact"/>
              <w:rPr>
                <w:sz w:val="20"/>
                <w:szCs w:val="20"/>
                <w:color w:val="auto"/>
              </w:rPr>
            </w:pPr>
            <w:r>
              <w:rPr>
                <w:rFonts w:ascii="Times New Roman" w:cs="Times New Roman" w:eastAsia="Times New Roman" w:hAnsi="Times New Roman"/>
                <w:sz w:val="18"/>
                <w:szCs w:val="18"/>
                <w:color w:val="auto"/>
              </w:rPr>
              <w:t>Weighted average number of ordinary shares used in computing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loss per ordinary share(1)</w:t>
            </w: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37,098</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51,958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51,972</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34,396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680" w:type="dxa"/>
            <w:vAlign w:val="bottom"/>
            <w:tcBorders>
              <w:bottom w:val="single" w:sz="8" w:color="auto"/>
            </w:tcBorders>
          </w:tcPr>
          <w:p>
            <w:pPr>
              <w:spacing w:after="0"/>
              <w:rPr>
                <w:sz w:val="21"/>
                <w:szCs w:val="21"/>
                <w:color w:val="auto"/>
              </w:rPr>
            </w:pPr>
          </w:p>
        </w:tc>
        <w:tc>
          <w:tcPr>
            <w:tcW w:w="2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-1525905</wp:posOffset>
            </wp:positionV>
            <wp:extent cx="1714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-1525905</wp:posOffset>
            </wp:positionV>
            <wp:extent cx="4800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-1525905</wp:posOffset>
            </wp:positionV>
            <wp:extent cx="58400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-3206750</wp:posOffset>
            </wp:positionV>
            <wp:extent cx="137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-3206750</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-3206750</wp:posOffset>
            </wp:positionV>
            <wp:extent cx="137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7" w:lineRule="exact"/>
        <w:rPr>
          <w:sz w:val="20"/>
          <w:szCs w:val="20"/>
          <w:color w:val="auto"/>
        </w:rPr>
      </w:pPr>
    </w:p>
    <w:p>
      <w:pPr>
        <w:ind w:left="360" w:right="500" w:hanging="352"/>
        <w:spacing w:after="0" w:line="302" w:lineRule="auto"/>
        <w:tabs>
          <w:tab w:leader="none" w:pos="3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loss per ordinary share in 2015 are the same because the financial instruments as described in the financial statements excluded from the calculation since their effect was anti-dilutive. See Note 13 to our financial statements included elsewhere in this prospectus for further details on the calculation of basic and diluted loss per ordinary share.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6" w:name="page67"/>
    <w:bookmarkEnd w:id="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48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0"/>
        </w:trPr>
        <w:tc>
          <w:tcPr>
            <w:tcW w:w="270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48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September 30, 2017</w:t>
            </w:r>
          </w:p>
        </w:tc>
      </w:tr>
      <w:tr>
        <w:trPr>
          <w:trHeight w:val="24"/>
        </w:trPr>
        <w:tc>
          <w:tcPr>
            <w:tcW w:w="2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270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48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color w:val="auto"/>
              </w:rPr>
              <w:t>(In thousands)</w:t>
            </w:r>
          </w:p>
        </w:tc>
      </w:tr>
      <w:tr>
        <w:trPr>
          <w:trHeight w:val="257"/>
        </w:trPr>
        <w:tc>
          <w:tcPr>
            <w:tcW w:w="8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Statements of financial position data:</w:t>
            </w: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7"/>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8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Restricted deposits</w:t>
            </w: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7"/>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8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7"/>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89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Intangible assets</w:t>
            </w: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304"/>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9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payable-Trade and other</w:t>
            </w:r>
          </w:p>
        </w:tc>
        <w:tc>
          <w:tcPr>
            <w:tcW w:w="9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257"/>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Receipts on account of sale of Series B preferred shares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89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Short term convertible loans</w:t>
            </w: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64"/>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14,273</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89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Long term convertible loans</w:t>
            </w:r>
          </w:p>
        </w:tc>
        <w:tc>
          <w:tcPr>
            <w:tcW w:w="9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r>
      <w:tr>
        <w:trPr>
          <w:trHeight w:val="257"/>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Preferred shares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8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Warrants to purchase preferred shares and shares</w:t>
            </w: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7"/>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Liability to issue preferred shares and warrants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89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Severance pay obligations, net</w:t>
            </w: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304"/>
        </w:trPr>
        <w:tc>
          <w:tcPr>
            <w:tcW w:w="89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32,856</w:t>
            </w:r>
          </w:p>
        </w:tc>
        <w:tc>
          <w:tcPr>
            <w:tcW w:w="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r>
      <w:tr>
        <w:trPr>
          <w:trHeight w:val="237"/>
        </w:trPr>
        <w:tc>
          <w:tcPr>
            <w:tcW w:w="8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Capital deficiency</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w w:val="97"/>
              </w:rPr>
              <w:t>(28,636)</w:t>
            </w:r>
          </w:p>
        </w:tc>
        <w:tc>
          <w:tcPr>
            <w:tcW w:w="20" w:type="dxa"/>
            <w:vAlign w:val="bottom"/>
            <w:shd w:val="clear" w:color="auto" w:fill="CCEEFF"/>
          </w:tcPr>
          <w:p>
            <w:pPr>
              <w:spacing w:after="0"/>
              <w:rPr>
                <w:sz w:val="20"/>
                <w:szCs w:val="20"/>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230"/>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Working capital(1)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46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w w:val="97"/>
              </w:rPr>
              <w:t>(10,922)</w:t>
            </w:r>
          </w:p>
        </w:tc>
        <w:tc>
          <w:tcPr>
            <w:tcW w:w="20" w:type="dxa"/>
            <w:vAlign w:val="bottom"/>
          </w:tcPr>
          <w:p>
            <w:pPr>
              <w:spacing w:after="0"/>
              <w:rPr>
                <w:sz w:val="20"/>
                <w:szCs w:val="20"/>
                <w:color w:val="auto"/>
              </w:rPr>
            </w:pPr>
          </w:p>
        </w:tc>
      </w:tr>
      <w:tr>
        <w:trPr>
          <w:trHeight w:val="20"/>
        </w:trPr>
        <w:tc>
          <w:tcPr>
            <w:tcW w:w="27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6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-1585595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4"/>
          <w:szCs w:val="14"/>
          <w:color w:val="auto"/>
        </w:rPr>
        <w:t>(1)</w:t>
        <w:tab/>
        <w:t>Working capital is defined as total current assets minus total current liabilities.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7" w:name="page68"/>
    <w:bookmarkEnd w:id="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MANAGEMENT’S DISCUSSION AND ANALYSIS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FINANCIAL CONDITION AND RESULTS OF OPERATIONS</w:t>
      </w:r>
    </w:p>
    <w:p>
      <w:pPr>
        <w:spacing w:after="0" w:line="6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financial statements and the related notes included elsewhere in this prospectus.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prospectus. You should read the following discussion in conjunction with “Special Note Regarding Forward-Looking Statements” and “Risk Factors” included elsewhere in this prospectus. We have prepared our financial statements in accordance with IFRS as issued by IASB.</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orally delivered large molecule therapeutics for use in orphan indications and other areas with significant unmet medical need. We are initially applying our technology to develop an oral formulation of parathyroid hormone, or PTH, which has been approved in the United States in injectable form for over a decade. Our lead oral PTH product candidate, EB612, has successfully completed a Phase 2a trial for hypoparathyroidism, a rare condition in which the body fails to produce sufficient amounts of PTH. The FDA and the EMA have granted EB612 orphan drug designation for the treatment of hypoparathyroidism. We expect to initiate a Phase 2b/3 clinical trial of EB612 in the second half of 2018, and we plan to submit applications for regulatory approval of EB612 in the second half of 2020. We are also developing a distinct oral PTH product candidate, EB613, for the treatment of osteoporosis. We intend to commence a Phase 2a clinical trial of EB613 in the first half of 2018 followed by an additional Phase 2b clinical trial in the United States. We also are preparing to conduct a clinical trial of our oral PTH in bone healing. In addition, we intend to use our technology as a platform for the oral delivery of other protein and large molecule therapeutics as well as novel therapeutics.</w:t>
      </w:r>
    </w:p>
    <w:p>
      <w:pPr>
        <w:spacing w:after="0" w:line="8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To date, we have funded our operations through sales of ordinary shares, preferred shares and warrants, and the incurrence of convertible loans and receipt of government grants. We have no products that have received regulatory approval and have never generated revenue. From our inception, we have raised an aggregate of $31.3 million to fund our operations, including $7.2 million from sales of our ordinary shares, Series A preferred shares and warrants,</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$10.6 million from convertible loans (of which an amount of approximately $1.0 million ($1.1 million including interest) was repaid in February 2017) and $8.5 million ($9.0 million including interest) was converted in October 2017 into Series B-1 preferred shares, $13.0 million from sales of our Series B preferred shares from October to December 2017 and approximately $0.5 million of government grants. We were originally capitalized with $0.6 million of cash from D.N.A Biomedical Solutions Ltd., and a license to certain patent rights relating to the oral administration of proteins from Oramed Ltd., or Oramed, a subsidiary of Oramed Pharmaceuticals, Inc., and accordingly $0.6 million was recorded on our statements of financial position as an intangible asset based on the fair value of the ordinary shares issued in exchange for the license.</w:t>
      </w:r>
    </w:p>
    <w:p>
      <w:pPr>
        <w:spacing w:after="0" w:line="8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significant losses. For the nine months ended September 30, 2016 and 2017, our operating losses were $4.1 million and $7.0 million, respectively, and $3.7 million and $5.4 million for the years ended December 31, 2015 and 2016, respectively. We expect to continue to incur significant expenses and losses for the next several years. As of September 30, 2017, we had an accumulated deficit of $38.0 million. Our losses may fluctuate significantly from quarter to quarter and year to year, depending on the timing of our clinical trials, our expenditures on any other research and development activities, the receipt of government grants and payments under any future collaborations into which we may enter.</w:t>
      </w:r>
    </w:p>
    <w:p>
      <w:pPr>
        <w:spacing w:after="0" w:line="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December 31, 2017, we had cash and cash equivalents of $11.7 million. In order to fund further operations, we expect that we will need to raise capital in addition to the net proceeds of this offering. We may seek these funds through a combination of private and public equity offerings, debt financings, government grants, strategic collaborations and licensing arrangements. Additional financing may not be available when we need it or may not be available on terms that are favorable to us. Our audited financial statements for the year ended December 31, 2016 and our unaudited condensed interim financial statements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8" w:name="page69"/>
    <w:bookmarkEnd w:id="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2017, each included elsewhere in this prospectus, note that there is substantial doubt about our ability to continue as a going concern absent sources of additional liquidity. The financial statements included herein have been prepared assuming that we will continue as a going concern and do not include adjustments that might result from the outcome of this uncertainty. If we are unable to raise the requisite funds, we will need to curtail or cease operations. See “Risk Factors — Risks Related to Our Financial Position and Need for Additional Capital.”</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December 31, 2017, we had 16 employees and one consultant who provides consulting services to us on a full-time basis. In addition, we have entered into service agreements with three of our directors. Our operations are located in a single facility in Jerusalem, Israel.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Transfer Agreement and Grant Funding</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Oramed Patent Transfer Agreement</w:t>
      </w:r>
    </w:p>
    <w:p>
      <w:pPr>
        <w:spacing w:after="0" w:line="10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2011, we entered into a patent transfer agreement with Oramed, or the Patent Transfer Agreement, pursuant to which Oramed assigned to us all of its rights, title and interest in the patent rights Oramed licensed to us when we were originally capitalized, subject to a worldwide, royalty-free, exclusive, irrevocable, perpetual and sublicensable license granted to Oramed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Under the terms of the Patent Transfer Agreement, we agreed to pay Oramed royalties equal to 3% of our net revenues generated, directly or indirectly, from exploitation of the assigned patent rights, including the sale, lease or transfer of the assigned patent rights or sales of products or services covered by the assigned patent rights. See “Business — Oramed Patent Transfer Agreement.”</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Israeli Innovation Authority Grant (formerly: the Office of the Chief Scientist)</w:t>
      </w:r>
    </w:p>
    <w:p>
      <w:pPr>
        <w:spacing w:after="0" w:line="1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received grants of approximately $0.5 million from the IIA to partially fund our research and development. The grants are subject to certain requirements and restrictions under the Israeli Encouragement of Research, Development and Technological Innovation in Industry Law 5477-1984, or the Research Law. In general, until the grants are repaid with interest, royalties are payable to the Israeli government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amount that must be repaid may be increased to three times the amount of the grant received, and the rate of royalties may be accelerated, if manufacturing of the products developed with the grant money is transferred outside of the State of Israel. Moreover, a payment of up to 600% of the grant received may be required upon the transfer of any IIA-funded know-how to a non-Israeli entity. In addition, as disclosed under “Business — Manufacturing,” we have signed a contract with a UK-based contract manufacturing organization, to produce and supply pills for trials performed worldwide. We believe that, because production is not being done for commercial purposes, the entry into the production agreement in the UK will not affect the royalty rates to be paid to the IIA. Should it turn out that this position is not acceptable to the IIA, the maximum royalties to be paid to the IIA will be approximately $1.5 million, which is three times the amount of the original grants of $0.5 million.</w:t>
      </w:r>
    </w:p>
    <w:p>
      <w:pPr>
        <w:spacing w:after="0" w:line="8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to paying any royalties due, we must abide by other restrictions associated with receiving such grants under the Research Law that continue to apply following repayment to the IIA. See “Business — The Israeli Innovation Authority Grant.”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receive any revenue from any product candidates that we develop unless and until we obtain regulatory approval and successfully commercialize our products or enter into collaborative agreements with third parties.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69" w:name="page70"/>
    <w:bookmarkEnd w:id="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for the development of our drug delivery technology and our product candidates. Those expenses include:</w:t>
      </w:r>
    </w:p>
    <w:p>
      <w:pPr>
        <w:spacing w:after="0" w:line="108" w:lineRule="exact"/>
        <w:rPr>
          <w:sz w:val="20"/>
          <w:szCs w:val="20"/>
          <w:color w:val="auto"/>
        </w:rPr>
      </w:pPr>
    </w:p>
    <w:p>
      <w:pPr>
        <w:ind w:left="360" w:right="300" w:hanging="172"/>
        <w:spacing w:after="0" w:line="282" w:lineRule="auto"/>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and share-based compensation expenses for employees and service providers in research and development functions;</w:t>
      </w:r>
    </w:p>
    <w:p>
      <w:pPr>
        <w:spacing w:after="0" w:line="9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operating our laboratories and small-scale manufacturing facility;</w:t>
      </w:r>
    </w:p>
    <w:p>
      <w:pPr>
        <w:spacing w:after="0" w:line="15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and investigative sites that conduct our clinical trials;</w:t>
      </w:r>
    </w:p>
    <w:p>
      <w:pPr>
        <w:spacing w:after="0" w:line="15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outsourced and contracted services, such as external laboratories, consulting and advisory services;</w:t>
      </w:r>
    </w:p>
    <w:p>
      <w:pPr>
        <w:spacing w:after="0" w:line="15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development and manufacturing costs relating to clinical trial materials; and</w:t>
      </w:r>
    </w:p>
    <w:p>
      <w:pPr>
        <w:spacing w:after="0" w:line="15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associated with pre-clinical and clinical activities.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the primary focus of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significantly increase in absolute dollars in future periods as we continue to invest in research and development activities related to the development of our product candidates.</w:t>
      </w:r>
    </w:p>
    <w:p>
      <w:pPr>
        <w:spacing w:after="0" w:line="7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Research expenses are recognized as incurred. An intangible asset arising from the development of our product candidates is recognized if certain capitalization conditions are met. During the years ended December 31, 2015 and 2016 and during the nine months ended September 30, 2017, we did not capitalize any development costs.</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may vary substantially from period to period based on the timing of our research and development activities, including due to timing of initiation of clinical trials and enrollment of patients in clinical trials. For the nine months ended September 30, 2017, our research and development expenses were $1.7 million. For the years ended December 31, 2015 and December 31, 2016, our research and development expenses were $2.1 million and $2.6 million, respectively. Research and development expenses in the nine months ended September 30, 2017 and in the years ended December 31, 2015 and 2016 were primarily for the development of EB612. Research and development expenses are expected to increase as we advance the clinical development of EB612 and EB613 and our preclinical work on additional product candidates. We currently anticipate such expenses in the last quarter of 2017 to be in the range of $2.5 million to $2.7 million. The successful development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drugs, including the uncertainty of:</w:t>
      </w:r>
    </w:p>
    <w:p>
      <w:pPr>
        <w:spacing w:after="0" w:line="132" w:lineRule="exact"/>
        <w:rPr>
          <w:sz w:val="20"/>
          <w:szCs w:val="20"/>
          <w:color w:val="auto"/>
        </w:rPr>
      </w:pPr>
    </w:p>
    <w:p>
      <w:pPr>
        <w:ind w:left="360" w:hanging="17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clinical trials, nonclinical testing and other related activities;</w:t>
      </w:r>
    </w:p>
    <w:p>
      <w:pPr>
        <w:spacing w:after="0" w:line="15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products that we may develop;</w:t>
      </w:r>
    </w:p>
    <w:p>
      <w:pPr>
        <w:spacing w:after="0" w:line="17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5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regulatory approvals;</w:t>
      </w:r>
    </w:p>
    <w:p>
      <w:pPr>
        <w:spacing w:after="0" w:line="17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and distribution capabilities; and</w:t>
      </w:r>
    </w:p>
    <w:p>
      <w:pPr>
        <w:spacing w:after="0" w:line="157" w:lineRule="exact"/>
        <w:rPr>
          <w:rFonts w:ascii="Times New Roman" w:cs="Times New Roman" w:eastAsia="Times New Roman" w:hAnsi="Times New Roman"/>
          <w:sz w:val="18"/>
          <w:szCs w:val="18"/>
          <w:color w:val="auto"/>
        </w:rPr>
      </w:pPr>
    </w:p>
    <w:p>
      <w:pPr>
        <w:ind w:left="360" w:right="540" w:hanging="172"/>
        <w:spacing w:after="0" w:line="282"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 including any milestone and royalty payments thereunder.</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70" w:name="page71"/>
    <w:bookmarkEnd w:id="7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EB612, EB613 or any other product candidate that we may develop could mean a significant change in the costs and timing associated with the development of such product candidate. For example, if the FDA or other regulatory authority were to require us to conduct preclinical and/or clinical studies beyond those which we currently anticipate will be required for the completion of clinical development, if we experience significant delays in enrollment in any clinical trials or if we encounter difficulties in manufacturing our clinical supplies, we could be required to expend significant additional financial resources and time on the completion of the clinical development.</w:t>
      </w:r>
    </w:p>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directors and personnel in executive and finance functions, such as salaries, benefits and share-based compensation. Other general and administrative expenses include facility costs, communication expenses and professional fees for legal services, patent counseling and portfolio maintenance, consulting, auditing and accounting services.</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following the completion of this offering due to many factors, the most significant of which include increased expenses associated with maintaining compliance with listing rules and SEC requirements as a result of becoming a publicly traded company, such as increased legal and accounting services, transfer agent and printing fees, addition of new headcount to support compliance and communication needs and increased insurance premiums.</w:t>
      </w:r>
    </w:p>
    <w:p>
      <w:pPr>
        <w:spacing w:after="0" w:line="1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(Income) Expenses</w:t>
      </w:r>
    </w:p>
    <w:p>
      <w:pPr>
        <w:spacing w:after="0" w:line="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Financial (income) expenses are comprised mainly of gains or losses resulting from the re-measurement of our convertible loan, Series A preferred shares, warrants to purchase Series A preferred shares and ordinary shares and liability to issue Series A preferred shares and warrants. From October to December 2017, we issued Series B preferred shares and converted the 2016 Convertible Loans into Series B-1 preferred shares. We will continue to record adjustments to the estimated fair value of the convertible loans, preferred shares, warrants to issue preferred shares and ordinary shares and liability to issue preferred shares and warrants until each are converted into our ordinary shares, after which we will no longer record any related periodic fair value adjustments.</w:t>
      </w:r>
    </w:p>
    <w:p>
      <w:pPr>
        <w:spacing w:after="0" w:line="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Prior to the consummation of this offering, we will adjust our convertible loan liability and our liability to issue preferred shares and warrants to their fair value, evaluated based on the estimated public offering price. We expect to record additional financial expenses or income from the revaluation of our convertible loan liability, preferred shares, warrants and liability to issue preferred shares and warrants. Under the terms of the applicable agreements and pursuant to the IPO Transactions, the convertible loans and preferred shares will be automatically converted into our ordinary shares, and the warrants to purchase preferred shares will be automatically converted into warrants to purchase ordinary shares, upon the closing of this offering. From October to December 2017, we raised a total of $13.0 million from sales of our Series B preferred shares. In connection with the Series B Private Placement, the 2016 Convertible Loans were converted to our Series B-1 preferred shares. For further discussion, see “Summary — Recent Developments.”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expenses are comprised mainly of exchange rate differences of certain currencies against our functional currency.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 on Income</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not generated taxable income since our inception and as of December 31, 2016 had carry-forward tax losses of $9.9 million. We anticipate that we will be able to carry forward these tax losses indefinitely to future tax years. Accordingly, we do not expect to pay taxes in Israel until we have taxable income after the full utilization of our carryforward tax losses.</w:t>
      </w:r>
    </w:p>
    <w:p>
      <w:pPr>
        <w:spacing w:after="0" w:line="68"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7"/>
          <w:szCs w:val="17"/>
          <w:color w:val="auto"/>
        </w:rPr>
        <w:t>We recognize deferred tax assets on losses for tax purposes carried forward to subsequent years if utilization of the related tax benefit against a future taxable income is probable. We have not created deferred tax assets on our tax loss carryforwards because their utilization is not expected in the foreseeable future.</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71" w:name="page72"/>
    <w:bookmarkEnd w:id="7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0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describe our significant accounting policies more fully in Note 2 to our audited financial statements included elsewhere in this prospectus. We believe that the accounting policies below are critical in order to fully understand and evaluate our financial condition and results of operations.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Estimates and judgments are continually evaluated and are based on historical experience and other factors, including expectations of future events that are believed to be reasonable under the circumstances. The resulting accounting estimates will, by definition, seldom equal the related actual results. The estimates and assumptions that have a significant risk of causing a material adjustment to the carrying amounts of assets and liabilities within the next financial year are discussed below.</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adopted a share-based compensation plan for employees, directors and service providers. As part of the plan, we grant employees, directors and service providers, from time to time and at our discretion, options to purchase our ordinary shares. The fair value of the services received in exchange for the grant of the options is recognized as an expense in our statements of comprehensive loss with a corresponding adjustment to equity in our statements of financial position. The total amount is recognized as an expense ratably over the vesting period of the options, which is the period during which all vesting conditions are expected to be met.</w:t>
      </w:r>
    </w:p>
    <w:p>
      <w:pPr>
        <w:spacing w:after="0" w:line="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estimate the fair value of our share-based compensation to employees, directors and service providers using the Black-Scholes option pricing model, which requires the input of highly subjective assumptions, including (a) the expected volatility of our shares, (b) the expected term of the award, (c) the risk-free interest rate, (d) expected dividends and (e) the fair value of our ordinary shares at the date of grant. Due to the lack of a public market for the trading of our shares and a lack of company-specific historical and implied volatility data, we have based our estimate of expected volatility on the historic volatility of comparable companies that are publicly traded. We will continue to apply this process until a sufficient amount of historical information regarding the volatility of our own share price becomes available.</w:t>
      </w:r>
    </w:p>
    <w:p>
      <w:pPr>
        <w:spacing w:after="0" w:line="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options granted in 2015, 2016 and in the nine month period ended September 30, 2017, the fair value per ordinary share used in the Black-Scholes option pricing model was evaluated using a hybrid model that uses an option pricing model within each applicable exit scenario of our company. These valuations are highly subjective.</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 the purpose of determining our enterprise value, we used the discounted cash flow, or DCF, method. Under the DCF method, our projected after-tax cash flows were discounted back to present value, using the discount rate. The discount rate, known as the weighted average cost of capital, or WACC, accounts for the time value of money and the appropriate degree of risk inherent in our business. The DCF method requires significant assumptions, in particular, regarding our projected cash flows and the discount rate applicable to our business. For the purpose of that valuation, we applied the applicable discount rate, projected commencement of sales and the probability of reaching sales. Following the Series B Private Placement, the fair value of our ordinary shares was based on the market approach and used a price per share of $908.78 per Series B preferred share from the Company’s preferred share issuance starting in October 2017 as a basis for fair market value.</w:t>
      </w:r>
    </w:p>
    <w:p>
      <w:pPr>
        <w:spacing w:after="0" w:line="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Following this offering, the fair value of our ordinary shares will be determined based on the closing price of our ordinary shares on the NASDAQ Capital Market.</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72" w:name="page73"/>
    <w:bookmarkEnd w:id="7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also required to estimate forfeitures at the time of grant, and we revise those estimates in subsequent periods if actual forfeitures differ from the estimates. Vesting conditions are included in assumptions about the number of options that are expected to vest. At the end of each reporting period, we revise our estimates of the number of options that are expected to vest based on the nonmarket vesting conditions. We recognize the impact of the revision to original estimates, if any, in profit or loss, with a corresponding adjustment to equity.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allocation of our share-based compensation expense: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7"/>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4"/>
                <w:szCs w:val="14"/>
                <w:color w:val="auto"/>
              </w:rPr>
            </w:pPr>
          </w:p>
        </w:tc>
        <w:tc>
          <w:tcPr>
            <w:tcW w:w="960" w:type="dxa"/>
            <w:vAlign w:val="bottom"/>
            <w:gridSpan w:val="2"/>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5"/>
        </w:trPr>
        <w:tc>
          <w:tcPr>
            <w:tcW w:w="7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7"/>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060" w:type="dxa"/>
            <w:vAlign w:val="bottom"/>
            <w:gridSpan w:val="3"/>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6"/>
        </w:trPr>
        <w:tc>
          <w:tcPr>
            <w:tcW w:w="74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0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5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top w:val="single" w:sz="8" w:color="auto"/>
              <w:bottom w:val="single" w:sz="8" w:color="auto"/>
            </w:tcBorders>
          </w:tcPr>
          <w:p>
            <w:pPr>
              <w:spacing w:after="0"/>
              <w:rPr>
                <w:sz w:val="17"/>
                <w:szCs w:val="17"/>
                <w:color w:val="auto"/>
              </w:rPr>
            </w:pPr>
          </w:p>
        </w:tc>
      </w:tr>
      <w:tr>
        <w:trPr>
          <w:trHeight w:val="174"/>
        </w:trPr>
        <w:tc>
          <w:tcPr>
            <w:tcW w:w="7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7"/>
          </w:tcPr>
          <w:p>
            <w:pPr>
              <w:jc w:val="center"/>
              <w:ind w:right="7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5"/>
                <w:szCs w:val="15"/>
                <w:color w:val="auto"/>
              </w:rPr>
            </w:pPr>
          </w:p>
        </w:tc>
        <w:tc>
          <w:tcPr>
            <w:tcW w:w="1060" w:type="dxa"/>
            <w:vAlign w:val="bottom"/>
            <w:gridSpan w:val="3"/>
          </w:tcPr>
          <w:p>
            <w:pPr>
              <w:jc w:val="center"/>
              <w:ind w:left="41"/>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3,890</w:t>
            </w:r>
          </w:p>
        </w:tc>
        <w:tc>
          <w:tcPr>
            <w:tcW w:w="6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1,132</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1,360</w:t>
            </w:r>
          </w:p>
        </w:tc>
        <w:tc>
          <w:tcPr>
            <w:tcW w:w="5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360</w:t>
            </w:r>
          </w:p>
        </w:tc>
        <w:tc>
          <w:tcPr>
            <w:tcW w:w="140" w:type="dxa"/>
            <w:vAlign w:val="bottom"/>
            <w:tcBorders>
              <w:bottom w:val="single" w:sz="8" w:color="CCEEFF"/>
            </w:tcBorders>
          </w:tcPr>
          <w:p>
            <w:pPr>
              <w:spacing w:after="0"/>
              <w:rPr>
                <w:sz w:val="21"/>
                <w:szCs w:val="21"/>
                <w:color w:val="auto"/>
              </w:rPr>
            </w:pPr>
          </w:p>
        </w:tc>
      </w:tr>
      <w:tr>
        <w:trPr>
          <w:trHeight w:val="237"/>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3"/>
              </w:rPr>
              <w:t>4,032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1,210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3"/>
              </w:rPr>
              <w:t>1,490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366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-187960</wp:posOffset>
            </wp:positionV>
            <wp:extent cx="946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69208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0865"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-599440</wp:posOffset>
            </wp:positionV>
            <wp:extent cx="137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-599440</wp:posOffset>
            </wp:positionV>
            <wp:extent cx="137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Fair Value of Financial Liabilities Through Profit or Loss</w:t>
      </w:r>
    </w:p>
    <w:p>
      <w:pPr>
        <w:spacing w:after="0" w:line="10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Series A preferred shares and warrants to purchase Series A preferred shares are classified as financial liabilities because of the liquidation rights and conversion rights associated with the Series A preferred shares and therefore are accounted for at fair value through profit or loss at each balance sheet date. The liability to issue Series A preferred shares and warrants are classified as contingent forward contracts and therefore are also accounted for at fair value through profit or loss at each balance sheet date. To determine the fair value of the convertible loans, Series A preferred shares, warrants and liability to issue Series A preferred shares and warrants, we use our judgment to select a variety of methods and make assumptions that are mainly based on market conditions existing at the end of each reporting period. The estimated fair value of these liabilities might have been different if we had used different estimates and assumptions.</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 determine the fair value of the convertible loans, which is a valuation that is not based on observable market data, or a level 3 valuation, the debt component was evaluated based on the discounting of future payments of the debt. The convertible components of the loans (the option to convert the principal amount of the loans and accrued interest into our ordinary shares or those of D.N.A Biomedical, in each case subject to adjustment) and warrants to purchase additional shares upon conversion of the applicable convertible loans, were evaluated based on a combination of the probability weighted expected return method and the back solve option pricing method model.</w:t>
      </w:r>
    </w:p>
    <w:p>
      <w:pPr>
        <w:spacing w:after="0" w:line="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September 30, 2017, the valuation of the Company’s financial liabilities was based on the market approach and used a price per share of $908.78 per Series B preferred share from the Company’s preferred share issuance starting in October 2017 as a basis for fair market value. The following parameters were used: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4860" w:type="dxa"/>
            <w:vAlign w:val="bottom"/>
            <w:tcBorders>
              <w:bottom w:val="single" w:sz="8" w:color="CCEEFF"/>
            </w:tcBorders>
          </w:tcPr>
          <w:p>
            <w:pPr>
              <w:spacing w:after="0"/>
              <w:rPr>
                <w:sz w:val="16"/>
                <w:szCs w:val="16"/>
                <w:color w:val="auto"/>
              </w:rPr>
            </w:pPr>
          </w:p>
        </w:tc>
        <w:tc>
          <w:tcPr>
            <w:tcW w:w="50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CEEFF"/>
            </w:tcBorders>
          </w:tcPr>
          <w:p>
            <w:pPr>
              <w:spacing w:after="0"/>
              <w:rPr>
                <w:sz w:val="16"/>
                <w:szCs w:val="16"/>
                <w:color w:val="auto"/>
              </w:rPr>
            </w:pPr>
          </w:p>
        </w:tc>
      </w:tr>
      <w:tr>
        <w:trPr>
          <w:trHeight w:val="215"/>
        </w:trPr>
        <w:tc>
          <w:tcPr>
            <w:tcW w:w="4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Series B preferred price per share</w:t>
            </w:r>
          </w:p>
        </w:tc>
        <w:tc>
          <w:tcPr>
            <w:tcW w:w="65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$908.78</w:t>
            </w:r>
          </w:p>
        </w:tc>
        <w:tc>
          <w:tcPr>
            <w:tcW w:w="20" w:type="dxa"/>
            <w:vAlign w:val="bottom"/>
            <w:shd w:val="clear" w:color="auto" w:fill="CCEEFF"/>
          </w:tcPr>
          <w:p>
            <w:pPr>
              <w:spacing w:after="0"/>
              <w:rPr>
                <w:sz w:val="18"/>
                <w:szCs w:val="18"/>
                <w:color w:val="auto"/>
              </w:rPr>
            </w:pPr>
          </w:p>
        </w:tc>
      </w:tr>
      <w:tr>
        <w:trPr>
          <w:trHeight w:val="216"/>
        </w:trPr>
        <w:tc>
          <w:tcPr>
            <w:tcW w:w="4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Volatility</w:t>
            </w:r>
          </w:p>
        </w:tc>
        <w:tc>
          <w:tcPr>
            <w:tcW w:w="65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r>
      <w:tr>
        <w:trPr>
          <w:trHeight w:val="216"/>
        </w:trPr>
        <w:tc>
          <w:tcPr>
            <w:tcW w:w="4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Probability of entering Phase 2b/3 trial for EB612</w:t>
            </w:r>
          </w:p>
        </w:tc>
        <w:tc>
          <w:tcPr>
            <w:tcW w:w="65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shd w:val="clear" w:color="auto" w:fill="CCEEFF"/>
          </w:tcPr>
          <w:p>
            <w:pPr>
              <w:spacing w:after="0"/>
              <w:rPr>
                <w:sz w:val="18"/>
                <w:szCs w:val="18"/>
                <w:color w:val="auto"/>
              </w:rPr>
            </w:pPr>
          </w:p>
        </w:tc>
      </w:tr>
      <w:tr>
        <w:trPr>
          <w:trHeight w:val="243"/>
        </w:trPr>
        <w:tc>
          <w:tcPr>
            <w:tcW w:w="4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Probability for IPO/shares registration</w:t>
            </w:r>
          </w:p>
        </w:tc>
        <w:tc>
          <w:tcPr>
            <w:tcW w:w="65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21"/>
                <w:szCs w:val="21"/>
                <w:color w:val="auto"/>
              </w:rPr>
            </w:pPr>
          </w:p>
        </w:tc>
      </w:tr>
      <w:tr>
        <w:trPr>
          <w:trHeight w:val="473"/>
        </w:trPr>
        <w:tc>
          <w:tcPr>
            <w:tcW w:w="4860" w:type="dxa"/>
            <w:vAlign w:val="bottom"/>
          </w:tcPr>
          <w:p>
            <w:pPr>
              <w:spacing w:after="0"/>
              <w:rPr>
                <w:sz w:val="24"/>
                <w:szCs w:val="24"/>
                <w:color w:val="auto"/>
              </w:rPr>
            </w:pPr>
          </w:p>
        </w:tc>
        <w:tc>
          <w:tcPr>
            <w:tcW w:w="5080" w:type="dxa"/>
            <w:vAlign w:val="bottom"/>
          </w:tcPr>
          <w:p>
            <w:pPr>
              <w:jc w:val="right"/>
              <w:ind w:right="4050"/>
              <w:spacing w:after="0"/>
              <w:rPr>
                <w:sz w:val="20"/>
                <w:szCs w:val="20"/>
                <w:color w:val="auto"/>
              </w:rPr>
            </w:pPr>
            <w:r>
              <w:rPr>
                <w:rFonts w:ascii="Times New Roman" w:cs="Times New Roman" w:eastAsia="Times New Roman" w:hAnsi="Times New Roman"/>
                <w:sz w:val="18"/>
                <w:szCs w:val="18"/>
                <w:color w:val="auto"/>
              </w:rPr>
              <w:t>68</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48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-1131570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3" w:name="page74"/>
    <w:bookmarkEnd w:id="7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2016 and 2015, the following parameters were used: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20" w:type="dxa"/>
            <w:vAlign w:val="bottom"/>
          </w:tcPr>
          <w:p>
            <w:pPr>
              <w:spacing w:after="0"/>
              <w:rPr>
                <w:sz w:val="16"/>
                <w:szCs w:val="16"/>
                <w:color w:val="auto"/>
              </w:rPr>
            </w:pPr>
          </w:p>
        </w:tc>
        <w:tc>
          <w:tcPr>
            <w:tcW w:w="194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6"/>
        </w:trPr>
        <w:tc>
          <w:tcPr>
            <w:tcW w:w="85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5"/>
        </w:trPr>
        <w:tc>
          <w:tcPr>
            <w:tcW w:w="8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WACC</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Value of equity*</w:t>
            </w:r>
          </w:p>
        </w:tc>
        <w:tc>
          <w:tcPr>
            <w:tcW w:w="19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$71 million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million</w:t>
            </w:r>
          </w:p>
        </w:tc>
      </w:tr>
      <w:tr>
        <w:trPr>
          <w:trHeight w:val="216"/>
        </w:trPr>
        <w:tc>
          <w:tcPr>
            <w:tcW w:w="8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Volatility</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Commencement of sales</w:t>
            </w:r>
          </w:p>
        </w:tc>
        <w:tc>
          <w:tcPr>
            <w:tcW w:w="19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2021 – 2025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 – 2020</w:t>
            </w:r>
          </w:p>
        </w:tc>
      </w:tr>
      <w:tr>
        <w:trPr>
          <w:trHeight w:val="216"/>
        </w:trPr>
        <w:tc>
          <w:tcPr>
            <w:tcW w:w="8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Probability for success in phase 2</w:t>
            </w:r>
          </w:p>
        </w:tc>
        <w:tc>
          <w:tcPr>
            <w:tcW w:w="19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Probability of entering Phase 2b/3 trial for EB612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Probability for IPO/shares registration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-968375</wp:posOffset>
            </wp:positionV>
            <wp:extent cx="63887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7151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60" w:right="600" w:hanging="352"/>
        <w:spacing w:after="0" w:line="302" w:lineRule="auto"/>
        <w:tabs>
          <w:tab w:leader="none" w:pos="3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equity as of December 31, 2016 and 2015 was based on the valuation of cash generating unit based on DCF. The primary assumptions used in the DCF valuations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18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4"/>
        </w:trPr>
        <w:tc>
          <w:tcPr>
            <w:tcW w:w="82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0"/>
        </w:trPr>
        <w:tc>
          <w:tcPr>
            <w:tcW w:w="8200" w:type="dxa"/>
            <w:vAlign w:val="bottom"/>
          </w:tcPr>
          <w:p>
            <w:pPr>
              <w:spacing w:after="0"/>
              <w:rPr>
                <w:sz w:val="17"/>
                <w:szCs w:val="17"/>
                <w:color w:val="auto"/>
              </w:rPr>
            </w:pPr>
          </w:p>
        </w:tc>
        <w:tc>
          <w:tcPr>
            <w:tcW w:w="166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
        </w:trPr>
        <w:tc>
          <w:tcPr>
            <w:tcW w:w="8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WACC</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7"/>
        </w:trPr>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Commencement of sales</w:t>
            </w:r>
          </w:p>
        </w:tc>
        <w:tc>
          <w:tcPr>
            <w:tcW w:w="21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2021 –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 – 2020</w:t>
            </w:r>
          </w:p>
        </w:tc>
      </w:tr>
      <w:tr>
        <w:trPr>
          <w:trHeight w:val="257"/>
        </w:trPr>
        <w:tc>
          <w:tcPr>
            <w:tcW w:w="8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Probability of reaching sales</w:t>
            </w:r>
          </w:p>
        </w:tc>
        <w:tc>
          <w:tcPr>
            <w:tcW w:w="21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20.1% – 37.9%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63976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2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weighted average cost of capital, or the discount rate, was calculated by using the Capital Asset Pricing Model to determine the required return on equity and is based on certain assumptions used to determine the appropriate cost of debt and capital structure, as follows: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Risk free(1)</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Market premium(2)</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Specific risk(3)</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Beta(4)</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WACC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7151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33655</wp:posOffset>
            </wp:positionV>
            <wp:extent cx="15951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6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33655</wp:posOffset>
            </wp:positionV>
            <wp:extent cx="724662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ind w:left="100"/>
        <w:spacing w:after="0"/>
        <w:tabs>
          <w:tab w:leader="none" w:pos="1120" w:val="left"/>
        </w:tabs>
        <w:rPr>
          <w:sz w:val="20"/>
          <w:szCs w:val="20"/>
          <w:color w:val="auto"/>
        </w:rPr>
      </w:pPr>
      <w:r>
        <w:rPr>
          <w:rFonts w:ascii="Times New Roman" w:cs="Times New Roman" w:eastAsia="Times New Roman" w:hAnsi="Times New Roman"/>
          <w:sz w:val="18"/>
          <w:szCs w:val="18"/>
          <w:color w:val="auto"/>
        </w:rPr>
        <w:t>0.99%</w:t>
      </w:r>
      <w:r>
        <w:rPr>
          <w:sz w:val="20"/>
          <w:szCs w:val="20"/>
          <w:color w:val="auto"/>
        </w:rPr>
        <w:tab/>
      </w:r>
      <w:r>
        <w:rPr>
          <w:rFonts w:ascii="Times New Roman" w:cs="Times New Roman" w:eastAsia="Times New Roman" w:hAnsi="Times New Roman"/>
          <w:sz w:val="18"/>
          <w:szCs w:val="18"/>
          <w:color w:val="auto"/>
        </w:rPr>
        <w:t>0.81%</w:t>
      </w:r>
    </w:p>
    <w:p>
      <w:pPr>
        <w:spacing w:after="0" w:line="50" w:lineRule="exact"/>
        <w:rPr>
          <w:sz w:val="20"/>
          <w:szCs w:val="20"/>
          <w:color w:val="auto"/>
        </w:rPr>
      </w:pPr>
    </w:p>
    <w:p>
      <w:pPr>
        <w:ind w:left="100"/>
        <w:spacing w:after="0"/>
        <w:tabs>
          <w:tab w:leader="none" w:pos="1120" w:val="left"/>
        </w:tabs>
        <w:rPr>
          <w:sz w:val="20"/>
          <w:szCs w:val="20"/>
          <w:color w:val="auto"/>
        </w:rPr>
      </w:pPr>
      <w:r>
        <w:rPr>
          <w:rFonts w:ascii="Times New Roman" w:cs="Times New Roman" w:eastAsia="Times New Roman" w:hAnsi="Times New Roman"/>
          <w:sz w:val="18"/>
          <w:szCs w:val="18"/>
          <w:color w:val="auto"/>
        </w:rPr>
        <w:t>5.69%</w:t>
      </w:r>
      <w:r>
        <w:rPr>
          <w:sz w:val="20"/>
          <w:szCs w:val="20"/>
          <w:color w:val="auto"/>
        </w:rPr>
        <w:tab/>
      </w:r>
      <w:r>
        <w:rPr>
          <w:rFonts w:ascii="Times New Roman" w:cs="Times New Roman" w:eastAsia="Times New Roman" w:hAnsi="Times New Roman"/>
          <w:sz w:val="18"/>
          <w:szCs w:val="18"/>
          <w:color w:val="auto"/>
        </w:rPr>
        <w:t>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17145</wp:posOffset>
            </wp:positionV>
            <wp:extent cx="724662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16.29%</w:t>
      </w:r>
      <w:r>
        <w:rPr>
          <w:sz w:val="20"/>
          <w:szCs w:val="20"/>
          <w:color w:val="auto"/>
        </w:rPr>
        <w:tab/>
      </w:r>
      <w:r>
        <w:rPr>
          <w:rFonts w:ascii="Times New Roman" w:cs="Times New Roman" w:eastAsia="Times New Roman" w:hAnsi="Times New Roman"/>
          <w:sz w:val="18"/>
          <w:szCs w:val="18"/>
          <w:color w:val="auto"/>
        </w:rPr>
        <w:t>12.12%</w:t>
      </w:r>
    </w:p>
    <w:p>
      <w:pPr>
        <w:spacing w:after="0" w:line="50" w:lineRule="exact"/>
        <w:rPr>
          <w:sz w:val="20"/>
          <w:szCs w:val="20"/>
          <w:color w:val="auto"/>
        </w:rPr>
      </w:pPr>
    </w:p>
    <w:p>
      <w:pPr>
        <w:ind w:left="100"/>
        <w:spacing w:after="0"/>
        <w:tabs>
          <w:tab w:leader="none" w:pos="1120" w:val="left"/>
        </w:tabs>
        <w:rPr>
          <w:sz w:val="20"/>
          <w:szCs w:val="20"/>
          <w:color w:val="auto"/>
        </w:rPr>
      </w:pPr>
      <w:r>
        <w:rPr>
          <w:rFonts w:ascii="Times New Roman" w:cs="Times New Roman" w:eastAsia="Times New Roman" w:hAnsi="Times New Roman"/>
          <w:sz w:val="18"/>
          <w:szCs w:val="18"/>
          <w:color w:val="auto"/>
        </w:rPr>
        <w:t>0.84</w:t>
      </w:r>
      <w:r>
        <w:rPr>
          <w:sz w:val="20"/>
          <w:szCs w:val="20"/>
          <w:color w:val="auto"/>
        </w:rPr>
        <w:tab/>
      </w:r>
      <w:r>
        <w:rPr>
          <w:rFonts w:ascii="Times New Roman" w:cs="Times New Roman" w:eastAsia="Times New Roman" w:hAnsi="Times New Roman"/>
          <w:sz w:val="18"/>
          <w:szCs w:val="18"/>
          <w:color w:val="auto"/>
        </w:rPr>
        <w:t>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17145</wp:posOffset>
            </wp:positionV>
            <wp:extent cx="7246620"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jc w:val="both"/>
        <w:ind w:left="240"/>
        <w:spacing w:after="0"/>
        <w:tabs>
          <w:tab w:leader="none" w:pos="12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19%</w:t>
      </w:r>
    </w:p>
    <w:p>
      <w:pPr>
        <w:spacing w:after="0" w:line="200" w:lineRule="exact"/>
        <w:rPr>
          <w:sz w:val="20"/>
          <w:szCs w:val="20"/>
          <w:color w:val="auto"/>
        </w:rPr>
      </w:pPr>
    </w:p>
    <w:p>
      <w:pPr>
        <w:sectPr>
          <w:pgSz w:w="11900" w:h="16838" w:orient="portrait"/>
          <w:cols w:equalWidth="0" w:num="2">
            <w:col w:w="8480" w:space="720"/>
            <w:col w:w="2220"/>
          </w:cols>
          <w:pgMar w:left="240" w:top="114" w:right="239" w:bottom="1440" w:gutter="0" w:footer="0" w:header="0"/>
          <w:type w:val="continuous"/>
        </w:sectPr>
      </w:pPr>
    </w:p>
    <w:p>
      <w:pPr>
        <w:spacing w:after="0" w:line="304"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Treasury Real Long-Term Rate.</w:t>
      </w:r>
    </w:p>
    <w:p>
      <w:pPr>
        <w:spacing w:after="0" w:line="190"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publicly available estimates.</w:t>
      </w:r>
    </w:p>
    <w:p>
      <w:pPr>
        <w:spacing w:after="0" w:line="203" w:lineRule="exact"/>
        <w:rPr>
          <w:rFonts w:ascii="Times New Roman" w:cs="Times New Roman" w:eastAsia="Times New Roman" w:hAnsi="Times New Roman"/>
          <w:sz w:val="14"/>
          <w:szCs w:val="14"/>
          <w:color w:val="auto"/>
        </w:rPr>
      </w:pPr>
    </w:p>
    <w:p>
      <w:pPr>
        <w:ind w:left="360" w:right="800" w:hanging="352"/>
        <w:spacing w:after="0" w:line="302" w:lineRule="auto"/>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publicly available estimates and specific risk premium added, based on external appraiser opinion regarding the risk related to the capital raising required to execute our business plan.</w:t>
      </w:r>
    </w:p>
    <w:p>
      <w:pPr>
        <w:spacing w:after="0" w:line="121"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number of publicly traded companies which operate in the pharmaceuticals industry.</w:t>
      </w:r>
    </w:p>
    <w:p>
      <w:pPr>
        <w:spacing w:after="0" w:line="11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probability of reaching sales was determined based on a publicly available research studies of a large number of clinical trials in various size and stages and indications and their associated success rates based on stage of clinical trials.</w:t>
      </w:r>
    </w:p>
    <w:p>
      <w:pPr>
        <w:spacing w:after="0" w:line="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To determine the fair value of the Series A preferred shares, warrants to purchase Series A preferred shares and shares and liability to issue Series A preferred shares and warrants to purchase Series A preferred shares, we prepared a valuation of the fair value of each of these components. The three components were evaluated using a combination of the probability weighted expected return method and the back solve option pricing method model.</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September 30, 2017 the valuation of the Company’s financial liabilities was based on the market approach and used a price per share of $908.78 per Series B preferred share from the Company’s preferred share issuance starting in October 2017 as a basis for fair market value. The following parameters were used: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7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
        </w:trPr>
        <w:tc>
          <w:tcPr>
            <w:tcW w:w="7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4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Series B preferred price per share</w:t>
            </w:r>
          </w:p>
        </w:tc>
        <w:tc>
          <w:tcPr>
            <w:tcW w:w="1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$908.78</w:t>
            </w:r>
          </w:p>
        </w:tc>
      </w:tr>
      <w:tr>
        <w:trPr>
          <w:trHeight w:val="257"/>
        </w:trPr>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Volatility</w:t>
            </w: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65%</w:t>
            </w:r>
          </w:p>
        </w:tc>
      </w:tr>
      <w:tr>
        <w:trPr>
          <w:trHeight w:val="257"/>
        </w:trPr>
        <w:tc>
          <w:tcPr>
            <w:tcW w:w="84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Probability of entering Phase 2b/3 trial for EB612</w:t>
            </w:r>
          </w:p>
        </w:tc>
        <w:tc>
          <w:tcPr>
            <w:tcW w:w="1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70%</w:t>
            </w:r>
          </w:p>
        </w:tc>
      </w:tr>
      <w:tr>
        <w:trPr>
          <w:trHeight w:val="257"/>
        </w:trPr>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Probability for IPO/shares registration</w:t>
            </w: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85%</w:t>
            </w:r>
          </w:p>
        </w:tc>
      </w:tr>
      <w:tr>
        <w:trPr>
          <w:trHeight w:val="419"/>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December 31, 2016 and 2015, the following parameters were used:</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01"/>
        </w:trPr>
        <w:tc>
          <w:tcPr>
            <w:tcW w:w="7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
        </w:trPr>
        <w:tc>
          <w:tcPr>
            <w:tcW w:w="7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200"/>
        </w:trPr>
        <w:tc>
          <w:tcPr>
            <w:tcW w:w="7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7"/>
                <w:szCs w:val="17"/>
                <w:color w:val="auto"/>
              </w:rPr>
            </w:pPr>
          </w:p>
        </w:tc>
        <w:tc>
          <w:tcPr>
            <w:tcW w:w="14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
        </w:trPr>
        <w:tc>
          <w:tcPr>
            <w:tcW w:w="7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4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WACC</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7"/>
        </w:trPr>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Value of equity*</w:t>
            </w: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$71 million</w:t>
            </w:r>
          </w:p>
        </w:tc>
        <w:tc>
          <w:tcPr>
            <w:tcW w:w="40" w:type="dxa"/>
            <w:vAlign w:val="bottom"/>
          </w:tcPr>
          <w:p>
            <w:pPr>
              <w:spacing w:after="0"/>
              <w:rPr>
                <w:sz w:val="22"/>
                <w:szCs w:val="22"/>
                <w:color w:val="auto"/>
              </w:rPr>
            </w:pPr>
          </w:p>
        </w:tc>
        <w:tc>
          <w:tcPr>
            <w:tcW w:w="13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$76 million</w:t>
            </w:r>
          </w:p>
        </w:tc>
      </w:tr>
      <w:tr>
        <w:trPr>
          <w:trHeight w:val="257"/>
        </w:trPr>
        <w:tc>
          <w:tcPr>
            <w:tcW w:w="84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Volatility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7"/>
        </w:trPr>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Commencement of sales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2021 – 2025</w:t>
            </w:r>
          </w:p>
        </w:tc>
        <w:tc>
          <w:tcPr>
            <w:tcW w:w="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 – 2020</w:t>
            </w:r>
          </w:p>
        </w:tc>
      </w:tr>
      <w:tr>
        <w:trPr>
          <w:trHeight w:val="257"/>
        </w:trPr>
        <w:tc>
          <w:tcPr>
            <w:tcW w:w="84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Probability for success in phase 2</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7"/>
        </w:trPr>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Probability of entering Phase 2b/3 trial for EB612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84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Probability for IPO/shares registration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-2434590</wp:posOffset>
            </wp:positionV>
            <wp:extent cx="63544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63804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7151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08" w:lineRule="exact"/>
        <w:rPr>
          <w:sz w:val="20"/>
          <w:szCs w:val="20"/>
          <w:color w:val="auto"/>
        </w:rPr>
      </w:pPr>
    </w:p>
    <w:p>
      <w:pPr>
        <w:ind w:left="360" w:right="360" w:hanging="352"/>
        <w:spacing w:after="0" w:line="302" w:lineRule="auto"/>
        <w:tabs>
          <w:tab w:leader="none" w:pos="3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equity as of December 31, 2016 and 2015 was based on the valuation of the cash generating unit based on DCF . The value of equity and primary assumptions are described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 Period Ended September 30, 2017 and 2016</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7"/>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90"/>
        </w:trPr>
        <w:tc>
          <w:tcPr>
            <w:tcW w:w="6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7"/>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4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24"/>
        </w:trPr>
        <w:tc>
          <w:tcPr>
            <w:tcW w:w="6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00"/>
        </w:trPr>
        <w:tc>
          <w:tcPr>
            <w:tcW w:w="6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7"/>
                <w:szCs w:val="17"/>
                <w:color w:val="auto"/>
              </w:rPr>
            </w:pPr>
          </w:p>
        </w:tc>
        <w:tc>
          <w:tcPr>
            <w:tcW w:w="4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r>
      <w:tr>
        <w:trPr>
          <w:trHeight w:val="24"/>
        </w:trPr>
        <w:tc>
          <w:tcPr>
            <w:tcW w:w="6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3"/>
        </w:trPr>
        <w:tc>
          <w:tcPr>
            <w:tcW w:w="6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300" w:type="dxa"/>
            <w:vAlign w:val="bottom"/>
            <w:gridSpan w:val="8"/>
          </w:tcPr>
          <w:p>
            <w:pPr>
              <w:jc w:val="right"/>
              <w:ind w:right="300"/>
              <w:spacing w:after="0"/>
              <w:rPr>
                <w:sz w:val="20"/>
                <w:szCs w:val="20"/>
                <w:color w:val="auto"/>
              </w:rPr>
            </w:pPr>
            <w:r>
              <w:rPr>
                <w:rFonts w:ascii="Times New Roman" w:cs="Times New Roman" w:eastAsia="Times New Roman" w:hAnsi="Times New Roman"/>
                <w:sz w:val="14"/>
                <w:szCs w:val="14"/>
                <w:color w:val="auto"/>
              </w:rPr>
              <w:t>(In thousands, except for percentage information)</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57"/>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520" w:type="dxa"/>
            <w:vAlign w:val="bottom"/>
            <w:tcBorders>
              <w:right w:val="single" w:sz="8" w:color="CCEEFF"/>
            </w:tcBorders>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57"/>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$1,686</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1,851</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(165)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63"/>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2,971</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129.4%</w:t>
            </w:r>
          </w:p>
        </w:tc>
      </w:tr>
      <w:tr>
        <w:trPr>
          <w:trHeight w:val="20"/>
        </w:trPr>
        <w:tc>
          <w:tcPr>
            <w:tcW w:w="67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loss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2,806</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67.7%</w:t>
            </w:r>
          </w:p>
        </w:tc>
      </w:tr>
      <w:tr>
        <w:trPr>
          <w:trHeight w:val="263"/>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26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(3,805)</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4,274</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7,422</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7,080</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6583045</wp:posOffset>
            </wp:positionH>
            <wp:positionV relativeFrom="paragraph">
              <wp:posOffset>-1165860</wp:posOffset>
            </wp:positionV>
            <wp:extent cx="137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-1165860</wp:posOffset>
            </wp:positionV>
            <wp:extent cx="137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-1165860</wp:posOffset>
            </wp:positionV>
            <wp:extent cx="137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3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nine months ended September 30, 2017 were $1.7 million,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 million for the nine months ended September 30, 2016, a decrease of $0.2 million, or 8.9%. The decrease in research and development expenses was primarily due to a decrease of $0.3 million in expenses for subcontractors and CROs for our ongoing Phase 1 study and certain toxicology studies, offset by an increase of $0.1 million for salaries and related employee expenses.</w:t>
      </w:r>
    </w:p>
    <w:p>
      <w:pPr>
        <w:spacing w:after="0" w:line="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for the nine months ended September 30, 2017 were $5.3 million,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 million for the nine months ended September 30, 2016, an increase of $3.0 million, or 129.4%. The increase in general and administrative expenses was primarily due to an increase of $3.0 million in salaries and related employee expenses of which $2.8 million resulted from an increase in share-based compensation expenses.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5" w:name="page76"/>
    <w:bookmarkEnd w:id="7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income, net. </w:t>
      </w:r>
      <w:r>
        <w:rPr>
          <w:rFonts w:ascii="Times New Roman" w:cs="Times New Roman" w:eastAsia="Times New Roman" w:hAnsi="Times New Roman"/>
          <w:sz w:val="18"/>
          <w:szCs w:val="18"/>
          <w:color w:val="auto"/>
        </w:rPr>
        <w:t>Financial expenses, net for the nine months ended September 30, 2017 was $0.5 million, compared to a financial income,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$3.8 million for the nine month period ended September 30, 2016. Financial expenses, net for the nine months ended September 30, 2017 resulted mainly from the change in the fair value of convertible loans, Series A preferred shares, warrants to purchase Series A preferred shares and liability to issue Series A preferred shares and warrants that were recorded as a financial liability at fair value through profit or loss. During the nine months ended September 30, 2017 and 2016, we recorded a loss of $0.4 million and a gain of $3.9 million, respectively, on the fair value of financial liabilities. For the assumptions used in the valuation of the convertible loans and preferred shares components, see “— Critical Accounting Policies and Estimate — Fair Value of Financial Liabilities Through Profit or Loss.”</w:t>
      </w:r>
    </w:p>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2016 and 2015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0"/>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24"/>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0"/>
        </w:trPr>
        <w:tc>
          <w:tcPr>
            <w:tcW w:w="6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760" w:type="dxa"/>
            <w:vAlign w:val="bottom"/>
          </w:tcPr>
          <w:p>
            <w:pPr>
              <w:spacing w:after="0"/>
              <w:rPr>
                <w:sz w:val="17"/>
                <w:szCs w:val="17"/>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7"/>
                <w:szCs w:val="17"/>
                <w:color w:val="auto"/>
              </w:rPr>
            </w:pP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6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2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color w:val="auto"/>
              </w:rPr>
              <w:t>(In thousands, except for percentage information)</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57"/>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5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57"/>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w w:val="99"/>
              </w:rPr>
              <w:t>$ 2,648</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$2,115</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  533</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4"/>
              </w:rPr>
              <w:t>25.2%</w:t>
            </w:r>
          </w:p>
        </w:tc>
      </w:tr>
      <w:tr>
        <w:trPr>
          <w:trHeight w:val="257"/>
        </w:trPr>
        <w:tc>
          <w:tcPr>
            <w:tcW w:w="7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2,719</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1,586</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1,133</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71.4%</w:t>
            </w:r>
          </w:p>
        </w:tc>
      </w:tr>
      <w:tr>
        <w:trPr>
          <w:trHeight w:val="257"/>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loss</w:t>
            </w:r>
          </w:p>
        </w:tc>
        <w:tc>
          <w:tcPr>
            <w:tcW w:w="13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5,367</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3,701</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1,666</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4"/>
              </w:rPr>
              <w:t>45.0%</w:t>
            </w:r>
          </w:p>
        </w:tc>
      </w:tr>
      <w:tr>
        <w:trPr>
          <w:trHeight w:val="263"/>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2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(4,168)</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(4,749)</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r>
      <w:tr>
        <w:trPr>
          <w:trHeight w:val="257"/>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13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w w:val="99"/>
              </w:rPr>
              <w:t>$ 1,199</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4,282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(3,083)</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6651625</wp:posOffset>
            </wp:positionH>
            <wp:positionV relativeFrom="paragraph">
              <wp:posOffset>-1148715</wp:posOffset>
            </wp:positionV>
            <wp:extent cx="137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-1148715</wp:posOffset>
            </wp:positionV>
            <wp:extent cx="137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-1148715</wp:posOffset>
            </wp:positionV>
            <wp:extent cx="137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year ended December 31, 2016 were $2.6 million, compared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million for the year ended December 31, 2015, an increase of $0.5 million, or 25.2%. The increase in research and development expenses was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an increase of $0.5 million in expenses for salaries and related employee expenses resulting from an increase in the number of employees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represented an increase in share-based compensation expenses), an increase of $0.3 million primarily due to expenses for materials and decrease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$0.3 million in expenses for subcontractors and CROs due to the successful completion of our Phase 2a trial in the third quarter of 2015.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for the year ended December 31, 2016 were $2.7 million, compared to</w:t>
      </w:r>
    </w:p>
    <w:p>
      <w:pPr>
        <w:spacing w:after="0" w:line="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$1.6 million for the year ended December 31, 2015, an increase of $1.1 million, or 71.4%. The increase in general and administrative expenses was primarily due to an increase of $1.1 million in salaries and related employee expenses of which $1.0 million resulted from an increase in share-based compensation expenses.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(income) expenses, net</w:t>
      </w:r>
      <w:r>
        <w:rPr>
          <w:rFonts w:ascii="Times New Roman" w:cs="Times New Roman" w:eastAsia="Times New Roman" w:hAnsi="Times New Roman"/>
          <w:sz w:val="18"/>
          <w:szCs w:val="18"/>
          <w:color w:val="auto"/>
        </w:rPr>
        <w:t>.  Financial income, net for the year ended December 31, 2016 was $4.2 million, compared to financial expenses, net of</w:t>
      </w:r>
    </w:p>
    <w:p>
      <w:pPr>
        <w:spacing w:after="0" w:line="2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$0.6 million for the year ended December 31, 2015. Financial income, net for the year ended December 31, 2016 resulted mainly from the change in the fair value of convertible loans, Series A preferred shares, warrants to purchase Series A preferred shares and shares and liability to issue Series A preferred shares and warrants that were recorded as a financial liability at fair value through profit or loss. During the years ended December 31, 2016 and 2015, we recorded a gain of $4.3 million and a loss of $447,000, respectively, on the fair value of financial liabilities. For the assumptions used in the valuation of the convertible loans and preferred shares components see “— Critical Accounting Policies and Estimate — Fair Value of Financial Liabilities Through Profit or Loss.”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significant losses. For the nine months ended September 30, 2016 and 2017, our operating losses were $4.1 million and $7.0 million, respectively, and $3.7 million and $5.4 million for the years ended December 31, 2015 and 2016, respectively. In addition, during the years ended December 31, 2016 and 2015 and currently, we have been cash constrained due to our limited funds. We expect to continue to incur significant expenses and losses for the next several years. As of</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6" w:name="page77"/>
    <w:bookmarkEnd w:id="7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2017, we had an accumulated deficit of $38.0 million. Since our inception and through September 30, 2017, we have raised a total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 million from sales of our ordinary shares, Series A preferred shares and warrants, of which $0.6 million was recorded as an intangible asset based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ordinary shares issued in exchange. In addition, we have raised $10.6 million from convertible loans (of which an amount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($1.1 million including interest) was repaid in February 2017 and an amount of $8.5 million ($9.0 million including interest) was converted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2017 to Series B-1 preferred shares), and $0.5 million from IIA grants. From October to December 2017, we raised a total of $13.0 million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of our Series B preferred shares. As of December 31, 2017, we had cash and cash equivalents of $11.7 million. Our primary uses of cash have been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research and development and working capital requirements, and we expect these will continue to be our primary uses of cash.</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08"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7"/>
          <w:szCs w:val="17"/>
          <w:color w:val="auto"/>
        </w:rPr>
        <w:t>We expect that the net proceeds from this offering and our existing cash and cash equivalents will enable us to fund our research and development expenses, and working capital requirements for at least two years after the closing of this offering and will be sufficient to enable us to undertake the following:</w:t>
      </w:r>
    </w:p>
    <w:p>
      <w:pPr>
        <w:spacing w:after="0" w:line="84" w:lineRule="exact"/>
        <w:rPr>
          <w:sz w:val="20"/>
          <w:szCs w:val="20"/>
          <w:color w:val="auto"/>
        </w:rPr>
      </w:pPr>
    </w:p>
    <w:p>
      <w:pPr>
        <w:ind w:left="360" w:hanging="172"/>
        <w:spacing w:after="0"/>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our planned Phase 2b/3 clinical trials of EB612;</w:t>
      </w:r>
    </w:p>
    <w:p>
      <w:pPr>
        <w:spacing w:after="0" w:line="17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our planned Phase 2a clinical trial of EB613; and</w:t>
      </w:r>
    </w:p>
    <w:p>
      <w:pPr>
        <w:spacing w:after="0" w:line="17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headcount and operations and operate as a public company.</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based these estimates on assumptions that may prove to be wrong, and we may use our available capital resources sooner than we currently expect. Because of the numerous risks and uncertainties associated with the development of our product candidates, and the extent to which we may enter into collaborations with third parties for development of these or other product candidates, we are unable to estimate the amounts of increased capital outlays and operating expenses associated with completing the development of our current and future product candidates. Our future capital requirements will depend on many factors, including:</w:t>
      </w:r>
    </w:p>
    <w:p>
      <w:pPr>
        <w:spacing w:after="0" w:line="130" w:lineRule="exact"/>
        <w:rPr>
          <w:sz w:val="20"/>
          <w:szCs w:val="20"/>
          <w:color w:val="auto"/>
        </w:rPr>
      </w:pPr>
    </w:p>
    <w:p>
      <w:pPr>
        <w:ind w:left="360" w:hanging="172"/>
        <w:spacing w:after="0"/>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clinical trials for, and regulatory review of, EB612, EB613 and any other product candidates we may develop;</w:t>
      </w:r>
    </w:p>
    <w:p>
      <w:pPr>
        <w:spacing w:after="0" w:line="17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development activities for any other product candidates we may pursue;</w:t>
      </w:r>
    </w:p>
    <w:p>
      <w:pPr>
        <w:spacing w:after="0" w:line="171" w:lineRule="exact"/>
        <w:rPr>
          <w:rFonts w:ascii="Times New Roman" w:cs="Times New Roman" w:eastAsia="Times New Roman" w:hAnsi="Times New Roman"/>
          <w:sz w:val="18"/>
          <w:szCs w:val="18"/>
          <w:color w:val="auto"/>
        </w:rPr>
      </w:pPr>
    </w:p>
    <w:p>
      <w:pPr>
        <w:ind w:left="360" w:right="1040" w:hanging="172"/>
        <w:spacing w:after="0" w:line="282" w:lineRule="auto"/>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0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and technologies; and</w:t>
      </w:r>
    </w:p>
    <w:p>
      <w:pPr>
        <w:spacing w:after="0" w:line="17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collaborations on favorable terms, if at all.</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Until such time, if any, as we can generate substantial product revenue, we expect to finance our cash needs through a combination of private and public equity offerings, debt financings, government grants, strategic collaborations and licensing arrangements. We do not have any committed external sources of funds. To the extent that we raise additional capital through the sale of equity or convertible debt securities, the ownership interest of our then-existing shareholders will be diluted, and the terms of these securities may include liquidation or other preferences that may adversely affect your rights as a holder of our ordinary shares.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third parties, we may have to relinquish valuable rights to our technologies, future revenue streams or research programs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oral PTH product candidates and any other product candidates that we would otherwise prefer to develop and market ourselves.</w:t>
      </w: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77" w:name="page78"/>
    <w:bookmarkEnd w:id="7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audited financial statements for the year ended December 31, 2016 and our unaudited condensed interim financial statements for the nine months ended September 30, 2017, each included elsewhere in this prospectus, note that there is substantial doubt about our ability to continue as a going concern as of such date; and in its report accompanying our audited financial statements included herein, our independent registered public accounting firm included an explanatory paragraph stating that our recurring losses from operations and lack of sufficient working capital raise substantial doubt as to our ability to continue as a going concern. This means that our management and our independent registered public accounting firm have substantial doubt about our ability to continue our operations without an additional infusion of capital from external sources. The audited financial statements have been prepared on a going concern basis and do not include any adjustments that may be necessary should we be unable to continue as a going concern. If we are unable to finance our operations, our business would be in jeopardy and we might not be able to continue operations and might have to liquidate our assets. In that case, investors might receive less than the value at which those assets are carried on our financial statements, and it is likely that investors in this offering would lose all or a part of their investment.</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2017 Compared to Nine Months Ended September 30, 2016 (unaudited)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set forth below:</w:t>
      </w:r>
    </w:p>
    <w:p>
      <w:pPr>
        <w:spacing w:after="0" w:line="151"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22225</wp:posOffset>
            </wp:positionV>
            <wp:extent cx="14147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2017</w:t>
            </w:r>
          </w:p>
        </w:tc>
        <w:tc>
          <w:tcPr>
            <w:tcW w:w="640" w:type="dxa"/>
            <w:vAlign w:val="bottom"/>
          </w:tcPr>
          <w:p>
            <w:pPr>
              <w:spacing w:after="0"/>
              <w:rPr>
                <w:sz w:val="16"/>
                <w:szCs w:val="16"/>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6"/>
                <w:szCs w:val="16"/>
                <w:color w:val="auto"/>
              </w:rPr>
            </w:pPr>
          </w:p>
        </w:tc>
      </w:tr>
      <w:tr>
        <w:trPr>
          <w:trHeight w:val="24"/>
        </w:trPr>
        <w:tc>
          <w:tcPr>
            <w:tcW w:w="9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r>
      <w:tr>
        <w:trPr>
          <w:trHeight w:val="183"/>
        </w:trPr>
        <w:tc>
          <w:tcPr>
            <w:tcW w:w="9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color w:val="auto"/>
              </w:rPr>
              <w:t>(in thousands)</w:t>
            </w:r>
          </w:p>
        </w:tc>
      </w:tr>
      <w:tr>
        <w:trPr>
          <w:trHeight w:val="257"/>
        </w:trPr>
        <w:tc>
          <w:tcPr>
            <w:tcW w:w="9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$(2,865)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$(2,224)</w:t>
            </w:r>
          </w:p>
        </w:tc>
      </w:tr>
      <w:tr>
        <w:trPr>
          <w:trHeight w:val="257"/>
        </w:trPr>
        <w:tc>
          <w:tcPr>
            <w:tcW w:w="94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1,006</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(1,102)</w:t>
            </w:r>
          </w:p>
        </w:tc>
      </w:tr>
      <w:tr>
        <w:trPr>
          <w:trHeight w:val="257"/>
        </w:trPr>
        <w:tc>
          <w:tcPr>
            <w:tcW w:w="9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595</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7,216</w:t>
            </w:r>
          </w:p>
        </w:tc>
      </w:tr>
      <w:tr>
        <w:trPr>
          <w:trHeight w:val="264"/>
        </w:trPr>
        <w:tc>
          <w:tcPr>
            <w:tcW w:w="940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Foreign exchange differences on cash and cash equivalents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r>
      <w:tr>
        <w:trPr>
          <w:trHeight w:val="257"/>
        </w:trPr>
        <w:tc>
          <w:tcPr>
            <w:tcW w:w="9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(1,264)</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$ 3,890</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-985520</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2017 was $2.9 million, consisting primarily of our operating loss of</w:t>
      </w:r>
    </w:p>
    <w:p>
      <w:pPr>
        <w:spacing w:after="0" w:line="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$7.0 million arising mainly from research and development expenses and general and administrative expenses, partially offset by $4.0 million of share-based compensation and by a $0.1 million decrease in working capital.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2016 was $2.2 million, consisting primarily of our operating loss of</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$4.1 million arising mainly from research and development expenses and general and administrative expenses, partially offset by $1.2 million of share-based compensation, a $0.3 million decrease in working capital and $0.4 million in transaction expenses related to the 2016 Convertible Loan presented in cash provided by financing activities.</w:t>
      </w:r>
    </w:p>
    <w:p>
      <w:pPr>
        <w:spacing w:after="0" w:line="7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increase in cash used in operating activities for the nine months ended September 30, 2017 compared to the same period of 2016, was mainly due to an increase of $0.4 million in expenses for salaries and related employee expenses in addition to an increase for professional services of $0.4 million.</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06"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2017 consisted primarily of a decrease in restricted deposits of $1.1 million used for the payment of a portion of the 2015 Convertible Loan.</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2016 consisted primarily of an investment in restricted deposits of $1.1 million to secure the repayment of short-term convertible loans.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8" w:name="page79"/>
    <w:bookmarkEnd w:id="7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Cash Provided (Used in) by Financing Activities</w:t>
      </w:r>
    </w:p>
    <w:p>
      <w:pPr>
        <w:spacing w:after="0" w:line="10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2017 resulted from a $1.6 million increase on account of receipts of the amounts from the issuance of Series B preferred shares and a $1.0 million decrease from the repayment of a portion of the 2015 Convertible Loan.</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2016 resulted from net proceeds of $7.2 million from convertible loans and warrants to purchase our shares.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2016 Compared to Year Ended December 31, 2015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set forth below:</w:t>
      </w:r>
    </w:p>
    <w:p>
      <w:pPr>
        <w:spacing w:after="0" w:line="151"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(audited)</w:t>
      </w:r>
    </w:p>
    <w:p>
      <w:pPr>
        <w:spacing w:after="0" w:line="19" w:lineRule="exact"/>
        <w:rPr>
          <w:sz w:val="20"/>
          <w:szCs w:val="20"/>
          <w:color w:val="auto"/>
        </w:rPr>
      </w:pPr>
    </w:p>
    <w:p>
      <w:pPr>
        <w:jc w:val="center"/>
        <w:ind w:left="89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22225</wp:posOffset>
            </wp:positionV>
            <wp:extent cx="15951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16"/>
                <w:szCs w:val="16"/>
                <w:color w:val="auto"/>
              </w:rPr>
            </w:pPr>
          </w:p>
        </w:tc>
      </w:tr>
      <w:tr>
        <w:trPr>
          <w:trHeight w:val="24"/>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83"/>
        </w:trPr>
        <w:tc>
          <w:tcPr>
            <w:tcW w:w="8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57"/>
        </w:trPr>
        <w:tc>
          <w:tcPr>
            <w:tcW w:w="92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w w:val="97"/>
              </w:rPr>
              <w:t>$(3,142)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(3,495)</w:t>
            </w:r>
          </w:p>
        </w:tc>
      </w:tr>
      <w:tr>
        <w:trPr>
          <w:trHeight w:val="257"/>
        </w:trPr>
        <w:tc>
          <w:tcPr>
            <w:tcW w:w="92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r>
      <w:tr>
        <w:trPr>
          <w:trHeight w:val="257"/>
        </w:trPr>
        <w:tc>
          <w:tcPr>
            <w:tcW w:w="92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4,465</w:t>
            </w:r>
          </w:p>
        </w:tc>
      </w:tr>
      <w:tr>
        <w:trPr>
          <w:trHeight w:val="263"/>
        </w:trPr>
        <w:tc>
          <w:tcPr>
            <w:tcW w:w="92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Foreign exchange differences on cash and cash equivalents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9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57"/>
        </w:trPr>
        <w:tc>
          <w:tcPr>
            <w:tcW w:w="92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$ 2,958</w:t>
            </w: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915</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-985520</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0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2016 was $3.1 million and consisted primarily of our operating loss of $5.4 million arising mainly from research and development expenses and general and administrative expenses, partially offset by $1.5 million of share-based compensation and by a $0.4 million decrease in working capital.</w:t>
      </w:r>
    </w:p>
    <w:p>
      <w:pPr>
        <w:spacing w:after="0" w:line="6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2015 was $3.5 million and consisted primarily of our operating loss of $3.7 million arising primarily from research and development activities and general and administrative expenses partially offset by $0.4 million of share-based compensation. The decrease in cash used in operating activities from 2015 to 2016 was mainly due to a change in our working capital due to a decrease in prepaid expenses in the amount of $0.5 million of which $0.2 was for inventory of materials and $0.2 million for professional services, partially offset by $0.2 million decrease in account payables.</w:t>
      </w:r>
    </w:p>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0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2016 consisted primarily of an investment in restricted deposits of $1.1 million to secure the repayment of short-term convertible loans.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for the year ended December 31, 2015 was immaterial and resulted from the purchase of fixed assets.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0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2016 resulted from net proceeds of $7.2 million from convertible loans and warrants to purchase our shares.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2015 in the amount of $4.5 million resulted from proceeds of $2.5 million from the issuance of Series A preferred shares and warrants and $2.0 million from the incurrence of convertible loans and issuance of warrants.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9" w:name="page80"/>
    <w:bookmarkEnd w:id="7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contractual obligations and commitments as of December 31, 2016 that will affect our future liquidity: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4"/>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4"/>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r>
      <w:tr>
        <w:trPr>
          <w:trHeight w:val="171"/>
        </w:trPr>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1 - 3</w:t>
            </w:r>
          </w:p>
        </w:tc>
        <w:tc>
          <w:tcPr>
            <w:tcW w:w="44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3 - 5</w:t>
            </w:r>
          </w:p>
        </w:tc>
        <w:tc>
          <w:tcPr>
            <w:tcW w:w="28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90"/>
        </w:trPr>
        <w:tc>
          <w:tcPr>
            <w:tcW w:w="6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00" w:type="dxa"/>
            <w:vAlign w:val="bottom"/>
          </w:tcPr>
          <w:p>
            <w:pPr>
              <w:spacing w:after="0"/>
              <w:rPr>
                <w:sz w:val="16"/>
                <w:szCs w:val="16"/>
                <w:color w:val="auto"/>
              </w:rPr>
            </w:pP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6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6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4"/>
        </w:trPr>
        <w:tc>
          <w:tcPr>
            <w:tcW w:w="6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83"/>
        </w:trPr>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57"/>
        </w:trPr>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for facility and vehicles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2012 Convertible loan</w:t>
            </w:r>
          </w:p>
        </w:tc>
        <w:tc>
          <w:tcPr>
            <w:tcW w:w="100" w:type="dxa"/>
            <w:vAlign w:val="bottom"/>
          </w:tcPr>
          <w:p>
            <w:pPr>
              <w:spacing w:after="0"/>
              <w:rPr>
                <w:sz w:val="22"/>
                <w:szCs w:val="22"/>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1,288</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40" w:type="dxa"/>
            <w:vAlign w:val="bottom"/>
          </w:tcPr>
          <w:p>
            <w:pPr>
              <w:spacing w:after="0"/>
              <w:rPr>
                <w:sz w:val="22"/>
                <w:szCs w:val="22"/>
                <w:color w:val="auto"/>
              </w:rPr>
            </w:pP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1,254</w:t>
            </w:r>
          </w:p>
        </w:tc>
      </w:tr>
      <w:tr>
        <w:trPr>
          <w:trHeight w:val="257"/>
        </w:trPr>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 Convertible loan</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1,053</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5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2016 Convertible loan</w:t>
            </w:r>
          </w:p>
        </w:tc>
        <w:tc>
          <w:tcPr>
            <w:tcW w:w="100" w:type="dxa"/>
            <w:vAlign w:val="bottom"/>
          </w:tcPr>
          <w:p>
            <w:pPr>
              <w:spacing w:after="0"/>
              <w:rPr>
                <w:sz w:val="22"/>
                <w:szCs w:val="22"/>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9,135</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540" w:type="dxa"/>
            <w:vAlign w:val="bottom"/>
          </w:tcPr>
          <w:p>
            <w:pPr>
              <w:spacing w:after="0"/>
              <w:rPr>
                <w:sz w:val="22"/>
                <w:szCs w:val="22"/>
                <w:color w:val="auto"/>
              </w:rPr>
            </w:pP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7"/>
        </w:trPr>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2"/>
              </w:rPr>
              <w:t>11,511</w:t>
            </w:r>
          </w:p>
        </w:tc>
        <w:tc>
          <w:tcPr>
            <w:tcW w:w="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10,257</w:t>
            </w:r>
          </w:p>
        </w:tc>
        <w:tc>
          <w:tcPr>
            <w:tcW w:w="5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w:t>
            </w:r>
          </w:p>
        </w:tc>
        <w:tc>
          <w:tcPr>
            <w:tcW w:w="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1,254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-196850</wp:posOffset>
            </wp:positionV>
            <wp:extent cx="1714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67576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-985520</wp:posOffset>
            </wp:positionV>
            <wp:extent cx="1371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-985520</wp:posOffset>
            </wp:positionV>
            <wp:extent cx="137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-985520</wp:posOffset>
            </wp:positionV>
            <wp:extent cx="1371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-985520</wp:posOffset>
            </wp:positionV>
            <wp:extent cx="1371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Convertible Loans</w:t>
      </w:r>
    </w:p>
    <w:p>
      <w:pPr>
        <w:spacing w:after="0" w:line="1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2012 Convertible Loan</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8, 2012 and December 31, 2012, we entered into loan agreements with certain lenders, or the 2012 Convertible Loans. Pursuant to these agreements, the lenders loaned us an aggregate amount of $1.2 million. The 2012 Convertible Loans bear interest at a rate of 0.6% per year, which is to be paid every five years, and are due and payable after a term of 20 years. Interest expenses of $138,000 to be incurred through maturity are included in the table above. Each of the lenders has the right during the term to convert its respective loan amount into our ordinary shares at a conversion price of $240.26 per ordinary share (subject to adjustment), and for a period of the initial five years of the term of the loan agreement to exchange all such ordinary shares received into ordinary shares of D.N.A Biomedical at the rate of one of our ordinary shares for 5,590 ordinary shares of D.N.A Biomedical (subject to adjustment). Under the terms of the 2012 Convertible Loans, the outstanding loan amounts will be automatically converted into our ordinary shares upon the closing of this offering, and therefore these loans will no longer be outstanding after this offering.</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2015 Convertible Loan</w:t>
      </w:r>
    </w:p>
    <w:p>
      <w:pPr>
        <w:spacing w:after="0" w:line="1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August 5, 2015, we entered into a Convertible Promissory Note and Loan Agreement with certain lenders, or the 2015 Convertible Loan. Pursuant to the loan agreement for the 2015 Convertible Loan, the lenders loaned us an aggregate amount of $2.005 million. The 2015 Convertible Loan bore interest at a rate of 5% per year. Under its terms, the 2015 Convertible Loan was to be automatically converted into shares upon the occurrence of the following events, each a 2015 Triggering Event: an initial public offering, a private placement of equity securities or securities convertible into equity securities in an aggregate amount of no less than $10 million or a change of control. In connection with any such 2015 Triggering Event, the 2015 Convertible Loans would have been converted into the equity securities and/or securities convertible into equity securities of the Company that were issued in such a transaction, at a 25% discount.</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we issued to each lender under the 2015 Convertible Loan warrants, or the 2015 Warrants, to purchase an additional 40% of the amount of our securities that would have been issued to such lender as a result of the automatic conversion upon a 2015 Triggering Event at an exercise price of 125% of the applicable price per share. The 2015 Warrants were exercisable for the earlier of two years from the warrant issuance date or one year from the consummation of an initial public offering. As part of the 2016 Convertible Loan as discussed below, we granted the lenders a right to roll-over the 2015 Convertible Loan into the 2016 Convertible Loan. The lenders elected to roll-over an amount of $1.057 million into the 2016 Convertible Loan and the remainder, in an amount of $1.053 million (including interest and principal), was repaid by us in February 2017. There are no amounts outstanding under the 2015 Convertible Loans, and none of the 2015 Warrants remain outstanding, and as a result, the 2015 Convertible Loan agreement is no longer in force.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0" w:name="page81"/>
    <w:bookmarkEnd w:id="8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 Convertible Loan</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14, 2016, the Company entered into the 2016 Convertible Loan with certain lenders for an aggregate amount of approximately $7.44 million, or the 2016 Convertible Loan. In addition, an amount of $1.057 million of the 2015 Convertible Loan rolled over to the 2016 Convertible Loan. The 2016 Convertible Loan provided for a term of 18 months and bore interest at a rate of 5% per year. The 2016 Convertible Loan also granted each lender the right to invest, in the next share issuance by the Company, an amount not to exceed the amount such lender invested in the 2016 Convertible Loan, at a price per share of the shares issued in such issuance.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2016 Convertible Loan was to be automatically converted into shares upon the occurrence of any of the following events, each a 2016 Triggering Event: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initial public offering in which we raise at least $20 million, a private placement of our equity securities in an aggregate amount of not less than</w:t>
      </w:r>
    </w:p>
    <w:p>
      <w:pPr>
        <w:spacing w:after="0" w:line="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$10 million, or a change of control. In addition, we issued to each lender under the 2016 Convertible Loan warrants to purchase an additional 40% of the amount of our securities issued to such lender as a result of the automatic conversion following a 2016 Triggering Event.</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Following the completion of the Series B preferred shares purchase agreement (as discussed below), which constituted a 2016 Triggering Event, the loan amount, together with all accrued interest, was converted into Series B-1 preferred shares. In addition, the Series B preferred shares purchase agreement set the price and the amount of shares for which the holders of the previously issued 2016 Warrants (as described below) are entitled to exercise their 2016 Warrants. The 2016 Warrants are exercisable until June 2020, and will be exercisable into an aggregate of 473,639 ordinary shares following the completion of this offering.</w:t>
      </w:r>
    </w:p>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Severance Obligations</w:t>
      </w:r>
    </w:p>
    <w:p>
      <w:pPr>
        <w:spacing w:after="0" w:line="10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long-term liabilities for severance pay that are calculated pursuant to Israeli law generally based on the most recent salary of the relevant employees multiplied by the number of years of employment to the extent not covered by our regular deposits with defined contribution plans. As of September 30, 2017, our severance pay liability, net was $56,000. Because the timing of any such payments is not fixed and determinable, we have not included these liabilities in the table above.</w:t>
      </w:r>
    </w:p>
    <w:p>
      <w:pPr>
        <w:spacing w:after="0" w:line="1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0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also have obligations to make future payments to third parties that become due and payable on the achievement of certain milestones, such as royalties upon sale of products. We have not included these commitments in our statements of financial position or in the table above because the achievement and timing of these milestones is not fixed and determinable. These potential future commitments include:</w:t>
      </w:r>
    </w:p>
    <w:p>
      <w:pPr>
        <w:spacing w:after="0" w:line="149" w:lineRule="exact"/>
        <w:rPr>
          <w:sz w:val="20"/>
          <w:szCs w:val="20"/>
          <w:color w:val="auto"/>
        </w:rPr>
      </w:pPr>
    </w:p>
    <w:p>
      <w:pPr>
        <w:ind w:left="360" w:right="740" w:hanging="172"/>
        <w:spacing w:after="0" w:line="282" w:lineRule="auto"/>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commitment to pay Oramed royalties equal to 3% of our net revenues pursuant to the terms of the Patent Transfer Agreement between us and Oramed; and</w:t>
      </w:r>
    </w:p>
    <w:p>
      <w:pPr>
        <w:spacing w:after="0" w:line="12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commitment to pay royalties to the IIA. See “— Patent Transfer Agreement and Grant Funding.”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0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functional currency and reporting currency is the U.S. dollar. Fluctuations in the New Israel Shekel, or NIS, to U.S. dollar exchange rate may affect our results because some of our assets and liabilities are linked to the NIS and a portion of our operating expenses are denominated in NIS. In the future, we also may be exposed to additional currency fluctuations against the U.S. dollar. We do not hedge our foreign currency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1" w:name="page82"/>
    <w:bookmarkEnd w:id="8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0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had a material effect on our business, financial condition or results of operations in the last two fiscal years. If our costs were to become subject to significant inflationary pressures, we may not be able to fully offset such higher costs through hedging transactions. Our inability or failure to do so could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IFRS 9 “Financial Instruments”</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complete version of IFRS 9 replaces most of the guidance in IAS 39. IFRS 9 retains but simplifies the mixed measurement model and establishes three primary measurement categories for financial assets: amortized cost, fair value through other comprehensive income and fair value through profit and loss. The basis of classification depends on the entity’s business model and the contractual cash flow characteristics of the financial asset. Investments in equity instruments are required to be measured at fair value through profit or loss with the irrevocable option at inception to present changes in fair value in other comprehensive income. There is now a new expected credit losses model that replaces the incurred loss impairment model used in IAS 39. For financial liabilities, there were no changes to classification and measurement except for the recognition of changes in own credit risk in other comprehensive income, and for liabilities designated at fair value through profit or loss. The standard is effective for accounting periods beginning on or after January 1, 2018. We are currently evaluating the impact of adoption of this standard on our financial statements.</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IFRS 16 “Leases”</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2016, the IASB issued IFRS 16, Leases, which sets out the principles for the recognition, measurement, presentation and disclosure of leases for both parties to a contract and replaces the previous leases standard, IAS 17, Leases. IFRS 16 eliminates the classification of leases for the lessee as either operating leases or finance leases as required by IAS 17 and instead introduces a single lessee accounting model whereby a lessee is required to recognize assets and liabilities for all leases with a term that is greater than 12 months, unless the underlying asset is of low value, and to recognize depreciation of lease assets separately from interest on lease liabilities in the income statement. As IFRS 16 substantially carries forward the lessor accounting requirements in IAS 17, a lessor will continue to classify its leases as operating leases or finance leases and to account for those two types of leases differently. IFRS 16 is effective from January 1, 2019 with early adoption allowed only if IFRS 15, Revenue from Contracts with Customers, is also applied. We are currently evaluating the impact of adoption of this standard on our financial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Exemptions</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Given that we currently report and expect to continue to report our financial results under IFRS as issued by the IASB, we will not be able to avail ourselves of this extended transition period and, as a result, we will adopt new or revised accounting standards on the relevant dates on which adoption of such standards is required by the IASB.</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82" w:name="page83"/>
    <w:bookmarkEnd w:id="8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Subject to certain conditions set forth in the JOBS Act, as an “emerging growth company,” we intend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We would cease to be an emerging growth company if we have more than $1.07 billion in annual revenue, have more than $700 million in market value of our ordinary shares held by non-affiliates or issue more than $1.0 billion of non-convertible debt over a three-year period.</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83" w:name="page84"/>
    <w:bookmarkEnd w:id="8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BUSINESS</w:t>
      </w:r>
    </w:p>
    <w:p>
      <w:pPr>
        <w:spacing w:after="0" w:line="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orally delivered large molecule therapeutics for use in orphan indications and other areas with significant unmet medical need. We are initially applying our technology to develop an oral formulation of parathyroid hormone, or PTH, which has been approved in the United States in injectable form for over a decade. Our lead oral PTH product candidate, EB612, has successfully completed a Phase 2a trial for hypoparathyroidism, a rare condition in which the body fails to produce sufficient amounts of PTH. The FDA and the EMA have granted EB612 orphan drug designation for the treatment of hypoparathyroidism. We expect to initiate a Phase 2b/3 clinical trial of EB612 in the second half of 2018, and we plan to submit applications for regulatory approval of EB612 in the second half of 2020.</w:t>
      </w:r>
    </w:p>
    <w:p>
      <w:pPr>
        <w:spacing w:after="0" w:line="8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Hypoparathyroidism is a rare condition in which the body does not produce sufficient amounts of PTH, or the PTH produced lacks biologic activity. Individuals with a deficiency of PTH typically exhibit abnormally low levels of calcium in the blood, or hypocalcemia, and high levels of phosphorus, or hyperphosphatemia. Hypoparathyroidism is estimated to affect approximately 58,700 insured individuals in the United States. Historically, the treatments for hypoparathyroidism have been calcium supplements, vitamin D supplements and phosphate binders, the chronic use of which results in serious side effects with significant costs to the healthcare system. Natpara</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a once-daily injectable form of PTH, has been approved for the treatment of hypoparathyroidism. Our lead product candidate, EB612, is delivered orally and can be administered in customized doses several times a day. Multiple dosing per day has been shown to more effectively treat the symptoms of hypoparathyroidism than a once-daily injection, thus reducing the serious side effects of supplement treatment and improving patient outcomes. Studies performed by researchers at the NIH have shown that dosing PTH multiple times per day significantly increases the efficacy of therapy and would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 In addition, we believe patients generally prefer oral drugs. For these reasons, we believe EB612 is clinically superior to existing therapies and has the potential to become the standard of care for hypoparathyroidism.</w:t>
      </w:r>
    </w:p>
    <w:p>
      <w:pPr>
        <w:spacing w:after="0" w:line="9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third quarter of 2015 we successfully completed our Phase 2a trial for EB612. The end points in the trial were met, and 17 subjects completed the four-month trial and reported no related adverse events. Although our Phase 2a trial involved a smaller number of patients, was conducted for a shorter duration and did not include an initial optimization period in comparison to the design of the pivotal trial used for regulatory approval of Natpara, the REPLACE study, our Phase 2a trial still showed the potential for similar efficacy, a result that we plan to confirm by conducting a Phase 2b/3 trial, which will further evaluate the dosage, effectiveness and safety profile of EB612 in an expanded patient population at multiple trial sites. We believe that EB612 will have inherent advantages compared to injectable forms, including convenience of application, that no special preparations are required and that it can be stored under normal storage conditions (room temperature or refrigeration). Additionally, based on the results of our preliminary studies, we believe that EB612 will have an enhanced clinical profile as compared to Natpara, with an additional positive effect on elevated urinary calcium, as well as reduced side effects. If our preliminary results are borne out in additional trials, we believe this combination of advantages and long term clinical benefits will be very compelling to both patients and physicians.</w:t>
      </w:r>
    </w:p>
    <w:p>
      <w:pPr>
        <w:spacing w:after="0" w:line="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Based on consultations with key opinion leaders in the hypoparathyroidism field who have reviewed our Phase 2a results and are familiar with the REPLACE study are planning for a Phase 2b/3 trial, designed to possibly be a pivotal study for registration. This Phase 2b/3 study will be designed to repeat the REPLACE study in virtually every aspect, as well as to achieve a reduction in urinary calcium.</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4" w:name="page85"/>
    <w:bookmarkEnd w:id="8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523240</wp:posOffset>
            </wp:positionV>
            <wp:extent cx="5213985" cy="12433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398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Proposed design for EB612 Phase 2b/3 pivotal trial</w:t>
      </w:r>
    </w:p>
    <w:p>
      <w:pPr>
        <w:spacing w:after="0" w:line="10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are also developing a distinct oral PTH product candidate, EB613, for the treatment of osteoporosis. Osteoporosis is a systemic skeletal disease characterized by low bone mass, deterioration of bone tissue and increased bone fragility and susceptibility to fracture. An estimated 10 million people in the United States already have osteoporosis, and another approximately 43 million have low bone mass placing them at increased risk for osteoporosis. PTH plays a key role in the ongoing process of formation and degradation of bones. Forteo</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a once-daily injectable form of PTH, has been approved for the treatment of osteoporosis in the United States for over 10 years and is widely considered one of the most effective treatments due to its ability to build bone. Because our product candidate EB613 is oral, we believe it will reduce the treatment burden on patients and lead to significantly higher patient and physician acceptance compared to an injectable form of PTH. We intend to commence a Phase 2a clinical trial of EB613 in the first half of 2018. After completing this trial, we intend to collaborate with a strategic partner to further develop and commercialize EB613. We also are preparing to conduct a clinical trial of our oral PTH in non-union fractures, one indication within the field of bone healing.</w:t>
      </w:r>
    </w:p>
    <w:p>
      <w:pPr>
        <w:spacing w:after="0" w:line="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product candidates utilize our proprietary technology for the oral delivery of large molecules. Drug development has shifted towards the use of peptides, proteins and other large molecules for the treatment of various diseases. Between 1993 and 2004, large-molecule clinical approval success rates have outpaced small molecules by about two-to-one. Large molecules have been particularly widely used in orphan indications. Oral drug delivery reduces the treatment burden on patients relative to injectable drugs and provides significantly more flexibility, both in size of dose and number of doses per day, than injectable drugs, which are frequently administered once per day by preset injection pen. However, peptides, proteins and other large molecule therapeutics can currently only be delivered via injections and other non-oral pathways because oral administration leads to poor absorption into the blood stream as well as enzymatic degradation within the gastrointestinal tract.</w:t>
      </w:r>
    </w:p>
    <w:p>
      <w:pPr>
        <w:spacing w:after="0" w:line="8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proprietary oral drug delivery technology is designed to address both of these issues by utilizing a combination of a synthetic absorption enhancer, to facilitate the enhanced absorption of large molecules and protease inhibitors to prevent enzymatic degradation.</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also intend to use our technology as a platform for the oral delivery of other protein and large molecule therapeutics. We initially intend to focus on the development of products based on previously approved therapeutic agents. We believe this will allow us to more efficiently and predictably advance product candidates through the development cycle based on well-defined clinical and regulatory approval pathways. We have conducted initial feasibility studies with a number of candidates and intend to commence clinical development for our next, non-PTH, product candidate by the end of 2018.</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85" w:name="page86"/>
    <w:bookmarkEnd w:id="8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20320</wp:posOffset>
            </wp:positionV>
            <wp:extent cx="5042535" cy="16205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4253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commenced operations in August 2010 after receiving startup financing in the form of $0.6 million in cash from D.N.A Biomedical Solutions Ltd. and a license from Oramed Ltd., a subsidiary of Oramed Pharmaceuticals, Inc., to certain patent rights relating to the oral administration of proteins. These previously licensed patent rights were assigned to us in 2011, subject to an exclusive, royalty-free license in specified fields under such patent rights that we granted to Oramed Ltd.</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subsequently advanced our oral PTH product candidates from preclinical studies in animals to a Phase 2a clinical trial of EB612 in hypoparathyroidism in less than five years.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While our operations are currently focused in our offices in Israel, we intend to build a substantial U.S. presence to execute on our later stage development of our products, including clinical operations, regulatory operations, and commercialization. 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0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Our goal is to become a leading biopharmaceutical company focused on the development and commercialization of orally delivered large molecule therapeutics in indications with significant unmet medical need. The key elements of our strategy to achieve this goal are to:</w:t>
      </w:r>
    </w:p>
    <w:p>
      <w:pPr>
        <w:spacing w:after="0" w:line="92" w:lineRule="exact"/>
        <w:rPr>
          <w:sz w:val="20"/>
          <w:szCs w:val="20"/>
          <w:color w:val="auto"/>
        </w:rPr>
      </w:pPr>
    </w:p>
    <w:p>
      <w:pPr>
        <w:ind w:left="360" w:hanging="172"/>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our lead product candidate, EB612, through clinical development and into commercialization for the treatment of</w:t>
      </w:r>
    </w:p>
    <w:p>
      <w:pPr>
        <w:spacing w:after="0" w:line="29" w:lineRule="exact"/>
        <w:rPr>
          <w:rFonts w:ascii="Times New Roman" w:cs="Times New Roman" w:eastAsia="Times New Roman" w:hAnsi="Times New Roman"/>
          <w:sz w:val="18"/>
          <w:szCs w:val="18"/>
          <w:color w:val="auto"/>
        </w:rPr>
      </w:pPr>
    </w:p>
    <w:p>
      <w:pPr>
        <w:ind w:left="360" w:right="3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hypoparathyroidism</w:t>
      </w:r>
      <w:r>
        <w:rPr>
          <w:rFonts w:ascii="Times New Roman" w:cs="Times New Roman" w:eastAsia="Times New Roman" w:hAnsi="Times New Roman"/>
          <w:sz w:val="18"/>
          <w:szCs w:val="18"/>
          <w:color w:val="auto"/>
        </w:rPr>
        <w:t>: We completed a Phase 2a clinical trial of EB612 for the treatment of hypoparathyroidism and reported supportive results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quarter of 2015. We plan to initiate a Phase 2b/3 clinical trial of EB612 in hypoparathyroidism commencing in the second half of 2018 and the filing of a BLA with the FDA for approval of EB612 in 2020.</w:t>
      </w:r>
    </w:p>
    <w:p>
      <w:pPr>
        <w:spacing w:after="0" w:line="116" w:lineRule="exact"/>
        <w:rPr>
          <w:rFonts w:ascii="Times New Roman" w:cs="Times New Roman" w:eastAsia="Times New Roman" w:hAnsi="Times New Roman"/>
          <w:sz w:val="18"/>
          <w:szCs w:val="18"/>
          <w:color w:val="auto"/>
        </w:rPr>
      </w:pPr>
    </w:p>
    <w:p>
      <w:pPr>
        <w:ind w:left="360" w:right="420" w:hanging="172"/>
        <w:spacing w:after="0" w:line="267" w:lineRule="auto"/>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Produce supportive clinical data for our second product candidate, EB613, for the treatment of osteoporosis, before advancing into late-stage clinical trials</w:t>
      </w:r>
      <w:r>
        <w:rPr>
          <w:rFonts w:ascii="Times New Roman" w:cs="Times New Roman" w:eastAsia="Times New Roman" w:hAnsi="Times New Roman"/>
          <w:sz w:val="18"/>
          <w:szCs w:val="18"/>
          <w:color w:val="auto"/>
        </w:rPr>
        <w:t>: We are currently preparing to commence a Phase 2a clinical trial of EB613 in the first half of 2018. After we complete this trial,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 to collaborate with a strategic partner to further develop and commercialize the product.</w:t>
      </w:r>
    </w:p>
    <w:p>
      <w:pPr>
        <w:spacing w:after="0" w:line="92" w:lineRule="exact"/>
        <w:rPr>
          <w:rFonts w:ascii="Times New Roman" w:cs="Times New Roman" w:eastAsia="Times New Roman" w:hAnsi="Times New Roman"/>
          <w:sz w:val="18"/>
          <w:szCs w:val="18"/>
          <w:color w:val="auto"/>
        </w:rPr>
      </w:pPr>
    </w:p>
    <w:p>
      <w:pPr>
        <w:ind w:left="360" w:right="360" w:hanging="172"/>
        <w:spacing w:after="0" w:line="257" w:lineRule="auto"/>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Leverage our expertise in the oral delivery of PTH to develop product candidates in additional indications</w:t>
      </w:r>
      <w:r>
        <w:rPr>
          <w:rFonts w:ascii="Times New Roman" w:cs="Times New Roman" w:eastAsia="Times New Roman" w:hAnsi="Times New Roman"/>
          <w:sz w:val="18"/>
          <w:szCs w:val="18"/>
          <w:color w:val="auto"/>
        </w:rPr>
        <w:t>: We intend to conduct exploratory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2 studies for the use of our oral PTH candidates in additional indications in which PTH plays a key biological role, including non-union fractures, one indication within the field of bone healing. We plan to use EB613, or a further modified formulation if studies suggest we could achieve a PK profile that is more efficacious, for these indications. We also plan to apply our drug delivery technology to other large molecules with chemical and other characteristics that would be advantageous with our technology in order to target orphan indications and other areas with significant unmet medical need.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86" w:name="page87"/>
    <w:bookmarkEnd w:id="8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0" w:right="320" w:hanging="172"/>
        <w:spacing w:after="0" w:line="259" w:lineRule="auto"/>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Improve the efficacy profile of large molecule therapeutics through the application of our proprietary oral delivery technology</w:t>
      </w:r>
      <w:r>
        <w:rPr>
          <w:rFonts w:ascii="Times New Roman" w:cs="Times New Roman" w:eastAsia="Times New Roman" w:hAnsi="Times New Roman"/>
          <w:sz w:val="18"/>
          <w:szCs w:val="18"/>
          <w:color w:val="auto"/>
        </w:rPr>
        <w:t>: Oral drug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lowers the treatment burden on patients relative to injectable drugs, leading to higher patient and physician acceptance. However, peptides, proteins and other large molecule therapeutics can currently only be delivered via injections and other non-oral pathways because oral administration leads to negligible absorption into the blood stream as well as enzymatic degradation within the gastrointestinal tract. Our technology is designed to overcome both of these issues by enabling enhanced systemic absorption of large molecules and slowing their enzymatic degradation.</w:t>
      </w:r>
    </w:p>
    <w:p>
      <w:pPr>
        <w:spacing w:after="0" w:line="139" w:lineRule="exact"/>
        <w:rPr>
          <w:rFonts w:ascii="Times New Roman" w:cs="Times New Roman" w:eastAsia="Times New Roman" w:hAnsi="Times New Roman"/>
          <w:sz w:val="18"/>
          <w:szCs w:val="18"/>
          <w:color w:val="auto"/>
        </w:rPr>
      </w:pPr>
    </w:p>
    <w:p>
      <w:pPr>
        <w:ind w:left="360" w:right="340" w:hanging="172"/>
        <w:spacing w:after="0" w:line="256" w:lineRule="auto"/>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 our development and commercialization efforts on indications with significant unmet medical need</w:t>
      </w:r>
      <w:r>
        <w:rPr>
          <w:rFonts w:ascii="Times New Roman" w:cs="Times New Roman" w:eastAsia="Times New Roman" w:hAnsi="Times New Roman"/>
          <w:sz w:val="18"/>
          <w:szCs w:val="18"/>
          <w:color w:val="auto"/>
        </w:rPr>
        <w:t>: We are focused on the development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orally delivered large molecule therapeutics for the treatment of orphan indications and other indications with significant unmet medical need. Between 1993 and 2004, large-molecule clinical approval success rates have outpaced small molecules by about two-to-one and there are a wide range of large-molecules candidates within the orphan space for potential use with our oral drug delivery technology. For product candidates that target orphan indications, we intend to retain commercialization rights within key territories, including the United States, because of the ability to commercialize with a small sales force. For product candidates that target indications with larger patient populations, we may choose to partner with larger biopharmaceutical companies ahead of late stage development and commercialization.</w:t>
      </w:r>
    </w:p>
    <w:p>
      <w:pPr>
        <w:spacing w:after="0" w:line="142" w:lineRule="exact"/>
        <w:rPr>
          <w:rFonts w:ascii="Times New Roman" w:cs="Times New Roman" w:eastAsia="Times New Roman" w:hAnsi="Times New Roman"/>
          <w:sz w:val="18"/>
          <w:szCs w:val="18"/>
          <w:color w:val="auto"/>
        </w:rPr>
      </w:pPr>
    </w:p>
    <w:p>
      <w:pPr>
        <w:ind w:left="360" w:right="600" w:hanging="172"/>
        <w:spacing w:after="0" w:line="261" w:lineRule="auto"/>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Initially develop products based on FDA-approved large molecule therapeutics</w:t>
      </w:r>
      <w:r>
        <w:rPr>
          <w:rFonts w:ascii="Times New Roman" w:cs="Times New Roman" w:eastAsia="Times New Roman" w:hAnsi="Times New Roman"/>
          <w:sz w:val="18"/>
          <w:szCs w:val="18"/>
          <w:color w:val="auto"/>
        </w:rPr>
        <w:t>: By initially focusing on the development of product candidates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apply our technology to FDA-approved large molecule therapeutic agents with known mechanisms of action, we believe we can reduce the development risks associated with our product candidates. We believe this will allow us to advance our product candidates efficiently and predictably through the development cycle.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are focused on the development and commercialization of product candidates that leverage our proprietary technology for the oral delivery of large molecule therapeutics. Recently, drug development has shifted towards the use of peptides, proteins and other large molecules for the treatment of various diseases. By lowering the treatment burden on patients, oral drug delivery leads to higher patient and physician acceptance. In addition, oral drug delivery provides significantly more flexibility, both in size of dose and number of doses per day, than injectable drugs, which are frequently administered by preset injection pen and only once per day.</w:t>
      </w:r>
    </w:p>
    <w:p>
      <w:pPr>
        <w:spacing w:after="0" w:line="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Currently, peptides, proteins and other large molecule therapeutics can only be delivered via injections and other non-oral pathways because oral administration leads to poor absorption into the blood stream (bioavailability) due to enzymatic degradation within the gastrointestinal tract and poor permeability though the intestinal wall. Most oral drug delivery technologies attempting to overcome this hurdle nevertheless manage to attain only very low bioavailability (less than 1%). Orally-delivered large molecules with low systemic levels present high variability of dose exposure, both between patients and within the same patient at different times of administration since small changes in the level of absorption lead to significant changes in the bioavailability. Absorption variability is generally decreased as the drug bioavailability is increased.</w:t>
      </w:r>
    </w:p>
    <w:p>
      <w:pPr>
        <w:spacing w:after="0" w:line="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Oral formulations of large molecules must therefore ensure that the large molecule is able to pass through the intestinal wall so that it can be absorbed into the bloodstream and that the large molecule therapeutic is not exposed to enzymatic degradation in order to protect its biological activity and availability for absorption.</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87" w:name="page88"/>
    <w:bookmarkEnd w:id="8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proprietary technology is designed to address both of these issues by utilizing a combination of a synthetic absorption enhancer, or carrier molecule, to facilitate the enhanced absorption of large molecules, and protease inhibitors to prevent enzymatic degradation. By designing our product candidates to address both the issues of absorption and degradation, we have been able to significantly increase bioavailability and decrease the variability of the PTH dose delivered in our clinical trials to date.</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carrier molecule is designed to create a weak association with our chosen large molecule therapeutic, leaving the therapeutic agent chemically unmodified. The carrier molecule enables transport across the intestinal membrane via transcellular absorption without compromising the integrity of the intestinal wall. Because of the weak association between the carrier molecule and the therapeutic agent, the interaction is designed to be reversible and occurs spontaneously by simple dilution on entering the blood. We selected protease inhibitors that act by specifically inhibiting a number of gastrointestinal enzymes designed to assist in the degradation and digestion of proteins without interfering with normal gastrointestinal activity.</w:t>
      </w:r>
    </w:p>
    <w:p>
      <w:pPr>
        <w:spacing w:after="0" w:line="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order for large molecule therapeutics to be benefit from the use of our oral delivery technology, they must demonstrate a number of specific characteristics, including:</w:t>
      </w:r>
    </w:p>
    <w:p>
      <w:pPr>
        <w:spacing w:after="0" w:line="135" w:lineRule="exact"/>
        <w:rPr>
          <w:sz w:val="20"/>
          <w:szCs w:val="20"/>
          <w:color w:val="auto"/>
        </w:rPr>
      </w:pPr>
    </w:p>
    <w:p>
      <w:pPr>
        <w:ind w:left="360" w:hanging="172"/>
        <w:spacing w:after="0"/>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size, as measured by molecular weight, and other chemical/physical characteristics;</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mechanism of action that favors delivery through the gastrointestinal tract rather than through injections, and;</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dosing schedule that requires dosing one or more times per day for at least three months.</w:t>
      </w:r>
    </w:p>
    <w:p>
      <w:pPr>
        <w:spacing w:after="0" w:line="11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Based on these criteria, the first product candidate we chose to pursue was PTH, which has the potential for therapeutic use in a number of indications including hypoparathyroidism, osteoporosis and non-union fractures.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Stage of</w:t>
            </w:r>
          </w:p>
        </w:tc>
        <w:tc>
          <w:tcPr>
            <w:tcW w:w="2940" w:type="dxa"/>
            <w:vAlign w:val="bottom"/>
          </w:tcPr>
          <w:p>
            <w:pPr>
              <w:spacing w:after="0"/>
              <w:rPr>
                <w:sz w:val="14"/>
                <w:szCs w:val="14"/>
                <w:color w:val="auto"/>
              </w:rPr>
            </w:pPr>
          </w:p>
        </w:tc>
      </w:tr>
      <w:tr>
        <w:trPr>
          <w:trHeight w:val="190"/>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3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Status</w:t>
            </w:r>
          </w:p>
        </w:tc>
      </w:tr>
      <w:tr>
        <w:trPr>
          <w:trHeight w:val="24"/>
        </w:trPr>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EB612</w:t>
            </w:r>
          </w:p>
        </w:tc>
        <w:tc>
          <w:tcPr>
            <w:tcW w:w="3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Hypoparathyroidism</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Oral PTH (1-34)</w:t>
            </w:r>
          </w:p>
        </w:tc>
        <w:tc>
          <w:tcPr>
            <w:tcW w:w="1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Phase 2a completed</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w w:val="99"/>
              </w:rPr>
              <w:t>Phase 2a successfully completed; results</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reported Q3 2015</w:t>
            </w:r>
          </w:p>
        </w:tc>
      </w:tr>
      <w:tr>
        <w:trPr>
          <w:trHeight w:val="238"/>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Pharmacokinetic/pharmacodynamic, or</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w w:val="99"/>
              </w:rPr>
              <w:t>PK/PD, study head to head with Natpara</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 hypoparathyroid patients expected in</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H1 2018</w:t>
            </w:r>
          </w:p>
        </w:tc>
      </w:tr>
      <w:tr>
        <w:trPr>
          <w:trHeight w:val="238"/>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Phase 2b/3 initiation in United States,</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 Europe, Israel and</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Canada expected H2 2018</w:t>
            </w:r>
          </w:p>
        </w:tc>
      </w:tr>
      <w:tr>
        <w:trPr>
          <w:trHeight w:val="257"/>
        </w:trPr>
        <w:tc>
          <w:tcPr>
            <w:tcW w:w="1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Topline data expected H1 2020</w:t>
            </w:r>
          </w:p>
        </w:tc>
      </w:tr>
      <w:tr>
        <w:trPr>
          <w:trHeight w:val="500"/>
        </w:trPr>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385"/>
        </w:trPr>
        <w:tc>
          <w:tcPr>
            <w:tcW w:w="1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8" w:name="page89"/>
    <w:bookmarkEnd w:id="8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Stage of</w:t>
            </w:r>
          </w:p>
        </w:tc>
        <w:tc>
          <w:tcPr>
            <w:tcW w:w="2940" w:type="dxa"/>
            <w:vAlign w:val="bottom"/>
          </w:tcPr>
          <w:p>
            <w:pPr>
              <w:spacing w:after="0"/>
              <w:rPr>
                <w:sz w:val="14"/>
                <w:szCs w:val="14"/>
                <w:color w:val="auto"/>
              </w:rPr>
            </w:pPr>
          </w:p>
        </w:tc>
      </w:tr>
      <w:tr>
        <w:trPr>
          <w:trHeight w:val="190"/>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3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Status</w:t>
            </w:r>
          </w:p>
        </w:tc>
      </w:tr>
      <w:tr>
        <w:trPr>
          <w:trHeight w:val="24"/>
        </w:trPr>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37"/>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EB613</w:t>
            </w:r>
          </w:p>
        </w:tc>
        <w:tc>
          <w:tcPr>
            <w:tcW w:w="3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Osteoporosis</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Oral PTH (1-34)</w:t>
            </w:r>
          </w:p>
        </w:tc>
        <w:tc>
          <w:tcPr>
            <w:tcW w:w="1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Phase 1</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Phase 2a initiation expected H1 2018</w:t>
            </w:r>
          </w:p>
        </w:tc>
      </w:tr>
      <w:tr>
        <w:trPr>
          <w:trHeight w:val="238"/>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 2019, intend to partner with a larger</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 company for the</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clinical development and</w:t>
            </w: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commercialization</w:t>
            </w:r>
          </w:p>
        </w:tc>
      </w:tr>
      <w:tr>
        <w:trPr>
          <w:trHeight w:val="257"/>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Oral PTH</w:t>
            </w:r>
          </w:p>
        </w:tc>
        <w:tc>
          <w:tcPr>
            <w:tcW w:w="3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Non-union fractures</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Oral PTH (1-34)</w:t>
            </w:r>
          </w:p>
        </w:tc>
        <w:tc>
          <w:tcPr>
            <w:tcW w:w="1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Preclinical</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Phase 2a initiation expected H2 2018</w:t>
            </w:r>
          </w:p>
        </w:tc>
      </w:tr>
    </w:tbl>
    <w:p>
      <w:pPr>
        <w:spacing w:after="0" w:line="3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Oral PTH Therapeutics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PTH is a hormone that regulates the levels of calcium and phosphorus in the blood. The naturally occurring form of PTH that is found in the human body is composed of 84 amino acids, although only the first 34 amino acids are believed to be responsible for its biological effects. A recombinant form of PTH that is comprised of only the first 34 amino acids, or PTH (1-34), can be used as a treatment for a number of indications, including hypoparathyroidism, osteoporosis and non-union fractures. An injectable form of PTH (1-34), marketed under the name Forteo, has been approved in the United States for more than 10 years and has been used by millions of patients for the treatment of osteoporosis. An injectable form of full length PTH (1-84), marketed under the name Natpara, has also recently been approved for the treatment of hypoparathyroidism. We are developing a number of distinct oral PTH (1-34) tablets, with significant differences in dose and pharmacokinetic, or PK, profile that can be used for a number of proposed indications. We believe that our oral PTH product candidates, if approved, have the potential to become the standard of care for patients with hypoparathyroidism, osteoporosis and non-union fractures.</w:t>
      </w:r>
    </w:p>
    <w:p>
      <w:pPr>
        <w:spacing w:after="0" w:line="64"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8"/>
          <w:szCs w:val="18"/>
          <w:color w:val="auto"/>
        </w:rPr>
        <w:t>PTH regulates calcium and phosphate homeostasis and bone metabolism in the body. In normal healthy individuals, PTH is generally produced at a very low basal level of 15 – 25 pg/ml (pg = 10</w:t>
      </w:r>
      <w:r>
        <w:rPr>
          <w:rFonts w:ascii="Times New Roman" w:cs="Times New Roman" w:eastAsia="Times New Roman" w:hAnsi="Times New Roman"/>
          <w:sz w:val="27"/>
          <w:szCs w:val="27"/>
          <w:color w:val="auto"/>
          <w:vertAlign w:val="superscript"/>
        </w:rPr>
        <w:t>-12</w:t>
      </w:r>
      <w:r>
        <w:rPr>
          <w:rFonts w:ascii="Times New Roman" w:cs="Times New Roman" w:eastAsia="Times New Roman" w:hAnsi="Times New Roman"/>
          <w:sz w:val="18"/>
          <w:szCs w:val="18"/>
          <w:color w:val="auto"/>
        </w:rPr>
        <w:t xml:space="preserve"> g). On top of the basal PTH levels, there are physiological pulses two to three times per day presented as transient increases in PTH levels reaching up to 35 pg/ml. While the basal level helps maintain calcium and phosphate homeostasis, the pulses help encourage bone turnover through activation of both osteoblasts and osteoclasts, the two main types of cells that are responsible for the process through which bones are constantly being remodeled. Absent these pulses, it is difficult for the body to regulate normal homeostatic processes.</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EB612 for Hypoparathyroidism</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Hypoparathyroidism</w:t>
      </w:r>
    </w:p>
    <w:p>
      <w:pPr>
        <w:spacing w:after="0" w:line="6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focused on the development of oral PTH (1-34) for hypoparathyroidism, which, if approved, we believe has the potential to become the standard of care for hypoparathyroidism. Hypoparathyroidism is a rare condition in which the parathyroid glands fail to produce sufficient amounts of PTH or the PTH produced lacks biologic activity. Individuals with a deficiency of parathyroid hormone may exhibit hypocalcemia and hyperphosphatemia. Hypocalcemia can cause one or more of a variety of symptoms, including weakness, muscle cramps, excessive nervousness, headaches and uncontrollable twitching and cramping spasms of muscles such as those of the hands, feet, arms, legs and face, which is known as tetany. Numbness and tingling around the mouth and in the fingers and toes can also occur. Acute hypocalcemia can result in cardiac failure, failure of nervous system functions and death. Hyperphosphatemia can result in soft tissue calcium deposition, which may lead to severe issues, including damage to the circulatory system and central nervous system. The most common cause of hypoparathyroidism is damage to, or removal of, the parathyroid glands due to surgery for another condition. Hypoparathyroidism can also be caused by an autoimmune process, or idiopathic reasons or occur in association with a number of different underlying disorders. In rare cases, hypoparathyroidism may occur as a genetic disorder.</w:t>
      </w:r>
    </w:p>
    <w:p>
      <w:pPr>
        <w:spacing w:after="0" w:line="6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prevalence of hypoparathyroidism is estimated to be 37 per 100,000 in the United States, with 78% of cases caused by surgery, 7% due to genetic disorder and 6% due to idiopathic origin. Although incidence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9" w:name="page90"/>
    <w:bookmarkEnd w:id="8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rates have been difficult to quantify, it is estimated that chronic hypoparathyroidism, which affects patients for more than six months, affects approximately 58,700 insured individuals in the United States, with an estimated 43% of these chronic cases characterized as mild, 39% characterized as moderate, and 18% characterized as severe. The FDA has granted orphan drug designation to our oral PTH for the treatment of hypoparathyroidism.</w:t>
      </w:r>
    </w:p>
    <w:p>
      <w:pPr>
        <w:spacing w:after="0" w:line="68"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Historically, the treatments for hypoparathyroidism have been calcium supplements, vitamin D supplements and phosphate binders. Although calcium and vitamin D can help alleviate hypocalcemia, their chronic use results in many serious side effects with significant costs to the healthcare system. Hypoparathyroid patients often need to take large doses of calcium throughout the day in order to maintain calcium homeostasis in the serum, or blood plasma, throughout the day for normal body functioning. It then falls upon the kidneys to dispose of excess calcium and maintain precise control of serum calcium levels. Over potentially years of treatment, kidney stones may develop, and ultimately kidney failure may occur. Even with the use of calcium and vitamin D supplements and other medications, the majority of patients with hypoparathyroidism continue to experience multiple severe physical and cognitive symptoms.</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Until recently, hypoparathyroidism was the only hormonal insufficiency state that did not have an approved hormone replacement therapy. NPS Pharmaceuticals, Inc., a biopharmaceutical company that was acquired by Shire plc in February 2015, developed Natpara, a recombinant form of human PTH (1-84), as an injectable hormone replacement therapy for the underlying cause of hypoparathyroidism, lack of PTH. Natpara is administered once daily with a pre-set injection pen. Natpara was approved by the FDA in January 2015 launched commercially in the United States later in 2015.</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2014, an advisory committee of the FDA reviewed the Natpara BLA. This advisory committee review of Natpara highlighted a number of observations. In its briefing to the advisory committee, the FDA noted that Natpara had limited clinical benefit in controlling excessive calcium in the urine, or hypercalciuria, a condition commonly associated with hypoparathyroidism and the most commonly identifiable cause of calcium kidney stone disease. Additional analysis by the FDA also noted that, due to a change in trial protocol that was made after the initiation of the trial, the responder rate for the pivotal single-dose trial’s primary efficacy endpoint was 32.1% under the original trial protocol versus the 54.8% that was ultimately reported. The FDA stated in its briefing report that the results of this alternate analysis may be more clinically relevant, particularly if a clinician’s goal is to keep a patient’s serum calcium in the lower half of the normal range.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EB612 is differentiated from Natpara for the following reasons:</w:t>
      </w:r>
    </w:p>
    <w:p>
      <w:pPr>
        <w:spacing w:after="0" w:line="196" w:lineRule="exact"/>
        <w:rPr>
          <w:sz w:val="20"/>
          <w:szCs w:val="20"/>
          <w:color w:val="auto"/>
        </w:rPr>
      </w:pPr>
    </w:p>
    <w:p>
      <w:pPr>
        <w:ind w:left="360" w:right="460" w:hanging="172"/>
        <w:spacing w:after="0" w:line="261" w:lineRule="auto"/>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EB612 is designed to be dosed multiple times a day</w:t>
      </w:r>
      <w:r>
        <w:rPr>
          <w:rFonts w:ascii="Times New Roman" w:cs="Times New Roman" w:eastAsia="Times New Roman" w:hAnsi="Times New Roman"/>
          <w:sz w:val="18"/>
          <w:szCs w:val="18"/>
          <w:color w:val="auto"/>
        </w:rPr>
        <w:t>. Studies performed by the NIH have shown that dosing PTH multiple times per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increases the efficacy of therapy and would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w:t>
      </w:r>
    </w:p>
    <w:p>
      <w:pPr>
        <w:spacing w:after="0" w:line="139" w:lineRule="exact"/>
        <w:rPr>
          <w:rFonts w:ascii="Times New Roman" w:cs="Times New Roman" w:eastAsia="Times New Roman" w:hAnsi="Times New Roman"/>
          <w:sz w:val="18"/>
          <w:szCs w:val="18"/>
          <w:color w:val="auto"/>
        </w:rPr>
      </w:pPr>
    </w:p>
    <w:p>
      <w:pPr>
        <w:jc w:val="both"/>
        <w:ind w:left="360" w:right="720" w:hanging="172"/>
        <w:spacing w:after="0" w:line="267" w:lineRule="auto"/>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EB612 is designed to be dosed according to patient needs</w:t>
      </w:r>
      <w:r>
        <w:rPr>
          <w:rFonts w:ascii="Times New Roman" w:cs="Times New Roman" w:eastAsia="Times New Roman" w:hAnsi="Times New Roman"/>
          <w:sz w:val="18"/>
          <w:szCs w:val="18"/>
          <w:color w:val="auto"/>
        </w:rPr>
        <w:t>. The hypoparathyroid population is heterogeneous and patients have highly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responsiveness to PTH. Therefore, the ability to customize PTH dosing throughout the day with an oral tablet is an advantage over a once-daily preset injection pen.</w:t>
      </w:r>
    </w:p>
    <w:p>
      <w:pPr>
        <w:spacing w:after="0" w:line="133" w:lineRule="exact"/>
        <w:rPr>
          <w:rFonts w:ascii="Times New Roman" w:cs="Times New Roman" w:eastAsia="Times New Roman" w:hAnsi="Times New Roman"/>
          <w:sz w:val="18"/>
          <w:szCs w:val="18"/>
          <w:color w:val="auto"/>
        </w:rPr>
      </w:pPr>
    </w:p>
    <w:p>
      <w:pPr>
        <w:ind w:left="360" w:right="420" w:hanging="172"/>
        <w:spacing w:after="0" w:line="259" w:lineRule="auto"/>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EB612 is expected to have less adverse events of hypercalcemia</w:t>
      </w:r>
      <w:r>
        <w:rPr>
          <w:rFonts w:ascii="Times New Roman" w:cs="Times New Roman" w:eastAsia="Times New Roman" w:hAnsi="Times New Roman"/>
          <w:sz w:val="18"/>
          <w:szCs w:val="18"/>
          <w:color w:val="auto"/>
        </w:rPr>
        <w:t>. Our planned treatment regimen would be increased gradually and in parallel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serum calcium increases slightly. As a result, calcium and vitamin D supplements would be reduced gradually, while maintaining a relatively stable level of serum calcium. This is in contrast with Natpara’s initial high dose, which requires an immediate reduction in supplements in anticipation of a rapid increase in serum calcium levels. Furthermore, this immediate and prolonged increase in serum calcium increases risk of prolonged hypercalcemia compared to EB612.</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2720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0" w:name="page91"/>
    <w:bookmarkEnd w:id="9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360" w:right="440" w:hanging="172"/>
        <w:spacing w:after="0" w:line="267" w:lineRule="auto"/>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EB612 can be administered in a more convenient manner</w:t>
      </w:r>
      <w:r>
        <w:rPr>
          <w:rFonts w:ascii="Times New Roman" w:cs="Times New Roman" w:eastAsia="Times New Roman" w:hAnsi="Times New Roman"/>
          <w:sz w:val="18"/>
          <w:szCs w:val="18"/>
          <w:color w:val="auto"/>
        </w:rPr>
        <w:t>. Natpara must be stored under restrictive conditions (refrigeration requiring no freezing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 shaking), and a multiple step preparation must be performed every two weeks. EB612 will not require such additional preparations and will have no significant storage restrictions, except potentially for refrigeration.</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EB612, if approved, could be administered several times a day in customized doses and could therefore more specifically regulate calcium and phosphate levels throughout the day without the side effects associated with a highly concentrated once-daily injection. We believe this would alleviate the symptoms of hypoparathyroidism while reducing the need for calcium and vitamin D supplements, thus also lessening the side effects of supplement treatment. As a result of its dose flexibility and the greater patient acceptance of oral formulations, we believe EB612, if approved, will address a larger segment of the hypoparathyroid population than Natpara. For these reasons, we believe that EB612, if approved, has the potential to become the standard of care for hypoparathyroidism.</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Overview of EB612</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lead product candidate, EB612, is an oral formulation of PTH (1-34). To date, no oral PTH formulation has been successfully developed because PTH, like many other hormonally active peptides, degrades rapidly in the intestinal tract when taken orally. EB612 is a synthetic form of the first 34 amino acids of human PTH to which we have applied our proprietary technology for the oral delivery of large molecule therapeutics. This technology permits oral administration, enabling more frequent dosing throughout the day and greater sensitivity and flexibility in dosing than injectable formulations of PTH. The carrier molecule and selection of protease inhibitors that are used in our technology are well-characterized and have been used in large clinical trials. We have attempted to optimize EB612 to enable the most cost effective and safe formulation while maintaining the required effect. These components, when used separately, have been shown to be safe in doses significantly higher than those used in the clinical trials for our current product candidates.</w:t>
      </w:r>
    </w:p>
    <w:p>
      <w:pPr>
        <w:spacing w:after="0" w:line="8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Our oral PTH (1-34) also displayed positive pharmacokinetic profiles, or PK, and pharmacodynamic, or PD, properties, in particular compared to commercially available injectable PTH (1-34) (Forteo).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our clinical development of EB612 to date:</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conducted a Phase 1a clinical trial with multiple formulations of our oral PTH to evaluate safety and collect bioavailability, PK and PD data in 42 healthy volunteers.</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conducted an extended Phase 1b clinical trial in an additional 30 subjects to test a variety of manufacturing technologies with multiple formulations, administration parameters and dosing regimens of our oral PTH.</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completed a Phase 2a trial. The end points in the trial were met, and 17 subjects completed the four-month trial and reported no confirmed related serious or significant adverse events as defined by the study protocol.</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believe that EB612 will have inherent advantages compared to injectable forms, including convenience of application, that no special preparations are required and that it can be stored under normal storage conditions (room temperature or refrigeration). Additionally, based on the results of our preliminary studies, we believe that EB612 will have an enhanced clinical profile as compared to Natpara, with an additional positive effect on elevated urinary calcium, as well as reduced side effects. If our preliminary results are borne out in additional trials, we believe this combination of advantages and long term clinical benefits will be very compelling to both patients and physicians.</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Phase 2a Clinical Trial</w:t>
      </w:r>
    </w:p>
    <w:p>
      <w:pPr>
        <w:spacing w:after="0" w:line="10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2015, we successfully completed a Phase 2a clinical trial of EB612 in hypoparathyroidism patients. The end points in the trial were met, and 17 subjects completed the four-month trial and reported no related serious adverse events.</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While we have not conducted direct head-to-head studies comparing EB612 to Natpara, based on a review of the clinical data presented in Natpara’s REPLACE study and our Phase 2a results, we believe EB612 potentially provides a more favorable therapy for hypoparathyroidism patients. Although our Phase 2a</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91" w:name="page92"/>
    <w:bookmarkEnd w:id="9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study involved a smaller number of subjects (N=17 vs. N=84 + 40 placebo), lasted for a shorter duration (four months vs. six months) and did not include an optimization period of ~2 – 16 weeks prior to treatment initiation, our results showed a greater absolute reduction in calcium supplements (1278 ±880mg vs. 1152 ±1219mg) while the patients’ albumin adjusted serum calcium increased slightly as opposed to a slight decrease in the REPLACE study (baseline vs. end of treatment). In addition, serum phosphate levels were significantly reduced into their normal range an hour after the first study drug was taken (11% reduction, p&lt;0.01), and lower serum phosphate levels were maintained for the duration of the study and until the final treatment day (14% reduction, p&lt;</w:t>
      </w:r>
    </w:p>
    <w:p>
      <w:pPr>
        <w:spacing w:after="0" w:line="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0.01). Furthermore, based on our preliminary results from our Phase 2a trial, as compared to Natpara injection, we believe that EB612 may carry a lower risk of adverse events.</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Primary endpoints:  Calcium intake reduced while serum levels were maintained or improved during Phase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78740</wp:posOffset>
            </wp:positionV>
            <wp:extent cx="4827905" cy="24612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82790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Secondary endpoints:  decrease in phosphate levels observed during Phase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78740</wp:posOffset>
            </wp:positionV>
            <wp:extent cx="4973955" cy="25298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7395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the Phase 2a trial there were no confirmed related serious or significant adverse events as defined by the study protocol. There was one unrelated serious adverse event of hypercalcemia which occurred in one</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92" w:name="page93"/>
    <w:bookmarkEnd w:id="9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patient prior to the administration of the study drug for the first time. One other subject in the Phase 2a trial, who withdrew from the trial after the first day, experienced four adverse events (mild nausea, moderate back pain, moderate headache and moderate upper abdominal pain). These four adverse events are likely to be unrelated but as this could not be confirmed following the patient’s withdrawal from the study, they were recorded as ‘possibly related.’</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Based on consultations with key opinion leaders in the hypoparathyroidism field who have reviewed our Phase 2a results and are familiar with the REPLACE study, we are planning for a Phase 2b/3 trial, designed to possibly be a pivotal study for registration. This Phase 2b/3 study will be designed to repeat the REPLACE study in virtually every aspect, as well as to achieve a reduction in urinary calcium. The planned primary endpoints will be a reduction in calcium intake, reduction in active vitamin D and a serum calcium level of 7.5 – 9.5 mg/dL. A key secondary endpoint, which is relevant for the subset of patients with hypercalcemia, will be a reduction in urinary calcium. Finally, other secondary endpoints include a reduction in serum phosphate. We anticipate commencing this Phase 2b/3 clinical trial in the second half of 2018 and that final data will be released in the first half of 2020.</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Phase 1b Clinical Trial</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order to continually improve our formulations and evaluate different manufacturing technologies, we undertook an extended Phase 1b clinical trial. This clinical trial was designed to emulate multiple Phase 1b clinical trials, in that it evaluated production methods, and multiple formulations and administration regimens of our oral PTH (1-34) for safety, bioavailability, PK and PD data. This open-label clinical trial is designed to compare our various oral formulations of PTH (1-34) to injectable PTH (1-34) in 30 healthy male volunteers. Each subject was administered a 20 μg dose of injectable PTH (1-34) during the first visit to establish a baseline for comparison.</w:t>
      </w:r>
    </w:p>
    <w:p>
      <w:pPr>
        <w:spacing w:after="0" w:line="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Subsequently, different formulations of our oral PTH are administered during eight to 14 successive visits, each separated by at least a 48-hour washout period. The different formulations include modifications in PTH dose (0.5mg – 3.0mg) and ratios of PTH to excipients, as well as changes in production method and administration parameters. The primary purpose of this clinical trial is to allow us to test a variety of manufacturing technologies. As a result of this clinical trial we have been able to further optimize the formulation and achieve an increased bioavailability and reduced variability.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57150</wp:posOffset>
            </wp:positionV>
            <wp:extent cx="5188585" cy="18008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8858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Formulation</w:t>
            </w: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Participants</w:t>
            </w:r>
          </w:p>
        </w:tc>
        <w:tc>
          <w:tcPr>
            <w:tcW w:w="2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Cmax (pg/ml)</w:t>
            </w:r>
          </w:p>
        </w:tc>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Tmax (min)</w:t>
            </w:r>
          </w:p>
        </w:tc>
        <w:tc>
          <w:tcPr>
            <w:tcW w:w="342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Coefficient of Variation (%)</w:t>
            </w:r>
          </w:p>
        </w:tc>
      </w:tr>
      <w:tr>
        <w:trPr>
          <w:trHeight w:val="24"/>
        </w:trPr>
        <w:tc>
          <w:tcPr>
            <w:tcW w:w="2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50"/>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EB612 Oral PTH</w:t>
            </w:r>
          </w:p>
        </w:tc>
        <w:tc>
          <w:tcPr>
            <w:tcW w:w="114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spacing w:after="0"/>
              <w:rPr>
                <w:sz w:val="21"/>
                <w:szCs w:val="21"/>
                <w:color w:val="auto"/>
              </w:rPr>
            </w:pPr>
          </w:p>
        </w:tc>
        <w:tc>
          <w:tcPr>
            <w:tcW w:w="13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235.6 ± 36</w:t>
            </w:r>
          </w:p>
        </w:tc>
        <w:tc>
          <w:tcPr>
            <w:tcW w:w="740" w:type="dxa"/>
            <w:vAlign w:val="bottom"/>
          </w:tcPr>
          <w:p>
            <w:pPr>
              <w:spacing w:after="0"/>
              <w:rPr>
                <w:sz w:val="21"/>
                <w:szCs w:val="21"/>
                <w:color w:val="auto"/>
              </w:rPr>
            </w:pP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16.5 ± 1.2</w:t>
            </w:r>
          </w:p>
        </w:tc>
        <w:tc>
          <w:tcPr>
            <w:tcW w:w="342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48</w:t>
            </w:r>
          </w:p>
        </w:tc>
      </w:tr>
      <w:tr>
        <w:trPr>
          <w:trHeight w:val="257"/>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Injectable PTH</w:t>
            </w:r>
          </w:p>
        </w:tc>
        <w:tc>
          <w:tcPr>
            <w:tcW w:w="114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spacing w:after="0"/>
              <w:rPr>
                <w:sz w:val="22"/>
                <w:szCs w:val="22"/>
                <w:color w:val="auto"/>
              </w:rPr>
            </w:pPr>
          </w:p>
        </w:tc>
        <w:tc>
          <w:tcPr>
            <w:tcW w:w="13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184.2 ± 26</w:t>
            </w:r>
          </w:p>
        </w:tc>
        <w:tc>
          <w:tcPr>
            <w:tcW w:w="740" w:type="dxa"/>
            <w:vAlign w:val="bottom"/>
          </w:tcPr>
          <w:p>
            <w:pPr>
              <w:spacing w:after="0"/>
              <w:rPr>
                <w:sz w:val="22"/>
                <w:szCs w:val="22"/>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16 ± 1.8</w:t>
            </w:r>
          </w:p>
        </w:tc>
        <w:tc>
          <w:tcPr>
            <w:tcW w:w="342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45</w:t>
            </w:r>
          </w:p>
        </w:tc>
      </w:tr>
    </w:tbl>
    <w:p>
      <w:pPr>
        <w:spacing w:after="0" w:line="3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Low inter- and intra-patient variability observed in EB612 Phase 1b</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Completed Phase 1a Clinical Trial</w:t>
      </w:r>
    </w:p>
    <w:p>
      <w:pPr>
        <w:spacing w:after="0" w:line="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Following proof-of-concept and safety studies in various animal models, we conducted a Phase 1a clinical trial to assess the safety and pharmacokinetic profile of our oral PTH. The clinical trial was designed as a three-stage study in 42 healthy volunteers. The first stage, in which 24 subjects participated, was blinded and</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3" w:name="page94"/>
    <w:bookmarkEnd w:id="9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placebo-controlled for the study drug and placebo, and open label for subcutaneous injection of PTH (1-34). In the second, dose-escalation stage, six new subjects were administered different formulations with modifications in PTH dose and ratios of PTH to excipients, with doses up to 1.5 mg. In the third stage, the best formulation of our oral PTH, selected based on data from the second stage, was compared to placebo and subcutaneous injection of PTH (1-34) in 12 healthy subjects. The primary endpoint of the clinical trial was safety. Bioavailability was also evaluated, and in the second and third stages PK and PD data were also collected.</w:t>
      </w:r>
    </w:p>
    <w:p>
      <w:pPr>
        <w:spacing w:after="0" w:line="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clinical trial began in August 2011 and was completed in early 2013. This clinical trial was conducted over an extended period of time as multiple formulations of oral PTH (1-34) were tested. In typical Phase 1 clinical trials, one formulation is tested for safety and, perhaps, PK and PD profile. Therefore, the results from our Phase 1a clinical trial effectively represent the equivalent of nine separate Phase 1 clinical trials. By combining these nine clinical trials into one protocol, we were able to achieve significant economies of scale and time.</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 serious adverse events were reported in any of the 72 subjects participating in the Phase 1 clinical trials (including the Phase 1b clinical trial detailed above). In total across our Phase 1 clinical trials in which these 72 subjects received various oral PTH doses over 350 times, there were 11 expected, transient and minor drug-related adverse events associated with oral PTH administration. In our Phase 1b trial, there were minor drug-related adverse events such as minor hypercalcemia in two subjects, minor tachycardia in three subjects, headache in two subjects and hypothermia in one subject. There were also two possibly related mild adverse events in our Phase 1a trial: anemia in one subject and nausea in one subject. In addition, one subject in the Phase 1a trial experienced a drug-related musculoskeletal and connective tissue event of knee cramps.</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PK and PD data indicated that our oral PTH (1-34) can successfully mimic injectable PTH (1-34)’s peak serum concentration levels after drug administration and prior to the administration of a second dose, or Cmax, as well as time to maximal concentration, or Tmax. The PK profile of the absorbed PTH (1-34) was characterized by a sharp increase in concentration, forming a peak concentration within 60 minutes post-drug administration, followed by a rapid decrease, which leads to the anabolic, or bone-building effect of PTH. In the optimized formulations the average Cmax achieved by our oral PTH (1-34) was similar to the Cmax following the subcutaneous injection of the commercial PTH (1-34) or greater. There was a significant inter-patient and intra-patient variability, which is believed to be associated with the variability of the gastric state of the volunteers and on the various treatment visit days. In later visits of the clinical trial we were able to decrease the variability through optimization of our formulation.</w:t>
      </w:r>
    </w:p>
    <w:p>
      <w:pPr>
        <w:spacing w:after="0" w:line="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Analysis of the PD profile of our oral PTH (1-34) indicated that a biomarker of PTH activity, cyclic AMP, was activated in a similar manner to that of injectable PTH (1-34) Furthermore, analysis of serum calcium indicated that an increase can be obtained by a single dose of our oral PTH (1-34) as indicated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54610</wp:posOffset>
            </wp:positionV>
            <wp:extent cx="3902075" cy="1946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902075"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900"/>
        <w:spacing w:after="0" w:line="284" w:lineRule="auto"/>
        <w:rPr>
          <w:sz w:val="20"/>
          <w:szCs w:val="20"/>
          <w:color w:val="auto"/>
        </w:rPr>
      </w:pPr>
      <w:r>
        <w:rPr>
          <w:rFonts w:ascii="Times New Roman" w:cs="Times New Roman" w:eastAsia="Times New Roman" w:hAnsi="Times New Roman"/>
          <w:sz w:val="18"/>
          <w:szCs w:val="18"/>
          <w:i w:val="1"/>
          <w:iCs w:val="1"/>
          <w:color w:val="auto"/>
        </w:rPr>
        <w:t>Change in serum concentrations of albumin corrected calcium (green line) and the plasma concentrations of PTH (1-34) (blue line) following the administration of oral PTH (1-34) (0.75mg) in ten healthy volunteers.</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94" w:name="page95"/>
    <w:bookmarkEnd w:id="9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data effectively show that oral PTH (1-34) reaches the circulation, remains intact and has biological potency similar to that observed with injectable PTH (1-34). At present, we estimate that there are at least four million patient years’ experience with injectable PTH (1-34). We believe that reaching a similar peak plasma concentration and PD profile as with the injectable PTH (1-34) significantly decreases the risk that our oral PTH (1-34) will not have the desired clinical effect.</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graph below shows a linear dose/response relationship of oral PTH. An increase in absorption variability was observed with the dose increase in Phase 1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45720</wp:posOffset>
            </wp:positionV>
            <wp:extent cx="4142105" cy="24955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142105"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Dose — response relationship of oral PTH (1-34) in healthy volunteers.</w:t>
      </w:r>
    </w:p>
    <w:p>
      <w:pPr>
        <w:spacing w:after="0" w:line="119"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We then focused our efforts, along with the increase in bioavailability, on the reduction of the variability. An optimized formulation showed an approximately three-fold increase in bioavailability (from 0.5% to about 1.5%) and two-fold decrease in variability of the maximal plasma levels of PTH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31115</wp:posOffset>
            </wp:positionV>
            <wp:extent cx="4193540" cy="2195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19354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Optimization of oral PTH (1-34) product. A fixed dose of 1.5mg was administered using different formulations (N= 9-10). Along with the significant increase in bioavailability (blue bars) the variability (green line) of the maximal plasma levels was markedly decreased.</w:t>
      </w: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95" w:name="page96"/>
    <w:bookmarkEnd w:id="9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Preclinical and Clinical Development of EB612</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preclinical, Phase 1 and Phase 2 clinical development, EB612 exhibited no serious related adverse events and displayed compelling PK and PD properties, in particular compared to commercially available injectable PTH (1-84) Natpara and PTH (1-34) (Forteo). There were no related serious or significant adverse events reported in earlier trials; however, in our Phase 2a trial, there was one unrelated serious adverse event of hypercalcemia which occurred in one patient prior to the administration of the study drug for the first time. There was also one unrelated serious adverse event of hypercalcemia which occurred in one patient prior to the administration of the study drug for the first time. One subject in the Phase 2a trial, who withdrew from the trial after the first day, experienced four adverse events (mild nausea, moderate back pain, moderate headache and moderate upper abdominal pain). These four adverse events are likely to be unrelated but as this could not be confirmed following the patient’s withdrawal from the study, they were recorded as ‘possibly related.’ In our Phase 1b trial there were minor drug related adverse events such as minor hypercalcemia in two subjects, minor tachycardia in three subjects, headache in two subjects and hypothermia in one subject. There were also two possibly related mild adverse events in our Phase 1a trial: anemia in one subject and nausea in one subject. We believe these two adverse events were likely unrelated. For example, the anemia event occurred 12 days after a placebo treatment. In addition, one subject in the Phase 1a trial experienced a drug related musculoskeletal and connective tissue event of knee cramps. We have refined our formulation of EB612 and tested the new formulation in a Phase 2a clinical trial in hypoparathyroid patients. In a triple cohort Phase 1b study, we continued to further optimize our production methods and formulation of EB612 following the Phase 2a and in anticipation of a larger Phase 2b that we expect will result in further improvements and reduction in the variability.</w:t>
      </w:r>
    </w:p>
    <w:p>
      <w:pPr>
        <w:spacing w:after="0" w:line="1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Planned Additional Clinical Development and Regulatory Pathway</w:t>
      </w:r>
    </w:p>
    <w:p>
      <w:pPr>
        <w:spacing w:after="0" w:line="6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part of our regulatory pathway to conducting the Phase 2b/3 and based on initial feedback from the FDA and regulatory consultants, we intend to conduct a short four-arm PK/PD study comparing two of our dose regimens with two controls: placebo and Natpara. This PK/PD study will include 10 to 15 hypoparathyroidism patients for a treatment and monitoring duration of 58 hours per treatment arm. This study is designed to provide a bridge from our completed Phase 2a trial, which was conducted prior to the marketing approval of Natpara and our planned Phase 2b/3 study. This study may also provide valuable “head to head” data that will further inform our Phase 2b/3 study design. The relevant endpoints for the PK/PD study will include levels of PTH (1-34), PTH (1-84) (Natpara), serum calcium, serum phosphate, urinary calcium and urinary phosphate.</w:t>
      </w:r>
    </w:p>
    <w:p>
      <w:pPr>
        <w:spacing w:after="0" w:line="6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plan on submitting an IND for this study in the first quarter of 2018 and completing the study shortly after receiving an IND approval. We will then provide the additional data required to expand the IND to allow for the larger Phase 2b/3 study. We hope to initiate our Phase 2b/3 study in the second half of 2018. If our results from the Phase 2b/3 clinical trial are successful and the trial is acceptable as a pivotal trial, as intended, we plan to submit a BLA to the FDA for regulatory approval of EB612 in the second half of 2020. In parallel, we expect to pursue marketing approval in the European Union and Japan with the appropriate regulatory agencies. As part of our preparations for marketing approval, we intend to commence in the second half of 2019 a further “head to head” non-inferiority clinical trial comparing EB612 to Natpara. While this additional trial is not necessary for regulatory approval, we anticipate that it will be useful in our efforts or commercialize EB612.</w:t>
      </w:r>
    </w:p>
    <w:p>
      <w:pPr>
        <w:spacing w:after="0" w:line="5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April 2014, we received orphan drug designation from the FDA for our oral PTH in hypoparathyroidism. If a product receives the first FDA approval for the indication for which it has orphan designation, the product is entitled to orphan drug exclusivity, which means that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January 2015, the FDA approved Natpara, an injectable form of PTH, for hypoparathyroidism, and awarded Natpara orphan drug exclusivity until January 23, 2022. While Natpara has orphan drug exclusivity for hypoparathyroidism, we believe that we will be able to demonstrate that our oral formulation of PTH is clinically superior to Natpara in that it demonstrates greater effectiveness or safety than Natpara or that it otherwise makes a major contribution to patient care. Therefore, we believe that Natpara’s orphan drug exclusivity will not prevent the FDA from approving our BLA for EB612 prior to the expiration of Natpara’s exclusivity period. In June 2016, we received approval from the European Commission granting orphan status to our oral PTH in Europe.</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96" w:name="page97"/>
    <w:bookmarkEnd w:id="9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EB613 for Osteoporosis</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Osteoporosis</w:t>
      </w:r>
    </w:p>
    <w:p>
      <w:pPr>
        <w:spacing w:after="0" w:line="10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are also developing a distinct oral PTH product candidate, EB613, for the treatment of osteoporosis. Osteoporosis is a systemic skeletal disease characterized by low bone mass, deterioration of bone tissue and increased bone fragility and susceptibility to fracture. It most commonly affects older populations, primarily postmenopausal women. All bones are subject to an ongoing process of formation and degradation, whereby bone tissue is removed from the skeleton and new bone tissue is formed. Two main types of cells are responsible for this process: osteoclasts, which break down bone tissue, and osteoblasts, which secrete new bone tissue. Osteoporosis develops as the delicate balance between bone resorption by osteoclasts and bone formation by osteoblasts is not maintained, and not enough bone tissue is formed, leading to frail and fracture-prone bones. These weak and brittle bones become susceptible to fractures caused by fall, mild stress or even a cough. The condition can even be fatal, as 25% of those who fracture a hip will die within six months of injury.</w:t>
      </w:r>
    </w:p>
    <w:p>
      <w:pPr>
        <w:spacing w:after="0" w:line="7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Osteoporosis often leads to loss of mobility, admission to nursing homes and dependence on caregivers. These debilitating effects of osteoporosis have substantial costs. The prevalence of osteoporosis is growing and, according to the National Osteoporosis Foundation, or NOF, is significantly under-recognized and under-treated in the population. While the aging of the population is a primary driver of an increase in cases, osteoporosis is also increasing from the use of drugs that induce bone loss, such as chronic use of glucocorticoids and aromatase inhibitors that are increasingly used for breast cancer and the hormone therapies used for prostate cancer.</w:t>
      </w:r>
    </w:p>
    <w:p>
      <w:pPr>
        <w:spacing w:after="0" w:line="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NOF has estimated that 10 million people in the United States already have osteoporosis, and another approximately 43 million have low bone mass placing them at increased risk for osteoporosis. In addition, the NOF has estimated that osteoporosis is responsible for more than two million fractures in the United States each year resulting in an estimated $19 billion in costs annually. The NOF expects that the number of fractures in the United States due to osteoporosis will rise to three million by 2025, resulting in an estimated $25.3 billion in costs each year. Worldwide, osteoporosis affects an estimated</w:t>
      </w:r>
    </w:p>
    <w:p>
      <w:pPr>
        <w:spacing w:after="0" w:line="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200 million women according to the International Osteoporosis Foundation, or IOF, and causes more than 8.9 million fractures annually, which is equivalent to an osteoporotic fracture occurring approximately every three seconds. The IOF has estimated that 1.6 million hip fractures occur worldwide each year, and by 2050 this number could reach between 4.5 million and 6.3 million. The IOF estimates that in Europe alone, the annual cost of osteoporotic fractures could surpass €76 billion by 2050.</w:t>
      </w:r>
    </w:p>
    <w:p>
      <w:pPr>
        <w:spacing w:after="0" w:line="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goal of pharmacological treatment of osteoporosis is to maintain or increase bone strength, to prevent factures throughout the patient’s life and to minimize osteoporosis-related morbidity and mortality by reducing the risk of fracture. Current treatments for osteoporosis generally fall into two categories: antiresorptive medications to slow bone loss and anabolic medications to increase the rate of bone formation. The global osteoporosis drug market was dominated for many years by bisphosphonates, which slow bone loss, although bisphosphonates’ market share has declined over recent years due to the occurrence of serious side effects, as well as the introduction of newly developed pharmacological treatments.</w:t>
      </w: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97" w:name="page98"/>
    <w:bookmarkEnd w:id="9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current treatments for osteoporosis are summarized in the table below:</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0" w:type="dxa"/>
            <w:vAlign w:val="bottom"/>
          </w:tcPr>
          <w:p>
            <w:pPr>
              <w:spacing w:after="0"/>
              <w:rPr>
                <w:sz w:val="14"/>
                <w:szCs w:val="14"/>
                <w:color w:val="auto"/>
              </w:rPr>
            </w:pPr>
          </w:p>
        </w:tc>
      </w:tr>
      <w:tr>
        <w:trPr>
          <w:trHeight w:val="190"/>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of Drug</w:t>
            </w:r>
          </w:p>
        </w:tc>
        <w:tc>
          <w:tcPr>
            <w:tcW w:w="200" w:type="dxa"/>
            <w:vAlign w:val="bottom"/>
          </w:tcPr>
          <w:p>
            <w:pPr>
              <w:spacing w:after="0"/>
              <w:rPr>
                <w:sz w:val="16"/>
                <w:szCs w:val="16"/>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(Producer)</w:t>
            </w:r>
          </w:p>
        </w:tc>
        <w:tc>
          <w:tcPr>
            <w:tcW w:w="280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Method of Action</w:t>
            </w:r>
          </w:p>
        </w:tc>
      </w:tr>
      <w:tr>
        <w:trPr>
          <w:trHeight w:val="24"/>
        </w:trPr>
        <w:tc>
          <w:tcPr>
            <w:tcW w:w="1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1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Injectable PTH</w:t>
            </w: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Forteo (Eli Lilly)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Increases bone mineral density by</w:t>
            </w:r>
          </w:p>
        </w:tc>
      </w:tr>
      <w:tr>
        <w:trPr>
          <w:trHeight w:val="216"/>
        </w:trPr>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inhibiting the resorption of bone,</w:t>
            </w:r>
          </w:p>
        </w:tc>
      </w:tr>
      <w:tr>
        <w:trPr>
          <w:trHeight w:val="234"/>
        </w:trPr>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promotes new bone formation</w:t>
            </w:r>
          </w:p>
        </w:tc>
      </w:tr>
      <w:tr>
        <w:trPr>
          <w:trHeight w:val="45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Monoclonal antibody</w:t>
            </w: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Prolia (Amgen)</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Blocks the breakdown of bones by</w:t>
            </w:r>
          </w:p>
        </w:tc>
      </w:tr>
      <w:tr>
        <w:trPr>
          <w:trHeight w:val="216"/>
        </w:trPr>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binding to RANKL protein that is</w:t>
            </w:r>
          </w:p>
        </w:tc>
      </w:tr>
      <w:tr>
        <w:trPr>
          <w:trHeight w:val="234"/>
        </w:trPr>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essential to activate osteoclasts</w:t>
            </w:r>
          </w:p>
        </w:tc>
      </w:tr>
      <w:tr>
        <w:trPr>
          <w:trHeight w:val="88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Selective estrogen</w:t>
            </w: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Evista (Eli Lilly)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Binds to estrogen receptors at a</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receptor modulators</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selective tissue, with an agonist effect</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(SERMs)</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on bone tissue</w:t>
            </w:r>
          </w:p>
        </w:tc>
      </w:tr>
      <w:tr>
        <w:trPr>
          <w:trHeight w:val="67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Bisphosphonate</w:t>
            </w: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Fosamax (Merck)</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Prevent bone loss by inducing cell</w:t>
            </w:r>
          </w:p>
        </w:tc>
      </w:tr>
      <w:tr>
        <w:trPr>
          <w:trHeight w:val="216"/>
        </w:trPr>
        <w:tc>
          <w:tcPr>
            <w:tcW w:w="1880" w:type="dxa"/>
            <w:vAlign w:val="bottom"/>
          </w:tcPr>
          <w:p>
            <w:pPr>
              <w:spacing w:after="0"/>
              <w:rPr>
                <w:sz w:val="18"/>
                <w:szCs w:val="18"/>
                <w:color w:val="auto"/>
              </w:rPr>
            </w:pP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Zometa (Novartis)</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death (apoptosis) in the osteoclast</w:t>
            </w:r>
          </w:p>
        </w:tc>
      </w:tr>
      <w:tr>
        <w:trPr>
          <w:trHeight w:val="234"/>
        </w:trPr>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cells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62"/>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Branded</w:t>
            </w:r>
          </w:p>
        </w:tc>
      </w:tr>
      <w:tr>
        <w:trPr>
          <w:trHeight w:val="162"/>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Sales</w:t>
            </w:r>
          </w:p>
        </w:tc>
      </w:tr>
      <w:tr>
        <w:trPr>
          <w:trHeight w:val="190"/>
        </w:trPr>
        <w:tc>
          <w:tcPr>
            <w:tcW w:w="300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Known Side Effects</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2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blood pressure, increase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serum calcium in the blood; nausea,</w:t>
            </w:r>
          </w:p>
        </w:tc>
        <w:tc>
          <w:tcPr>
            <w:tcW w:w="1400" w:type="dxa"/>
            <w:vAlign w:val="bottom"/>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joint aches, pain, leg cramps, injection</w:t>
            </w:r>
          </w:p>
        </w:tc>
        <w:tc>
          <w:tcPr>
            <w:tcW w:w="1400" w:type="dxa"/>
            <w:vAlign w:val="bottom"/>
          </w:tcPr>
          <w:p>
            <w:pPr>
              <w:spacing w:after="0"/>
              <w:rPr>
                <w:sz w:val="18"/>
                <w:szCs w:val="18"/>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site reactions</w:t>
            </w:r>
          </w:p>
        </w:tc>
        <w:tc>
          <w:tcPr>
            <w:tcW w:w="1400" w:type="dxa"/>
            <w:vAlign w:val="bottom"/>
          </w:tcPr>
          <w:p>
            <w:pPr>
              <w:spacing w:after="0"/>
              <w:rPr>
                <w:sz w:val="20"/>
                <w:szCs w:val="20"/>
                <w:color w:val="auto"/>
              </w:rPr>
            </w:pPr>
          </w:p>
        </w:tc>
      </w:tr>
      <w:tr>
        <w:trPr>
          <w:trHeight w:val="238"/>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Hypocalcemia, serious infections,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$1,635</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dermatologic adverse reactions,</w:t>
            </w:r>
          </w:p>
        </w:tc>
        <w:tc>
          <w:tcPr>
            <w:tcW w:w="1400" w:type="dxa"/>
            <w:vAlign w:val="bottom"/>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osteonecrosis of the jaw, back pain,</w:t>
            </w:r>
          </w:p>
        </w:tc>
        <w:tc>
          <w:tcPr>
            <w:tcW w:w="1400" w:type="dxa"/>
            <w:vAlign w:val="bottom"/>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pain in extremity, musculoskeletal</w:t>
            </w:r>
          </w:p>
        </w:tc>
        <w:tc>
          <w:tcPr>
            <w:tcW w:w="1400" w:type="dxa"/>
            <w:vAlign w:val="bottom"/>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pain, hypercholesterolemia, and</w:t>
            </w:r>
          </w:p>
        </w:tc>
        <w:tc>
          <w:tcPr>
            <w:tcW w:w="1400" w:type="dxa"/>
            <w:vAlign w:val="bottom"/>
          </w:tcPr>
          <w:p>
            <w:pPr>
              <w:spacing w:after="0"/>
              <w:rPr>
                <w:sz w:val="18"/>
                <w:szCs w:val="18"/>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cystitis</w:t>
            </w:r>
          </w:p>
        </w:tc>
        <w:tc>
          <w:tcPr>
            <w:tcW w:w="1400" w:type="dxa"/>
            <w:vAlign w:val="bottom"/>
          </w:tcPr>
          <w:p>
            <w:pPr>
              <w:spacing w:after="0"/>
              <w:rPr>
                <w:sz w:val="20"/>
                <w:szCs w:val="20"/>
                <w:color w:val="auto"/>
              </w:rPr>
            </w:pPr>
          </w:p>
        </w:tc>
      </w:tr>
      <w:tr>
        <w:trPr>
          <w:trHeight w:val="238"/>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 vein thrombosis, pulmonary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$172</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embolism, retinal vein thrombosis,</w:t>
            </w:r>
          </w:p>
        </w:tc>
        <w:tc>
          <w:tcPr>
            <w:tcW w:w="1400" w:type="dxa"/>
            <w:vAlign w:val="bottom"/>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 risk of death due to stroke,</w:t>
            </w:r>
          </w:p>
        </w:tc>
        <w:tc>
          <w:tcPr>
            <w:tcW w:w="1400" w:type="dxa"/>
            <w:vAlign w:val="bottom"/>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endometrial cancer, cardiovascular</w:t>
            </w:r>
          </w:p>
        </w:tc>
        <w:tc>
          <w:tcPr>
            <w:tcW w:w="1400" w:type="dxa"/>
            <w:vAlign w:val="bottom"/>
          </w:tcPr>
          <w:p>
            <w:pPr>
              <w:spacing w:after="0"/>
              <w:rPr>
                <w:sz w:val="18"/>
                <w:szCs w:val="18"/>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disease</w:t>
            </w:r>
          </w:p>
        </w:tc>
        <w:tc>
          <w:tcPr>
            <w:tcW w:w="1400" w:type="dxa"/>
            <w:vAlign w:val="bottom"/>
          </w:tcPr>
          <w:p>
            <w:pPr>
              <w:spacing w:after="0"/>
              <w:rPr>
                <w:sz w:val="20"/>
                <w:szCs w:val="20"/>
                <w:color w:val="auto"/>
              </w:rPr>
            </w:pPr>
          </w:p>
        </w:tc>
      </w:tr>
      <w:tr>
        <w:trPr>
          <w:trHeight w:val="238"/>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Irritation of the gastrointestinal</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 (Generic)</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mucosa, hypocalcemia, severe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 (Generic)</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musculoskeletal pain, osteonecrosis of</w:t>
            </w:r>
          </w:p>
        </w:tc>
        <w:tc>
          <w:tcPr>
            <w:tcW w:w="1400" w:type="dxa"/>
            <w:vAlign w:val="bottom"/>
          </w:tcPr>
          <w:p>
            <w:pPr>
              <w:spacing w:after="0"/>
              <w:rPr>
                <w:sz w:val="18"/>
                <w:szCs w:val="18"/>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jaw</w:t>
            </w:r>
          </w:p>
        </w:tc>
        <w:tc>
          <w:tcPr>
            <w:tcW w:w="14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6800" w:space="220"/>
            <w:col w:w="4400"/>
          </w:cols>
          <w:pgMar w:left="240" w:top="114" w:right="239" w:bottom="1440" w:gutter="0" w:footer="0" w:header="0"/>
        </w:sectPr>
      </w:pPr>
    </w:p>
    <w:p>
      <w:pPr>
        <w:spacing w:after="0" w:line="10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osteoporosis patients, who have normal basal levels of PTH, therapeutic administration of PTH activates osteoclasts and osteoblasts. While both types of cells are activated when PTH is administered, osteoblasts are activated for a longer period, increasing bone formation and bone mass. Injectable PTH (1-34), in the form of Eli Lilly’s Forteo, is therefore one of the most effective osteoporosis medications on the market today and demonstrably more efficacious than bisphosphonates. A study published in the New England Journal of Medicine found that over a period of 18 months bone mineral density at the lumbar spine in a group of patients with steroid-induced osteoporosis treated with Forteo increased twice as much as that in the group treated with a form of bisphosphonate.</w:t>
      </w:r>
    </w:p>
    <w:p>
      <w:pPr>
        <w:spacing w:after="0" w:line="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Unlike our oral delivery system, Forteo is administered by injection, which has significant drawbacks. Patients may reject this treatment due to the discomfort and local irritation usually associated with a daily injectable regimen. Additionally, subcutaneous injection of PTH (1-34) has been shown to induce immunological reactions in approximately 3% of the patient population, often leading to discontinuance of therapy. We believe an oral form of PTH (1-34) would significantly improve patient and physician acceptance. Eli Lilly has attempted numerous collaborations with alternative delivery systems, including a micro needle patch system, which eventually did not reach fruition. An attempt with Zosano Pharma’s patch terminated in 2015, as did another collaboration with Transpharma, also a patch, which was terminated in 2011. In 2005 Eli Lilly attempted a nasal delivery system with Alkermes only to be terminated in 2007. While the patch technology may reduce the discomfort associated with an injection, we believe patients will prefer an oral form of PTH (1-34) over a patch form of delivery.</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Several pharmaceutical companies have previously attempted to develop an orally administered form of PTH. GlaxoSmithKline had partnered with Unigene Laboratories to develop a form of oral PTH but terminated the collaboration in 2011 following the release of Phase 2 clinical trial data, potentially due to poor control of kinetics and variability and the need for as much as 10 mg of PTH per tablet. Eli Lilly attempted to develop an oral PTH in collaboration with Emisphere, which Emisphere terminated following patent infringement claims in 2004. Emisphere then went on to develop their own oral PTH in collaboration with Novartis but suspended development in 2011 at the same time that they suspended their oral calcitonin program, which was subject to EMA safety restrictions. We believe Novartis discontinued the product for reasons that were unrelated to the product itself, and that our formulation of EB613 achieves the maximum concentration necessary for therapeutic effect with three times less active pharmaceutical ingredient, and lower variability, than that observed with Novartis’ suspended product.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believe that our oral delivery technology is superior to other oral technologies that were and still may be in development for osteoporosis patients.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comparison and integration of available clinical trial results to date: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Company/Technology</w:t>
            </w: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Molecule</w:t>
            </w:r>
          </w:p>
        </w:tc>
        <w:tc>
          <w:tcPr>
            <w:tcW w:w="2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API MW (g/mole)</w:t>
            </w:r>
          </w:p>
        </w:tc>
        <w:tc>
          <w:tcPr>
            <w:tcW w:w="15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Bioavailability (F)</w:t>
            </w:r>
          </w:p>
        </w:tc>
      </w:tr>
      <w:tr>
        <w:trPr>
          <w:trHeight w:val="24"/>
        </w:trPr>
        <w:tc>
          <w:tcPr>
            <w:tcW w:w="50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Entera Bio</w:t>
            </w: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PTH (1-34)</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4118</w:t>
            </w:r>
          </w:p>
        </w:tc>
        <w:tc>
          <w:tcPr>
            <w:tcW w:w="3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Novartis/Emisphere (Eligen – CNAC)(1)</w:t>
            </w: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PTH (1-34)</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4118</w:t>
            </w:r>
          </w:p>
        </w:tc>
        <w:tc>
          <w:tcPr>
            <w:tcW w:w="34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 – 0.5%</w:t>
            </w:r>
          </w:p>
        </w:tc>
      </w:tr>
      <w:tr>
        <w:trPr>
          <w:trHeight w:val="25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Enteris Biopharma – Unigen (Peptelligence)(2)</w:t>
            </w: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PTH (1-31)</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3719</w:t>
            </w:r>
          </w:p>
        </w:tc>
        <w:tc>
          <w:tcPr>
            <w:tcW w:w="34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0.52%</w:t>
            </w:r>
          </w:p>
        </w:tc>
      </w:tr>
      <w:tr>
        <w:trPr>
          <w:trHeight w:val="25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Multiple manufacturers(3)</w:t>
            </w: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Desmopressin</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1069</w:t>
            </w:r>
          </w:p>
        </w:tc>
        <w:tc>
          <w:tcPr>
            <w:tcW w:w="34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0.16%</w:t>
            </w:r>
          </w:p>
        </w:tc>
      </w:tr>
      <w:tr>
        <w:trPr>
          <w:trHeight w:val="25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Chiasma (TPE)(4)</w:t>
            </w: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Octreotide</w:t>
            </w:r>
          </w:p>
        </w:tc>
        <w:tc>
          <w:tcPr>
            <w:tcW w:w="26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1019 (Cyclic peptide)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0.67%</w:t>
            </w:r>
          </w:p>
        </w:tc>
      </w:tr>
      <w:tr>
        <w:trPr>
          <w:trHeight w:val="25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Proxima Concepts (AXCESS)(5)</w:t>
            </w: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Insulin</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5733</w:t>
            </w:r>
          </w:p>
        </w:tc>
        <w:tc>
          <w:tcPr>
            <w:tcW w:w="34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151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76" w:lineRule="exact"/>
        <w:rPr>
          <w:sz w:val="20"/>
          <w:szCs w:val="20"/>
          <w:color w:val="auto"/>
        </w:rPr>
      </w:pPr>
    </w:p>
    <w:p>
      <w:pPr>
        <w:ind w:left="360" w:hanging="352"/>
        <w:spacing w:after="0"/>
        <w:tabs>
          <w:tab w:leader="none" w:pos="3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The single dose pharmacokinetic profile of a novel oral human parathyroid hormone formulation in healthy postmenopausal women Sibylle P. Hämmerle, et al. Bone. 2012</w:t>
      </w:r>
    </w:p>
    <w:p>
      <w:pPr>
        <w:spacing w:after="0" w:line="27" w:lineRule="exact"/>
        <w:rPr>
          <w:rFonts w:ascii="Times New Roman" w:cs="Times New Roman" w:eastAsia="Times New Roman" w:hAnsi="Times New Roman"/>
          <w:sz w:val="14"/>
          <w:szCs w:val="14"/>
          <w:color w:val="auto"/>
        </w:rPr>
      </w:pPr>
    </w:p>
    <w:p>
      <w:pPr>
        <w:ind w:left="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Apr;50(4):965-73. doi: 10.1016/j.bone.2012.01.009. Epub 2012 Jan 25.</w:t>
      </w:r>
    </w:p>
    <w:p>
      <w:pPr>
        <w:spacing w:after="0" w:line="123"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Pharmacokinetics of oral recombinant human parathyroid hormone rhPTH (1-31)NH2 in postmenopausal women with osteoporosis. Sturmer A1 et el. Clin Pharmacokinet. 2013</w:t>
      </w:r>
    </w:p>
    <w:p>
      <w:pPr>
        <w:spacing w:after="0" w:line="27" w:lineRule="exact"/>
        <w:rPr>
          <w:rFonts w:ascii="Times New Roman" w:cs="Times New Roman" w:eastAsia="Times New Roman" w:hAnsi="Times New Roman"/>
          <w:sz w:val="14"/>
          <w:szCs w:val="14"/>
          <w:color w:val="auto"/>
        </w:rPr>
      </w:pPr>
    </w:p>
    <w:p>
      <w:pPr>
        <w:ind w:left="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Nov;52(11):995-1004. doi: 10.1007/s40262-013-0083-4.</w:t>
      </w:r>
    </w:p>
    <w:p>
      <w:pPr>
        <w:spacing w:after="0" w:line="123" w:lineRule="exact"/>
        <w:rPr>
          <w:rFonts w:ascii="Times New Roman" w:cs="Times New Roman" w:eastAsia="Times New Roman" w:hAnsi="Times New Roman"/>
          <w:sz w:val="14"/>
          <w:szCs w:val="14"/>
          <w:color w:val="auto"/>
        </w:rPr>
      </w:pPr>
    </w:p>
    <w:p>
      <w:pPr>
        <w:ind w:left="360" w:right="680" w:hanging="352"/>
        <w:spacing w:after="0" w:line="302" w:lineRule="auto"/>
        <w:tabs>
          <w:tab w:leader="none" w:pos="3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Public Assessment Report, Desmopressin Acetate 100 Microgram Tablet PL 24668/0177 and Desmopressin Acetate 200 Microgram Tablet PL 24668/0178. Medicines and Healthcare Products Regulatory Agency.</w:t>
      </w:r>
    </w:p>
    <w:p>
      <w:pPr>
        <w:spacing w:after="0" w:line="67" w:lineRule="exact"/>
        <w:rPr>
          <w:rFonts w:ascii="Times New Roman" w:cs="Times New Roman" w:eastAsia="Times New Roman" w:hAnsi="Times New Roman"/>
          <w:sz w:val="14"/>
          <w:szCs w:val="14"/>
          <w:color w:val="auto"/>
        </w:rPr>
      </w:pPr>
    </w:p>
    <w:p>
      <w:pPr>
        <w:ind w:left="360" w:right="480" w:hanging="352"/>
        <w:spacing w:after="0" w:line="302" w:lineRule="auto"/>
        <w:tabs>
          <w:tab w:leader="none" w:pos="3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Pharmacokinetic Modeling of Oral Octreotide (Octreolin™) in Healthy Volunteers and Dosing Regimen Optimization for Acromegaly Patients. Shmuel Tuvia et al. Endocrine Society’s 94th Annual Meeting June 2012, OR29-6-OR29-6.</w:t>
      </w:r>
    </w:p>
    <w:p>
      <w:pPr>
        <w:spacing w:after="0" w:line="67"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The glucose lowering effect of an oral insulin (Capsulin) during an isoglycaemic clamp study in persons with type 2 diabetes S. D. Luzio et al. Diabetes Obes Metab. 2010</w:t>
      </w:r>
    </w:p>
    <w:p>
      <w:pPr>
        <w:spacing w:after="0" w:line="27" w:lineRule="exact"/>
        <w:rPr>
          <w:rFonts w:ascii="Times New Roman" w:cs="Times New Roman" w:eastAsia="Times New Roman" w:hAnsi="Times New Roman"/>
          <w:sz w:val="14"/>
          <w:szCs w:val="14"/>
          <w:color w:val="auto"/>
        </w:rPr>
      </w:pPr>
    </w:p>
    <w:p>
      <w:pPr>
        <w:ind w:left="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Jan;12(1):82-7. doi: 10.1111/j.1463-1326.2009.01146.x. Epub 2009 Sep 25.</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Preclinical and Clinical Development of EB613</w:t>
      </w:r>
    </w:p>
    <w:p>
      <w:pPr>
        <w:spacing w:after="0" w:line="1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EB613 is PTH (1-34) combined with our proprietary technology for the oral delivery of large molecule therapeutics. We are optimizing the PK profile of EB613 specifically for the treatment of osteoporosis, and we expect that our dose and formulation will be significantly modified from that of EB612. Our development combines the proven efficacy of PTH in increasing bone formation in osteoporosis patients with the additional benefit of permitting oral administration, which reduces the treatment burden on patients, leading to higher patient and physician acceptance. We believe each dose of oral PTH would trigger a Cmax peak, stimulating osteoclasts and osteoblasts, thereby increasing overall bone formation.</w:t>
      </w:r>
    </w:p>
    <w:p>
      <w:pPr>
        <w:spacing w:after="0" w:line="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preclinical and Phase 1 clinical development, EB613 exhibited no serious related adverse events and displayed compelling PK and PD properties, in particular compared to commercially available injectable PTH (1-34) (Forteo). There were no related serious or significant adverse events reported in earlier trials. In our Phase 1b trial, there were minor drug related adverse events such as minor hypercalcemia in two subjects, minor tachycardia in three subjects, headache in two subjects and hypothermia in one subject. There were also two possibly related mild adverse events in our Phase 1a trial: anemia in one subject and nausea in one subject. We believe these two adverse events were likely unrelated. For example, the anemia event occurred 12 days after a placebo treatment. In addition, one subject in the Phase 1a trial experienced a drug related musculoskeletal and connective tissue event of knee cramps.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99" w:name="page100"/>
    <w:bookmarkEnd w:id="9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EB613: Favorable Pharmacodynamic Profile</w:t>
      </w:r>
    </w:p>
    <w:p>
      <w:pPr>
        <w:spacing w:after="0" w:line="10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Cyclic AMP, or cAMP, is a known indicator of PTH activity. It is part of the signaling pathway activated by the PTH binding to its cellular receptors. cAMP can be measured in the plasma and used as a biological marker of PTH activity. The graph below shows a similar activation profile following dosing of both commercial Forteo and EB613.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54610</wp:posOffset>
            </wp:positionV>
            <wp:extent cx="4279265" cy="14490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7926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graph below shows the PK profile of a subcutaneous injection with injectable PTH (1-34), EB613 and placebo from our Phase 1 clinical trial. Both the injectable PTH (1-34) and the oral PTH (1-34) have a rapid increase in plasma concentrations followed by a fast elimination phase. This is significant for attaining the desired anabolic effect by transiently activating the biological pathways and possibly even more so with our oral PTH as its profile is sharper than the injection with a more rapid return to baseline. It is believed that the prolonged increase in PTH levels may reduce the desired anabolic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57150</wp:posOffset>
            </wp:positionV>
            <wp:extent cx="4827905" cy="20497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82790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Planned Clinical Development</w:t>
      </w:r>
    </w:p>
    <w:p>
      <w:pPr>
        <w:spacing w:after="0" w:line="106"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We are preparing a Phase 2a trial of EB613 in osteoporosis in the first half of 2018. With these Phase 2a results we plan to partner with a larger biopharmaceutical company for the clinical development and commercialization of this product.</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Bone Healing/Non-union Fractures</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Currently, no pharmacological treatments are available to stimulate bone healing. A number of studies suggest that PTH could be beneficial in the treatment of fractures and could thus be a potentially new treatment option for the induction of bone healing. Non-union fractures occur when the normal process of bone healing is interrupted and a fracture does not heal properly or does not heal at all. By definition, a non-union fracture will not heal on its own. Most non-union fractures require surgery, which can involve bone grafts or stabilizing the affected bone by affixing rods, plates or screws. Risks of surgery include neurovascular injury, infection and hemorrhage.</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00" w:name="page101"/>
    <w:bookmarkEnd w:id="10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 there are approximately seven million new fractures each year, with approximately 300,000 delayed union or non-union fractures.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for the average non-union treatment cost vary from approximately $25,000 to $45,000.</w:t>
      </w:r>
    </w:p>
    <w:p>
      <w:pPr>
        <w:spacing w:after="0" w:line="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Depending on the nature of the fracture, non-surgical solutions can include electrical stimulation or fitting external braces. Other more experimental techniques exist as well, including ultrasound stimulation, which has been approved by the FDA for treating fresh fracture since the 1990s. Unlike in osteoporosis treatment, a pharmacological solution is not the norm for fractures. The major drawbacks of the more traditional methods are invasiveness and the risks inherent with surgery. In addition, bone grafting is associated with considerable morbidity, including chronic pain, injury to nerves and muscles and blood loss. Surgical cost is another significant concern. Experimental techniques, such as stimulation of the bone with electricity or sound show some promise for healing, but data demonstrating its effectiveness remains limited.</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Entera’s Potential Solution for Non-union Fractures</w:t>
      </w:r>
    </w:p>
    <w:p>
      <w:pPr>
        <w:spacing w:after="0" w:line="10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Studies have suggested that PTH can accelerate bone healing. PTH increases the activity and number of osteoblasts, which are responsible for bone formation, making it critical for cases where bone healing is delayed.</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intend to investigate the efficacy of EB613 for non-union fractures. We may either pursue fracture treatment as an additional use of EB613 or further modify the formulation if studies suggest we could achieve a PK profile that is more efficacious for bone fractures. As non-union fractures and bone healing are non-chronic conditions, generally entailing three to six months of treatment, we believe the acceptance of oral PTH will be higher than other potential pharmacological alternatives. We believe we will be able to use the data generated with EB613 in Phase 1 clinical trials relating to osteoporosis to progress directly to a Phase 2a clinical trial of our oral PTH product candidates for non-union bone fractures.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Development of Orally Delivered Large Molecule Therapeutics</w:t>
      </w:r>
    </w:p>
    <w:p>
      <w:pPr>
        <w:spacing w:after="0" w:line="10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intend to use our technology as a platform for the oral delivery of low-bioavailability therapeutics, which may include small molecules with very low absorption due to their poor permeability properties (BCS class 3 drugs), proteins and other large molecule therapeutics. We have conducted initial feasibility studies with a number of candidates, including human growth hormone, and intend to commence clinical development for our next, non-PTH, product candidate in the first half of 2018. For example, in initial rodent studies utilizing Entera’s drug delivery technology, an oral formulation of human growth hormone obtained significant concentrations of intact human growth hormone throughout the blood stream. We expect that the key criteria in selecting our next clinical candidate will include: the size of the molecule and other chemical characteristics that would benefit from our technology, whether the molecule is best delivered through the intestinal tract rather than through injection, and the drug’s dosing schedule, more specifically, whether it is prescribed for at least three months and would likely be best administered at least once a day. Additionally, we may target large proteins that are prone to inducing damaging immune responses when injected subcutaneously. In some cases, the immune response to the injection is so severe as to reduce or eliminate all physiological effect of the drug upon the illness. We are also considering whether to partner the development of any such additional product candidates and are in early stage discussions with a number of external parties.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Strategy</w:t>
      </w:r>
    </w:p>
    <w:p>
      <w:pPr>
        <w:spacing w:after="0" w:line="108"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We are initially focused on developing an oral PTH (1-34), for the treatment of hypoparathyroidism, or EB612. We are also developing an oral PTH (1-34), with a significantly modified formulation for the treatment of osteoporosis, or EB613, and plan to also conduct clinical trials of EB613 for the treatment of non-union fractures. We are also investigating applying our oral drug delivery platform to other FDA-approved proteins or large molecule therapeutics.</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yet established sales, marketing or product distribution operations because our product candidates are in clinical development. Prior to receiving regulatory approval for EB612, if approved, we plan to build a focused sales and marketing organization in the United States and other jurisdictions where we anticipate obtaining approval to sell EB612 once approved. We believe that we can independently</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01" w:name="page102"/>
    <w:bookmarkEnd w:id="10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commercialize EB612 with a small salesforce by targeting a relatively small prescriber base of primarily endocrinologists in centers of excellence. We would, however, evaluate other opportunities to commercialize EB612 and other products candidates for orphan indications, if attractive. We may seek a partner to develop EB613, and anticipate that any such partner would be responsible for, or substantially support, late stage clinical trials of EB613 as well as submitting applications for regulatory approvals and registrations.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industry is highly competitive and subject to rapid and significant technological change. While we believe that our technology, knowledge, experience and scientific resources provide us with competitive advantages, we face competition from many different sources, including large pharmaceutical, specialty pharmaceutical, biotechnology, and generic drug companies and academic and government institutions. We believe that the key competitive factors that will affect the development and commercial success of our oral PTH product candidates for hypoparathyroidism, osteoporosis and non-union fractures, and any other product candidates that we develop, are the efficacy, safety and tolerability profile, convenience in dosing, product labeling, price and availability of reimbursement from the government and other third-parties. Our commercial opportunity could be reduced or eliminated if our competitors have products that are better in one or more of these categories.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that, if approved, our oral PTH product candidates for hypoparathyroidism, osteoporosis and non-union fractures, and other product candidates that we develop, would compete with a number of existing products. Furthermore, we believe that we face competition with regard to our oral drug delivery platform, as we believe that other non-invasive medical drug delivery technologies, including alternative oral delivery systems as well as transdermal patches, are being developed by other parties. Many of our potential competitors have substantially greater financial, technical, commercial and human resources than we do and significantly more experience in the discovery, development and regulatory approvals of product candidates, and the commercialization of those products. Accordingly, our competitors may be more successful than us in obtaining FDA approval for product candidates and achieving widespread market acceptance. See “Risk Factors — Risks Related to Commercialization of Our Product Candidates.”</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EB612 for Hypoparathyroidism</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Historically, the treatments for hypoparathyroidism have been calcium supplements, vitamin D supplements and phosphate binders, however many serious side effects result from this therapy. Our product candidate EB612 is designed to deliver PTH to hypoparathyroid patients to directly address the underlying PTH deficiency. Because our product would be a branded pharmaceutical, in contrast to the over-the-counter supplements currently used by those with the condition, we believe that the market acceptance will be strongest among patients whose disease is not well-controlled by over-the-counter supplements, or in those patients who continue to suffer from side effects associated with therapy or symptoms associated with poor management of their condition.</w:t>
      </w:r>
    </w:p>
    <w:p>
      <w:pPr>
        <w:spacing w:after="0" w:line="76"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We believe that our key competitor in hypoparathyroidism treatment is Shire plc, which is marketing Natpara, an injectable bioengineered recombinant form of PTH (1-84) that was approved by the FDA in January 2015. Natpara has been granted orphan drug designation for hypoparathyroidism by the FDA as the first approved product for this indication, has orphan drug market exclusivity for seven years in the United States. Orphan drug market exclusivity means that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Therefore, we will only be able to obtain regulatory approval for EB612, which also has orphan drug designation for hypoparathyroidism, if we demonstrate EB612’s clinical superiority over Natpara in that it demonstrates greater effectiveness or safety than Natpara or that it otherwise makes a major contribution to patient care. We believe that we will be able to demonstrate that our oral formulation of PTH is clinically superior to Natpara in terms of efficacy and safety, and therefore, that Natpara’s orphan drug exclusivity will not prevent the FDA from approving our BLA for oral PTH prior to the expiration of Natpara’s market exclusivity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Ascendis Pharma has reported that it is developing a long-acting oral, prodrug formulation of PTH for the treatment of hypoparathyroidism.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Ascendis recently reported that it had initiated a Phase 1 trial for its oral PTH product in the third quarter of 2017.</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2" w:name="page103"/>
    <w:bookmarkEnd w:id="10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EB613 for Osteoporosis</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Current treatments for osteoporosis generally fall into two categories: antiresorptive medications to slow bone loss and anabolic medications to increase the rate of bone formation. The global osteoporosis drug market has traditionally been dominated by bisphosphonates, which slow bone loss. Although bisphosphonates’ market share has declined due to the occurrence of serious side effects, as well as the introduction of newly developed pharmacological treatments, many of the new drugs have serious side effects of their own. Eli Lilly’s Forteo, is one of the most effective osteoporosis medications. We anticipate that our product candidate EB613 if approved, will compete with Forteo. We believe that EB613 may prove to be superior to Forteo due to its oral administration, potentially leading to greater patient acceptance and its sharper pharmacokinetic profile which is expected to have more potent anabolic effect. However, our competitors in this market are large pharmaceutical companies with greater resources than us and the alternatives therapies have been on the market for many years and have widespread market acceptance.</w:t>
      </w:r>
    </w:p>
    <w:p>
      <w:pPr>
        <w:spacing w:after="0" w:line="1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Bone Healing</w:t>
      </w: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currently no approved pharmacological treatments to stimulate bone healing. We anticipate that, if approved, our oral PTH product candidate for the treatment of non-union fractures would compete with non-pharmacological treatments such as electrical stimulation as well as off-label use of Forteo.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Israeli Innovation Authority Grants</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received grants of approximately $0.5 million from the IIA to partially fund our research and development. The grants are subject to certain requirements and restrictions in the Encouragement of Research, Development and Technological Innovation in Industry Law, 5744-1984, or the Research Law. In general, until the grants are repaid with interest, royalties are payable to the Israeli government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pacing w:after="0" w:line="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amount that must be repaid may be increased to three times the amount of the grant received, and the rate of royalties may be accelerated if manufacturing of the products developed with the grant money is transferred outside of the State of Israel. As of September 30, 2017, the total royalty amount payable to the IIA, including accrued interest, was approximately $0.5 million. As of September 30, 2017, we had not paid any royalties to the IIA.</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paying any royalties due, we must abide by other restrictions associated with receiving such grants under the Research Law that continue to apply even following repayment to the IIA. These restrictions may impair our ability to outsource manufacturing, engage in change of control transactions or otherwise transfer our “know-how” (as defined in the Research Law) outside of Israel, and may require us to obtain the approval of the IIA for certain actions and transactions and pay additional royalties and other amounts to the IIA. We may not receive the required approvals for any proposed transfer and, even if received, we may be required to pay the IIA a portion of the consideration that we receive upon any sale of such technology to a non-Israeli entity up to 600% of the grant amounts plus interest. We believe that, because production is not being done for commercial purposes, the entry into the production agreement in the U.K. will not affect the royalty rates to be paid to the IIA. Should it turn out that this position is not acceptable to the IIA, the maximum royalties to be paid to the IIA will be approximately $1.5 million, which is three times the amount of the original grants of $0.5 million. In addition, any change of control and any change of ownership of our ordinary shares (including by way of an initial public offering) that would cause a non-Israeli citizen or resident to become an “interested party,” as defined in the Research Law (which includes any person who holds 5% or more of our outstanding shares), requires written notice to the IIA. Such a non-Israeli interested party is required to sign an undertaking towards the IIA in which it undertakes to comply with the Research Law. If we fail to comply with the Research Law, we may be forced to return the grants and/or be subject to monetary fines and/or criminal charges.</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3" w:name="page104"/>
    <w:bookmarkEnd w:id="10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Oramed Patent Transfer Agreement</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2010, in connection with our establishment as a joint venture between D.N.A Biomedical and Oramed, a subsidiary of Oramed Pharmaceuticals, Inc., we entered into a patent license agreement with Oramed pursuant to which Oramed granted us a worldwide, royalty-bearing, exclusive, irrevocable, perpetual and sublicensable license under certain Oramed patent rights to develop, manufacture and commercialize products for certain indications to be specified by us and Oramed, other than diabetes, obesity and influenza. In February 2011, D.N.A Biomedical and Oramed entered into a share purchase agreement for the sale by Oramed to D.N.A Biomedical of 47% of our ordinary shares. In connection with this transaction, in February 2011 we entered into a patent transfer agreement with Oramed, or the Patent Transfer Agreement, to replace the original 2010 license agreement. Pursuant to the terms of the Patent Transfer Agreement, Oramed assigned to us all of its right, title and interest in the previously licensed patent rights, and in return we granted to Oramed a worldwide, royalty-free, exclusive, irrevocable, perpetual and sublicensable license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In consideration for such assignment, we agreed to pay Oramed royalties equal to 3% of our net revenues generated, directly or indirectly, from exploitation of the assigned patent rights, including the sale, lease or transfer of the assigned patent rights or sales of products or services covered by the assigned patent rights. Either party may terminate the Patent Transfer Agreement for the other party’s uncured material breach upon 45 days’ written notice (and immediately upon written notice in the event of an incurable breach), or if the other party undergoes certain insolvency-related events. The royalty obligations imposed on us will survive termination of the Patent Transfer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ability to protect the proprietary nature of our product candidates, technology, and know-how; operate without infringing on the proprietary rights of others; and prevent others from infringing on our proprietary rights. We seek to protect our proprietary position by, among other methods, seeking patent protection in the United States and in certain other jurisdictions for our product candidates and other technology that we consider important to the development of our business, where such protection is available. We believe that our success will depend in part on our ability to obtain patent protection for our intellectual property. We also intend to rely on trade secret protection, know-how and the exploitation of in-licensing opportunities to develop our proprietary position.</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Patent Rights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2017, our global patent portfolio included the following patents and patent applications:</w:t>
      </w:r>
    </w:p>
    <w:p>
      <w:pPr>
        <w:spacing w:after="0" w:line="198" w:lineRule="exact"/>
        <w:rPr>
          <w:sz w:val="20"/>
          <w:szCs w:val="20"/>
          <w:color w:val="auto"/>
        </w:rPr>
      </w:pPr>
    </w:p>
    <w:p>
      <w:pPr>
        <w:ind w:left="360" w:right="420" w:hanging="172"/>
        <w:spacing w:after="0" w:line="254" w:lineRule="auto"/>
        <w:tabs>
          <w:tab w:leader="none" w:pos="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claiming compositions comprising a protein, an absorption enhancer and a protease inhibitor as well as methods for oral administration of a protein with an enzymatic activity, which compositions cover EB612 and EB613, have been issued in the United States, Australia, Japan, China, Israel, Canada, New Zealand and Russia. Related patent applications are pending in the United States, the European Union, Hong Kong, Brazil, India, Israel and Russia. Specifically, in the United States Australia, Japan, China, Israel and Russia divisional or continuation patent application have been filed to specifically cover PTH (1-34). Such patents have already been granted in Australia and Japan, and in the remaining jurisdictions, including the United States, these applications are pending. The current issued patents in the United States and China are limited to insulin. These issued patents and any patents that may issue from the pending patent applications are currently expected to expire in August 2029, assuming all annuity and maintenance payments are paid thereon. Rights to these patents and patent applications were assigned to us pursuant to the Patent Transfer Agreement with Oramed.</w:t>
      </w:r>
    </w:p>
    <w:p>
      <w:pPr>
        <w:spacing w:after="0" w:line="148" w:lineRule="exact"/>
        <w:rPr>
          <w:rFonts w:ascii="Times New Roman" w:cs="Times New Roman" w:eastAsia="Times New Roman" w:hAnsi="Times New Roman"/>
          <w:sz w:val="18"/>
          <w:szCs w:val="18"/>
          <w:color w:val="auto"/>
        </w:rPr>
      </w:pPr>
    </w:p>
    <w:p>
      <w:pPr>
        <w:ind w:left="360" w:right="780" w:hanging="172"/>
        <w:spacing w:after="0" w:line="266" w:lineRule="auto"/>
        <w:tabs>
          <w:tab w:leader="none" w:pos="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patent applications and one Patent Cooperation Treaty (PCT) application, which we believe, if issued as national stage patents containing substantially the same claims as those in the applications, would cover certain oral administration technologies. These technologies include compositions and</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04" w:name="page105"/>
    <w:bookmarkEnd w:id="10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right="20"/>
        <w:spacing w:after="0" w:line="266" w:lineRule="auto"/>
        <w:rPr>
          <w:sz w:val="20"/>
          <w:szCs w:val="20"/>
          <w:color w:val="auto"/>
        </w:rPr>
      </w:pPr>
      <w:r>
        <w:rPr>
          <w:rFonts w:ascii="Times New Roman" w:cs="Times New Roman" w:eastAsia="Times New Roman" w:hAnsi="Times New Roman"/>
          <w:sz w:val="18"/>
          <w:szCs w:val="18"/>
          <w:color w:val="auto"/>
        </w:rPr>
        <w:t>drug delivery devices which utilize an absorption enhancer to enable the absorption of a therapeutically active agent in a controlled manner. We believe that certain of the pending claims contained in these patent applications, if issued in substantially the same form, would cover the formulations of EB612 and EB613.</w:t>
      </w:r>
    </w:p>
    <w:p>
      <w:pPr>
        <w:spacing w:after="0" w:line="14" w:lineRule="exact"/>
        <w:rPr>
          <w:sz w:val="20"/>
          <w:szCs w:val="20"/>
          <w:color w:val="auto"/>
        </w:rPr>
      </w:pPr>
    </w:p>
    <w:p>
      <w:pPr>
        <w:ind w:left="360" w:right="320" w:hanging="172"/>
        <w:spacing w:after="0" w:line="266" w:lineRule="auto"/>
        <w:tabs>
          <w:tab w:leader="none" w:pos="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patent applications filed in various jurisdictions, which we believe, if issued as patents containing substantially the same claims as those in the applications, would contain method of treatment claims covering the use of orally administered PTH for the treatment of osteoporosis, hypoparathyroidism, and bone fractures and related conditions.</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or USPTO,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The patent term extension period is generally one-half the time between the effective date of the IND and the submission date of the BLA for the product, plus the time between the submission date of the BLA and the approval of the application. Only one patent applicable to an approved drug is eligible for the extension and the application for the extension must be submitted prior to the expiration of the patent. Only those claims covering the approved drug, a method for using it or a method for manufacturing it may be extended. Moreover, we may not receive an extension because of, for example, failing to apply within applicable deadlines, failing to apply prior to expiration of relevant patents or otherwise failing to satisfy applicable requirements. Similar provisions are available in the European Union and certain other foreign jurisdictions to extend the term of a patent that covers an approved drug. However, the length of any extension, if granted, could be less than we request.</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Trade Secrets</w:t>
      </w:r>
    </w:p>
    <w:p>
      <w:pPr>
        <w:spacing w:after="0" w:line="1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patent rights, we also rely on unpatented trade secrets and know-how to protect our proprietary technology. However, trade secrets can be difficult to protect. We seek to protect our proprietary technology, in part, by entering into confidentiality agreements with our employees, consultants, contractors, manufacturers, outside scientific collaborators and sponsored researchers, members of our board of directors, technical review board and other advisors upon their engagement. These agreements generally provide that all confidential information developed or made known to the individual during the course of the individual’s relationship with us is to be kept confidential and not to be disclosed to third parties except in specific limited circumstances. We also generally require signed confidentiality or material transfer agreements from any company that is to receive our confidential information. In the case of employees, consultants, and contractors, the agreements also generally provide that all inventions conceived by the individual while rendering services to us shall be assigned to us as our exclusive property. There can be no assurance, however, that we have entered into agreements with all applicable parties, that all persons who we desire to sign such agreements will sign, or if they do, that these agreements will not be breached, that we would have adequate remedies for any breach, or that our unpatented trade secrets or know-how will not otherwise become known or be independently developed by competitors. Additionally, to the extent that our commercial partners, collaborators, employees, and consultants use intellectual property owned by others in their work for us, disputes may arise as to the rights in related or resulting know-how and inventions. For this and a more comprehensive discussion of risks related to our intellectual property, see “Risk Factors — Risks Related to Our Intellectual Property.”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do not own or operate facilities for large scale product manufacturing, storage and distribution, or testing, nor do we expect to in the future. Our current facility is limited to small-mid scale product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05" w:name="page106"/>
    <w:bookmarkEnd w:id="10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manufacturing, storage and distribution of materials for clinical studies. Our facility has ISO:9001:2008 quality management systems accreditation from The Standards Institution of Israel for the production and development of functional excipients and oral drug formulations to be used in clinical trials. The facility includes a dedicated clean room designed as a Class C/ISO 8 clean room for tablet production and a dedicated chemical synthesis clean room designed as a Class C ISO 8 clean room.</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manufacturing activities include the chemical synthesis of one of our non-active but functional drug components as well as the formulation and production of the final drug, packaging, storage and distribution. The testing and release of materials to be used in the manufacturing process as well as the testing and release of the manufactured products is overseen by our QA/QC department and relies on internal and external tests. We have signed a contract with a UK-based contract manufacturing organization, to produce and supply pills for trials performed worldwide. This contract is not exclusive and we may enter into additional contracts as we see fit. Various materials included in the drug formulation and materials procured for the chemical synthesis are commercially available from various accredited suppliers. We do not have supply contracts with all these vendors and are not bound to any specific vendor at this point in time. However, it is our intention to complete such contracts in anticipation of commercial manufacturing activities, so that if approved, we will have such contracts in place.</w:t>
      </w:r>
    </w:p>
    <w:p>
      <w:pPr>
        <w:spacing w:after="0" w:line="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March 2017, we contracted with an FDA/EMA inspected- GMP subcontractor in the UK to outsource activities for technical transfer and tablet production for our international clinical trials.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quality control, approval, packaging, storage, recordkeeping, labeling, advertising, promotion, distribution, marketing, post-approval monitoring and reporting, and import and export of pharmaceutical products. The processes for obtaining regulatory approvals in the United States and in other countries and jurisdictions, along with subsequent compliance with applicable statutes and regulations and other regulatory authorities, require the expenditure of substantial time and financial resources.</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Review and Approval of Biologics in the United States</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United States, our product candidates are regulated by the FDA as biologics under the Federal Food, Drug, and Cosmetic Act, or the FDCA, the Public Health Service Act, or the PHSA, and regulations implemented by the agency. The failure to comply with the applicable requirements at any time during the product development process, including preclinical testing, clinical testing, the approval process or post-approval process, may subject an applicant to delays in the conduct of clinical trials,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or Department of Justice, or other governmental entities.</w:t>
      </w:r>
    </w:p>
    <w:p>
      <w:pPr>
        <w:spacing w:after="0" w:line="8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a biologic may be marketed in the United States generally involves satisfactorily completing each of the following steps:</w:t>
      </w:r>
    </w:p>
    <w:p>
      <w:pPr>
        <w:spacing w:after="0" w:line="135" w:lineRule="exact"/>
        <w:rPr>
          <w:sz w:val="20"/>
          <w:szCs w:val="20"/>
          <w:color w:val="auto"/>
        </w:rPr>
      </w:pPr>
    </w:p>
    <w:p>
      <w:pPr>
        <w:ind w:left="360" w:right="440" w:hanging="172"/>
        <w:spacing w:after="0" w:line="282" w:lineRule="auto"/>
        <w:tabs>
          <w:tab w:leader="none" w:pos="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all performed in accordance with the FDA’s Good Laboratory Practice, or GLP, regulations;</w:t>
      </w:r>
    </w:p>
    <w:p>
      <w:pPr>
        <w:spacing w:after="0" w:line="12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for human clinical testing, which must become effective before human clinical trials may begin;</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w:t>
      </w: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2720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106" w:name="page107"/>
    <w:bookmarkEnd w:id="10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right="420" w:hanging="172"/>
        <w:spacing w:after="0" w:line="282" w:lineRule="auto"/>
        <w:tabs>
          <w:tab w:leader="none" w:pos="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to establish the safety and efficacy of the product candidate for each proposed indication and conducted in accordance with Good Clinical Practice, or GCP, requirements;</w:t>
      </w:r>
    </w:p>
    <w:p>
      <w:pPr>
        <w:spacing w:after="0" w:line="80" w:lineRule="exact"/>
        <w:rPr>
          <w:rFonts w:ascii="Times New Roman" w:cs="Times New Roman" w:eastAsia="Times New Roman" w:hAnsi="Times New Roman"/>
          <w:sz w:val="18"/>
          <w:szCs w:val="18"/>
          <w:color w:val="auto"/>
        </w:rPr>
      </w:pPr>
    </w:p>
    <w:p>
      <w:pPr>
        <w:ind w:left="360" w:right="740" w:hanging="172"/>
        <w:spacing w:after="0" w:line="282" w:lineRule="auto"/>
        <w:tabs>
          <w:tab w:leader="none" w:pos="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data supporting safety and efficacy as well as detailed information on the manufacture and composition of the product in clinical development and proposed labeling;</w:t>
      </w:r>
    </w:p>
    <w:p>
      <w:pPr>
        <w:spacing w:after="0" w:line="8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w:t>
      </w:r>
    </w:p>
    <w:p>
      <w:pPr>
        <w:spacing w:after="0" w:line="15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144" w:lineRule="exact"/>
        <w:rPr>
          <w:rFonts w:ascii="Times New Roman" w:cs="Times New Roman" w:eastAsia="Times New Roman" w:hAnsi="Times New Roman"/>
          <w:sz w:val="18"/>
          <w:szCs w:val="18"/>
          <w:color w:val="auto"/>
        </w:rPr>
      </w:pPr>
    </w:p>
    <w:p>
      <w:pPr>
        <w:ind w:left="360" w:right="440" w:hanging="172"/>
        <w:spacing w:after="0" w:line="266" w:lineRule="auto"/>
        <w:tabs>
          <w:tab w:leader="none" w:pos="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including those of third parties, at which the product, or components thereof, are produced to assess compliance with current good manufacturing practice, or cGMP, requirements and to assure that the facilities, methods and controls are adequate to preserve the product’s identity, strength, quality and purity;</w:t>
      </w:r>
    </w:p>
    <w:p>
      <w:pPr>
        <w:spacing w:after="0" w:line="108" w:lineRule="exact"/>
        <w:rPr>
          <w:rFonts w:ascii="Times New Roman" w:cs="Times New Roman" w:eastAsia="Times New Roman" w:hAnsi="Times New Roman"/>
          <w:sz w:val="18"/>
          <w:szCs w:val="18"/>
          <w:color w:val="auto"/>
        </w:rPr>
      </w:pPr>
    </w:p>
    <w:p>
      <w:pPr>
        <w:ind w:left="360" w:right="320" w:hanging="172"/>
        <w:spacing w:after="0" w:line="282" w:lineRule="auto"/>
        <w:tabs>
          <w:tab w:leader="none" w:pos="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non-clinical and clinical trial sites to assure compliance with GCP requirements and the integrity of clinical data in support of the BLA;</w:t>
      </w:r>
    </w:p>
    <w:p>
      <w:pPr>
        <w:spacing w:after="0" w:line="8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 securing FDA approval of the BLA for the proposed indication; and</w:t>
      </w:r>
    </w:p>
    <w:p>
      <w:pPr>
        <w:spacing w:after="0" w:line="157" w:lineRule="exact"/>
        <w:rPr>
          <w:rFonts w:ascii="Times New Roman" w:cs="Times New Roman" w:eastAsia="Times New Roman" w:hAnsi="Times New Roman"/>
          <w:sz w:val="18"/>
          <w:szCs w:val="18"/>
          <w:color w:val="auto"/>
        </w:rPr>
      </w:pPr>
    </w:p>
    <w:p>
      <w:pPr>
        <w:ind w:left="360" w:right="820" w:hanging="172"/>
        <w:spacing w:after="0" w:line="282" w:lineRule="auto"/>
        <w:tabs>
          <w:tab w:leader="none" w:pos="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risk evaluation and mitigation strategies, or REMS, and any post-approval studies required by the FDA.</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Preclinical Studies and Investigational New Drug Application</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Preclinical tests include laboratory evaluations of product chemistry, formulation and stability, as well as studies to evaluate the potential for efficacy and toxicity in animals.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Some preclinical tests may continue even after submission of the IND application.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 can begin.</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a result, submission of the IND may result in the FDA not allowing the clinical trials to commence or allowing the clinical trial to commence on the terms originally specified by the sponsor in the IND. If the FDA raises concerns or questions either during this initial 30-day period, or at any time during the IND process, it may choose to impose a partial or complete clinical hold. This order issued by the FDA would delay either a proposed clinical trial or cause suspension of an ongoing clinical trial, until all outstanding concerns have been adequately addressed and the FDA has notified the company that investigations may proceed. This could cause significant delays or difficulties in completing planned clinical trials in a timely manner.</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with the disease to be treated under the supervision of a qualified principal investigator in accordance with cGCP requirements. Clinical trials are conducted under trial protocols detailing, among other things, the objectives of the clinical trial,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sponsor who wishes to conduct a clinical trial outside the United States may, but need not, obtain FDA authorization to conduct the clinical trial under an IND. If a clinical trial outside the United States is not conducted under an IND, the sponsor may submit data from the clinical trial to the FDA in support of a BLA so long as the clinical trial is conducted consistent with the spirit of GCP and in compliance with an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7" w:name="page108"/>
    <w:bookmarkEnd w:id="10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the FDA regulations. The FDA, IRB or the clinical trial sponsor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 consent. Additionally, some clinical trials are overseen by an independent group of qualified experts organized by the clinical trial sponsor, known as a data safety monitoring board or committee. This group may recommend continuing the clinical trial as planned, make changes in clinical trial conduct, or cessation of the clinical trial at designated check points based on access to certain data from the clinical trial.</w:t>
      </w:r>
    </w:p>
    <w:p>
      <w:pPr>
        <w:spacing w:after="0" w:line="7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Annual progress reports detailing the results of the clinical trials must be submitted to the FDA. Additional studies may be required after approval.</w:t>
      </w:r>
    </w:p>
    <w:p>
      <w:pPr>
        <w:spacing w:after="0" w:line="133" w:lineRule="exact"/>
        <w:rPr>
          <w:sz w:val="20"/>
          <w:szCs w:val="20"/>
          <w:color w:val="auto"/>
        </w:rPr>
      </w:pPr>
    </w:p>
    <w:p>
      <w:pPr>
        <w:ind w:left="360" w:right="440" w:hanging="172"/>
        <w:spacing w:after="0" w:line="267" w:lineRule="auto"/>
        <w:tabs>
          <w:tab w:leader="none" w:pos="3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metabolism, excretion and pharmacodynamics in healthy humans or, on occasion, in patients, such as cancer patients.</w:t>
      </w:r>
    </w:p>
    <w:p>
      <w:pPr>
        <w:spacing w:after="0" w:line="133" w:lineRule="exact"/>
        <w:rPr>
          <w:rFonts w:ascii="Times New Roman" w:cs="Times New Roman" w:eastAsia="Times New Roman" w:hAnsi="Times New Roman"/>
          <w:sz w:val="18"/>
          <w:szCs w:val="18"/>
          <w:color w:val="auto"/>
        </w:rPr>
      </w:pPr>
    </w:p>
    <w:p>
      <w:pPr>
        <w:ind w:left="360" w:right="420" w:hanging="172"/>
        <w:spacing w:after="0" w:line="267" w:lineRule="auto"/>
        <w:tabs>
          <w:tab w:leader="none" w:pos="3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 effects and safety risks,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33" w:lineRule="exact"/>
        <w:rPr>
          <w:rFonts w:ascii="Times New Roman" w:cs="Times New Roman" w:eastAsia="Times New Roman" w:hAnsi="Times New Roman"/>
          <w:sz w:val="18"/>
          <w:szCs w:val="18"/>
          <w:color w:val="auto"/>
        </w:rPr>
      </w:pPr>
    </w:p>
    <w:p>
      <w:pPr>
        <w:ind w:left="360" w:right="400" w:hanging="172"/>
        <w:spacing w:after="0" w:line="259" w:lineRule="auto"/>
        <w:tabs>
          <w:tab w:leader="none" w:pos="3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proceed if the Phase 2 clinical trials demonstrate that a dose range of the product candidate is potentially effective and has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acceptable safety profile. Phase 3 clinical trials are undertaken to further evaluate, in a larger number of patients,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drug: such Phase 3 studies are referred to as “pivotal.”</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some cases, the FDA may approve a BLA for a product candidate but require the sponsor to conduct additional clinical trials to further assess the drug’s safety and effectiveness after BLA approval. Such post-approval trials are typically referred to as Phase 4 clinical trials. These studies are used to gain additional experience from the treatment of patients in the intended therapeutic indication and to document a clinical benefit in the case of drugs or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Phase 4 clinical trials could result in withdrawal of approval for products.</w:t>
      </w: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2720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108" w:name="page109"/>
    <w:bookmarkEnd w:id="10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Compliance with Current Good Manufacturing Practice Requirements</w:t>
      </w:r>
    </w:p>
    <w:p>
      <w:pPr>
        <w:spacing w:after="0" w:line="1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Manufacturers and others involved in the manufacture and distribution of products must also register their establishments with the FDA and certain state agencies. Both U.S. and non-U.S. manufacturing establishments must register and provide additional information to the FDA upon their initial participation in the manufacturing process. Any product manufactured by or imported from a facility that has not registered, whether U.S. or non-U.S.,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1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Review and Approval of a Biologic License Application</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results of product candidate development, preclinical testing and clinical trials, including negative or ambiguous results as well as positive findings, are submitted to the FDA as part of a BLA requesting approval to market the product. The BLA also must contain extensive manufacturing information and detailed information on the composition of the product and proposed labeling as well as payment of a user fee. According to the FDA’s fee schedule, effective from October 1, 2016 through September 30, 2017, the user fee for an application requiring clinical data, such as a BLA, is $2,038,100.</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under the Prescription Drug User Fee Act, or the PDUFA, the FDA has ten months from the filing date in which to complete its initial review of a standard application and respond to the applicant, and six months for a priority review of the application. The FDA does not always meet its PDUFA goal dates for standard and priority applications. The review process may often be significantly extended by FDA requests for additional information or clarification. The review process and the PDUFA goal date may be extended by three months if the FDA requests, or the applicant otherwise provides additional information or clarification regarding information already provided in the submission within the last three months before the PDUFA goal date.</w:t>
      </w:r>
    </w:p>
    <w:p>
      <w:pPr>
        <w:spacing w:after="0" w:line="7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Under the FDCA and the PHSA, the FDA may approve a BLA if it determines that the product is safe, pure and potent and the facility where the product will be manufactured meets standards designed to ensure that it continues to be safe, pure and potent.</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may submit to the FDA information that represents a complete response to the issues identified by the FDA. Such resubmissions are classified under PDUFA as either Class 1 or Class 2. 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from the date of receipt. The FDA will not approve an application until issues identified in the complete response letter have been addressed.</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9" w:name="page110"/>
    <w:bookmarkEnd w:id="10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FDA may also refer the application to an advisory committee for review, evaluation and recommendation as to whether the application should be approved.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Fast Track, Breakthrough Therapy and Priority Review Designations</w:t>
      </w:r>
    </w:p>
    <w:p>
      <w:pPr>
        <w:spacing w:after="0" w:line="1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and priority review designation.</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Second, 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7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10" w:name="page111"/>
    <w:bookmarkEnd w:id="1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regulatory approval for marketing of a product or new indication for an existing product is obtained, the sponsor will be required to comply with post-approval regulatory requirements, including any post-approval requirements that the FDA may have imposed as a condition of approval. The sponsor will be required to report certain adverse reactions and production problems to the FDA, provide updated safety and efficacy information and comply with requirements concerning advertising and promotional labeling requirements. Drug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drug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11" w:name="page112"/>
    <w:bookmarkEnd w:id="1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03" w:lineRule="exact"/>
        <w:rPr>
          <w:sz w:val="20"/>
          <w:szCs w:val="20"/>
          <w:color w:val="auto"/>
        </w:rPr>
      </w:pPr>
    </w:p>
    <w:p>
      <w:pPr>
        <w:ind w:left="360" w:hanging="172"/>
        <w:spacing w:after="0"/>
        <w:tabs>
          <w:tab w:leader="none" w:pos="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4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BLAs or supplements to approved BLAs, or suspension or revocation of product license approvals;</w:t>
      </w:r>
    </w:p>
    <w:p>
      <w:pPr>
        <w:spacing w:after="0" w:line="14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Orphan drug designation in the United States is designed to encourage sponsors to develop drugs intended for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drug in the United States.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Orphan drug designation qualifies a company for tax credits, waiver of the BLA user fee and may confer market exclusivity for seven years following the date of the drug’s marketing approval, if granted by the FDA, if a product that has orphan designation subsequently receives the first FDA approval of that drug for the disease for which it has such designation. This means that the FDA may not approve any other applications, including BLA to market the same biologic even in a different formulation for the same indication for seven years, except in limited circumstances such as a showing of clinical superiority over the product with orphan drug exclusivity or where the manufacturer is unable to assure sufficient product quantity. An application for designation as an orphan product can be made any time prior to the filing of an application for approval to market the product. A product becomes an orphan product when it receives orphan drug designation from the Office of Orphan Products Development, or OOPD, at the FDA based on acceptable confidential requests made under the regulatory provisions. The product must then go through the review and approval process like any other product.</w:t>
      </w:r>
    </w:p>
    <w:p>
      <w:pPr>
        <w:spacing w:after="0" w:line="7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w:t>
      </w: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112" w:name="page113"/>
    <w:bookmarkEnd w:id="1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product may be clinically superior to the first, approved product. More than one sponsor may receive orphan drug designation for the same product for the same rare disease or condition, but each sponsor seeking orphan drug designation must file a complete request for designation, and only the first sponsor that obtains approval for that drug for the orphan indication will obtain market exclusivity, effectively preventing the FDA from approving products under development by competitors for the same drug and same indication, unless the competitor is able to demonstrate that the product under development is clinically superior to the approved product or the approved product is not available in sufficient quantities. To permit the FDA to end another manufacturer’s orphan exclusivity period, the FDA must determine that the manufacturer has demonstrated clinical superiority by showing the later drug is safer, more effective, or makes a major contribution to patient care.</w:t>
      </w:r>
    </w:p>
    <w:p>
      <w:pPr>
        <w:spacing w:after="0" w:line="8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subsequent application for a different drug for the same indication. Orphan drug designation neither shortens the development time or regulatory review time of a drug nor gives the drug any advantage in the regulatory review or approval process.</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2010 Patient Protection and Affordable Care Act, as amended by the Health Care and Education Reconciliation Act, or collectively the ACA, which was signed into law on March 23, 2010, included a subtitle called the Biologics Price Competition and Innovation Act of 2009 or BPCIA. The BPCIA established a regulatory scheme authorizing the FDA to approve biosimilars and interchangeable biosimilars. To date, five biosimilars have been licensed under the BPCIA, although numerous biosimilars have been approved in Europe. The FDA has issued several draft guidance documents outlining an approach to review and approval of biosimilars. Complexities associated with the larger, and often more complex, structures of biological products, as well as the processes by which such products are manufactured, pose significant hurdles to implementation, which are still being worked out by the FDA.</w:t>
      </w:r>
    </w:p>
    <w:p>
      <w:pPr>
        <w:spacing w:after="0" w:line="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10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 patent claiming a new drug or biologic product may be eligible for a limited patent term extension under the Hatch-Waxman Act, which permits a patent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The patent term extension period granted is typically one-half the time between the effective date of the first IND and the submission date of the BLA for the product, plus the time between the submission date of the BLA and the approval of that application. Only one patent applicable to an approved product is eligible for the extension, and the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3" w:name="page114"/>
    <w:bookmarkEnd w:id="1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application for the extension must be submitted prior to the expiration of the patent in question. A patent that covers multiple products for which approval is sought can only be extended in connection with one of the products. The USPTO reviews and approves the application for any patent term extension or restoration in consultation with the FDA.</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Regulation Outside the United States</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Regulation and Marketing Authorization in the European Union</w:t>
      </w:r>
    </w:p>
    <w:p>
      <w:pPr>
        <w:spacing w:after="0" w:line="10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EMA is the scientific agency of the European Union that coordinates the evaluation and monitoring of new and approved medicinal products. It is responsible for the scientific evaluation of applications for EU marketing authorizations, as well as the development of technical guidance and the provision of scientific advice to sponsors. The EMA decentralizes its scientific assessment of medicines by working through a network of about 4,500 experts throughout the European Union, nominated by the member states. The EMA draws on resources of over 40 National Competent Authorities of EU member states.</w:t>
      </w:r>
    </w:p>
    <w:p>
      <w:pPr>
        <w:spacing w:after="0" w:line="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process regarding approval of medicinal products in the European Union follows roughly the same lines as in the United States and likewise generally involves satisfactorily completing each of the following:</w:t>
      </w:r>
    </w:p>
    <w:p>
      <w:pPr>
        <w:spacing w:after="0" w:line="135" w:lineRule="exact"/>
        <w:rPr>
          <w:sz w:val="20"/>
          <w:szCs w:val="20"/>
          <w:color w:val="auto"/>
        </w:rPr>
      </w:pPr>
    </w:p>
    <w:p>
      <w:pPr>
        <w:ind w:left="360" w:right="580" w:hanging="172"/>
        <w:spacing w:after="0" w:line="282" w:lineRule="auto"/>
        <w:tabs>
          <w:tab w:leader="none" w:pos="3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all performed in accordance with the applicable EU Good Laboratory Practice regulations;</w:t>
      </w:r>
    </w:p>
    <w:p>
      <w:pPr>
        <w:spacing w:after="0" w:line="121" w:lineRule="exact"/>
        <w:rPr>
          <w:rFonts w:ascii="Times New Roman" w:cs="Times New Roman" w:eastAsia="Times New Roman" w:hAnsi="Times New Roman"/>
          <w:sz w:val="18"/>
          <w:szCs w:val="18"/>
          <w:color w:val="auto"/>
        </w:rPr>
      </w:pPr>
    </w:p>
    <w:p>
      <w:pPr>
        <w:ind w:left="360" w:right="540" w:hanging="172"/>
        <w:spacing w:after="0" w:line="282" w:lineRule="auto"/>
        <w:tabs>
          <w:tab w:leader="none" w:pos="3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relevant national authorities of a clinical trial application, or CTA, for each clinical trial, which must be approved before human clinical trials may begin;</w:t>
      </w:r>
    </w:p>
    <w:p>
      <w:pPr>
        <w:spacing w:after="0" w:line="12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to establish the safety and efficacy of the product for each proposed indication;</w:t>
      </w:r>
    </w:p>
    <w:p>
      <w:pPr>
        <w:spacing w:after="0" w:line="198" w:lineRule="exact"/>
        <w:rPr>
          <w:rFonts w:ascii="Times New Roman" w:cs="Times New Roman" w:eastAsia="Times New Roman" w:hAnsi="Times New Roman"/>
          <w:sz w:val="18"/>
          <w:szCs w:val="18"/>
          <w:color w:val="auto"/>
        </w:rPr>
      </w:pPr>
    </w:p>
    <w:p>
      <w:pPr>
        <w:ind w:left="360" w:right="520" w:hanging="172"/>
        <w:spacing w:after="0" w:line="282" w:lineRule="auto"/>
        <w:tabs>
          <w:tab w:leader="none" w:pos="3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relevant competent authorities of a marketing authorization application, or MAA, which includes the data supporting safety and efficacy as well as detailed information on the manufacture and composition of the product in clinical development and proposed labeling;</w:t>
      </w:r>
    </w:p>
    <w:p>
      <w:pPr>
        <w:spacing w:after="0" w:line="121" w:lineRule="exact"/>
        <w:rPr>
          <w:rFonts w:ascii="Times New Roman" w:cs="Times New Roman" w:eastAsia="Times New Roman" w:hAnsi="Times New Roman"/>
          <w:sz w:val="18"/>
          <w:szCs w:val="18"/>
          <w:color w:val="auto"/>
        </w:rPr>
      </w:pPr>
    </w:p>
    <w:p>
      <w:pPr>
        <w:ind w:left="360" w:right="860" w:hanging="172"/>
        <w:spacing w:after="0" w:line="282" w:lineRule="auto"/>
        <w:tabs>
          <w:tab w:leader="none" w:pos="3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inspection by the relevant national authorities of the manufacturing facility or facilities, including those of third parties, at which the product is produced to assess compliance with strictly enforced cGMP;</w:t>
      </w:r>
    </w:p>
    <w:p>
      <w:pPr>
        <w:spacing w:after="0" w:line="12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audits of the non-clinical and clinical trial sites that generated the data in support of the MAA; and</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by the relevant competent authority of the MAA before any commercial marketing, sale or shipment of the product.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14" w:name="page115"/>
    <w:bookmarkEnd w:id="1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Preclinical tests include laboratory evaluations of product chemistry, formulation and stability, as well as studies to evaluate the potential efficacy and toxicity in animals. The conduct of the preclinical tests and formulation of the compounds for testing must comply with the relevant EU regulations and requirements. The results of the preclinical tests, together with relevant manufacturing information and analytical data, are submitted as part of the CTA when seeking approval to start a clinical trial, and with the MAA when seeking marketing authorization.</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10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Requirements for the conduct of clinical trials in the European Union including cGCP, are implemented in the currently Clinical Trials Directive 2001/20/EC and the GCP Directive 2005/28/EC. Pursuant to Directive 2001/20/EC and Directive 2005/28/EC, as amended, a system for the approval of clinical trials in the European Union has been implemented through national legislation of the EU member states. Under this system, approval must be obtained from the competent national authority of a EU member state in which a trial is planned to be conducted, or in multiple member states if the clinical trial is to be conducted in a number of member states. To this end, a CTA is submitted, which must be supported by an investigational medicinal product dossier, or IMPD, and further supporting information prescribed by Directive 2001/20/EC and Directive 2005/28/EC and other applicable guidance documents. Furthermore, a clinical trial may only be started after a competent ethics committee has issued a favorable opinion on the clinical trial application in that country.</w:t>
      </w:r>
    </w:p>
    <w:p>
      <w:pPr>
        <w:spacing w:after="0" w:line="6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April 2014, the European Union legislative body passed the new Clinical Trials Regulation (EU) No 536/2014 which is set to replace the current Clinical Trials Directive 2001/20/EC. To ensure that the rules for clinical trials are identical throughout the EU, the new EU clinical trials legislation was passed as a regulation which is directly applicable in all EU member states. All clinical trials performed in the European Union are required to be conducted in accordance with the Clinical Trials Directive 2001/20/EC until the new Clinical Trials Regulation (EU) No 536/2014 will become applicable. According to the current plans of the EMA, the new Clinical Trials Regulation will become applicable in 2019. The Clinical Trials Directive 2001/20/EC will, however, still apply three years from the date of entry into application of the Clinical Trials Regulation to (i) clinical trials applications submitted before the entry into application and (ii) clinical trials applications submitted within one year after the entry into application if the sponsor opts for the old system.</w:t>
      </w:r>
    </w:p>
    <w:p>
      <w:pPr>
        <w:spacing w:after="0" w:line="8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new Regulation (EU) No 536/2014 aims to simplify and streamline the approval of clinical trial in the European Union. The main characteristics of the regulation include:</w:t>
      </w:r>
    </w:p>
    <w:p>
      <w:pPr>
        <w:spacing w:after="0" w:line="135" w:lineRule="exact"/>
        <w:rPr>
          <w:sz w:val="20"/>
          <w:szCs w:val="20"/>
          <w:color w:val="auto"/>
        </w:rPr>
      </w:pPr>
    </w:p>
    <w:p>
      <w:pPr>
        <w:ind w:left="360" w:hanging="172"/>
        <w:spacing w:after="0"/>
        <w:tabs>
          <w:tab w:leader="none" w:pos="3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streamlined application procedure via a single entry point, the EU portal;</w:t>
      </w:r>
    </w:p>
    <w:p>
      <w:pPr>
        <w:spacing w:after="0" w:line="184" w:lineRule="exact"/>
        <w:rPr>
          <w:rFonts w:ascii="Times New Roman" w:cs="Times New Roman" w:eastAsia="Times New Roman" w:hAnsi="Times New Roman"/>
          <w:sz w:val="18"/>
          <w:szCs w:val="18"/>
          <w:color w:val="auto"/>
        </w:rPr>
      </w:pPr>
    </w:p>
    <w:p>
      <w:pPr>
        <w:ind w:left="360" w:right="720" w:hanging="172"/>
        <w:spacing w:after="0" w:line="282" w:lineRule="auto"/>
        <w:tabs>
          <w:tab w:leader="none" w:pos="3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set of documents to be prepared and submitted for the application as well as simplified reporting procedures which will spare sponsors from submitting broadly identical information separately to various bodies and different Member States;</w:t>
      </w:r>
    </w:p>
    <w:p>
      <w:pPr>
        <w:spacing w:after="0" w:line="121" w:lineRule="exact"/>
        <w:rPr>
          <w:rFonts w:ascii="Times New Roman" w:cs="Times New Roman" w:eastAsia="Times New Roman" w:hAnsi="Times New Roman"/>
          <w:sz w:val="18"/>
          <w:szCs w:val="18"/>
          <w:color w:val="auto"/>
        </w:rPr>
      </w:pPr>
    </w:p>
    <w:p>
      <w:pPr>
        <w:ind w:left="360" w:right="460" w:hanging="172"/>
        <w:spacing w:after="0" w:line="282" w:lineRule="auto"/>
        <w:tabs>
          <w:tab w:leader="none" w:pos="3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harmonized procedure for the assessment of applications for clinical trials, which is divided in two parts. Part I is jointly assessed by all Member States concerned. Part II is assessed by each Member State concerned separately;</w:t>
      </w:r>
    </w:p>
    <w:p>
      <w:pPr>
        <w:spacing w:after="0" w:line="13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Strictly defined deadlines for the assessment of clinical trial application; and</w:t>
      </w:r>
    </w:p>
    <w:p>
      <w:pPr>
        <w:spacing w:after="0" w:line="184" w:lineRule="exact"/>
        <w:rPr>
          <w:rFonts w:ascii="Times New Roman" w:cs="Times New Roman" w:eastAsia="Times New Roman" w:hAnsi="Times New Roman"/>
          <w:sz w:val="18"/>
          <w:szCs w:val="18"/>
          <w:color w:val="auto"/>
        </w:rPr>
      </w:pPr>
    </w:p>
    <w:p>
      <w:pPr>
        <w:ind w:left="360" w:right="800" w:hanging="172"/>
        <w:spacing w:after="0" w:line="282" w:lineRule="auto"/>
        <w:tabs>
          <w:tab w:leader="none" w:pos="3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involvement of the ethics committees in the assessment procedure in accordance with the national law of the Member State concerned but within the overall timelines defined by the Regulation (EU) No 536/2014.</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1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Authorization to market a product in the member states of the European Union proceeds under one of four procedures: a centralized authorization procedure, a mutual recognition procedure, a decentralized procedure or a national procedure.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5" w:name="page116"/>
    <w:bookmarkEnd w:id="1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Centralized Authorization Procedure</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centralized procedure enables applicants to obtain a marketing authorization that is valid in all EU member states based on a single application. Certain medicinal products, including products developed by means of biotechnological processes must undergo the centralized authorization procedure for marketing authorization, which, if granted by the European Commission, is automatically valid in all — currently 28 — European Union member states. Sponsors may elect to file an MAA through the centralized procedures for other classes of products. The EMA and the European Commission administer this centralized authorization procedure pursuant to Regulation (EC) No 726/2004. The other European Economic Area member states (namely Norway, Iceland and Liechtenstein) are also obligated to recognize the Commission decision.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Regulation (EC) No 726/2004, this procedure is mandatory for:</w:t>
      </w:r>
    </w:p>
    <w:p>
      <w:pPr>
        <w:spacing w:after="0" w:line="117" w:lineRule="exact"/>
        <w:rPr>
          <w:sz w:val="20"/>
          <w:szCs w:val="20"/>
          <w:color w:val="auto"/>
        </w:rPr>
      </w:pPr>
    </w:p>
    <w:p>
      <w:pPr>
        <w:ind w:left="360" w:hanging="172"/>
        <w:spacing w:after="0"/>
        <w:tabs>
          <w:tab w:leader="none" w:pos="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medicinal products developed by means of one of the following biotechnological processes:</w:t>
      </w:r>
    </w:p>
    <w:p>
      <w:pPr>
        <w:spacing w:after="0" w:line="117" w:lineRule="exact"/>
        <w:rPr>
          <w:rFonts w:ascii="Times New Roman" w:cs="Times New Roman" w:eastAsia="Times New Roman" w:hAnsi="Times New Roman"/>
          <w:sz w:val="18"/>
          <w:szCs w:val="18"/>
          <w:color w:val="auto"/>
        </w:rPr>
      </w:pPr>
    </w:p>
    <w:p>
      <w:pPr>
        <w:ind w:left="540" w:hanging="172"/>
        <w:spacing w:after="0"/>
        <w:tabs>
          <w:tab w:leader="none" w:pos="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recombinant DNA technology;</w:t>
      </w:r>
    </w:p>
    <w:p>
      <w:pPr>
        <w:spacing w:after="0" w:line="117" w:lineRule="exact"/>
        <w:rPr>
          <w:rFonts w:ascii="Times New Roman" w:cs="Times New Roman" w:eastAsia="Times New Roman" w:hAnsi="Times New Roman"/>
          <w:sz w:val="18"/>
          <w:szCs w:val="18"/>
          <w:color w:val="auto"/>
        </w:rPr>
      </w:pPr>
    </w:p>
    <w:p>
      <w:pPr>
        <w:ind w:left="540" w:hanging="172"/>
        <w:spacing w:after="0"/>
        <w:tabs>
          <w:tab w:leader="none" w:pos="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expression of genes coding for biologically active proteins in prokaryotes and eukaryotes including transformed mammalian cells; and</w:t>
      </w:r>
    </w:p>
    <w:p>
      <w:pPr>
        <w:spacing w:after="0" w:line="117" w:lineRule="exact"/>
        <w:rPr>
          <w:rFonts w:ascii="Times New Roman" w:cs="Times New Roman" w:eastAsia="Times New Roman" w:hAnsi="Times New Roman"/>
          <w:sz w:val="18"/>
          <w:szCs w:val="18"/>
          <w:color w:val="auto"/>
        </w:rPr>
      </w:pPr>
    </w:p>
    <w:p>
      <w:pPr>
        <w:ind w:left="540" w:hanging="172"/>
        <w:spacing w:after="0"/>
        <w:tabs>
          <w:tab w:leader="none" w:pos="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hybridoma and monoclonal antibody methods;</w:t>
      </w:r>
    </w:p>
    <w:p>
      <w:pPr>
        <w:spacing w:after="0" w:line="11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therapy medicinal products as defined in Article 2 of Regulation (EC) No 1394/2007 on advanced therapy medicinal products;</w:t>
      </w:r>
    </w:p>
    <w:p>
      <w:pPr>
        <w:spacing w:after="0" w:line="117" w:lineRule="exact"/>
        <w:rPr>
          <w:rFonts w:ascii="Times New Roman" w:cs="Times New Roman" w:eastAsia="Times New Roman" w:hAnsi="Times New Roman"/>
          <w:sz w:val="18"/>
          <w:szCs w:val="18"/>
          <w:color w:val="auto"/>
        </w:rPr>
      </w:pPr>
    </w:p>
    <w:p>
      <w:pPr>
        <w:ind w:left="360" w:right="360" w:hanging="172"/>
        <w:spacing w:after="0" w:line="282" w:lineRule="auto"/>
        <w:tabs>
          <w:tab w:leader="none" w:pos="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medicinal products for human use containing a new active substance which, on the date of entry into force of this Regulation, was not authorized in the European Union, for which the therapeutic indication is the treatment of any of the following diseases:</w:t>
      </w:r>
    </w:p>
    <w:p>
      <w:pPr>
        <w:spacing w:after="0" w:line="53" w:lineRule="exact"/>
        <w:rPr>
          <w:rFonts w:ascii="Times New Roman" w:cs="Times New Roman" w:eastAsia="Times New Roman" w:hAnsi="Times New Roman"/>
          <w:sz w:val="18"/>
          <w:szCs w:val="18"/>
          <w:color w:val="auto"/>
        </w:rPr>
      </w:pPr>
    </w:p>
    <w:p>
      <w:pPr>
        <w:ind w:left="540" w:hanging="172"/>
        <w:spacing w:after="0"/>
        <w:tabs>
          <w:tab w:leader="none" w:pos="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immune deficiency syndrome;</w:t>
      </w:r>
    </w:p>
    <w:p>
      <w:pPr>
        <w:spacing w:after="0" w:line="117" w:lineRule="exact"/>
        <w:rPr>
          <w:rFonts w:ascii="Times New Roman" w:cs="Times New Roman" w:eastAsia="Times New Roman" w:hAnsi="Times New Roman"/>
          <w:sz w:val="18"/>
          <w:szCs w:val="18"/>
          <w:color w:val="auto"/>
        </w:rPr>
      </w:pPr>
    </w:p>
    <w:p>
      <w:pPr>
        <w:ind w:left="540" w:hanging="172"/>
        <w:spacing w:after="0"/>
        <w:tabs>
          <w:tab w:leader="none" w:pos="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cancer;</w:t>
      </w:r>
    </w:p>
    <w:p>
      <w:pPr>
        <w:spacing w:after="0" w:line="130" w:lineRule="exact"/>
        <w:rPr>
          <w:rFonts w:ascii="Times New Roman" w:cs="Times New Roman" w:eastAsia="Times New Roman" w:hAnsi="Times New Roman"/>
          <w:sz w:val="18"/>
          <w:szCs w:val="18"/>
          <w:color w:val="auto"/>
        </w:rPr>
      </w:pPr>
    </w:p>
    <w:p>
      <w:pPr>
        <w:ind w:left="540" w:hanging="172"/>
        <w:spacing w:after="0"/>
        <w:tabs>
          <w:tab w:leader="none" w:pos="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neurodegenerative disorder;</w:t>
      </w:r>
    </w:p>
    <w:p>
      <w:pPr>
        <w:spacing w:after="0" w:line="117" w:lineRule="exact"/>
        <w:rPr>
          <w:rFonts w:ascii="Times New Roman" w:cs="Times New Roman" w:eastAsia="Times New Roman" w:hAnsi="Times New Roman"/>
          <w:sz w:val="18"/>
          <w:szCs w:val="18"/>
          <w:color w:val="auto"/>
        </w:rPr>
      </w:pPr>
    </w:p>
    <w:p>
      <w:pPr>
        <w:ind w:left="540" w:hanging="172"/>
        <w:spacing w:after="0"/>
        <w:tabs>
          <w:tab w:leader="none" w:pos="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diabetes;</w:t>
      </w:r>
    </w:p>
    <w:p>
      <w:pPr>
        <w:spacing w:after="0" w:line="117" w:lineRule="exact"/>
        <w:rPr>
          <w:rFonts w:ascii="Times New Roman" w:cs="Times New Roman" w:eastAsia="Times New Roman" w:hAnsi="Times New Roman"/>
          <w:sz w:val="18"/>
          <w:szCs w:val="18"/>
          <w:color w:val="auto"/>
        </w:rPr>
      </w:pPr>
    </w:p>
    <w:p>
      <w:pPr>
        <w:ind w:left="540" w:hanging="172"/>
        <w:spacing w:after="0"/>
        <w:tabs>
          <w:tab w:leader="none" w:pos="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auto-immune diseases and other immune dysfunctions; and</w:t>
      </w:r>
    </w:p>
    <w:p>
      <w:pPr>
        <w:spacing w:after="0" w:line="117" w:lineRule="exact"/>
        <w:rPr>
          <w:rFonts w:ascii="Times New Roman" w:cs="Times New Roman" w:eastAsia="Times New Roman" w:hAnsi="Times New Roman"/>
          <w:sz w:val="18"/>
          <w:szCs w:val="18"/>
          <w:color w:val="auto"/>
        </w:rPr>
      </w:pPr>
    </w:p>
    <w:p>
      <w:pPr>
        <w:ind w:left="540" w:hanging="172"/>
        <w:spacing w:after="0"/>
        <w:tabs>
          <w:tab w:leader="none" w:pos="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viral diseases; and</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medicinal products that are designated as orphan medicinal products pursuant to Regulation (EC) No 141/2000.</w:t>
      </w:r>
    </w:p>
    <w:p>
      <w:pPr>
        <w:spacing w:after="0" w:line="11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centralized authorization procedure is optional for other medicinal products if they contain a new active substance or if the applicant shows that the medicinal product concerned constitutes a significant therapeutic, scientific or technical innovation or that the granting of authorization is in the interest of patients in the European Union.</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Administrative Procedure</w:t>
      </w:r>
    </w:p>
    <w:p>
      <w:pPr>
        <w:spacing w:after="0" w:line="10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Under the centralized authorization procedure, the EMA’s Committee for Human Medicinal Products, or CHMP serves as the scientific committee that renders opinions about the safety, efficacy and quality of medicinal products for human use on behalf of the EMA. The CHMP is composed of experts nominated by each member state’s national authority for medicinal products, with one of them appointed to act as Rapporteur for the co-ordination of the evaluation with the possible assistance of a further member of the Committee acting as a Co-Rapporteur. After approval, the Rapporteur(s) continue to monitor the product throughout its life cycle. The CHMP has 210 days, to adopt an opinion as to whether a marketing authorization should be granted. The process usually takes longer in case additional information is requested, which triggers clock-stops in the procedural timelines. The process is complex and involves extensive consultation with the regulatory authorities of member states and a number of experts. When an application is submitted for a marketing authorization in respect of a drug which is of major interest from the point of view of public health and in particular from the viewpoint of therapeutic innovation, the</w:t>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116" w:name="page117"/>
    <w:bookmarkEnd w:id="1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applicant may pursuant to Article 14(9) Regulation (EC) No 726/2004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 Once the procedure is completed, a European Public Assessment Report, or EPAR, is produced. If the opinion is negative, information is given as to the grounds on which this conclusion was reached. After the adoption of the CHMP opinion, a decision on the MAA must be adopted by the European Commission, after consulting the European Union member states, which in total can take more than 60 days. After a drug has been authorized and launched, it is a condition of maintaining the marketing authorization that all aspects relating to its quality, safety and efficacy must be kept under review.</w:t>
      </w:r>
    </w:p>
    <w:p>
      <w:pPr>
        <w:spacing w:after="0" w:line="1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Conditional Approval</w:t>
      </w:r>
    </w:p>
    <w:p>
      <w:pPr>
        <w:spacing w:after="0" w:line="1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specific circumstances, EU legislation (Article 14(7) Regulation (EC) No 726/2004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products (including medicines designated as orphan medicinal products), if (1) the risk-benefit balance of the product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Marketing Authorization Under Exceptional Circumstances</w:t>
      </w:r>
    </w:p>
    <w:p>
      <w:pPr>
        <w:spacing w:after="0" w:line="1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per Art. 14(8) Regulation (EC) No 726/2004, products for which the applicant can demonstrate that comprehensive data (in line with the requirements laid down in Annex I of Directive 2001/83/EC, as amended) cannot be provided (due to specific reasons foreseen in the legislation) might be eligible for marketing authorization under exceptional circumstances. This type of authorization is reviewed annually to reassess the risk-benefit balance. The fulfillment of any specific procedures/obligations imposed as part of the marketing authorization under exceptional circumstances is aimed at the provision of information on the safe and effective use of the product and will normally not lead to the completion of a full dossier/approval.</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Market Authorizations Granted by Authorities of EU Member States</w:t>
      </w:r>
    </w:p>
    <w:p>
      <w:pPr>
        <w:spacing w:after="0" w:line="10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general, if the centralized procedure is not followed, there are three alternative procedures to obtain a marketing authorization in (one or several) EU member states as prescribed in Directive 2001/83/EC:</w:t>
      </w:r>
    </w:p>
    <w:p>
      <w:pPr>
        <w:spacing w:after="0" w:line="135" w:lineRule="exact"/>
        <w:rPr>
          <w:sz w:val="20"/>
          <w:szCs w:val="20"/>
          <w:color w:val="auto"/>
        </w:rPr>
      </w:pPr>
    </w:p>
    <w:p>
      <w:pPr>
        <w:ind w:left="360" w:right="320" w:hanging="172"/>
        <w:spacing w:after="0" w:line="282" w:lineRule="auto"/>
        <w:tabs>
          <w:tab w:leader="none" w:pos="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decentralized procedure allows applicants to file identical applications to several EU member states and receive simultaneous national approvals based on the recognition by EU member states of an assessment by a reference member state.</w:t>
      </w:r>
    </w:p>
    <w:p>
      <w:pPr>
        <w:spacing w:after="0" w:line="12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procedure is only available for products intended to be authorized in a single EU member state.</w:t>
      </w:r>
    </w:p>
    <w:p>
      <w:pPr>
        <w:spacing w:after="0" w:line="184" w:lineRule="exact"/>
        <w:rPr>
          <w:rFonts w:ascii="Times New Roman" w:cs="Times New Roman" w:eastAsia="Times New Roman" w:hAnsi="Times New Roman"/>
          <w:sz w:val="18"/>
          <w:szCs w:val="18"/>
          <w:color w:val="auto"/>
        </w:rPr>
      </w:pPr>
    </w:p>
    <w:p>
      <w:pPr>
        <w:ind w:left="360" w:right="520" w:hanging="172"/>
        <w:spacing w:after="0" w:line="282" w:lineRule="auto"/>
        <w:tabs>
          <w:tab w:leader="none" w:pos="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mutual recognition procedure similar to the decentralized procedure is available when a marketing authorization has already been obtained in at least one European Union member state.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marketing authorization may be granted only to an applicant established in the European Union.</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2720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7" w:name="page118"/>
    <w:bookmarkEnd w:id="1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06"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Prior to obtaining a marketing authorization in the European Union, applicants have to demonstrate compliance with all measures included in an EMA-approved Paediatric Investigation Plan, or PIP, covering all subsets of the paediatric population, unless the EMA has granted (1) a product-specific waiver,</w:t>
      </w:r>
    </w:p>
    <w:p>
      <w:pPr>
        <w:spacing w:after="0" w:line="1" w:lineRule="exact"/>
        <w:rPr>
          <w:sz w:val="20"/>
          <w:szCs w:val="20"/>
          <w:color w:val="auto"/>
        </w:rPr>
      </w:pPr>
    </w:p>
    <w:p>
      <w:pPr>
        <w:ind w:right="40" w:firstLine="8"/>
        <w:spacing w:after="0" w:line="252"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waiver, or (3) a deferral for one or more of the measures included in the PIP. The respective requirements for all marketing authorization procedures are laid down in Regulation (EC) No 1901/2006, the so 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in children until there is enough information to demonstrate its effectiveness and safety in adults. The PDCO may also grant waivers when development of a medicine in children is not needed or is not appropriate, such as for diseases that only affect the elderly population.</w:t>
      </w:r>
    </w:p>
    <w:p>
      <w:pPr>
        <w:spacing w:after="0" w:line="8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Before a marketing authorization application can be filed, or an existing marketing authorization can be amended, the EMA determines that companies actually comply with the agreed studies and measures listed in each relevant PIP.</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Period of Authorization and Renewals</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marketing authorization will be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will be valid for an unlimited period, unless the Commission or the competent authority decides, on justified grounds relating to pharmacovigilance, to proceed with one additional five-year renewal. Any authorization that is not followed by the actual placing of the drug on the EU market (in case of centralized procedure) or on the market of the authorizing member state within three years after authorization will cease to be valid (the so-called sunset clause).</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0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Pursuant to Regulation (EC) No 141/2000 and Regulation (EC) No. 847/2000 the European Commission can grant such orphan medicinal product designation to products for which the sponsor can establish that it is intended for the diagnosis, prevention, or treatment of (1) a life-threatening or chronically debilitating condition affecting not more than five in 10,000 people in the European Union, or (2) a life threatening, seriously debilitating or serious and chronic condition in the European Union and that without incentives it is unlikely that sales of the drug in the European Union would generate a sufficient return to justify the necessary investment. In addition, the sponsor must establish that there is no other satisfactory method approved in the European Union of diagnosing, preventing or treating the condition, or if such a method exists, the proposed orphan drug will be of significant benefit to patients.</w:t>
      </w:r>
    </w:p>
    <w:p>
      <w:pPr>
        <w:spacing w:after="0" w:line="8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Orphan drug designation provides a number of benefits, including fee reductions, regulatory assistance, and the possibility to apply for a centralized EU marketing authorization (see “Centralized Authorization Procedure”), as well as 10 years of market exclusivity following a marketing authorization. During this market exclusivity period, neither the EMA, nor the European Commission nor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drug designation criteria are no longer met, including where it is shown that the product is sufficiently profitable not to justify maintenance of market exclusivity. In addition, a competing similar medicinal product may be authorized prior to the expiration of the market exclusivity period, including if it is shown to be safer, more effective or otherwise clinically superior to the already approved orphan drug or if the holder of the marketing authorization for the already approved orphan drug is unable to supply sufficient quantities of the product.</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18" w:name="page119"/>
    <w:bookmarkEnd w:id="1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If the MAA of a medicinal product designated as an orphan drug includes the results of all studies conducted in compliance with an agreed PIP, and a corresponding statement is subsequently included in the marketing authorization granted, the ten-year period of market exclusivity will be extended to twelve years.</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Regulatory Data Protection</w:t>
      </w:r>
    </w:p>
    <w:p>
      <w:pPr>
        <w:spacing w:after="0" w:line="10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European Union legislation also provides for a system of regulatory data and market exclusivity. According to Article 14(11) of Regulation (EC) No 726/2004, as amended, and Article 10(1) of Directive 2001/83/EC, as amended, upon receiving marketing authorization, new chemical entities approved on the basis of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10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trials. However, products designated as orphan medicinal products enjoy, upon receiving marketing authorization, a period of 10 years of orphan market exclusivity (see also “</w:t>
      </w:r>
      <w:r>
        <w:rPr>
          <w:rFonts w:ascii="Times New Roman" w:cs="Times New Roman" w:eastAsia="Times New Roman" w:hAnsi="Times New Roman"/>
          <w:sz w:val="18"/>
          <w:szCs w:val="18"/>
          <w:i w:val="1"/>
          <w:iCs w:val="1"/>
          <w:color w:val="auto"/>
        </w:rPr>
        <w:t>Orphan Drug Designation and Exclusivity</w:t>
      </w:r>
      <w:r>
        <w:rPr>
          <w:rFonts w:ascii="Times New Roman" w:cs="Times New Roman" w:eastAsia="Times New Roman" w:hAnsi="Times New Roman"/>
          <w:sz w:val="18"/>
          <w:szCs w:val="18"/>
          <w:color w:val="auto"/>
        </w:rPr>
        <w:t>”). Depending upon the timing and duration of the EU marketing authorization process, products may be eligible for up to five years’ supplementary protection certificates, or SPCs, pursuant to Regulation (EC) No 469/2009. Such SPCs extend the rights under the basic patent for the drug.</w:t>
      </w: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Regulatory Requirements After a Marketing Authorization Has Been Obtained</w:t>
      </w:r>
    </w:p>
    <w:p>
      <w:pPr>
        <w:spacing w:after="0" w:line="10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If we obtain authorization for a medicinal product in the European Union, we will be required to comply with a range of requirements applicable to the manufacturing, marketing, promotion and sale of medicinal products:</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Pharmacovigilance and Other Requirements</w:t>
      </w:r>
    </w:p>
    <w:p>
      <w:pPr>
        <w:spacing w:after="0" w:line="10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will, for example, have to comply with the EU’s stringent pharmacovigilance or safety reporting rules, pursuant to which post-authorization studies and additional monitoring obligations can be imposed.</w:t>
      </w:r>
    </w:p>
    <w:p>
      <w:pPr>
        <w:spacing w:after="0" w:line="54"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Other requirements relate to, for example, the manufacturing of products and active pharmaceutical ingredients in accordance with good manufacturing practice standards. EU regulators may conduct inspections to verify our compliance with applicable requirements, and we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European Union. Similarly, failure to comply with the EU’s requirements regarding the protection of individual personal data can also lead to significant penalties and sanctions. Individual European Union member states may also impose various sanctions and penalties in case we do not comply with locally applicable requirements.</w:t>
      </w:r>
    </w:p>
    <w:p>
      <w:pPr>
        <w:spacing w:after="0" w:line="1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1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manufacturing of authorized drugs, for which a separate manufacturer’s license is mandatory, must be conducted in strict compliance with the EMA’s cGMP requirements and comparable requirements of other regulatory bodies in the European Union, which mandate the methods, facilities and controls used in manufacturing, processing and packing of drugs to assure their safety and identity. The EMA enforces its cGMP requirements through mandatory registration of facilities and inspections of those facilities. The EMA may have a coordinating role for these inspections while the responsibility for carrying them out rests with the member states competent authority under whose responsibility the manufacturer falls. Failure to</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19" w:name="page120"/>
    <w:bookmarkEnd w:id="1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comply with these requirements could interrupt supply and result in delays, unanticipated costs and lost revenues, and could subject the applicant to potential legal or regulatory action, including but not limited to warning letters, suspension of manufacturing, seizure of product, injunctive action or possible civil and criminal penalties.</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Marketing and Promotion</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The applicable regulations aim to ensure that information provided by holders of marketing authorizations regarding their products is truthful, balanced and 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Clinical Testing in Israel</w:t>
      </w:r>
    </w:p>
    <w:p>
      <w:pPr>
        <w:spacing w:after="0" w:line="10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order to conduct clinical trials on humans in Israel, prior authorization must be obtained (depending on the nature of the trial) from either the medical director of the institution in which the clinical trials are scheduled to be conducted, or from the general manager of the Israeli Ministry of Health, as required under the Guidelines for Clinical Trials in Human Subjects implemented pursuant to the Israeli Public Health Regulations (Clinical Trials in Human Subjects), 5740-1980, as amended from time to time. Pursuant to the Israeli Public Health Regulations, such authorization generally cannot be granted unless, among other things, the relevant institutions ethics committee has provided its prior approval of the testing and that the trial complies with the standards set forth by the Declaration of Helsinki. In certain circumstances, such as in the cases of genetic trials or special fertility trials, a written opinion provided by the Ministry of Health’s ethics committee is also required in order to receive such authorization.</w:t>
      </w:r>
    </w:p>
    <w:p>
      <w:pPr>
        <w:spacing w:after="0" w:line="8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institutional ethics committee must, among other things, evaluate the anticipated benefits that are likely to be derived from the project to determine if it justifies the risks and inconvenience to be inflicted on the participating human subjects, and it must also ensure that adequate protection exists for the rights and safety of the participants as well as the accuracy of the information gathered in the course of the clinical testing.</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10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Health care providers, physicians and third-party payors play a primary role in the recommendation and prescription of drug products that are granted marketing approval. Arrangements with third-party payors and customers are subject to broadly applicable fraud and abuse and other health care laws and regulations. In the United States, such restrictions under applicable federal and state healthcare laws and regulations, include the following:</w:t>
      </w:r>
    </w:p>
    <w:p>
      <w:pPr>
        <w:spacing w:after="0" w:line="149" w:lineRule="exact"/>
        <w:rPr>
          <w:sz w:val="20"/>
          <w:szCs w:val="20"/>
          <w:color w:val="auto"/>
        </w:rPr>
      </w:pPr>
    </w:p>
    <w:p>
      <w:pPr>
        <w:ind w:left="360" w:right="380" w:hanging="172"/>
        <w:spacing w:after="0" w:line="256"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47" w:lineRule="exact"/>
        <w:rPr>
          <w:rFonts w:ascii="Times New Roman" w:cs="Times New Roman" w:eastAsia="Times New Roman" w:hAnsi="Times New Roman"/>
          <w:sz w:val="18"/>
          <w:szCs w:val="18"/>
          <w:color w:val="auto"/>
        </w:rPr>
      </w:pPr>
    </w:p>
    <w:p>
      <w:pPr>
        <w:jc w:val="both"/>
        <w:ind w:left="360" w:right="800" w:hanging="172"/>
        <w:spacing w:after="0" w:line="266"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20" w:name="page121"/>
    <w:bookmarkEnd w:id="1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360" w:right="500" w:hanging="172"/>
        <w:spacing w:after="0" w:line="266" w:lineRule="auto"/>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to have committed a violation;</w:t>
      </w:r>
    </w:p>
    <w:p>
      <w:pPr>
        <w:spacing w:after="0" w:line="81" w:lineRule="exact"/>
        <w:rPr>
          <w:rFonts w:ascii="Times New Roman" w:cs="Times New Roman" w:eastAsia="Times New Roman" w:hAnsi="Times New Roman"/>
          <w:sz w:val="18"/>
          <w:szCs w:val="18"/>
          <w:color w:val="auto"/>
        </w:rPr>
      </w:pPr>
    </w:p>
    <w:p>
      <w:pPr>
        <w:ind w:left="360" w:right="400" w:hanging="172"/>
        <w:spacing w:after="0" w:line="282" w:lineRule="auto"/>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67" w:lineRule="exact"/>
        <w:rPr>
          <w:rFonts w:ascii="Times New Roman" w:cs="Times New Roman" w:eastAsia="Times New Roman" w:hAnsi="Times New Roman"/>
          <w:sz w:val="18"/>
          <w:szCs w:val="18"/>
          <w:color w:val="auto"/>
        </w:rPr>
      </w:pPr>
    </w:p>
    <w:p>
      <w:pPr>
        <w:jc w:val="both"/>
        <w:ind w:left="360" w:right="260" w:hanging="172"/>
        <w:spacing w:after="0" w:line="266" w:lineRule="auto"/>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ACA require certain manufacturers of drugs, devices, biologics and medical supplies to report to the Department of Health and Human Services information related to payments and other transfers of value to physicians and teaching hospitals and the ownership and investment interests of such physicians and their immediate family members;</w:t>
      </w:r>
    </w:p>
    <w:p>
      <w:pPr>
        <w:spacing w:after="0" w:line="95" w:lineRule="exact"/>
        <w:rPr>
          <w:rFonts w:ascii="Times New Roman" w:cs="Times New Roman" w:eastAsia="Times New Roman" w:hAnsi="Times New Roman"/>
          <w:sz w:val="18"/>
          <w:szCs w:val="18"/>
          <w:color w:val="auto"/>
        </w:rPr>
      </w:pPr>
    </w:p>
    <w:p>
      <w:pPr>
        <w:ind w:left="360" w:right="400" w:hanging="172"/>
        <w:spacing w:after="0" w:line="282" w:lineRule="auto"/>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which governs the conduct of certain electronic healthcare transactions and protects the security and privacy of protected health information;</w:t>
      </w:r>
    </w:p>
    <w:p>
      <w:pPr>
        <w:spacing w:after="0" w:line="67" w:lineRule="exact"/>
        <w:rPr>
          <w:rFonts w:ascii="Times New Roman" w:cs="Times New Roman" w:eastAsia="Times New Roman" w:hAnsi="Times New Roman"/>
          <w:sz w:val="18"/>
          <w:szCs w:val="18"/>
          <w:color w:val="auto"/>
        </w:rPr>
      </w:pPr>
    </w:p>
    <w:p>
      <w:pPr>
        <w:ind w:left="360" w:right="320" w:hanging="172"/>
        <w:spacing w:after="0" w:line="261" w:lineRule="auto"/>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w:t>
      </w:r>
    </w:p>
    <w:p>
      <w:pPr>
        <w:spacing w:after="0" w:line="85" w:lineRule="exact"/>
        <w:rPr>
          <w:rFonts w:ascii="Times New Roman" w:cs="Times New Roman" w:eastAsia="Times New Roman" w:hAnsi="Times New Roman"/>
          <w:sz w:val="18"/>
          <w:szCs w:val="18"/>
          <w:color w:val="auto"/>
        </w:rPr>
      </w:pPr>
    </w:p>
    <w:p>
      <w:pPr>
        <w:ind w:left="360" w:right="360" w:hanging="172"/>
        <w:spacing w:after="0" w:line="255" w:lineRule="auto"/>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non-U.S. laws and regulations, such as state anti-kickback and false claims laws which may apply to items or services reimbursed by any payor,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pharmaceutical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08" w:lineRule="exact"/>
        <w:rPr>
          <w:rFonts w:ascii="Times New Roman" w:cs="Times New Roman" w:eastAsia="Times New Roman" w:hAnsi="Times New Roman"/>
          <w:sz w:val="18"/>
          <w:szCs w:val="18"/>
          <w:color w:val="auto"/>
        </w:rPr>
      </w:pPr>
    </w:p>
    <w:p>
      <w:pPr>
        <w:ind w:left="360" w:right="480" w:hanging="172"/>
        <w:spacing w:after="0" w:line="282" w:lineRule="auto"/>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by the Centers for Medicare and Medicaid Services and enforcement by the U.S. Department of Health and Human Services (Office of Inspector General) or the U.S. Department of Justice.</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 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 care programs.</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Environmental, Health and Safety</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further subject to various foreign, national, federal, state and local laws and regulations relating to environmental, health and safety matters, including the handling, disposal, release, and use of and maintenance of a registry for hazardous materials, among others. Although we do not believe that we will be required to make material operating or capital expenditures in connection with such laws and regulations, we may be required to incur significant costs to comply with these laws and regulations in the</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121" w:name="page122"/>
    <w:bookmarkEnd w:id="1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future, and complying with these laws and regulations may result in a material adverse effect upon our business, financial condition and results of operations. Further, our failure to comply with such laws and regulations could have a material adverse effect on our business and reputation, result in an interruption or delay in the development or manufacture of our products, or increase the costs for the development or manufacture of our products.</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Pharmaceutical Pricing and Reimbursement</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drug products for which we plan to seek regulatory approval. Sales of any of our product candidates, if approved, will depend, in part, on the extent to which the costs of the products will be covered by third-party payors, including government health programs such as Medicare and Medicaid, commercial health insurers and managed care organizations. Concerns about drug pricing have been expressed by members of Congress and the new administration. The process for determining whether a payor will provide coverage for a drug product may be separate from the process for setting the price or reimbursement rate that the payor will pay for the drug product once coverage is approved. Third-party payors may limit coverage to specific drug products on an approved list, or formulary, which might not include all of the approved drugs for a particular indication.</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we may need to conduct expensive pharmacoeconomic studies in order to demonstrate the medical necessity and cost-effectiveness of the product, in addition to the costs required to obtain FDA, EMA or other comparable regulatory approvals. Our product candidates may not be considered medically necessary or cost-effective. A payor’s decision to provide coverage for a drug product does not imply that an adequate reimbursement rate will be approved. Third-party reimbursement may not be sufficient to enable us to maintain price levels high enough to realize an appropriate return on our investment in product development.</w:t>
      </w:r>
    </w:p>
    <w:p>
      <w:pPr>
        <w:spacing w:after="0" w:line="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governments, and the prices of drugs have been a focus in this effort. Third-party payors are increasingly challenging the prices charged for medical products and services and examining the medical necessity and cost effectiveness of medical products and services, in addition to their safety and efficacy. If these third-party payors do not consider our products to be cost-effective compared to other available therapies, they may not cover our products after approval as a benefit under their plans or, if they do, the level of payment may not be sufficient to allow us to sell our products at a profit. The U.S.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such as the product candidates that we are developing and could adversely affect our net revenue and results.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The conduct of such studies could be expensive and result in delays in our commercializing efforts.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marketability of any products for which we receive regulatory approval for commercial sale may suffer if the government and third-party payors fail to provide adequate coverage and reimbursement. In addition,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22" w:name="page123"/>
    <w:bookmarkEnd w:id="1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emphasis on managed care in the United States has increased and we expect will continue to increase the pressure on drug pricing. Coverage policies, third-party reimbursement rates and drug pricing regulation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Health Care Reform</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significant legislative initiatives to contain healthcare costs. The ACA was enacted in the United States in March 2010 and contains provisions that may reduce the profitability of drug products, including, for example, increased rebates for drugs subject to the Medicaid Drug Rebate Program, extension of Medicaid rebates to Medicaid managed care plans, mandatory discounts for certain Medicare Part D beneficiaries and annual fees based on pharmaceutical companies’ share of sales to federal health care programs.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These changes included aggregate reductions to Medicare payments to providers of 2% per fiscal year, effective April 1, 2013 and, due to subsequent legislative amendments to the statute, will stay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President Trump and the majorities of both houses of Congress have stated their intention to repeal and replace the ACA. On January 20,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December 2017, the Tax Cuts and Jobs Act was enacted and signed into law, one part of which repeals the “individual mandate” introduced by the ACA starting in 2019. Considerable uncertainty remains about the ultimate content, timing or effect of any healthcare reform legislation on us, our industry or the market for drug products like ours. Though the full future impact of the new administration and the U.S. Congress on our business remains unclear, legislative and regulatory changes may continue the downward pressure on pharmaceutical pricing, especially under the Medicare and Medicaid programs, and may also increase our regulatory burdens and operating costs.</w:t>
      </w:r>
    </w:p>
    <w:p>
      <w:pPr>
        <w:spacing w:after="0" w:line="7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as well as legal changes by foreign governments, will be adopted in the future, any of which could limit the amounts that governments will pay for healthcare products and services, which could result in reduced demand for our product candidates or additional pricing pressures.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Organization</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were incorporated in September 2009, and commenced operations as a joint venture of D.N.A Biomedical and Oramed in June 2010 to pursue the development of pharmaceutical products for the oral delivery of proteins. In connection with our founding, Oramed licensed to us the use of certain of its patent rights relating to the oral delivery of drugs. In February 2011, Oramed sold the majority of its holdings in us to D.N.A Biomedical and, assigned to us its patent rights that it had previously licensed to us, in exchange for an exclusive license to use the assigned patent rights in the fields of diabetes and influenza and for royalties of 3% of our net revenues generated from the use or other exploitation of the assigned patent rights. In March 2011, D.N.A Biomedical and Oramed terminated the joint venture. We began operations in August 2010, and our operations to date have included developing our drug delivery technology for the oral administration of proteins and large molecules, in particular our oral PTH (1-34) product candidates.</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23" w:name="page124"/>
    <w:bookmarkEnd w:id="1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2017, we had 16 employees and one consultant who provides consulting services to us on a full-time basis. Four of our employees have either PhDs or MDs. All of our employees are located in Israel. We believe that we maintain good relations with all of our employees and consultants. We are not a party to any collective labor agreements. In addition, we have entered into service agreements with three of our directors. See “Certain Relationships and Related Party Transactions — Service Agreements.”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corporate headquarters and research facilities are located in Jerusalem, Israel, where we lease office and laboratory space pursuant to a lease agreement that will expire on June 30, 2023, with a one-time option for early termination by us on June 30, 2020. This facility also houses our clinical development, clinical operations, regulatory and management functions.</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adequate for our current needs. We believe that suitable additional space would be available if required in the future on commercially reasonable terms.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We are not currently a party to any material legal proceedings. Emisphere Technologies, Inc., or Emisphere, has notified us that it believes that it is the exclusive owner of certain U.S. and related foreign patents and patent applications we acquired from Oramed Ltd.; however, Emisphere has not initiated a legal proceeding against us regarding its claim. For more information on the risks related to Emisphere’s claim, see “Risk Factors — Risks Related to Our Intellectual Property — </w:t>
      </w:r>
      <w:r>
        <w:rPr>
          <w:rFonts w:ascii="Times New Roman" w:cs="Times New Roman" w:eastAsia="Times New Roman" w:hAnsi="Times New Roman"/>
          <w:sz w:val="18"/>
          <w:szCs w:val="18"/>
          <w:i w:val="1"/>
          <w:iCs w:val="1"/>
          <w:color w:val="auto"/>
        </w:rPr>
        <w:t>We may become involved in proceedings to protect or enforce our proprietary rights, which could be expensive and time consuming,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may ultimately be unsuccessful</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124" w:name="page125"/>
    <w:bookmarkEnd w:id="1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and directors as of the date of this prospectus: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gridSpan w:val="2"/>
          </w:tcPr>
          <w:p>
            <w:pPr>
              <w:ind w:left="1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6"/>
                <w:szCs w:val="16"/>
                <w:color w:val="auto"/>
              </w:rPr>
            </w:pPr>
          </w:p>
        </w:tc>
        <w:tc>
          <w:tcPr>
            <w:tcW w:w="6540" w:type="dxa"/>
            <w:vAlign w:val="bottom"/>
          </w:tcPr>
          <w:p>
            <w:pPr>
              <w:ind w:left="30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
        </w:trPr>
        <w:tc>
          <w:tcPr>
            <w:tcW w:w="3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r>
      <w:tr>
        <w:trPr>
          <w:trHeight w:val="25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40" w:type="dxa"/>
            <w:vAlign w:val="bottom"/>
          </w:tcPr>
          <w:p>
            <w:pPr>
              <w:spacing w:after="0"/>
              <w:rPr>
                <w:sz w:val="21"/>
                <w:szCs w:val="21"/>
                <w:color w:val="auto"/>
              </w:rPr>
            </w:pPr>
          </w:p>
        </w:tc>
      </w:tr>
      <w:tr>
        <w:trPr>
          <w:trHeight w:val="25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Phillip Schwartz</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5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Mira Rosenzweig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Hillel Galitzer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5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Miriam Blum</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365"/>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25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Luke M. Beshar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5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Roger Garceau</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Gerald Lieberman(1)(2)(3)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Zeev Bronfeld(1)(2)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Ben Ami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Chaim Davis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Yonatan Malca(1)(2)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151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08" w:lineRule="exact"/>
        <w:rPr>
          <w:sz w:val="20"/>
          <w:szCs w:val="20"/>
          <w:color w:val="auto"/>
        </w:rPr>
      </w:pPr>
    </w:p>
    <w:p>
      <w:pPr>
        <w:ind w:left="360" w:hanging="352"/>
        <w:spacing w:after="0"/>
        <w:tabs>
          <w:tab w:leader="none" w:pos="3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appointed as a member of our Audit Committee.</w:t>
      </w:r>
    </w:p>
    <w:p>
      <w:pPr>
        <w:spacing w:after="0" w:line="68"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appointed as a member of our Compensation Committee.</w:t>
      </w:r>
    </w:p>
    <w:p>
      <w:pPr>
        <w:spacing w:after="0" w:line="68"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 under the rules of NASDAQ Capital Market.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9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Phillip Schwartz </w:t>
      </w:r>
      <w:r>
        <w:rPr>
          <w:rFonts w:ascii="Times New Roman" w:cs="Times New Roman" w:eastAsia="Times New Roman" w:hAnsi="Times New Roman"/>
          <w:sz w:val="18"/>
          <w:szCs w:val="18"/>
          <w:color w:val="auto"/>
        </w:rPr>
        <w:t>has served as our Chief Executive Officer and as a Director since our inception in 2010. He previously served as the manager of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affairs at Endo Pharmaceuticals from 2005 to 2010 and at Serono from 2002 to 2005, and held multiple positions in medical affairs, business development and clinical trial development at each of Endo Pharmaceuticals and Serono. He has also worked as an external consultant for a number of venture capital firms. Dr. Schwartz has more than 20 years of biotech and pharmaceutical industry experience. He has also consulted privately and served as an associate of Health Advances, LLC for more than 20 large biotech and pharmaceutical companies from 2000 to 2002. He has multiple publications in peer-reviewed journals and has presented papers at numerous international conferences. Dr. Schwartz completed his B.A. in psychology and architecture at Columbia University in 1987, and during that time he also worked in the neurobiology laboratory of Nobel Laureate Professor Torsten Wiesel of the Rockefeller University. Dr. Schwartz then studied immunology with Professor Irun Cohen at the Weizmann Institute, receiving his M.Sc. in 1991. In 1997, Dr. Schwartz received his Ph.D. in neurobiology/development/oncology from Harvard Medical School. In addition to his scientific training, Dr. Schwartz completed numerous clinical courses as part of his program at Harvard Medical School. After completing his Ph.D., Dr. Schwartz was a fellow in pediatric oncology at the Dana Farber Cancer Institute and an officer of Harvard University Medical School.</w:t>
      </w:r>
    </w:p>
    <w:p>
      <w:pPr>
        <w:spacing w:after="0" w:line="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Mira Rosenzweig </w:t>
      </w:r>
      <w:r>
        <w:rPr>
          <w:rFonts w:ascii="Times New Roman" w:cs="Times New Roman" w:eastAsia="Times New Roman" w:hAnsi="Times New Roman"/>
          <w:sz w:val="18"/>
          <w:szCs w:val="18"/>
          <w:color w:val="auto"/>
        </w:rPr>
        <w:t>has served as our Chief Financial Officer since May 2014. Ms. Rosenzweig served as the Chief Financial Officer of Paskal Technologies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Ltd., a company that provides solutions for the agriculture industry, from May 2013 to May 2014. Prior to that, from September 2008 to November 2011, Ms. Rosenzweig served as the vice president and chief financial officer of Camtek Ltd. (NASDAQ: CAMT), a company that provides automated solutions for the semiconductors and printed circuit board industries. From August 2006 to August 2008, Ms. Rosenzweig served as director of finance and from August 2001 to 2006 as a controller and in various other positions for Elron Electronic Industries Ltd., then-traded on NASDAQ. Ms. Rosenzweig is a certified public accountant and holds a B.A. in Accounting and Economics from the University of Haifa, Israel.</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25" w:name="page126"/>
    <w:bookmarkEnd w:id="1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Hillel Galitzer </w:t>
      </w:r>
      <w:r>
        <w:rPr>
          <w:rFonts w:ascii="Times New Roman" w:cs="Times New Roman" w:eastAsia="Times New Roman" w:hAnsi="Times New Roman"/>
          <w:sz w:val="18"/>
          <w:szCs w:val="18"/>
          <w:color w:val="auto"/>
        </w:rPr>
        <w:t>has served as our Chief Operating Officer since February 2014, and prior to that served as our Director of Scientific Development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2012. Between August 2010 and February 2014, Dr. Galitzer was an analyst and the chief operating officer for Hadasit Bio Holdings Ltd., a publicly traded company on the Tel Aviv Stock Exchange and OTC markets. He has more than 10 years of experience in medical research and molecular biology. He is the co-founder and former chief operating officer of Optivasive Inc. He has written numerous publications in peer-reviewed journals and has lectured and presented in international conferences and universities. Dr. Galitzer received his Ph.D. from the Hebrew University Medical School in Jerusalem, where he was mentored by two world renowned researchers in the areas of parathyroid hormone and calcium regulation, his M.B.A. from Bar Ilan University in Israel and his B.Med.Sc. from the Hebrew University Medical School in Jerusalem.</w:t>
      </w:r>
    </w:p>
    <w:p>
      <w:pPr>
        <w:spacing w:after="0" w:line="7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Miriam Blum </w:t>
      </w:r>
      <w:r>
        <w:rPr>
          <w:rFonts w:ascii="Times New Roman" w:cs="Times New Roman" w:eastAsia="Times New Roman" w:hAnsi="Times New Roman"/>
          <w:sz w:val="17"/>
          <w:szCs w:val="17"/>
          <w:color w:val="auto"/>
        </w:rPr>
        <w:t>has served as our Chief Medical Officer since January 2015. Dr. Blum completed her residency in internal medicine and fellowships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endocrinology and bone metabolism at Mount Sinai Medical Center. Dr. Blum has received multiple research grants in bone metabolism as well as the prestigious NIH K23 grant for exceptional young investigators. She has supervised multiple academic and pharmaceutical clinical trials in vitamin D and calcium metabolism. Dr. Blum was formerly Associate Professor and attending physician at Tufts University Medical School and The New England Medical Center. She received an M.D. from SUNY Downstate Medical School. Dr. Blum is the wife of Dr. Phillip Schwartz, our Chief Executive Officer and director.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Luke M. Beshar </w:t>
      </w:r>
      <w:r>
        <w:rPr>
          <w:rFonts w:ascii="Times New Roman" w:cs="Times New Roman" w:eastAsia="Times New Roman" w:hAnsi="Times New Roman"/>
          <w:sz w:val="18"/>
          <w:szCs w:val="18"/>
          <w:color w:val="auto"/>
        </w:rPr>
        <w:t>has served as a director since December 2015, and as the executive chairman of our board of directors since December 2016. Previously,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Beshar served as Chief Financial Officer and Executive Vice President of NPS Pharmaceuticals, Inc. since November 2007 and January 2012,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until February 2015, when NPS Pharmaceuticals was acquired by Shire plc. Prior to that he served in several managerial positions with NPS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Pharmaceuticals, Netexit, Inc. Camberx Corporation, Cegedim Inc., Expanets, Inc., PNY Technologies, Inc., Dendrite International, WSR Corporation,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Genlyte Group, Inc. and Bairnco Corporation. Mr. Beshar has been an independent director of Trillium Therapeutics Inc. (NASDAQ: TRIL), since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2014 and Regenxbio Inc. (NASDAQ: RGNX) since April 2015. He is a Member of the New York Society of Certified Public Accountants. He has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 in Accounting and Finance from Michigan State University and is a graduate of the Executive Program of the Darden Graduate Business School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University of Virginia.</w:t>
      </w:r>
    </w:p>
    <w:p>
      <w:pPr>
        <w:spacing w:after="0" w:line="9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Roger Garceau </w:t>
      </w:r>
      <w:r>
        <w:rPr>
          <w:rFonts w:ascii="Times New Roman" w:cs="Times New Roman" w:eastAsia="Times New Roman" w:hAnsi="Times New Roman"/>
          <w:sz w:val="18"/>
          <w:szCs w:val="18"/>
          <w:color w:val="auto"/>
        </w:rPr>
        <w:t>has served as a member of our board of directors since March 2016 and as our Chief Development Advisor since December 2016.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joining Entera, Dr. Garceau served as Chief Medical Officer and Executive Vice President of NPS Pharmaceuticals, Inc. since December 2008 and January 2013 respectively, until February 2015, when NPS Pharmaceuticals was acquired by Shire plc. Previously, Dr. Garceau served in several managerial positions with NPS Pharmaceuticals, Inc. Sanofi-aventis and Pharmacia Corporation. Dr. Garceau has been a non-executive director of Enterome SA since December 2016. Dr. Garceau is a board-certified pediatrician and is a Fellow of the American Academy of Pediatrics. Dr. Garceau holds a B.S. in Biology from Fairfield University in Fairfield, Connecticut and an M.D. from the University of Massachusetts Medical School.</w:t>
      </w:r>
    </w:p>
    <w:p>
      <w:pPr>
        <w:spacing w:after="0" w:line="7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Gerald Lieberman </w:t>
      </w:r>
      <w:r>
        <w:rPr>
          <w:rFonts w:ascii="Times New Roman" w:cs="Times New Roman" w:eastAsia="Times New Roman" w:hAnsi="Times New Roman"/>
          <w:sz w:val="18"/>
          <w:szCs w:val="18"/>
          <w:color w:val="auto"/>
        </w:rPr>
        <w:t>has served as a member of our board of directors since 2014. Mr. Lieberman was the former president and chief operating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AllianceBernstein L.P. until 2009. There, he was elected chief operating officer and a director in November 2003 and added the title of president in November 2004. Prior to that, Mr. Lieberman was senior vice president for finance and administration at Sanford C. Bernstein &amp; Co., Inc. He has also held senior roles at Fidelity Investments and Citicorp. From 2011 to 2014, he served on the board of directors of Forest Laboratories Inc., which was acquired by Actavis plc in 2014. Mr. Lieberman currently serves on the board of Teva Pharmaceutical Industries Ltd. Mr. Lieberman earned a B.S. with honors from the University of Connecticut and attended New York University’s Graduate School of Business Administration. He is a certified public accountant.</w:t>
      </w:r>
    </w:p>
    <w:p>
      <w:pPr>
        <w:spacing w:after="0" w:line="7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Zeev Bronfeld </w:t>
      </w:r>
      <w:r>
        <w:rPr>
          <w:rFonts w:ascii="Times New Roman" w:cs="Times New Roman" w:eastAsia="Times New Roman" w:hAnsi="Times New Roman"/>
          <w:sz w:val="18"/>
          <w:szCs w:val="18"/>
          <w:color w:val="auto"/>
        </w:rPr>
        <w:t>has served as a member of our board of directors since 2010 and as chairman of our board of directors from September 2014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2016. Mr. Bronfeld, is a co-founder of Bio-Cell Ltd., an Israeli publicly traded holding company specializing in biotechnology companies, and served as its chief executive officer from 1986 until December 2014. Since 2003, Mr. Bronfeld served as the chief executive</w:t>
      </w: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126" w:name="page127"/>
    <w:bookmarkEnd w:id="1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officer of M.B.R.T Development and Investments Ltd. Mr. Bronfeld has vast experience in the management and value building of biotechnology companies. From 2010 through July 2014, he served as the chairman of the board of Protalix BioTherapeutics, Inc. (NYSE: PLX) and has served as a member of its board of directors since 2006. In addition, Mr. Bronfeld serves on the board of directors of D.N.A Biomedical Solutions Ltd. and of The Trendlines Group Ltd. Until December 2016 he served as a director of D. Medical Industries Ltd. and Nasvax Ltd. Until January 2017, Mr. Bronfeld also served as a director of Macrocure Ltd. Mr. Bronfeld also serves as a director of a number of privately-held companies, including, Contipi Medical Ltd. and as the chairman of the board of TransBiodiesel Ltd. Mr. Bronfeld holds a B.A. in Economics from the Hebrew University of Jerusalem. Mr. Bronfeld serves on our board of directors as a designee of D.N.A Biomedical pursuant to rights granted to D.N.A Biomedical under our articles of association as in effect prior to the closing of this offering.</w:t>
      </w:r>
    </w:p>
    <w:p>
      <w:pPr>
        <w:spacing w:after="0" w:line="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Ben Ami </w:t>
      </w:r>
      <w:r>
        <w:rPr>
          <w:rFonts w:ascii="Times New Roman" w:cs="Times New Roman" w:eastAsia="Times New Roman" w:hAnsi="Times New Roman"/>
          <w:sz w:val="18"/>
          <w:szCs w:val="18"/>
          <w:color w:val="auto"/>
        </w:rPr>
        <w:t>has served as a member of our board of directors since 2014. Mr. Ben Ami is the Managing Partner of Corundum Open Innovation Fund,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 sciences venture capital fund, and the Executive Investment Director of SBI JI Innovation Advisory Ltd. Mr. Ben Ami has more than 25 years of experience with activities in management, business development, corporate strategy and investments in the life sciences industry. He served as chief executive officer of NVR Labs Ltd. from 2005 to 2010, Israeli Country Manager of Boston Scientific, Israel from 2003 to 2005, and director of business development of Teva Israel and Teva Medical from 1999 to 2002. In 2008, he founded Macrocure Ltd., and served as the chairman of the board of directors of Macrocure from 2008 until 2016. Mr. Ben Ami currently serves, and in the past served as a board member in numerous companies including: Immunobrain Checkpoint Inc., Novolog Ltd., Degania Medical Ltd., Biocell Ltd., Meytav Technology Incubator, Hairstetics Ltd., VVT Medical and Contipi Medical Ltd. He received his M.B.A. and B.A. in Economics &amp; Management from Tel-Aviv University. Mr. Ben Ami serves on our board of directors as a designee of the Centillion Fund pursuant to rights granted to Centillion Fund under our articles of association as in effect prior to the closing of this offering. For further information regarding our commitment under certain circumstances to nominate one director nominee designated by Centillion Fund following the closing of this offering, see “— Arrangements for Election of Directors.” Following the consummation of this offering, Mr. Ben Ami intends to resign from our board.</w:t>
      </w:r>
    </w:p>
    <w:p>
      <w:pPr>
        <w:spacing w:after="0" w:line="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Chaim Davis </w:t>
      </w:r>
      <w:r>
        <w:rPr>
          <w:rFonts w:ascii="Times New Roman" w:cs="Times New Roman" w:eastAsia="Times New Roman" w:hAnsi="Times New Roman"/>
          <w:sz w:val="18"/>
          <w:szCs w:val="18"/>
          <w:color w:val="auto"/>
        </w:rPr>
        <w:t>has served as a member of our board of directors since 2013. Mr. Davis is the managing member of the Revach Fund L.P., a sector-specific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lifescience fund focusing on micro to mid-cap companies, which he founded in 2005. He has served on the board of American Bio Medica since June 2017. He has also served as a consultant to other hedge funds including Gem Partners, KOM Capital Management and Maot Group. From 2010 to 2014, he served as a director of AtheroNova Inc. (OTCBQ: AHRO), and from 2001 to 2004, he served as a healthcare analyst at The Garnet Group. Mr. Davis received his B.A. from Columbia University. Mr. Davis serves on our board of directors as a designee of certain of our shareholders who are lenders under certain of our convertible financing agreements, pursuant to rights granted to these lenders under the current Articles, as in effect prior to the closing of this offering. Following the consummation of this offering, Mr. Davis intends to resign from our board.</w:t>
      </w:r>
    </w:p>
    <w:p>
      <w:pPr>
        <w:spacing w:after="0" w:line="7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Yonatan Malca </w:t>
      </w:r>
      <w:r>
        <w:rPr>
          <w:rFonts w:ascii="Times New Roman" w:cs="Times New Roman" w:eastAsia="Times New Roman" w:hAnsi="Times New Roman"/>
          <w:sz w:val="18"/>
          <w:szCs w:val="18"/>
          <w:color w:val="auto"/>
        </w:rPr>
        <w:t>has served as a member of our board of directors since 2011. Mr. Malca currently serves as a Chief Executive Officer and Director of D.N.A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Biomedical Solutions Ltd., a position he has held since 2010. Mr. Malca also serves as a director of Arko Holdings Ltd. and of Tamda Ltd., both of which are Israeli public companies. Mr. Malca also serves on the board of directors of a number of private companies, including as chairman of the board of directors of Cardioart Technologies Ltd., a medical device company, and Beamed Ltd., a medical device company (a subsidiary of D.N.A Biomedical). Mr. Malca received a B.A. and an M.A. from Bar Ilan University, Israel. Mr. Malca serves on our board of directors as a designee of D.N.A Biomedical pursuant to rights granted to D.N.A Biomedical under our articles of association as in effect prior to the closing of this offering.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for Election of Directors</w:t>
      </w:r>
    </w:p>
    <w:p>
      <w:pPr>
        <w:spacing w:after="0" w:line="10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Pursuant to the terms of the amended and restated investors’ rights agreement among us, the Centillion Fund, or Centillion, and the other parties thereto, following the consummation of this offering, for as long as Centillion and its affiliates hold an aggregate of at least 10% of our issued and outstanding ordinary</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7" w:name="page128"/>
    <w:bookmarkEnd w:id="1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shares, we will nominate, if so requested by Centillion and as permitted by applicable law, a designee of Centillion for election by our shareholders as a member of our board of directors and will recommend that our shareholders vote in favor of such election. David Ben Ami, a member of our board of directors, was nominated by Centillion pursuant to its director designation right. Following the consummation of this offering, Centillion will hold approximately 6.5% of our issued and outstanding ordinary shares, and in the event that Centillion exercises in full all of the warrants to purchase our ordinary shares that we will have issued to it as of such date, Centillion will hold approximately 12% of our issued and outstanding ordinary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Practices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incorporated in Israel and therefore are subject to various corporate governance practices under the Israeli Companies Law, 5759-1999, or the Companies Law, relating to such matters as external directors, financial experts, our audit committee, our compensation committee and our internal auditor. These matters are in addition to the requirements of the NASDAQ Capital Market and other applicable provisions of U.S. securities laws. As a foreign private issuer whose shares will be listed on the NASDAQ Capital Market, we have the option to follow certain Israeli corporate governance practices rather than those of the NASDAQ Capital Market, except to the extent that such laws would be contrary to U.S. securities laws and provided that we disclose the practices that we are not following and describe the home country practices we follow instead. We intend to rely on this “foreign private issuer exemption” with respect to the following NASDAQ Capital Market requirements:</w:t>
      </w:r>
    </w:p>
    <w:p>
      <w:pPr>
        <w:spacing w:after="0" w:line="160" w:lineRule="exact"/>
        <w:rPr>
          <w:sz w:val="20"/>
          <w:szCs w:val="20"/>
          <w:color w:val="auto"/>
        </w:rPr>
      </w:pPr>
    </w:p>
    <w:p>
      <w:pPr>
        <w:ind w:left="360" w:right="320" w:hanging="172"/>
        <w:spacing w:after="0" w:line="256" w:lineRule="auto"/>
        <w:tabs>
          <w:tab w:leader="none" w:pos="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Shareholder Approval. </w:t>
      </w:r>
      <w:r>
        <w:rPr>
          <w:rFonts w:ascii="Times New Roman" w:cs="Times New Roman" w:eastAsia="Times New Roman" w:hAnsi="Times New Roman"/>
          <w:sz w:val="18"/>
          <w:szCs w:val="18"/>
          <w:color w:val="auto"/>
        </w:rPr>
        <w:t>Although the NASDAQ Capital Market listing requirements generally require shareholder approval of equity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and material amendments thereto, we intend to follow Israeli practice, which is to have such plans and amendments approved only by the board of directors, unless such arrangements are for the compensation of chief executive officer or directors, in which case they also require the approval of the compensation committee and the shareholders. In addition, rather than follow the NASDAQ Capital Market listing requirements requiring shareholder approval for the issuance of securities in certain circumstances, we intend to follow Israeli law applicable to us, which requires shareholder approval in the event of issuances to certain related parties, as described below under “Fiduciary Duties and Approval of Related Party Transactions — Approval of Related Party Transactions”.</w:t>
      </w:r>
    </w:p>
    <w:p>
      <w:pPr>
        <w:spacing w:after="0" w:line="142" w:lineRule="exact"/>
        <w:rPr>
          <w:rFonts w:ascii="Times New Roman" w:cs="Times New Roman" w:eastAsia="Times New Roman" w:hAnsi="Times New Roman"/>
          <w:sz w:val="18"/>
          <w:szCs w:val="18"/>
          <w:color w:val="auto"/>
        </w:rPr>
      </w:pPr>
    </w:p>
    <w:p>
      <w:pPr>
        <w:ind w:left="360" w:right="360" w:hanging="172"/>
        <w:spacing w:after="0" w:line="259" w:lineRule="auto"/>
        <w:tabs>
          <w:tab w:leader="none" w:pos="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Shareholder Quorum. </w:t>
      </w:r>
      <w:r>
        <w:rPr>
          <w:rFonts w:ascii="Times New Roman" w:cs="Times New Roman" w:eastAsia="Times New Roman" w:hAnsi="Times New Roman"/>
          <w:sz w:val="18"/>
          <w:szCs w:val="18"/>
          <w:color w:val="auto"/>
        </w:rPr>
        <w:t>The NASDAQ Capital Market listing requirements require that an issuer have a quorum requirement for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of at least one-third of the outstanding shares of the issuer’s common voting stock. As permitted under the Companies Law, pursuant to our amended Articles to be in effect immediately upon the closing of this offering, the quorum required for an ordinary meeting of shareholders will consist of at least two shareholders present in person or by proxy who hold in the aggregate at least 25% of the voting power of our issued and outstanding shares and, in an adjourned meeting, subject to certain exceptions, any two shareholders.</w:t>
      </w:r>
    </w:p>
    <w:p>
      <w:pPr>
        <w:spacing w:after="0" w:line="139" w:lineRule="exact"/>
        <w:rPr>
          <w:rFonts w:ascii="Times New Roman" w:cs="Times New Roman" w:eastAsia="Times New Roman" w:hAnsi="Times New Roman"/>
          <w:sz w:val="18"/>
          <w:szCs w:val="18"/>
          <w:color w:val="auto"/>
        </w:rPr>
      </w:pPr>
    </w:p>
    <w:p>
      <w:pPr>
        <w:ind w:left="360" w:right="680" w:hanging="172"/>
        <w:spacing w:after="0" w:line="277" w:lineRule="auto"/>
        <w:tabs>
          <w:tab w:leader="none" w:pos="3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Compensation Committee</w:t>
      </w:r>
      <w:r>
        <w:rPr>
          <w:rFonts w:ascii="Times New Roman" w:cs="Times New Roman" w:eastAsia="Times New Roman" w:hAnsi="Times New Roman"/>
          <w:sz w:val="17"/>
          <w:szCs w:val="17"/>
          <w:color w:val="auto"/>
        </w:rPr>
        <w:t>. The NASDAQ Capital Market listing requirements require a listed company to have a compensation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composed entirely of independent directors that operates pursuant to a written charter addressing its purpose, responsibilities and membership qualifications and may receive counseling from independent consultants, after evaluating their independence. The purpose, responsibilities and membership qualifications of our compensation committee will be governed by the Companies Law, rather than the NASDAQ Capital Market listing requirements. In addition, under the Companies Law, there are no specific independence evaluation requirements for outside consultants.</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2720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28" w:name="page129"/>
    <w:bookmarkEnd w:id="1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0" w:right="600" w:hanging="172"/>
        <w:spacing w:after="0" w:line="261" w:lineRule="auto"/>
        <w:tabs>
          <w:tab w:leader="none" w:pos="3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Approval of Board Nominations</w:t>
      </w:r>
      <w:r>
        <w:rPr>
          <w:rFonts w:ascii="Times New Roman" w:cs="Times New Roman" w:eastAsia="Times New Roman" w:hAnsi="Times New Roman"/>
          <w:sz w:val="18"/>
          <w:szCs w:val="18"/>
          <w:color w:val="auto"/>
        </w:rPr>
        <w:t>. The NASDAQ Capital Market listing requirements require a listed company to have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the approval of board nominations, either through an independent nominating committee or through a vote by a majority of the company’s independent directors. Under the Companies Law, there is no requirement to have a nominating committee or that board nominees be approved by independent directors.</w:t>
      </w:r>
    </w:p>
    <w:p>
      <w:pPr>
        <w:spacing w:after="0" w:line="112" w:lineRule="exact"/>
        <w:rPr>
          <w:rFonts w:ascii="Times New Roman" w:cs="Times New Roman" w:eastAsia="Times New Roman" w:hAnsi="Times New Roman"/>
          <w:sz w:val="18"/>
          <w:szCs w:val="18"/>
          <w:color w:val="auto"/>
        </w:rPr>
      </w:pPr>
    </w:p>
    <w:p>
      <w:pPr>
        <w:ind w:left="360" w:right="440" w:hanging="172"/>
        <w:spacing w:after="0" w:line="267" w:lineRule="auto"/>
        <w:tabs>
          <w:tab w:leader="none" w:pos="3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Directors. </w:t>
      </w:r>
      <w:r>
        <w:rPr>
          <w:rFonts w:ascii="Times New Roman" w:cs="Times New Roman" w:eastAsia="Times New Roman" w:hAnsi="Times New Roman"/>
          <w:sz w:val="18"/>
          <w:szCs w:val="18"/>
          <w:color w:val="auto"/>
        </w:rPr>
        <w:t>Under the NASDAQ Capital Market listing requirements, a majority of the board of directors must be independent.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Companies Law, there is no requirement that a majority of the board be independent, rather only that at least two directors meet certain independence requirements and be classified as external directors for purposes of the Companies Law. See “— External Directors.”</w:t>
      </w:r>
    </w:p>
    <w:p>
      <w:pPr>
        <w:spacing w:after="0" w:line="105" w:lineRule="exact"/>
        <w:rPr>
          <w:rFonts w:ascii="Times New Roman" w:cs="Times New Roman" w:eastAsia="Times New Roman" w:hAnsi="Times New Roman"/>
          <w:sz w:val="18"/>
          <w:szCs w:val="18"/>
          <w:color w:val="auto"/>
        </w:rPr>
      </w:pPr>
    </w:p>
    <w:p>
      <w:pPr>
        <w:ind w:left="360" w:right="360" w:hanging="172"/>
        <w:spacing w:after="0" w:line="267" w:lineRule="auto"/>
        <w:tabs>
          <w:tab w:leader="none" w:pos="3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Sessions</w:t>
      </w:r>
      <w:r>
        <w:rPr>
          <w:rFonts w:ascii="Times New Roman" w:cs="Times New Roman" w:eastAsia="Times New Roman" w:hAnsi="Times New Roman"/>
          <w:sz w:val="18"/>
          <w:szCs w:val="18"/>
          <w:color w:val="auto"/>
        </w:rPr>
        <w:t>. The NASDAQ Capital Market listing requirements require that independent directors hold regularly scheduled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sessions, where only independent directors are present. Under the Companies Law, our independent directors may choose to hold executive sessions at their discretion, but are not required to do so.</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Except as stated above, we intend to substantially comply with the rules applicable to U.S. companies listed on the NASDAQ Capital Market. We may in the future decide to avail ourselves of other foreign private issuer exemptions with respect to some or all of the other NASDAQ Capital Market listing requirements from which exemptions are available to foreign private issuers. Following our home country governance practices, as opposed to the requirements that would otherwise apply to a company listed on the NASDAQ Capital Market, may provide less protection than is accorded to investors under the NASDAQ Capital Market listing requirements applicable to domestic issuers.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Companies Law, our board of directors is responsible for setting our general policies and supervising the performance of management.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terms of the employment agreement that we have entered into with him. All other executive officers are also appointed by our board of directors, and are subject to the terms of any applicable employment agreements that we may enter into with them.</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Following the consummation of this offering, Chaim Davis and David Ben-Ami intend to resign from our board, and therefore, we expect that our board of directors will consist of six directors. Pursuant to the three month transition period permitted under the Companies Law, within three months following our listing on the NASDAQ Capital Market, we intend to nominate two external directors whose appointment would fulfill the requirements of the Companies Law. See “— External Directors.” In addition, we anticipate that these two directors would qualify as independent directors under the corporate governance standards of the NASDAQ Capital Market listing requirements and the audit committee independence requirements of Rule 10A-3 of the Securities Exchange Act of 1934, as amended, or the Exchange Act. Currently, our director Gerald Lieberman is the only member of our board of directors that satisfies these independence requirements of the NASDAQ Capital Market listing requirements and the Exchange Act.</w:t>
      </w:r>
    </w:p>
    <w:p>
      <w:pPr>
        <w:spacing w:after="0" w:line="8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According to our amended Articles, the number of members of our board of directors must be at least three and cannot be more than nine. Our board of directors, other than external directors, will be divided into three classes, with staggered three-year terms and one director class coming up for election each year. The Class I, Class II and Class III directors will serve until our annual meetings of shareholders in 2019, 2020 and 2021, respectively. The members of the classes at the closing of this offering will be divided as follows:</w:t>
      </w:r>
    </w:p>
    <w:p>
      <w:pPr>
        <w:spacing w:after="0" w:line="113" w:lineRule="exact"/>
        <w:rPr>
          <w:sz w:val="20"/>
          <w:szCs w:val="20"/>
          <w:color w:val="auto"/>
        </w:rPr>
      </w:pPr>
    </w:p>
    <w:p>
      <w:pPr>
        <w:ind w:left="360" w:hanging="172"/>
        <w:spacing w:after="0"/>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Zeev Bronfeld and Roger Garceau;</w:t>
      </w:r>
    </w:p>
    <w:p>
      <w:pPr>
        <w:spacing w:after="0" w:line="15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Phillip Schwartz and Yonatan Malca; and</w:t>
      </w:r>
    </w:p>
    <w:p>
      <w:pPr>
        <w:spacing w:after="0" w:line="17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Gerald Lieberman and Luke Beshar.</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29" w:name="page130"/>
    <w:bookmarkEnd w:id="1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At each annual meeting of shareholders, directors will be elected to succeed the class of directors whose term has expired. This classification of our board of directors could have the effect of increasing the length of time necessary to change the composition of a majority of the board of directors. In general, at least two annual meetings of shareholders will be necessary for shareholders to effect a change in a majority of the members of the board of directors.</w:t>
      </w:r>
    </w:p>
    <w:p>
      <w:pPr>
        <w:spacing w:after="0" w:line="5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board of directors is also authorized to appoint directors in order to fill vacancies, including filling empty board seats if the number of directors is below the maximum number permitted under our amended Articles. Each of our directors, other than our external directors, will serve from the date of election or appointment until the next annual meeting of shareholders for which such director’s class is due for reelection. The approval of at least a majority of the voting power in the Company is generally required to remove any of our directors from office (other than external directors).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Directors</w:t>
      </w:r>
    </w:p>
    <w:p>
      <w:pPr>
        <w:spacing w:after="0" w:line="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the Companies Law, companies incorporated under the laws of the States of Israel that are “public companies,” including companies with shares listed on the NASDAQ Capital Market, are generally required to have at least two external directors who meet certain independence criteria to ensure that they are unaffiliated with the company and its controlling shareholder(s). Pursuant to the applicable transition period rules under the Companies Law, our external directors must be elected by our shareholders no later than three months following the completion of this offering.</w:t>
      </w:r>
    </w:p>
    <w:p>
      <w:pPr>
        <w:spacing w:after="0" w:line="5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 external director must also have either financial and accounting expertise or professional qualifications, as defined in regulations promulgated under the Companies Law, and at least one of the external directors is required to have financial and accounting expertise. An external director is entitled to reimbursement of expenses and compensation as provided in regulations promulgated under the Companies Law but is otherwise prohibited from receiving any other compensation from us, directly or indirectly, during his term and for two years thereafter.</w:t>
      </w:r>
    </w:p>
    <w:p>
      <w:pPr>
        <w:spacing w:after="0" w:line="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Companies Law, external directors must be elected at a shareholders’ meeting by a simple majority of the votes cast on the matter, provided that such majority includes a majority of the votes cast by non-controlling shareholders and shareholders who do not have a personal interest in the election (excluding a personal interest that did not result from the shareholder’s relationship with the controlling shareholder), unless the votes cast by such shareholders against the election did not exceed 2% of our aggregate voting rights. External directors serve for up to three terms of three years each, and our audit committee and board of directors may nominate them for additional terms under certain circumstances. Even if an external director is not nominated by our board of directors for re-election for a second or third term, shareholders holding at least 1% of our voting rights or the external director may nominate the external director for re-election. In such a case, the re-election can be approved by a majority of the votes cast by non-controlling shareholders and shareholders who do not have a personal interest in the election (excluding a personal interest that did not result from the shareholder’s relationship with the controlling shareholder) and the votes cast by such shareholders approving the election exceed 2% of our aggregate voting rights. A term of an external director may be terminated prior to expiration only by a shareholder vote (by the same threshold required for election), or by a court, but in each case only if the external director ceases to meet the statutory qualifications for election or if the external director violates his duty of loyalty to us.</w:t>
      </w:r>
    </w:p>
    <w:p>
      <w:pPr>
        <w:spacing w:after="0" w:line="5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Each committee of a company’s board of directors that is authorized to exercise powers of the board of directors is required to include at least one external director, and all external directors must be members of the company’s audit committee and compensation committee.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Experts</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board of directors has resolved that at least one of its members must have financial and accounting expertise, as defined in regulations promulgated under the Companies Law. Our board of directors has determined that Gerald Lieberman meets such qualifications.</w:t>
      </w:r>
    </w:p>
    <w:p>
      <w:pPr>
        <w:spacing w:after="0" w:line="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our board of directors has determined that Gerald Lieberman, who has been nominated to serve on our audit committee, is financially literate as determined in accordance with the NASDAQ Capital Market listing requirements and that Mr. Lieberman is qualified to serve as an “audit committee financial expert” as defined by SEC rules.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0" w:name="page131"/>
    <w:bookmarkEnd w:id="1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Alternate Directors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amended Articles provide that, as permitted under Israeli law, any director may appoint another person who is not a director or an alternate director to serve as his or her alternate director, subject to the approval of a majority of the members of the board of directors excluding such director. The term of an alternate director could be terminated at any time by the appointing director or our board of directors and would automatically terminate upon the termination of the term of the appointing director. The Companies Law stipulates that an external director may not appoint an alternate director except under very limited circumstances. An alternate director has the same rights and responsibilities as a director, except for the right to appoint an alternate director.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Committees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has established the following committees:</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0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Companies Law, the board of directors of a public company must establish an audit committee. The audit committee must consist of at least three directors who meet certain independence criteria and must include all of the company’s external directors, one of whom must serve as chairman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Companies Law, the majority of the directors serving on the audit committee of a publicly traded company must be unaffiliated directors. In general, an “unaffiliated director” under the Companies Law for “public companies,” including companies with shares listed on the NASDAQ Capital Market, is defined as either an external director or as a director who meets the following criteria:</w:t>
      </w:r>
    </w:p>
    <w:p>
      <w:pPr>
        <w:spacing w:after="0" w:line="104" w:lineRule="exact"/>
        <w:rPr>
          <w:sz w:val="20"/>
          <w:szCs w:val="20"/>
          <w:color w:val="auto"/>
        </w:rPr>
      </w:pPr>
    </w:p>
    <w:p>
      <w:pPr>
        <w:ind w:left="360" w:right="1100" w:hanging="172"/>
        <w:spacing w:after="0" w:line="282" w:lineRule="auto"/>
        <w:tabs>
          <w:tab w:leader="none" w:pos="3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or she meets the primary qualifications for being appointed as an external director, except for the requirements that the director possess accounting and financial expertise or professional qualifications; and</w:t>
      </w:r>
    </w:p>
    <w:p>
      <w:pPr>
        <w:spacing w:after="0" w:line="67" w:lineRule="exact"/>
        <w:rPr>
          <w:rFonts w:ascii="Times New Roman" w:cs="Times New Roman" w:eastAsia="Times New Roman" w:hAnsi="Times New Roman"/>
          <w:sz w:val="18"/>
          <w:szCs w:val="18"/>
          <w:color w:val="auto"/>
        </w:rPr>
      </w:pPr>
    </w:p>
    <w:p>
      <w:pPr>
        <w:jc w:val="both"/>
        <w:ind w:left="360" w:right="400" w:hanging="172"/>
        <w:spacing w:after="0" w:line="282" w:lineRule="auto"/>
        <w:tabs>
          <w:tab w:leader="none" w:pos="3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or she has not served as a director of the company for a period exceeding nine consecutive years, subject to extension for additional terms under certain circumstances. For this purpose, a break of less than two years in the service shall not be deemed to interrupt the continuation of the service.</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Under the NASDAQ Capital Market listing requirements, we are required to maintain an audit committee consisting of at least three independent directors, each of whom is financially literate and one of whom has accounting or related financial management expertise.</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responsibilities of an audit committee under the Companies Law include identifying and addressing flaws in the management of the company, reviewing and approving interested party transactions, establishing whistleblower procedures, overseeing the company’s internal audit system and the performance of its internal auditor, assessing the scope of work and recommending the fees of the company’s independent accounting firm. In addition, the audit committee is required to determine whether certain related party actions and transactions are “material” or “extraordinary” for the purpose of the requisite approval procedures under the Companies Law and to establish procedures for considering proposed transactions with a controlling shareholder.</w:t>
      </w:r>
    </w:p>
    <w:p>
      <w:pPr>
        <w:spacing w:after="0" w:line="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audit committee is also responsible for the appointment (subject to ratification by the board of directors and shareholders), compensation and oversight of the work of our independent auditors and for assisting our board of directors in monitoring our financial statements, the effectiveness of our internal controls and our compliance with legal and regulatory requirements.</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our audit committee will initially consist of Gerald Lieberman (Chairman), Zeev Bronfeld and Yonatan Malca. Pursuant to the applicable transition period rules, we anticipate that our audit committee will satisfy the requirements of the Companies Law (subject to shareholder approval of our external directors within three months following the consummation of the offering), the Exchange Act and the NASDAQ Capital Market listing requirements within a period of</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31" w:name="page132"/>
    <w:bookmarkEnd w:id="1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three months following our listing on the NASDAQ Capital Market. After the applicable transition period of three months, all of the members will be external directors or would be eligible to qualify as independent directors as defined in the Companies Law and all of the members will also be independent as defined in SEC rules and the NASDAQ Capital Market listing requirements.</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0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Under the Companies Law, the board of directors of a public company must establish a compensation committee. The compensation committee must consist of at least three directors who meet certain independence criteria and must include all of the company’s external directors. The responsibilities of a compensation committee under the Companies Law include recommending to the board of directors, for ultimate shareholder approval by a special majority, a policy governing the compensation of officers and directors based on specified criteria, reviewing modifications to the compensation policy from time to time, reviewing its implementation and approving, if required by the Companies Law, the actual compensation terms of officers and directors prior to approval by the board of directors, under circumstances where board approval is required under the Companies Law.</w:t>
      </w:r>
    </w:p>
    <w:p>
      <w:pPr>
        <w:spacing w:after="0" w:line="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we will have a compensation committee consisting Gerald Lieberman (Chairman), Zeev Bronfeld and Yonatan Malca. Pursuant to the applicable transition period of three months, our compensation committee will satisfy the requirements of the Companies Law (subject to shareholder approval of our external directors within three months following the consummation of the offering), but not the NASDAQ Capital Market listing standards applicable to compensation committees, which the Company has chosen to opt out of as a foreign private issuer. See “— Corporate Governance Practices” above.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Auditor</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Under the Companies Law, the board of directors is required to appoint an internal auditor recommended by the audit committee. The role of the internal auditor is to examine, among other things, whether the company’s actions comply with applicable law and proper business procedures. The internal auditor may not be an interested party, an officer or director of the company, or a relative of any of the foregoing, nor may the internal auditor be our independent accountant or a representative thereof. We intend to appoint an internal auditor following the completion of this offering.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Duties and Approval of Related Party Transactions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Fiduciary Duties of Directors and Officers</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Israeli law imposes a duty of care and a duty of loyalty on all directors and officers of a company. The duty of care requires a director or officer to act with the level of care with which a reasonable director or officer in the same position would have acted under the same circumstances. The duty of care includes, among other things, a duty to use reasonable means, under the circumstances, to obtain information on the advisability of a given action brought for his approval or performed by virtue of his position and other important information pertaining to such action. The duty of loyalty requires the director or officer to act in good faith and for the benefit of the company. The duty of loyalty includes a duty to:</w:t>
      </w:r>
    </w:p>
    <w:p>
      <w:pPr>
        <w:spacing w:after="0" w:line="49" w:lineRule="exact"/>
        <w:rPr>
          <w:sz w:val="20"/>
          <w:szCs w:val="20"/>
          <w:color w:val="auto"/>
        </w:rPr>
      </w:pPr>
    </w:p>
    <w:p>
      <w:pPr>
        <w:ind w:left="360" w:hanging="172"/>
        <w:spacing w:after="0"/>
        <w:tabs>
          <w:tab w:leader="none" w:pos="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conflict of interest between the performance of his or her duties to the company and his or her other duties or personal affairs;</w:t>
      </w:r>
    </w:p>
    <w:p>
      <w:pPr>
        <w:spacing w:after="0" w:line="76"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activity that is competitive with the company;</w:t>
      </w:r>
    </w:p>
    <w:p>
      <w:pPr>
        <w:spacing w:after="0" w:line="76"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exploiting any business opportunity of the company to receive a personal gain for himself or herself or others; and</w:t>
      </w:r>
    </w:p>
    <w:p>
      <w:pPr>
        <w:spacing w:after="0" w:line="90" w:lineRule="exact"/>
        <w:rPr>
          <w:rFonts w:ascii="Times New Roman" w:cs="Times New Roman" w:eastAsia="Times New Roman" w:hAnsi="Times New Roman"/>
          <w:sz w:val="18"/>
          <w:szCs w:val="18"/>
          <w:color w:val="auto"/>
        </w:rPr>
      </w:pPr>
    </w:p>
    <w:p>
      <w:pPr>
        <w:ind w:left="360" w:right="680" w:hanging="172"/>
        <w:spacing w:after="0" w:line="282" w:lineRule="auto"/>
        <w:tabs>
          <w:tab w:leader="none" w:pos="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the company any information or documents relating to the company’s affairs which the office holder received as a result of his or her position as an office holder.</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Approval of Related Party Transactions</w:t>
      </w:r>
    </w:p>
    <w:p>
      <w:pPr>
        <w:spacing w:after="0" w:line="1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Under the Companies Law, a related party transaction may be approved only if it is for the benefit of the company. A transaction that is not an extraordinary transaction in which a director or officer has a</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2" w:name="page133"/>
    <w:bookmarkEnd w:id="1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personal interest requires the approval of the board of directors, unless the articles of association of the company provide otherwise. If the transaction is an extraordinary transaction, it must be approved by the audit committee and the board of directors, and, under certain circumstances, by the shareholders of the company, as well. An “extraordinary transaction” is a transaction other than in the ordinary course of business, other than on market terms or that is likely to have a material impact on the company’s profitability, assets or liabilities.</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Extraordinary transactions in which a controlling shareholder has a personal interest require the approval of the audit committee (or, in the case of compensation, indemnification or insurance of a controlling shareholder, the compensation committee), the board of directors and the shareholders of the company. The shareholder approval must be by a simple majority of all votes cast, provided that (i) such majority includes a simple majority of the votes cast by non-controlling shareholders having no personal interest in the matter or (ii) the total number of votes of shareholders mentioned in clause (i) above who voted against such transaction does not exceed 2% of the total voting rights in the company. To the extent that any such transaction with a controlling shareholder is for a period extending beyond three years and under certain conditions, five years from a company’s initial public offering, approval is required at the end of such period unless, with respect to certain transactions, the audit committee determines that the duration of the transaction is reasonable given the circumstances related thereto.</w:t>
      </w:r>
    </w:p>
    <w:p>
      <w:pPr>
        <w:spacing w:after="0" w:line="7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Companies Law generally prohibits any director who has a personal interest in an extraordinary transaction from being present for the discussion and voting pertaining to such transaction in the audit committee or board of directors, except in circumstances where the majority of the board of directors or the audit committee has a personal interest in the transaction, in which case such transaction also requires shareholder approval.</w:t>
      </w:r>
    </w:p>
    <w:p>
      <w:pPr>
        <w:spacing w:after="0" w:line="68"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Pursuant to regulations promulgated under the Companies Law, certain transactions with a controlling shareholder or his or her relative, or with directors or other office holders, that would otherwise require approval of a company’s shareholders may be exempt from shareholder approval under certain conditions.</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Approval of Director and Officer Compensation</w:t>
      </w:r>
    </w:p>
    <w:p>
      <w:pPr>
        <w:spacing w:after="0" w:line="10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Under the Companies Law, we are required to adopt a compensation policy with respect to our directors and officers once every three years, provided however that a compensation policy adopted within nine months from the closing of this offering is valid for five years. The compensation policy must serve as the basis for decisions concerning the financial terms of employment or engagement of office holders, including compensation, benefits, exculpation, insurance and indemnification. The compensation policy must take into account certain factors, including advancement of the company’s objectives, the company’s business plan and its long-term strategy, and creation of appropriate incentives.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Following the recommendation of our compensation committee, the compensation policy must be approved by our board of directors and shareholders. The shareholder approval must be by a simple majority of all votes cast, provided that (i) such majority includes a simple majority of the votes cast by non-controlling shareholders having no personal interest in the matter or (ii) the total number of votes of shareholders mentioned in clause (i) above who voted against such transaction does not exceed 2% of the total voting rights in the company. Even if shareholders do not approve the compensation policy, the board of directors may resolve to approve the compensation policy, subject to certain conditions. We intend to adopt a compensation policy within nine months from the consummation of this offering.</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3" w:name="page134"/>
    <w:bookmarkEnd w:id="1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general, the compensation terms of directors, the chief executive officer and any employee or service provider who is considered a controlling shareholder must be approved by the compensation committee, the board of directors and the shareholders. Shareholder approval is not required for director compensation payable in cash up to the maximum amount set forth in the regulations governing the compensation of external directors. The compensation terms of other officers who report directly to the chief executive officer require the approval of the compensation committee and the board of directors, subject to certain exceptions.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Executive Officers</w:t>
      </w:r>
    </w:p>
    <w:p>
      <w:pPr>
        <w:spacing w:after="0" w:line="10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entered into written employment agreements with all of our executive officers. Each of these agreements contains provisions regarding confidentiality, non-competition/non-solicitation and ownership of intellectual property. The non-competition provision applies for a period that is generally 12 months following termination of employment. The enforceability of covenants not to compete in Israel and the United States is subject to limitations. In addition, we are required to provide notice prior to terminating the employment of our executive officers, other than in the case of a termination under circumstances which deprive the executive officer of severance pay under Israeli law, a breach of trust, or the executive officer’s breach of the terms of confidentiality, non-competition/non-solicitation and ownership of intellectual property provisions of the relevant employment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Officers</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External directors may be compensated only in accordance with regulations adopted under the Companies Law. These regulations permit the payment of cash compensation within a specified range, depending on the size of the company, or cash or equity compensation that is consistent with the compensation paid to the other independent directors. We generally do not have any agreement with directors providing for benefits upon termination of their service as directors of our company.</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aggregate compensation paid to all of the members of our directors and senior management was approximately $6.3 million in 2017. This amount includes approximately $4.7 million for share-based compensation and $92,000 set aside or accrued in the aggregate for pension or other retirement benefits for our directors and senior management in 2017.</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34" w:name="page135"/>
    <w:bookmarkEnd w:id="1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 so long as we qualify as a foreign private issuer, we are not required to comply with the proxy rules applicable to U.S. domestic companies, including the requirement to disclose the compensation of our chief executive officer, chief financial officer and other three most highly compensated executive officers on an individual basis. Nevertheless, pursuant to regulations promulgated under the Companies Law, we will be required to disclose the annual compensation of our five most highly compensated office holders, which includes our directors and officers, on an individual basis. Such disclosure will not be as extensive as that required of a U.S. domestic issuer. The following table presents all compensation we incurred for the year ended December 31, 2017 with respect to our five highest paid office holders, in U.S. dollars. The table does not include any amounts we paid to reimburse any of these persons for costs incurred in providing us with services during this period: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Annual 2017 Compensation (unaudited)</w:t>
            </w:r>
          </w:p>
        </w:tc>
        <w:tc>
          <w:tcPr>
            <w:tcW w:w="1060" w:type="dxa"/>
            <w:vAlign w:val="bottom"/>
          </w:tcPr>
          <w:p>
            <w:pPr>
              <w:spacing w:after="0"/>
              <w:rPr>
                <w:sz w:val="16"/>
                <w:szCs w:val="16"/>
                <w:color w:val="auto"/>
              </w:rPr>
            </w:pPr>
          </w:p>
        </w:tc>
      </w:tr>
      <w:tr>
        <w:trPr>
          <w:trHeight w:val="2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1"/>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and Related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Similar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 Based</w:t>
            </w:r>
          </w:p>
        </w:tc>
        <w:tc>
          <w:tcPr>
            <w:tcW w:w="1060" w:type="dxa"/>
            <w:vAlign w:val="bottom"/>
          </w:tcPr>
          <w:p>
            <w:pPr>
              <w:spacing w:after="0"/>
              <w:rPr>
                <w:sz w:val="14"/>
                <w:szCs w:val="14"/>
                <w:color w:val="auto"/>
              </w:rPr>
            </w:pPr>
          </w:p>
        </w:tc>
      </w:tr>
      <w:tr>
        <w:trPr>
          <w:trHeight w:val="190"/>
        </w:trPr>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250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3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Benefits(1)</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Compensation(2)</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2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66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Chairman of the board of</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Luke M. Beshar</w:t>
            </w:r>
          </w:p>
        </w:tc>
        <w:tc>
          <w:tcPr>
            <w:tcW w:w="2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directors</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278,922</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3,054,263</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3,333,185</w:t>
            </w:r>
          </w:p>
        </w:tc>
      </w:tr>
      <w:tr>
        <w:trPr>
          <w:trHeight w:val="25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Dr. Roger Garceau</w:t>
            </w:r>
          </w:p>
        </w:tc>
        <w:tc>
          <w:tcPr>
            <w:tcW w:w="2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Development Advisor</w:t>
            </w: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80"/>
              <w:spacing w:after="0"/>
              <w:rPr>
                <w:sz w:val="20"/>
                <w:szCs w:val="20"/>
                <w:color w:val="auto"/>
              </w:rPr>
            </w:pPr>
            <w:r>
              <w:rPr>
                <w:rFonts w:ascii="Times New Roman" w:cs="Times New Roman" w:eastAsia="Times New Roman" w:hAnsi="Times New Roman"/>
                <w:sz w:val="18"/>
                <w:szCs w:val="18"/>
                <w:color w:val="auto"/>
              </w:rPr>
              <w:t>114,000</w:t>
            </w:r>
          </w:p>
        </w:tc>
        <w:tc>
          <w:tcPr>
            <w:tcW w:w="80" w:type="dxa"/>
            <w:vAlign w:val="bottom"/>
          </w:tcPr>
          <w:p>
            <w:pPr>
              <w:spacing w:after="0"/>
              <w:rPr>
                <w:sz w:val="21"/>
                <w:szCs w:val="21"/>
                <w:color w:val="auto"/>
              </w:rPr>
            </w:pPr>
          </w:p>
        </w:tc>
        <w:tc>
          <w:tcPr>
            <w:tcW w:w="154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886,925</w:t>
            </w:r>
          </w:p>
        </w:tc>
        <w:tc>
          <w:tcPr>
            <w:tcW w:w="8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1,000,925</w:t>
            </w:r>
          </w:p>
        </w:tc>
      </w:tr>
      <w:tr>
        <w:trPr>
          <w:trHeight w:val="232"/>
        </w:trPr>
        <w:tc>
          <w:tcPr>
            <w:tcW w:w="266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8"/>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Phillip Schwartz</w:t>
            </w:r>
          </w:p>
        </w:tc>
        <w:tc>
          <w:tcPr>
            <w:tcW w:w="2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300,797</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44,497</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120,289</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615,583</w:t>
            </w:r>
          </w:p>
        </w:tc>
      </w:tr>
      <w:tr>
        <w:trPr>
          <w:trHeight w:val="25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Gerald Lieberman</w:t>
            </w:r>
          </w:p>
        </w:tc>
        <w:tc>
          <w:tcPr>
            <w:tcW w:w="2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80"/>
              <w:spacing w:after="0"/>
              <w:rPr>
                <w:sz w:val="20"/>
                <w:szCs w:val="20"/>
                <w:color w:val="auto"/>
              </w:rPr>
            </w:pPr>
            <w:r>
              <w:rPr>
                <w:rFonts w:ascii="Times New Roman" w:cs="Times New Roman" w:eastAsia="Times New Roman" w:hAnsi="Times New Roman"/>
                <w:sz w:val="18"/>
                <w:szCs w:val="18"/>
                <w:color w:val="auto"/>
              </w:rPr>
              <w:t>17,940</w:t>
            </w:r>
          </w:p>
        </w:tc>
        <w:tc>
          <w:tcPr>
            <w:tcW w:w="80" w:type="dxa"/>
            <w:vAlign w:val="bottom"/>
          </w:tcPr>
          <w:p>
            <w:pPr>
              <w:spacing w:after="0"/>
              <w:rPr>
                <w:sz w:val="22"/>
                <w:szCs w:val="22"/>
                <w:color w:val="auto"/>
              </w:rPr>
            </w:pPr>
          </w:p>
        </w:tc>
        <w:tc>
          <w:tcPr>
            <w:tcW w:w="154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482,177</w:t>
            </w:r>
          </w:p>
        </w:tc>
        <w:tc>
          <w:tcPr>
            <w:tcW w:w="80" w:type="dxa"/>
            <w:vAlign w:val="bottom"/>
          </w:tcPr>
          <w:p>
            <w:pPr>
              <w:spacing w:after="0"/>
              <w:rPr>
                <w:sz w:val="22"/>
                <w:szCs w:val="22"/>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500,117</w:t>
            </w:r>
          </w:p>
        </w:tc>
      </w:tr>
      <w:tr>
        <w:trPr>
          <w:trHeight w:val="257"/>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Hillel Galitzer</w:t>
            </w:r>
          </w:p>
        </w:tc>
        <w:tc>
          <w:tcPr>
            <w:tcW w:w="2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197,993</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24,808</w:t>
            </w: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58,311</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341,112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-1097280</wp:posOffset>
            </wp:positionV>
            <wp:extent cx="514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-1097280</wp:posOffset>
            </wp:positionV>
            <wp:extent cx="514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-1097280</wp:posOffset>
            </wp:positionV>
            <wp:extent cx="514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-1097280</wp:posOffset>
            </wp:positionV>
            <wp:extent cx="514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-1097280</wp:posOffset>
            </wp:positionV>
            <wp:extent cx="514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-1097280</wp:posOffset>
            </wp:positionV>
            <wp:extent cx="514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7151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35" w:lineRule="exact"/>
        <w:rPr>
          <w:sz w:val="20"/>
          <w:szCs w:val="20"/>
          <w:color w:val="auto"/>
        </w:rPr>
      </w:pPr>
    </w:p>
    <w:p>
      <w:pPr>
        <w:ind w:left="360" w:right="440" w:hanging="352"/>
        <w:spacing w:after="0" w:line="302" w:lineRule="auto"/>
        <w:tabs>
          <w:tab w:leader="none" w:pos="3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base salary, social benefits and car allowances. The amounts shown in this column represent expenses recorded or to be recorded by the Company, calculated using the average monthly exchange rates of the relevant month in which the salary was recorded.</w:t>
      </w:r>
    </w:p>
    <w:p>
      <w:pPr>
        <w:spacing w:after="0" w:line="40" w:lineRule="exact"/>
        <w:rPr>
          <w:rFonts w:ascii="Times New Roman" w:cs="Times New Roman" w:eastAsia="Times New Roman" w:hAnsi="Times New Roman"/>
          <w:sz w:val="14"/>
          <w:szCs w:val="14"/>
          <w:color w:val="auto"/>
        </w:rPr>
      </w:pPr>
    </w:p>
    <w:p>
      <w:pPr>
        <w:ind w:left="360" w:right="580" w:hanging="352"/>
        <w:spacing w:after="0" w:line="302" w:lineRule="auto"/>
        <w:tabs>
          <w:tab w:leader="none" w:pos="3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this column represents expenses recorded or to be recorded with respect to all options granted to such officers, calculated using the actual exchange rate on the grant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March 17, 2013, our board of directors approved our Share Incentive Plan, or the Plan, for the granting of stock options, restricted share units, restricted share awards and performance-based awards, in order to provide incentives to our employees, directors, consultants and/or service providers. As of December 31, 2017 and without giving effect to the ordinary share split described in this prospectus, a total of 208 ordinary shares remained available for issuance under the Plan. As of that date and without giving effect to the ordinary share split described in this prospectus, 23,452 ordinary shares were issuable upon the exercise of outstanding awards under the Plan, at a weighted-average exercise price of $596.9 per share. Of the foregoing outstanding awards, options to purchase 12,006 ordinary shares, in the aggregate, had vested under the Plan as of that date, with a weighted-average exercise price of $416.00 per share (and without giving effect to the ordinary share split described in this prospectus).</w:t>
      </w:r>
    </w:p>
    <w:p>
      <w:pPr>
        <w:spacing w:after="0" w:line="81"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Awards granted under the Plan are subject to vesting schedules and generally vest over a four-year period commencing from the applicable grant date, such that 25% of the awards vest on the first anniversary of the applicable grant date and 75% of the awards vest in 12 equal installments upon the lapse of each three-month period following the first anniversary of the applicable grant date. Subject to the discretion of the Plan administrator, if an award has not been exercised within six years after the date of the grant, the award expires. Any period in which a grantee is not our employee or has taken a leave of absence will not be included in such vesting period.</w:t>
      </w:r>
    </w:p>
    <w:p>
      <w:pPr>
        <w:spacing w:after="0" w:line="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Plan provides for granting awards in compliance with Section 102 of the Israeli Income Tax Ordinance, 5721-1961, or the Ordinance, which provides to employees, directors and officers, who are not controlling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5" w:name="page136"/>
    <w:bookmarkEnd w:id="1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shareholders (as defined in the Ordinance) and are Israeli residents, favorable tax treatment for compensation in the form of shares or equity awards issued or granted, as applicable, to a trustee under the “capital gains track” for the benefit of the relevant employee, director or officer and are, or were, to be held by the trustee for at least two years after the date of grant or issuance. Under the capital gains track, any accounting expense with respect to the grant or issuance of such shares or awards which relates to gain taxed as capital gains is not allowed as a deduction for tax purposes.</w:t>
      </w:r>
    </w:p>
    <w:p>
      <w:pPr>
        <w:spacing w:after="0" w:line="72"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 Plan addresses the treatment of vested and unvested awards upon the cessation of employment or engagement of the award holder as well as upon consummation of a merger, consolidation or similar transaction, or sale of all or substantially all of our assets or sale of at least 80% of our outstanding securities. The Plan also provides for certain lock-up arrangements upon consummation of a public offering.</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Plan is administered by our board of directors or by a committee appointed by our board of directors. The remaining pool of reserved ordinary shares under our Share Incentive Plan will be cancelled, and the only reserved ordinary shares available for grants following the completion of this offering will be under the 2018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completion of this offering, we intend to establish a new equity incentive plan, or the 2018 Plan, with the purpose of advancing the interests of our shareholders by enhancing our ability to attract, retain and motivate individuals to perform at the highest level. The 2018 Plan will govern issuances of equity incentive awards from and after the closing of this offering. The maximum number of ordinary shares initially available for issuance under equity incentive awards granted pursuant to the 2018 Plan will not exceed 12% of the total outstanding ordinary shares. On January 1, 2019 and on January 1 of each calendar year thereafter, an additional number of shares equal to 5% of the total outstanding ordinary shares on such date (or any lower number of shares as determined by the board of directors) will become available for issuance under the 2018 Plan.</w:t>
      </w:r>
    </w:p>
    <w:p>
      <w:pPr>
        <w:spacing w:after="0" w:line="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Equity incentive awards may be granted to our employees, non-employee directors, consultants or other advisors, as well as holders of equity compensation awards granted by a company that may be acquired by us in the future. Awards under the 2018 Plan may be granted in the form of options, share appreciation rights, restricted shares, restricted share units, performance awards or other share-based awards. Options and share appreciation rights will have an exercise price determined by the administrator but that is no less than fair market value of the underlying ordinary shares on the date of grant.</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vesting conditions for grants under the 2018 Plan will be determined by the administrator and, in the case of restricted shares and restricted share units, will be set forth in the applicable award documentation.</w:t>
      </w:r>
    </w:p>
    <w:p>
      <w:pPr>
        <w:spacing w:after="0" w:line="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event of a participant’s termination of employment, the administrator may, in its discretion, determine the extent to which an equity incentive award may be exercised, settled, vested, paid or forfeited. In the event of a change in control (as defined in the 2018 Plan) of the Company, the compensation committee may, in its discretion, take a number of actions with respect to awards outstanding under the 2018 Plan, including the following: (i) continuing awards or converting such awards into an award or right with respect to shares of the successor or surviving corporation, (ii) immediately vesting and settling awards (or in the case of options and share appreciation rights, providing that such awards will become fully exercisable), (iii) cancelling unvested awards for no consideration, (iv) terminating or cancelling awards in exchange for a cash payment and (v) providing that awards may be assumed, exchanged, replaced or continued by the successor or surviving corporation with cash, securities, rights or other property. In the event of a structural change of the Company (i.e., a transaction in which the Company’s shares immediately prior to the transaction are converted into or exchanged for shares that represent at least a majority of the share capital of the surviving corporation, such as a re-domestication of the Company or a share flip), outstanding awards will be exchanged or converted into awards to acquire shares of the company (if it is the surviving corporation) or the successor company in accordance with the applicable exchange ratio.</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6" w:name="page137"/>
    <w:bookmarkEnd w:id="1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2018 Plan will be administered by the board of directors, provided that the board of directors may delegate its authority to the compensation committee to administer the 2018 Plan.</w:t>
      </w:r>
    </w:p>
    <w:p>
      <w:pPr>
        <w:spacing w:after="0" w:line="5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2018 Plan provides for granting awards in compliance with Section 102 of the Ordinance, which provides to employees, directors and officers of the Company, who are not controlling shareholders (as defined in the Ordinance) of the Company and are Israeli residents, potential favorable tax treatment for compensation in the form of shares or equity awards issued or granted, as applicable, to a trustee under the “capital gains track” for the benefit of the relevant employee, director or officer, subject to compliance with the terms and conditions of such tax track. Under the capital gains track, any accounting expense with respect to the grant or issuance of such shares or awards which relates to gain taxed as capital gains is not allowed as a deduction for tax purposes.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7" w:name="page138"/>
    <w:bookmarkEnd w:id="1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CERTAIN RELATIONSHIPS AND RELATED PARTY TRANSACTIONS</w:t>
      </w:r>
    </w:p>
    <w:p>
      <w:pPr>
        <w:spacing w:after="0" w:line="98" w:lineRule="exact"/>
        <w:rPr>
          <w:sz w:val="20"/>
          <w:szCs w:val="20"/>
          <w:color w:val="auto"/>
        </w:rPr>
      </w:pPr>
    </w:p>
    <w:p>
      <w:pPr>
        <w:jc w:val="both"/>
        <w:ind w:right="80"/>
        <w:spacing w:after="0" w:line="313" w:lineRule="auto"/>
        <w:rPr>
          <w:sz w:val="20"/>
          <w:szCs w:val="20"/>
          <w:color w:val="auto"/>
        </w:rPr>
      </w:pPr>
      <w:r>
        <w:rPr>
          <w:rFonts w:ascii="Times New Roman" w:cs="Times New Roman" w:eastAsia="Times New Roman" w:hAnsi="Times New Roman"/>
          <w:sz w:val="17"/>
          <w:szCs w:val="17"/>
          <w:color w:val="auto"/>
        </w:rPr>
        <w:t>The following is a description of related party transactions we have entered into since March 1, 2012 with any of our directors, executive officers and holders of more than 5% of our ordinary shares. Ordinary share amounts referenced in this section do not reflect the ordinary share split described in this prospectus.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Debt Financing</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2012 Convertible Loans</w:t>
      </w:r>
    </w:p>
    <w:p>
      <w:pPr>
        <w:spacing w:after="0" w:line="1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November 8, 2012 and December 31, 2012, we entered into the 2012 Convertible Loans, with D.N.A Biomedical, and the lenders thereto, including the Revach Fund L.P., or Revach, an entity controlled by our director Chaim Davis, and Europa International Inc., who later transferred its shares to Gakasa Holdings LLC, or Gakasa. The lenders loaned us an aggregate amount of $1.2 million, of which Revach loaned us $100,000, and Gakasa loaned us $550,000. Pursuant to the 2012 Convertible Loans, each of the loans bears interest at a rate of 0.6% per year, payable in five-year intervals, and matures after a term of 20 years, subject to the conversion rights noted below. Each of the lenders has the right during the term to convert all of its respective loan amount into our ordinary shares at a conversion price of $240.26 per ordinary share (subject to adjustment as detailed in the agreements governing the 2012 Convertible Loans), the Company Conversion Right, and for a period of the initial five years of the term of the applicable 2012 Convertible Loans to exchange all such ordinary shares received pursuant to the Company Conversion Right into ordinary shares of D.N.A Biomedical at the rate of one of our ordinary shares for 5,590 ordinary shares of D.N.A Biomedical (also subject to adjustment as detailed in the 2012 Convertible Loans). In addition, under the terms of the 2012 Convertible Loans, the outstanding loan amounts will be automatically converted into our ordinary shares upon the occurrence of certain events, including in connection with the closing of this offering. In addition, pursuant to the terms of the 2012 Convertible Loans the lenders were granted piggyback registration rights, which were subsequently set forth in our investors’ rights agreement as described below in “Shares Eligible for Future Sale — Registration Rights.”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2015 Convertible Loan</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August 5, 2015, the Company entered into the 2015 Convertible Loan with certain lenders. Pursuant to the loan agreement for the 2015 Convertible Loan, the lenders loaned us an aggregate amount of $2.005 million. The 2015 Convertible Loan bore interest at a rate of 5% per year. The loan would also be automatically converted upon occurrence of a 2015 Triggering Event into the equity securities and/or securities convertible into equity securities of the Company that were issued in such a transaction, at a 25% discount.</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the Company issued to each lender under the 2015 Convertible Loan the 2015 Warrants to purchase, at an exercise price of 125% of the applicable price per share, an additional 40% of the amount of our securities that would have been issued to such lender as a result of the automatic conversion following a 2015 Triggering Event. The 2015 Warrants were exercisable during the earlier of two years from the warrant issuance date or one year from consummation of an initial public offering. As part of the 2016 Convertible Loan, we granted the lenders a right to roll-over the 2015 Convertible Loan into the 2016 Convertible Loan. The lenders elected to roll-over an amount of $1.057 million into the 2016 Convertible Loan and the reminder, in an amount of $1.053 million (including interest and principal), was repaid by the Company in February 2017. There remain no amounts outstanding under the 2015 Convertible Loans, and no 2015 Warrants remain outstanding, and as a result, the 2015 Convertible Loan agreement is no longer in force.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of our directors, Gerald Lieberman, participated in the 2015 Convertible Loan in an amount of $50,000, which rolled-over to the 2016 Convertible Loan.</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2016 Convertible Loan</w:t>
      </w:r>
    </w:p>
    <w:p>
      <w:pPr>
        <w:spacing w:after="0" w:line="10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On June 14, 2016, the Company entered into the 2016 Convertible Loan with certain lenders for an aggregate amount of approximately $7.44 million. In addition, an amount of $1.057 million of the 2015 Convertible Loan rolled over to the 2016 Convertible Loan. The 2016 Convertible Loan provided for a term</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8" w:name="page139"/>
    <w:bookmarkEnd w:id="1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of 18 months and bore interest at a rate of 5% per year. The 2016 Convertible Loan also granted each lender the right to invest, in the next share issuance by the Company, an amount not to exceed the amount such lender invested in the 2016 Convertible Loan, at a price per share of the shares issued in such issuance.</w:t>
      </w:r>
    </w:p>
    <w:p>
      <w:pPr>
        <w:spacing w:after="0" w:line="5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2016 Convertible Loan was to be automatically converted upon the occurrence of a 2016 Triggering Event. Following the completion of the Series B preferred shares purchase agreement, which constituted a 2016 Triggering Event, the loan amount, together with all accrued interest was converted into Series B-1 preferred shares, under the terms and conditions of the 2016 Convertible Loan. As a result, the 2016 Convertible Loan agreement is no longer in force. In addition, the Series B preferred shares purchase agreement set the price and the amounts for which the holders of the 2016 Warrants are entitled to exercise their 2016 Warrants. In addition, the Company issued to each lender under the 2016 Convertible Loan warrants to purchase an additional 40% of the amount of our securities issued to such lender as a result of the automatic conversion following a 2016 Triggering Event.</w:t>
      </w:r>
    </w:p>
    <w:p>
      <w:pPr>
        <w:spacing w:after="0" w:line="6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Our directors, Luke Beshar, Roger Garceau and Gerald Lieberman, each participated, in amounts of $50,000, $25,000 and $50,000, respectively, in our 2016 Convertible Loan. In addition, Corundum Open Innovation Fund, L.P., or Corundum, of which David Ben Ami, a member of our board of directors, is the managing partner, invested an amount of $1 million in our 2016 Convertible Loan. Following the conversion of the 2016 Convertible Loans, Luke Beshar, Roger Garceau and Gerald Lieberman were issued 77, 38 and 156 Series B-1 preferred shares, respectively, and their 2016 Warrants relate to 31, 15 and</w:t>
      </w:r>
    </w:p>
    <w:p>
      <w:pPr>
        <w:spacing w:after="0" w:line="3"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62 Series B preferred shares, respectively. In addition, following the conversion of the 2016 Convertible Loans, Corundum was issued 1,563 Series B-1 preferred shares and its 2016 Warrants relate to 625 Series B preferred shares.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 Purchases</w:t>
      </w:r>
    </w:p>
    <w:p>
      <w:pPr>
        <w:spacing w:after="0" w:line="8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November 2012, we issued to D.N.A Biomedical 2,078 ordinary shares in consideration of $500,000, of which $445,000 represented the cancellation of debt we owed to D.N.A Biomedical. The remaining $55,000 was paid to us in cash.</w:t>
      </w:r>
    </w:p>
    <w:p>
      <w:pPr>
        <w:spacing w:after="0" w:line="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September 30, 2013, we entered into share purchase agreements, or the ordinary share purchase agreements, with our director Chaim Davis, Revach and Europa International Inc., who later transferred its shares to Gakasa. Pursuant to the ordinary share purchase agreements, Mr. Davis, Revach and Gakasa purchased 91, 365, and 1,369 of our ordinary shares, respectively, for aggregate purchase prices of $25,000, $100,000 and $375,000,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 Purchases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Series A Private Placement</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29, 2014, we entered into a Series A preferred share purchase agreement with the Centillion Fund, or Centillion, or the Centillion preferred share purchase agreement, pursuant to which Centillion purchased 4,172 of our Series A preferred shares, for a purchase price of $2.0 million or $479.38 per share, or the per share purchase price, and we issued to Centillion a warrant to purchase up to 1,043 of our applicable shares (as discussed below in “Description of Share Capital — Warrants”) at the per share purchase price. Pursuant to the terms of the Centillion preferred share purchase agreement, upon our filing of a registration statement for an initial public offering with the SEC on or prior to June 29, 2014, or the first milestone, Centillion was required to purchase from us an additional 4,172 Series A preferred shares at the per share purchase price (for additional proceeds to us of $2.0 million), and we were required to issue to Centillion a warrant to purchase an additional 1,043 applicable shares at the per share purchase price. In addition, pursuant to the Centillion preferred share purchase agreement, as amended, upon the closing of an offering of our ordinary shares on or prior to July 20, 2019, pursuant to which our ordinary shares are listed on NASDAQ, or the second milestone, Centillion was given the option to purchase from us, at its sole discretion, an additional 2,086 Series A preferred shares at the per share purchase price (for additional proceeds to us of $1.0 million), and we were required to issue to Centillion a warrant to purchase an additional 522 Series A preferred shares at the per share purchase price. Centillion also had the right to purchase the Series A preferred shares and warrant to be issued upon either of the milestones prior to the applicable milestone date. Pursuant to the Centillion preferred share purchase agreement, Centillion’s obligations at milestone closings are subject to certain conditions, including that a clinical trial not have been terminated on account of safety concerns.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9" w:name="page140"/>
    <w:bookmarkEnd w:id="1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June 18, 2014, Centillion and we entered into the first amendment to the Centillion preferred share purchase agreement, pursuant to which the date for the first milestone was extended from June 29, 2014 to November 1, 2014, and the date for the second milestone was extended from December 29, 2014 to May 1, 2015.</w:t>
      </w:r>
    </w:p>
    <w:p>
      <w:pPr>
        <w:spacing w:after="0" w:line="5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January 21, 2015, Centillion and we entered into the second amendment to the Centillion preferred share purchase agreement, or the second amendment. Pursuant to the terms of second amendment, Centillion exercised its right to purchase the Series A preferred shares and warrant to be issued upon the first milestone and paid us $2.0 million, although as of such date this milestone had not been achieved. The second milestone was also extended to October 1, 2015, with an option for Centillion to extend it for an additional two years, until October 1, 2017. Such option right was exercised by Centillion. In consideration therefor, we issued to Centillion an additional warrant, or the additional Centillion warrant, as described below in “Description of Share Capital</w:t>
      </w:r>
    </w:p>
    <w:p>
      <w:pPr>
        <w:spacing w:after="0" w:line="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 Additional Warrants.” On July 20, 2017, the Centillion Series A preferred share purchase agreement was amended such that (i) the second milestone was extended to July 20, 2019, (ii) the second milestone was deemed to include any transaction pursuant to which our shares will be listed for trading on NASDAQ, and (iii) the investment following the occurrence of the second milestone is optional to the holders of Series A preferred shares.</w:t>
      </w:r>
    </w:p>
    <w:p>
      <w:pPr>
        <w:spacing w:after="0" w:line="6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the course of 2014 and January 2015, we entered into additional preferred share purchase agreements with other purchasers of our Series A preferred shares. The additional preferred share purchase agreements also provide for the issuance of Series A preferred shares and warrants upon the achievement of those milestones set forth in the Centillion preferred share purchase agreement on terms substantially identical to those contained in the Centillion preferred share purchase agreement. In March 2015, we entered into the first amendment to each of the additional preferred share purchase agreements, which contained terms substantially identical to those contained in the second amendment to the Centillion preferred share purchase agreement. We also issued to these additional Series A preferred shareholders warrants upon terms substantially identical to those contained in the additional Centillion warrant, or together with the additional Centillion warrant, the additional warrants. In July 2017, the additional Series A preferred share purchase agreements were amended to terms identical to those contained in the amendment to the Centillion Series A preferred share purchase agreement dated July 20, 2017, and the additional warrants terms were amended to the same terms as the additional warrants of Centillion.</w:t>
      </w:r>
    </w:p>
    <w:p>
      <w:pPr>
        <w:spacing w:after="0" w:line="5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If any Series A investors exercise their option to purchase Series A preferred shares pursuant to the second milestone in connection with this offering, such shares shall be converted into ordinary shares automatically and without any further action on the part of such investors, and any warrants provided in connection therewith shall be exercisable into ordinary shares.</w:t>
      </w:r>
    </w:p>
    <w:p>
      <w:pPr>
        <w:spacing w:after="0" w:line="5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Under the terms of the applicable agreements and pursuant to the IPO Transactions, the Series A preferred shares will be automatically converted into our ordinary shares, and the warrants to purchase Series A preferred shares will be automatically converted into warrants to purchase ordinary shares, upon the closing of this offering.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Private Placement</w:t>
      </w:r>
    </w:p>
    <w:p>
      <w:pPr>
        <w:spacing w:after="0" w:line="6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From October to December 2017, we entered into the Series B Private Placement, with certain investors, including D.N.A Biomedical and Centillion for the sale of shares of our Series B preferred shares, at a price per share of $908.78, for an aggregate purchase price of $13.0 million. In connection with the Series B Private Placement, the Company issued and sold to the Investors 14,283 Series B preferred shares.</w:t>
      </w:r>
    </w:p>
    <w:p>
      <w:pPr>
        <w:spacing w:after="0" w:line="5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Series B Private Placement constituted a 2016 Triggering Event, as defined in the 2016 Convertible Loan agreement (as discussed further under “Management’s Discussion and Analysis — Contractual Obligations and Commitments — 2016 Convertible Loan”). As a result of the Series B Private Placement, the entire loan amount due to holders under the 2016 Convertible Loan agreement, together with all accrued interest, was converted to 13,229 Series B-1 preferred shares at a price per share of $681.585. The rights of the Series B-1 preferred shares are identical in all respects (other than the price per share) to the Series B preferred shares.</w:t>
      </w:r>
    </w:p>
    <w:p>
      <w:pPr>
        <w:spacing w:after="0" w:line="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terms of the applicable agreements and pursuant to the IPO Transactions, the Series B and B-1 preferred shares will be automatically converted into our ordinary shares, and the warrants to purchase Series B preferred shares will be automatically converted into warrants to purchase ordinary shares, upon the closing of this offering.</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0" w:name="page141"/>
    <w:bookmarkEnd w:id="1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addition, as a result of the Series B Private Placement, the 2016 Warrants (as discussed in “Description of Share Capital — 2016 Warrants”) that the Company previously issued in connection with the 2016 Convertible Loan became warrants to purchase our Series B preferred shares at an exercise price of $908.78.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Gerald Lieberman, a member of our board of directors, participated in the Series B Private Placement and purchased 110 Series B preferred shares in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totaling $100,000. Revach, an entity controlled by our director Chaim Davis, participated in the Series B Private Placement and purchased 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preferred shares in an amount totaling $12,726. Dr. Phillip Schwartz, our Chief Executive Officer, participated in the Series B Private Placement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purchased 6 Series B preferred shares in an amount of $5,542.</w:t>
      </w:r>
    </w:p>
    <w:p>
      <w:pPr>
        <w:spacing w:after="0" w:line="9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November 10, 2017, the Company’s board of directors approved D.N.A Biomedical’s request to reimburse D.N.A Biomedical for expenses incurred in relation to the Series B private placement in an amount of $300,000. The reimbursement is subject to the approval of the Company’s shareholders and to the receipt of documentation supporting the amounts.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Agreements</w:t>
      </w:r>
    </w:p>
    <w:p>
      <w:pPr>
        <w:spacing w:after="0" w:line="108"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In April 2017, the Company entered into a Service Agreement with our director Luke Beshar, effective as of December 2016, pursuant to which Mr. Beshar will be entitled to a monthly fee in the amount of $21,500 per month, and to reimbursements for certain expenses. In addition, the Company’s Board and shareholders approved the Service Agreement, pursuant to which Mr. Beshar is entitled to options to purchase ordinary shares of the Company representing</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6.5% of the Company’s fully-diluted share capital immediately following a 2016 Triggering Event; provided that if the amount raised in such 2016 Triggering Event exceeds $10 million, then the fully-diluted share capital shall be calculated as if the amount raised in such 2016 Triggering Event was $10 million. Following the Series B Private Placement (which constituted a 2016 Triggering Event), the Company determined that the amount of ordinary shares to be granted to Mr. Beshar upon the exercise of his options will be 6,970 ordinary shares, with an exercise price of $820 per share. Such options vest monthly over a three year period, beginning December 1, 2016, and are subject to certain acceleration provisions detailed within the Service Agreement, including the occurrence of a change of control of the Company, resignation of Mr. Beshar for Good Reason and termination without Cause (as such terms are defined in the Service Agreement).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2017, effective as of December 2016, the Company entered into a Service Agreement with our director Roger Garceau, pursuant to which</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Mr. Garceau will be entitled to a monthly fee in the amount of $6,500 per month, and to reimbursements for certain expenses. In addition, the Company’s Board and shareholders approved the Service Agreement, pursuant to which Mr. Garceau is entitled to options to purchase ordinary shares of the Company representing 1.5% of the Company’s fully-diluted share capital immediately following a 2016 Triggering Event; provided that if the amount raised in such 2016 Triggering Event exceeds $10 million, then the fully-diluted share capital shall be calculated as if the amount raised in such 2016 Triggering Event was $10 million. Following the Series B Private Placement (which constituted a 2016 Triggering Event), the Company determined that the amount of ordinary shares to be granted to Mr. Garceau upon the exercise of his options will be 1,608 ordinary shares, with an exercise price of $820 per share. Such options vest monthly over a three year period, beginning December 1, 2016, and are subject to certain acceleration provisions detailed within the Service Agreement, including the occurrence of a change of control of the Company, resignation of Mr. Garceau for Good Reason and termination without Cause (as such terms are defined in the Service Agreement).</w:t>
      </w:r>
    </w:p>
    <w:p>
      <w:pPr>
        <w:spacing w:after="0" w:line="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an arrangement between us and Chaim Davis, a member of our board of directors, Mr. Davis provides us with certain services related to corporate business development in consideration for a one-time payment of $25,000 paid in April 2017 and $6,500 per month. In addition, in November 2017, our board of directors and shareholders approved a bonus of $35,000, which was paid to Mr. Davis in December 2017.</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1" w:name="page142"/>
    <w:bookmarkEnd w:id="1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certain of our shareholders and certain lenders under our 2012 Convertible Loan have entered into an amended and restated investors’ rights agreement dated as of October 4, 2017, or the Investors’ Rights Agreement, pursuant to which we have committed to use our reasonable best efforts to include in a registration statement a prospectus relating to the resale of certain securities held by certain of our shareholders, or to file concurrently with the application of this registration statement a separate registration statement with respect to the resale under the Securities Act of such securities held by such shareholders. See “Shares Eligible for Future Sale — Registration Rights” for a further description of these arrangements.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Designation Rights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terms of the Investors’ Rights Agreement among us, Centillion and other parties thereto, following the consummation of this offering, for as long as Centillion and its affiliates hold an aggregate of at least 10% of our issued and outstanding ordinary shares, we will nominate, if so requested by Centillion and as permitted by applicable law, a designee of Centillion for election by our shareholders as a member of our board of directors and will recommend that our shareholders vote in favor of such election. David Ben Ami, a member of our board of directors, was nominated by Centillion pursuant to its director designation right. Following the consummation of this offering, Centillion will hold approximately 6.5% of our issued and outstanding ordinary shares, and in the event that Centillion exercises in full all of the warrants to purchase our ordinary shares that we will have issued to it as of such date, Centillion will hold approximately 12% of our issued and outstanding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Centillion Special Pre-emptive Rights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terms of our current Articles, if we issue any equity interests to new investors that are not already our shareholders and subject to certain other conditions, Centillion is entitled to purchase, at any time until the second milestone date, which is defined to include this offering, 18.18% of the number of equity interests issued in such financings, at the same price per equity interest paid by the new shareholders (“Centillion special pre-emptive rights”). The Centillion Special Pre-emptive Right are not exercisable in connection with this offering.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 and Directors’ and Officers’ Liability Insurance</w:t>
      </w:r>
    </w:p>
    <w:p>
      <w:pPr>
        <w:spacing w:after="0" w:line="10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executive officers and directors. We also maintain an insurance policy that covers liabilities of our directors and officers arising out of claims based on acts or omissions in their capacities as directors or officers.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Executive Officers</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our executive officers, which provide for, among other things, position, duties and compensation and benefits payable during the terms of employment and include certain restrictive covenants. See “Management — Employment Agreements with Executive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See “Management — Fiduciary Duties and Approval of Related Party Transactions” for a discussion of procedures governing the approval of related party transactions.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Dr. Miriam Blum, our Chief Medical Officer, is the wife of our Chief Executive Officer and Director, Dr. Phillip Schwartz. Other than such relationship, there are no family relationships between any of the executive officers or directors named above.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2" w:name="page143"/>
    <w:bookmarkEnd w:id="1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PRINCIPAL SHAREHOLDERS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ordinary shares as of December 31, 2017, by:</w:t>
      </w:r>
    </w:p>
    <w:p>
      <w:pPr>
        <w:spacing w:after="0" w:line="185" w:lineRule="exact"/>
        <w:rPr>
          <w:sz w:val="20"/>
          <w:szCs w:val="20"/>
          <w:color w:val="auto"/>
        </w:rPr>
      </w:pPr>
    </w:p>
    <w:p>
      <w:pPr>
        <w:ind w:left="360" w:hanging="172"/>
        <w:spacing w:after="0"/>
        <w:tabs>
          <w:tab w:leader="none" w:pos="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own beneficially 5% or more of our ordinary shares;</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all of our directors and executive officers as a group.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 of shares beneficially owned prior to the offering is based on 6,897,252 ordinary shares outstanding as of December 31, 2017, including:</w:t>
      </w:r>
    </w:p>
    <w:p>
      <w:pPr>
        <w:spacing w:after="0" w:line="198" w:lineRule="exact"/>
        <w:rPr>
          <w:sz w:val="20"/>
          <w:szCs w:val="20"/>
          <w:color w:val="auto"/>
        </w:rPr>
      </w:pPr>
    </w:p>
    <w:p>
      <w:pPr>
        <w:ind w:left="360" w:right="400" w:hanging="172"/>
        <w:spacing w:after="0" w:line="282" w:lineRule="auto"/>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3,377,213 ordinary shares to be issued upon the conversion of all outstanding preferred shares into ordinary shares upon the closing of this offering (including Series A preferred shares to be issued to certain holders of our Series A preferred shares upon the closing of this offering);</w:t>
      </w:r>
    </w:p>
    <w:p>
      <w:pPr>
        <w:spacing w:after="0" w:line="12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428,348 ordinary shares to be issued upon the conversion into ordinary shares of our outstanding convertible loans.</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percentage of beneficial ownership of our ordinary shares after the offering is based on 11,897,252 ordinary shares outstanding after the offering (which includes the ordinary shares specified above) plus the ordinary shares to be sold by us in the offering, but not including any additional shares issuable upon exercise by Centillion of the Centillion special pre-emptive rights, which rights are not exercisable in connection with this offering. The figures in the table below give effect to our 1 for 89.5 split of ordinary shares that will be effected immediately following the pricing of this offering.</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of our shareholders, including the shareholders listed below, have the same voting rights attached to their ordinary shares. Upon the consummation of this offering, outstanding preferred shares shall be converted into ordinary shares on a one-to-one basis automatically and without any further action on the part of such investors, and any warrants that will be outstanding following the closing of this offering shall be exercisable into ordinary shares. See “Description of Share Capital — Articles of Association — Voting.” Neither our principal shareholders nor our directors and executive officers have different or special voting rights.</w:t>
      </w:r>
    </w:p>
    <w:p>
      <w:pPr>
        <w:spacing w:after="0" w:line="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for each listed director and executive officer is c/o Entera Bio Ltd., Kiryat Hadassah, Minrav Building — Fifth Floor, Jerusalem 9112002, Israel. To our knowledge, except as indicated in the footnotes to this table and pursuant to applicable community property laws, the persons named in the table have sole voting and investment power with respect to all ordinary shares.</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43" w:name="page144"/>
    <w:bookmarkEnd w:id="1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 After the</w:t>
            </w: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w:t>
            </w:r>
          </w:p>
        </w:tc>
      </w:tr>
      <w:tr>
        <w:trPr>
          <w:trHeight w:val="162"/>
        </w:trPr>
        <w:tc>
          <w:tcPr>
            <w:tcW w:w="2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Offering (Assuming No</w:t>
            </w: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Owned After the Offering</w:t>
            </w:r>
          </w:p>
        </w:tc>
      </w:tr>
      <w:tr>
        <w:trPr>
          <w:trHeight w:val="162"/>
        </w:trPr>
        <w:tc>
          <w:tcPr>
            <w:tcW w:w="2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23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of the</w:t>
            </w: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(Assuming Full Exercise</w:t>
            </w:r>
          </w:p>
        </w:tc>
      </w:tr>
      <w:tr>
        <w:trPr>
          <w:trHeight w:val="162"/>
        </w:trPr>
        <w:tc>
          <w:tcPr>
            <w:tcW w:w="2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 Prior to the</w:t>
            </w:r>
          </w:p>
        </w:tc>
        <w:tc>
          <w:tcPr>
            <w:tcW w:w="2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Over-Allotment</w:t>
            </w:r>
          </w:p>
        </w:tc>
      </w:tr>
      <w:tr>
        <w:trPr>
          <w:trHeight w:val="190"/>
        </w:trPr>
        <w:tc>
          <w:tcPr>
            <w:tcW w:w="2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Offering(1)</w:t>
            </w:r>
          </w:p>
        </w:tc>
        <w:tc>
          <w:tcPr>
            <w:tcW w:w="23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Option)(1)</w:t>
            </w: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Option)(1)</w:t>
            </w:r>
          </w:p>
        </w:tc>
      </w:tr>
      <w:tr>
        <w:trPr>
          <w:trHeight w:val="24"/>
        </w:trPr>
        <w:tc>
          <w:tcPr>
            <w:tcW w:w="27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0"/>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4"/>
        </w:trPr>
        <w:tc>
          <w:tcPr>
            <w:tcW w:w="2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D.N.A Biomedical Solutions Ltd(2)</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2,803,498</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2,803,498</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2,803,498</w:t>
            </w:r>
          </w:p>
        </w:tc>
        <w:tc>
          <w:tcPr>
            <w:tcW w:w="80" w:type="dxa"/>
            <w:vAlign w:val="bottom"/>
          </w:tcPr>
          <w:p>
            <w:pPr>
              <w:spacing w:after="0"/>
              <w:rPr>
                <w:sz w:val="22"/>
                <w:szCs w:val="22"/>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22.2%</w:t>
            </w:r>
          </w:p>
        </w:tc>
      </w:tr>
      <w:tr>
        <w:trPr>
          <w:trHeight w:val="257"/>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Centillion Fund(3)</w:t>
            </w: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1,509,151</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1,509,151</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1,509,151</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11.3%</w:t>
            </w:r>
          </w:p>
        </w:tc>
      </w:tr>
      <w:tr>
        <w:trPr>
          <w:trHeight w:val="225"/>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Pontifax (Israel), Pontifax (Cayman) IV L.P. and Pontiax</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1"/>
        </w:trPr>
        <w:tc>
          <w:tcPr>
            <w:tcW w:w="4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 IV Fund L.P. (collectively, “Pontifax”)(4)</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587,569</w:t>
            </w:r>
          </w:p>
        </w:tc>
        <w:tc>
          <w:tcPr>
            <w:tcW w:w="80" w:type="dxa"/>
            <w:vAlign w:val="bottom"/>
          </w:tcPr>
          <w:p>
            <w:pPr>
              <w:spacing w:after="0"/>
              <w:rPr>
                <w:sz w:val="20"/>
                <w:szCs w:val="20"/>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0"/>
                <w:szCs w:val="20"/>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587,569</w:t>
            </w:r>
          </w:p>
        </w:tc>
        <w:tc>
          <w:tcPr>
            <w:tcW w:w="80" w:type="dxa"/>
            <w:vAlign w:val="bottom"/>
          </w:tcPr>
          <w:p>
            <w:pPr>
              <w:spacing w:after="0"/>
              <w:rPr>
                <w:sz w:val="20"/>
                <w:szCs w:val="20"/>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0"/>
                <w:szCs w:val="20"/>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587,569</w:t>
            </w:r>
          </w:p>
        </w:tc>
        <w:tc>
          <w:tcPr>
            <w:tcW w:w="80" w:type="dxa"/>
            <w:vAlign w:val="bottom"/>
          </w:tcPr>
          <w:p>
            <w:pPr>
              <w:spacing w:after="0"/>
              <w:rPr>
                <w:sz w:val="20"/>
                <w:szCs w:val="20"/>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4.6%</w:t>
            </w:r>
          </w:p>
        </w:tc>
      </w:tr>
      <w:tr>
        <w:trPr>
          <w:trHeight w:val="263"/>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Point Ltd.(5)</w:t>
            </w: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813,913</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813,913</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813,913</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6.4%</w:t>
            </w: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Menachem Raphael(6)</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416,177</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416,177</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416,177</w:t>
            </w:r>
          </w:p>
        </w:tc>
        <w:tc>
          <w:tcPr>
            <w:tcW w:w="80" w:type="dxa"/>
            <w:vAlign w:val="bottom"/>
          </w:tcPr>
          <w:p>
            <w:pPr>
              <w:spacing w:after="0"/>
              <w:rPr>
                <w:sz w:val="22"/>
                <w:szCs w:val="22"/>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3.3%</w:t>
            </w:r>
          </w:p>
        </w:tc>
      </w:tr>
      <w:tr>
        <w:trPr>
          <w:trHeight w:val="365"/>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Zeev Bronfeld(7)</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2,803,498</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2,803,498</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2,803,498</w:t>
            </w:r>
          </w:p>
        </w:tc>
        <w:tc>
          <w:tcPr>
            <w:tcW w:w="80" w:type="dxa"/>
            <w:vAlign w:val="bottom"/>
          </w:tcPr>
          <w:p>
            <w:pPr>
              <w:spacing w:after="0"/>
              <w:rPr>
                <w:sz w:val="22"/>
                <w:szCs w:val="22"/>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22.2%</w:t>
            </w:r>
          </w:p>
        </w:tc>
      </w:tr>
      <w:tr>
        <w:trPr>
          <w:trHeight w:val="257"/>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Yonatan Malca(8)</w:t>
            </w: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2,803,498</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2,803,498</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2,803,498</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22.2%</w:t>
            </w: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 Phillip Schwartz(9)</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414,284</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414,284</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414,284</w:t>
            </w:r>
          </w:p>
        </w:tc>
        <w:tc>
          <w:tcPr>
            <w:tcW w:w="80" w:type="dxa"/>
            <w:vAlign w:val="bottom"/>
          </w:tcPr>
          <w:p>
            <w:pPr>
              <w:spacing w:after="0"/>
              <w:rPr>
                <w:sz w:val="22"/>
                <w:szCs w:val="22"/>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3.2%</w:t>
            </w:r>
          </w:p>
        </w:tc>
      </w:tr>
      <w:tr>
        <w:trPr>
          <w:trHeight w:val="257"/>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Miriam Blum(10)</w:t>
            </w: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414,284</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414,284</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414,284</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3.2%</w:t>
            </w: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Luke M. Beshar(11)</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337,237</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337,237</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337,237</w:t>
            </w:r>
          </w:p>
        </w:tc>
        <w:tc>
          <w:tcPr>
            <w:tcW w:w="80" w:type="dxa"/>
            <w:vAlign w:val="bottom"/>
          </w:tcPr>
          <w:p>
            <w:pPr>
              <w:spacing w:after="0"/>
              <w:rPr>
                <w:sz w:val="22"/>
                <w:szCs w:val="22"/>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2.6%</w:t>
            </w:r>
          </w:p>
        </w:tc>
      </w:tr>
      <w:tr>
        <w:trPr>
          <w:trHeight w:val="257"/>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Ben Ami(12)</w:t>
            </w: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216,233</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216,233</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216,233</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Gerald Lieberman(13)</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103,194</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103,194</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103,194</w:t>
            </w:r>
          </w:p>
        </w:tc>
        <w:tc>
          <w:tcPr>
            <w:tcW w:w="80" w:type="dxa"/>
            <w:vAlign w:val="bottom"/>
          </w:tcPr>
          <w:p>
            <w:pPr>
              <w:spacing w:after="0"/>
              <w:rPr>
                <w:sz w:val="22"/>
                <w:szCs w:val="22"/>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0.8%</w:t>
            </w:r>
          </w:p>
        </w:tc>
      </w:tr>
      <w:tr>
        <w:trPr>
          <w:trHeight w:val="257"/>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Chaim Davis(14)</w:t>
            </w: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95,856</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95,856</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95,856</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0.8%</w:t>
            </w: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 Roger J. Garceau(15)</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132,371</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132,371</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132,371</w:t>
            </w:r>
          </w:p>
        </w:tc>
        <w:tc>
          <w:tcPr>
            <w:tcW w:w="80" w:type="dxa"/>
            <w:vAlign w:val="bottom"/>
          </w:tcPr>
          <w:p>
            <w:pPr>
              <w:spacing w:after="0"/>
              <w:rPr>
                <w:sz w:val="22"/>
                <w:szCs w:val="22"/>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w:t>
            </w:r>
          </w:p>
        </w:tc>
      </w:tr>
      <w:tr>
        <w:trPr>
          <w:trHeight w:val="257"/>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Mira Rosenzweig(16)</w:t>
            </w: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 Hillel Galitzer(17)</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1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(11</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1"/>
        </w:trPr>
        <w:tc>
          <w:tcPr>
            <w:tcW w:w="42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persons)(18)</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4,164,741</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4,164,741</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4,164,741</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30.3%</w:t>
            </w:r>
          </w:p>
        </w:tc>
      </w:tr>
      <w:tr>
        <w:trPr>
          <w:trHeight w:val="257"/>
        </w:trPr>
        <w:tc>
          <w:tcPr>
            <w:tcW w:w="2700" w:type="dxa"/>
            <w:vAlign w:val="bottom"/>
            <w:tcBorders>
              <w:bottom w:val="single" w:sz="8" w:color="auto"/>
            </w:tcBorders>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6496685</wp:posOffset>
            </wp:positionH>
            <wp:positionV relativeFrom="paragraph">
              <wp:posOffset>-3627120</wp:posOffset>
            </wp:positionV>
            <wp:extent cx="514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-3627120</wp:posOffset>
            </wp:positionV>
            <wp:extent cx="514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-3627120</wp:posOffset>
            </wp:positionV>
            <wp:extent cx="51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-3627120</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-3627120</wp:posOffset>
            </wp:positionV>
            <wp:extent cx="51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-3627120</wp:posOffset>
            </wp:positionV>
            <wp:extent cx="51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0" w:lineRule="exact"/>
        <w:rPr>
          <w:sz w:val="20"/>
          <w:szCs w:val="20"/>
          <w:color w:val="auto"/>
        </w:rPr>
      </w:pPr>
    </w:p>
    <w:p>
      <w:pPr>
        <w:ind w:left="360" w:hanging="352"/>
        <w:spacing w:after="0"/>
        <w:tabs>
          <w:tab w:leader="none" w:pos="3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63" w:lineRule="exact"/>
        <w:rPr>
          <w:sz w:val="20"/>
          <w:szCs w:val="20"/>
          <w:color w:val="auto"/>
        </w:rPr>
      </w:pPr>
    </w:p>
    <w:p>
      <w:pPr>
        <w:ind w:left="360" w:right="400" w:hanging="352"/>
        <w:spacing w:after="0" w:line="275" w:lineRule="auto"/>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ownership of ordinary shares is determined in accordance with the rules of the SEC and generally includes any ordinary shares over which a person exercises sole or shared voting or investment power. For purposes of the table above, we deem shares subject to options or warrants that are currently exercisable or exercisable within 60 days of December 31, 2017, to be outstanding and to be beneficially owned by the person holding the options or warrants for the purposes of computing the percentage ownership of that person but we do not treat them as outstanding for the purpose of computing the percentage ownership of any other person.</w:t>
      </w:r>
    </w:p>
    <w:p>
      <w:pPr>
        <w:spacing w:after="0" w:line="126" w:lineRule="exact"/>
        <w:rPr>
          <w:rFonts w:ascii="Times New Roman" w:cs="Times New Roman" w:eastAsia="Times New Roman" w:hAnsi="Times New Roman"/>
          <w:sz w:val="14"/>
          <w:szCs w:val="14"/>
          <w:color w:val="auto"/>
        </w:rPr>
      </w:pPr>
    </w:p>
    <w:p>
      <w:pPr>
        <w:ind w:left="360" w:right="360" w:hanging="352"/>
        <w:spacing w:after="0" w:line="282" w:lineRule="auto"/>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2,790,431 ordinary shares and (ii) 146 Series B preferred shares that will be converted to 13,067 ordinary shares following the closing of this offering. D.N.A Biomedical, whose address is at Shimon Hatarsi 43 St., Tel Aviv, Israel, is controlled by Zeev Bronfeld. 2,402,998 ordinary shares, or approximately 85.7% of the ordinary shares currently held by D.N.A Biomedical have been pledged to Capital Point, while the remaining 400,500 ordinary shares, or approximately 14.3%, have been pledged to Menachem Raphael.</w:t>
      </w:r>
    </w:p>
    <w:p>
      <w:pPr>
        <w:spacing w:after="0" w:line="121" w:lineRule="exact"/>
        <w:rPr>
          <w:rFonts w:ascii="Times New Roman" w:cs="Times New Roman" w:eastAsia="Times New Roman" w:hAnsi="Times New Roman"/>
          <w:sz w:val="14"/>
          <w:szCs w:val="14"/>
          <w:color w:val="auto"/>
        </w:rPr>
      </w:pPr>
    </w:p>
    <w:p>
      <w:pPr>
        <w:ind w:left="360" w:right="420" w:hanging="352"/>
        <w:spacing w:after="0" w:line="268" w:lineRule="auto"/>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8,344 Series A preferred shares that will be converted to 746,788 ordinary shares following the closing of this offering, (ii) warrants to purchase 2,086 Series A preferred shares that will be converted to warrants to purchase 186,697 ordinary shares following the closing of this offering, which had been issued to Centillion as of December 31, 2017, (iii) 2,086 Series A preferred shares that will be converted to 186,697 ordinary shares following the closing of this offering and a warrant to purchase 522 Series A preferred shares, that will be converted to warrants to purchase 46,630 ordinary shares following the closing of this offering, which shares can be acquired by Centillion at any time until July 20, 2019 pursuant to the terms of our Series A preferred shares purchase agreement, (iv) 427 Series A preferred shares that will be converted to 38,217 ordinary shares following the closing of this offering and a warrant to purchase 107 Series A preferred shares, that will be converted to warrants to purchase 9,577 ordinary shares following the closing of this offering, which shares can be acquired by Centillion at any time until July 20, 2019 pursuant to our current Articles, (v) 357 Series B preferred shares that will be converted to 746,788 ordinary</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4" w:name="page145"/>
    <w:bookmarkEnd w:id="1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60"/>
        <w:spacing w:after="0" w:line="302" w:lineRule="auto"/>
        <w:rPr>
          <w:sz w:val="20"/>
          <w:szCs w:val="20"/>
          <w:color w:val="auto"/>
        </w:rPr>
      </w:pPr>
      <w:r>
        <w:rPr>
          <w:rFonts w:ascii="Times New Roman" w:cs="Times New Roman" w:eastAsia="Times New Roman" w:hAnsi="Times New Roman"/>
          <w:sz w:val="14"/>
          <w:szCs w:val="14"/>
          <w:color w:val="auto"/>
        </w:rPr>
        <w:t>shares following the closing of this offering, and (vi) warrants to purchase 31,952 Series B-1 preferred shares that will be converted to warrants to purchase 262,593 ordinary shares following the closing of this offering. Centillion Fund, whose address is c/o Entera Bio Ltd., Kiryat Hadassah, Minrav Building — Fifth Floor, Jerusalem 9112002, Israel, is controlled by Ariel Israilov.</w:t>
      </w:r>
    </w:p>
    <w:p>
      <w:pPr>
        <w:spacing w:after="0" w:line="122" w:lineRule="exact"/>
        <w:rPr>
          <w:sz w:val="20"/>
          <w:szCs w:val="20"/>
          <w:color w:val="auto"/>
        </w:rPr>
      </w:pPr>
    </w:p>
    <w:p>
      <w:pPr>
        <w:ind w:left="360" w:right="320" w:hanging="352"/>
        <w:spacing w:after="0" w:line="271" w:lineRule="auto"/>
        <w:tabs>
          <w:tab w:leader="none" w:pos="3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4,689 Series B-1 preferred shares that will be converted to 419,666 ordinary shares following the closing of this offering, and (ii) warrants to purchase 1,876 Series B preferred shares that will be converted to warrants to purchase 167,903 ordinary shares following the closing of this offering. Pontifax 4 GP L.P. (“Pontifax Management”) is the general partner of Pontifax (Israel) 4 LP, Pontifax (Cayman) IV LP and Pontifax (China) IV LP (together, the “Partnerships”). Pontifax Management 4 G.P. (2015) Ltd. (“Pontifax Management GP”) is the general partner of Pontifax Management. Mr. Tomer Kariv and Mr. Ran Nussbaum are directors of Pontifax Management GP and, as such, hold voting and/or dispositive power over the shares held by the Partnerships. The principal business address of the foregoing entities and individuals is 14 Shenkar Street, Herzeliya 46140, Israel.</w:t>
      </w:r>
    </w:p>
    <w:p>
      <w:pPr>
        <w:spacing w:after="0" w:line="131" w:lineRule="exact"/>
        <w:rPr>
          <w:rFonts w:ascii="Times New Roman" w:cs="Times New Roman" w:eastAsia="Times New Roman" w:hAnsi="Times New Roman"/>
          <w:sz w:val="14"/>
          <w:szCs w:val="14"/>
          <w:color w:val="auto"/>
        </w:rPr>
      </w:pPr>
    </w:p>
    <w:p>
      <w:pPr>
        <w:ind w:left="360" w:right="320" w:hanging="352"/>
        <w:spacing w:after="0" w:line="282" w:lineRule="auto"/>
        <w:tabs>
          <w:tab w:leader="none" w:pos="3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5,534 Series B preferred shares transferred by D.N.A Biomedical to Capital Point that will be converted to 495,293 ordinary shares following the closing of this offering and (ii) 318,620 ordinary shares that Capital Point has the right to acquire pursuant to an option granted by D.NA Biomedical. Capital Point’s address is at Derech Menachem Begin 132 (Azrieli Center) Tel Aviv, Israel.</w:t>
      </w:r>
    </w:p>
    <w:p>
      <w:pPr>
        <w:spacing w:after="0" w:line="134" w:lineRule="exact"/>
        <w:rPr>
          <w:rFonts w:ascii="Times New Roman" w:cs="Times New Roman" w:eastAsia="Times New Roman" w:hAnsi="Times New Roman"/>
          <w:sz w:val="14"/>
          <w:szCs w:val="14"/>
          <w:color w:val="auto"/>
        </w:rPr>
      </w:pPr>
    </w:p>
    <w:p>
      <w:pPr>
        <w:ind w:left="360" w:right="260" w:hanging="352"/>
        <w:spacing w:after="0" w:line="266" w:lineRule="auto"/>
        <w:tabs>
          <w:tab w:leader="none" w:pos="3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834 Series A preferred shares that will be converted to 74,643 ordinary shares following the closing of this offering, (ii) warrants to purchase 208 Series A preferred shares that will be converted to warrants to purchase 18,616 ordinary shares, which had been issued to White Car Group, Ltd., who later transferred its shares to Menachem Raphael, as of December 31, 2017, (iii) 208 Series A preferred shares that will be converted to 18,616 ordinary shares following the closing of this offering and warrants to purchase 53 Series A preferred shares that will be converted to warrants to purchase 4,744 ordinary shares following the closing of this offering, which shares can be acquired by Menachem Raphael until July 20, 2019 pursuant to the terms of our Series A preferred shares purchase agreement, (iv) 1,099 Series B-1 preferred shares that will be converted to 98,361 ordinary shares following the closing of this offering (v) warrants to purchase 440 Series B preferred shares that will be converted to warrants to purchase 39,380 ordinary shares following the closing of this offering (vi) warrants to purchase 293 Series B-1 preferred shares that will be converted to warrants to purchase 26,224 ordinary shares following the closing of this offering, (vii) 53,074 ordinary shares that Menachem Raphael has the right to acquire pursuant to an option granted by D.N.A Biomedical and (viii) 922 Series B preferred shares that will be converted to 82,519 ordinary shares following the closing of this offering, issued to D.N.A Biomedical, who later transferred them to Menachem Raphael, whose address is at Ha’seora 12, Tel Aviv Israel.</w:t>
      </w:r>
    </w:p>
    <w:p>
      <w:pPr>
        <w:spacing w:after="0" w:line="311" w:lineRule="exact"/>
        <w:rPr>
          <w:rFonts w:ascii="Times New Roman" w:cs="Times New Roman" w:eastAsia="Times New Roman" w:hAnsi="Times New Roman"/>
          <w:sz w:val="14"/>
          <w:szCs w:val="14"/>
          <w:color w:val="auto"/>
        </w:rPr>
      </w:pPr>
    </w:p>
    <w:p>
      <w:pPr>
        <w:ind w:left="360" w:right="240" w:hanging="352"/>
        <w:spacing w:after="0" w:line="302" w:lineRule="auto"/>
        <w:tabs>
          <w:tab w:leader="none" w:pos="3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Zeev Bronfeld is the Chairman of the Board of Directors of D.N.A Biomedical, and as such may be deemed to have shared voting or investment power over the ordinary shares owned by D.N.A Biomedical.</w:t>
      </w:r>
    </w:p>
    <w:p>
      <w:pPr>
        <w:spacing w:after="0" w:line="121" w:lineRule="exact"/>
        <w:rPr>
          <w:rFonts w:ascii="Times New Roman" w:cs="Times New Roman" w:eastAsia="Times New Roman" w:hAnsi="Times New Roman"/>
          <w:sz w:val="14"/>
          <w:szCs w:val="14"/>
          <w:color w:val="auto"/>
        </w:rPr>
      </w:pPr>
    </w:p>
    <w:p>
      <w:pPr>
        <w:ind w:left="360" w:right="720" w:hanging="352"/>
        <w:spacing w:after="0" w:line="302" w:lineRule="auto"/>
        <w:tabs>
          <w:tab w:leader="none" w:pos="3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Yonatan Malka is the CEO and a director of D.N.A Biomedical, and as such may be deemed to have shared voting or investment power over the ordinary shares owned by D.N.A Biomedical.</w:t>
      </w:r>
    </w:p>
    <w:p>
      <w:pPr>
        <w:spacing w:after="0" w:line="121" w:lineRule="exact"/>
        <w:rPr>
          <w:rFonts w:ascii="Times New Roman" w:cs="Times New Roman" w:eastAsia="Times New Roman" w:hAnsi="Times New Roman"/>
          <w:sz w:val="14"/>
          <w:szCs w:val="14"/>
          <w:color w:val="auto"/>
        </w:rPr>
      </w:pPr>
    </w:p>
    <w:p>
      <w:pPr>
        <w:ind w:left="360" w:right="260" w:hanging="352"/>
        <w:spacing w:after="0" w:line="282" w:lineRule="auto"/>
        <w:tabs>
          <w:tab w:leader="none" w:pos="3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413,747 ordinary shares underlying options to acquire ordinary shares exercisable within 60 days of December 31, 2017 and 6 Series B preferred shares that will be converted to 537 ordinary shares following the closing of this offering. The exercise price of these options is NIS 0.0001117 per share, and the options expire at various periods between May 2019 and January 2020.</w:t>
      </w:r>
    </w:p>
    <w:p>
      <w:pPr>
        <w:spacing w:after="0" w:line="134" w:lineRule="exact"/>
        <w:rPr>
          <w:rFonts w:ascii="Times New Roman" w:cs="Times New Roman" w:eastAsia="Times New Roman" w:hAnsi="Times New Roman"/>
          <w:sz w:val="14"/>
          <w:szCs w:val="14"/>
          <w:color w:val="auto"/>
        </w:rPr>
      </w:pPr>
    </w:p>
    <w:p>
      <w:pPr>
        <w:ind w:left="360" w:right="540" w:hanging="352"/>
        <w:spacing w:after="0" w:line="302" w:lineRule="auto"/>
        <w:tabs>
          <w:tab w:leader="none" w:pos="3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Miriam Blum is the wife of Dr. Phillip Schwartz and may be deemed to have shared voting or investment power over the ordinary shares beneficially owned by Dr. Phillip Schwartz. Ms. Blum disclaims beneficial ownership of such shares.</w:t>
      </w:r>
    </w:p>
    <w:p>
      <w:pPr>
        <w:spacing w:after="0" w:line="108" w:lineRule="exact"/>
        <w:rPr>
          <w:rFonts w:ascii="Times New Roman" w:cs="Times New Roman" w:eastAsia="Times New Roman" w:hAnsi="Times New Roman"/>
          <w:sz w:val="14"/>
          <w:szCs w:val="14"/>
          <w:color w:val="auto"/>
        </w:rPr>
      </w:pPr>
    </w:p>
    <w:p>
      <w:pPr>
        <w:ind w:left="360" w:right="400" w:hanging="352"/>
        <w:spacing w:after="0" w:line="275" w:lineRule="auto"/>
        <w:tabs>
          <w:tab w:leader="none" w:pos="3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options to acquire 67,662 ordinary shares with an exercise price of $5.36 per share and expiring on December 21, 2021, (ii) 77 Series B-1 preferred shares that will be converted to 6,892 ordinary shares following the closing of this offering, (iii) warrants to purchase 31 Series B preferred shares that will be converted to warrants to purchase 2,775 ordinary shares following the closing of this offering, (iv) options to acquire 259,908 ordinary shares exercisable within 60 days of December 31, 2017, with an exercise price of $9.16 per share and expiring on December 1, 2026, granted pursuant to the Service Agreement with Mr. Beshar.</w:t>
      </w:r>
    </w:p>
    <w:p>
      <w:pPr>
        <w:spacing w:after="0" w:line="139" w:lineRule="exact"/>
        <w:rPr>
          <w:rFonts w:ascii="Times New Roman" w:cs="Times New Roman" w:eastAsia="Times New Roman" w:hAnsi="Times New Roman"/>
          <w:sz w:val="14"/>
          <w:szCs w:val="14"/>
          <w:color w:val="auto"/>
        </w:rPr>
      </w:pPr>
    </w:p>
    <w:p>
      <w:pPr>
        <w:ind w:left="360" w:right="340" w:hanging="352"/>
        <w:spacing w:after="0" w:line="275" w:lineRule="auto"/>
        <w:tabs>
          <w:tab w:leader="none" w:pos="3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options to acquire 20,406 ordinary shares with an exercise price of NIS 0.0001117, exercisable within 60 days of December 31, 2017, and expiring on March 19, 2019, (ii) 1,563 Series B-1 preferred shares that will be converted to 139,889 ordinary shares following the closing of this offering, held by Corundum, of which David Ben Ami, a member of our board of directors, is the managing partner, and (iii) warrants to purchase 625 Series B preferred shares that will be converted to warrants to purchase 55,938 ordinary shares following the closing of this offering, held by Corundum.</w:t>
      </w:r>
    </w:p>
    <w:p>
      <w:pPr>
        <w:spacing w:after="0" w:line="139" w:lineRule="exact"/>
        <w:rPr>
          <w:rFonts w:ascii="Times New Roman" w:cs="Times New Roman" w:eastAsia="Times New Roman" w:hAnsi="Times New Roman"/>
          <w:sz w:val="14"/>
          <w:szCs w:val="14"/>
          <w:color w:val="auto"/>
        </w:rPr>
      </w:pPr>
    </w:p>
    <w:p>
      <w:pPr>
        <w:ind w:left="360" w:right="260" w:hanging="352"/>
        <w:spacing w:after="0" w:line="271" w:lineRule="auto"/>
        <w:tabs>
          <w:tab w:leader="none" w:pos="3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options to acquire 67,662 ordinary shares with an exercise price of $5.36 per share and expiring on April 6, 2023, exercisable within 60 days of December 31, 2017, (ii) options to acquire 6,176 ordinary shares with an exercise price of $2.68 per share and expiring on March 19, 2021, exercisable within 60 days of December 31, 2017, (iii) 156 Series B-1 preferred shares that will be converted to 13,962 ordinary shares following the closing of this offering, (iv) warrants to purchase 62 Series B preferred shares that will be converted to warrants to purchase 5,549 ordinary shares following the closing of this offering and (v) 110 Series B preferred shares that will be converted to 9,845 ordinary shares following the closing of this offering.</w:t>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145" w:name="page146"/>
    <w:bookmarkEnd w:id="1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right="80" w:hanging="352"/>
        <w:spacing w:after="0" w:line="271" w:lineRule="auto"/>
        <w:tabs>
          <w:tab w:leader="none" w:pos="3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8,145 ordinary shares, (ii) options to acquire 7,608 ordinary shares exercisable within 60 days of Decemer 31, 2017, with an exercise price of $2.68 per share and expiring on September 1, 2019 and options to acquire 8,950 ordinary shares exercisable within 60 days of December 31, 2017, with an exercise price of $9.16 per share and expiring on November 15, 2023, (iii) 32,668 ordinary shares owned by Revach Fund, L.P. (“Revach”), (iv) 37,232 ordinary shares that will be issued to Revach upon conversion of the 2012 Convertible Loan, which will be automatically converted upon the completion of this offering, and (v) 14 Series B preferred shares that will be converted to 1,253 ordinary shares following the closing of this offering. Mr. Davis is the sole managing director and partner of Revach and may be deemed to beneficially own the ordinary shares owned or that can be acquired by Revach.</w:t>
      </w:r>
    </w:p>
    <w:p>
      <w:pPr>
        <w:spacing w:after="0" w:line="320" w:lineRule="exact"/>
        <w:rPr>
          <w:rFonts w:ascii="Times New Roman" w:cs="Times New Roman" w:eastAsia="Times New Roman" w:hAnsi="Times New Roman"/>
          <w:sz w:val="14"/>
          <w:szCs w:val="14"/>
          <w:color w:val="auto"/>
        </w:rPr>
      </w:pPr>
    </w:p>
    <w:p>
      <w:pPr>
        <w:ind w:left="360" w:right="360" w:hanging="352"/>
        <w:spacing w:after="0" w:line="275" w:lineRule="auto"/>
        <w:tabs>
          <w:tab w:leader="none" w:pos="3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 of (i) options to acquire 67,662 ordinary shares with an exercise price of $5.36 per share and expiring on March 29, 2022, (ii) 38 Series B-1 preferred shares that will be converted to 3,401 ordinary shares following the closing of this offering, (iii) warrants to purchase 15 Series B preferred shares that will be converted to warrants to purchase 1,343 ordinary shares following the closing of this offering, and (iv) options to acquire 59,965 ordinary shares exercisable within 60 days of December 31, 2017, with an exercise price of $9.16 per share and expiring on December 1, 2026, granted pursuant to the Service Agreement with Dr. Garceau.</w:t>
      </w:r>
    </w:p>
    <w:p>
      <w:pPr>
        <w:spacing w:after="0" w:line="139" w:lineRule="exact"/>
        <w:rPr>
          <w:rFonts w:ascii="Times New Roman" w:cs="Times New Roman" w:eastAsia="Times New Roman" w:hAnsi="Times New Roman"/>
          <w:sz w:val="14"/>
          <w:szCs w:val="14"/>
          <w:color w:val="auto"/>
        </w:rPr>
      </w:pPr>
    </w:p>
    <w:p>
      <w:pPr>
        <w:ind w:left="360" w:right="120" w:hanging="352"/>
        <w:spacing w:after="0" w:line="302" w:lineRule="auto"/>
        <w:tabs>
          <w:tab w:leader="none" w:pos="3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24,792 ordinary shares underlying options to acquire ordinary shares expiring on May 29, 2020 with an exercise price of $3.53 per share and (ii) options to acquire 3,916 ordinary shares, with an exercise price of $9.16 per share and expiring on November 15, 2023. All options are exercisable within 60 days of December 31, 2017.</w:t>
      </w:r>
    </w:p>
    <w:p>
      <w:pPr>
        <w:spacing w:after="0" w:line="135" w:lineRule="exact"/>
        <w:rPr>
          <w:rFonts w:ascii="Times New Roman" w:cs="Times New Roman" w:eastAsia="Times New Roman" w:hAnsi="Times New Roman"/>
          <w:sz w:val="14"/>
          <w:szCs w:val="14"/>
          <w:color w:val="auto"/>
        </w:rPr>
      </w:pPr>
    </w:p>
    <w:p>
      <w:pPr>
        <w:ind w:left="360" w:hanging="352"/>
        <w:spacing w:after="0" w:line="282" w:lineRule="auto"/>
        <w:tabs>
          <w:tab w:leader="none" w:pos="3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24,792 ordinary shares underlying options to acquire ordinary shares, of which options to acquire 11,367 ordinary shares have an exercise price of $2.68 per share, and options to acquire 13,425 ordinary shares have an exercise price of NIS 0.0001117, all expiring on September 1, 2019, (ii) options to acquire 6,153 ordinary shares, with an exercise price of $9.16 per share and expiring on November 15, 2023. All options are exercisable within 60 days of December 31, 2017.</w:t>
      </w:r>
    </w:p>
    <w:p>
      <w:pPr>
        <w:spacing w:after="0" w:line="134" w:lineRule="exact"/>
        <w:rPr>
          <w:rFonts w:ascii="Times New Roman" w:cs="Times New Roman" w:eastAsia="Times New Roman" w:hAnsi="Times New Roman"/>
          <w:sz w:val="14"/>
          <w:szCs w:val="14"/>
          <w:color w:val="auto"/>
        </w:rPr>
      </w:pPr>
    </w:p>
    <w:p>
      <w:pPr>
        <w:ind w:left="360" w:right="40" w:hanging="352"/>
        <w:spacing w:after="0" w:line="275" w:lineRule="auto"/>
        <w:tabs>
          <w:tab w:leader="none" w:pos="3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2,831,244 ordinary shares, (ii) options to acquire 1,039,397 ordinary shares (iii) 37,232 ordinary shares that will be issued upon conversion of the 2012 Convertible Loan, which will be automatically converted upon the completion of this offering, (iv) 1,834 Series B-1 preferred shares that will be converted to 164,143 ordinary shares following the closing of this offering, (v) warrants to purchase 733 Series B preferred shares that will be converted to warrants to purchase 65,604 ordinary shares following the closing of this offering, and (vi) 304 Series B preferred Shares that will be converted to 27,119 ordinary shares following the closing of this offering.</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0"/>
          </w:cols>
          <w:pgMar w:left="240" w:top="114" w:right="579" w:bottom="1440" w:gutter="0" w:footer="0" w:header="0"/>
        </w:sectPr>
      </w:pPr>
    </w:p>
    <w:bookmarkStart w:id="146" w:name="page147"/>
    <w:bookmarkEnd w:id="1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DESCRIPTION OF SHARE CAPITAL</w:t>
      </w:r>
    </w:p>
    <w:p>
      <w:pPr>
        <w:spacing w:after="0" w:line="96"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i w:val="1"/>
          <w:iCs w:val="1"/>
          <w:color w:val="auto"/>
        </w:rPr>
        <w:t>The following description of our share capital and provisions of our amended Articles are summaries and are qualified by reference to our amended Articles, which have been filed with the SEC as an exhibit to the registration statement of which this prospectus forms a part. Upon the closing of this offering, our current Articles will be replaced by our amended Articles. All references to our Articles of Association in this section refer to our amended Articles.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an Israeli company incorporated with limited liability, and our affairs are governed by the provisions of our Articles of Association, as amended and restated from time to time, and by the provisions of applicable Israeli law, including the Companies Law. Upon the closing of this offering, our Fifth Amended and Restated Articles of Association currently in effect, or the current Articles, will be further amended and restated and replaced by our Sixth Amended and Restated Articles of Association, or the amended Articles. Other material terms and provisions of our ordinary shares under our amended Articles are described below in “— Ordinary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Upon the closing of this offering, our authorized share capital will consist of 89,500,000 ordinary shares, par value NIS 0.0001117 per share, of which 6,897,252 ordinary shares are issued and outstanding as of date of this prospectus and 11,897,252 ordinary shares will be issued and outstanding immediately following the closing of this offering (assuming the underwriters do not exercise their option to purchase additional ordinary shares). All of our ordinary shares have been validly issued, fully paid and are non-assessable.</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2017, the number of our ordinary shares outstanding was 6,897,252, and an additional 2,098,960 ordinary shares were issuable upon the exercise of outstanding options granted to our officers and employees, at a weighted-average exercise price of $6.67 per share, in each case after giving effect to the 1-for-89.5 split of our ordinary shares that is described elsewhere in this prospectus. See “Management — Share Incentive Plan” for more information about our outstanding option plans.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terms of our amended Articles that will become effective upon the closing of this offering, we will not be authorized to issue preferred shares, and there will be no preferred shares outstanding.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Warrants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2017, we had outstanding warrants to purchase 2,554 of our Series A preferred shares, at an exercise price of $479.38, which, upon the closing of this offering will automatically convert into warrants to purchase 228,583 of our ordinary shares, at an exercise price of $5.36.</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terms of the preferred share purchase agreements with Centillion and certain other preferred shareholders, upon the closing of this offering, and upon the exercise of the right to invest the second milestone amount, we will issue to Centillion and the other preferred shareholders warrants to purchase an additional 57,191 ordinary shares.</w:t>
      </w:r>
    </w:p>
    <w:p>
      <w:pPr>
        <w:spacing w:after="0" w:line="6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material terms and provisions of such warrants is not complete and is subject to, and qualified in its entirety by the provisions of, the form of the warrant, which is filed as an exhibit to the registration statement of which this prospectus forms a part.</w:t>
      </w:r>
    </w:p>
    <w:p>
      <w:pPr>
        <w:spacing w:after="0" w:line="5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warrants are exercisable immediately upon issuance and at any time up to the date that is the earlier of (i) two years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this offering or (ii) seven years from the date of issuance. The warrants will be exercisable, at the option of each holder, in whole or in part by delivering to us a duly executed exercise notice accompanied by payment in full for the applicable number of our ordinary shares.</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47" w:name="page148"/>
    <w:bookmarkEnd w:id="1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Applicable Shares</w:t>
      </w:r>
      <w:r>
        <w:rPr>
          <w:rFonts w:ascii="Times New Roman" w:cs="Times New Roman" w:eastAsia="Times New Roman" w:hAnsi="Times New Roman"/>
          <w:sz w:val="18"/>
          <w:szCs w:val="18"/>
          <w:color w:val="auto"/>
        </w:rPr>
        <w:t>. The class of shares that can be acquired upon exercise of the warrants will be (i) prior to the consummation of this offering, our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(ii) upon and following the consummation of this offering and otherwise after the conversion of all of our preferred shares into ordinary shares, our ordinary shares, and (iii) upon any conversion, exchange, reclassification or change, any security into which our preferred shares or ordinary shares may be converted, exchanged, reclassified or otherwise changed.</w:t>
      </w:r>
    </w:p>
    <w:p>
      <w:pPr>
        <w:spacing w:after="0" w:line="72"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initial exercise price per applicable share purchasable upon exercise of the warrants is $5.36 per share. The exercise price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issuable upon exercise are subject to appropriate adjustment in the event of certain stock dividends and distributions, stock splits, stock subdivisions and combinations, reclassifications or similar events affecting our ordinary shares.</w:t>
      </w:r>
    </w:p>
    <w:p>
      <w:pPr>
        <w:spacing w:after="0" w:line="6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Absent an effective registration statement filed with the SEC covering the disposition or sale of the warrants or the shares issued or issuable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exercise of the warrants, and registration or qualification under applicable state securities laws, the holder cannot transfer any or all of the warrants or the applicable shares unless such transfer is exempt from the registration requirements of the Securities Act and any applicable state securities laws.</w:t>
      </w:r>
    </w:p>
    <w:p>
      <w:pPr>
        <w:spacing w:after="0" w:line="6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Rights as a Shareholder</w:t>
      </w:r>
      <w:r>
        <w:rPr>
          <w:rFonts w:ascii="Times New Roman" w:cs="Times New Roman" w:eastAsia="Times New Roman" w:hAnsi="Times New Roman"/>
          <w:sz w:val="18"/>
          <w:szCs w:val="18"/>
          <w:color w:val="auto"/>
        </w:rPr>
        <w:t>. Except as otherwise provided in the warrants or by virtue of such holder’s ownership of our ordinary shares, the holder of a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have the rights or privileges of a holder of ordinary shares, including any voting rights, until the holder exercises the warrant.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Warrants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discussed above under “Certain Relationships and Related Party Transactions,” in connection with the second amendment to the Centillion preferred share purchase agreement and the first amendment to the additional preferred share purchase agreements with the certain other preferred shareholders, we issued additional warrants to such shareholders.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2017, we had outstanding additional warrants to purchase 3,594 Series B-1 preferred shares in an aggregate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 million, which upon the closing of this offering will become additional warrants to purchase 321,664 of our ordinary shares at an exercise price of</w:t>
      </w:r>
    </w:p>
    <w:p>
      <w:pPr>
        <w:spacing w:after="0" w:line="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$7.62 per share, which represents a 25% discount to the Series B preferred share purchase price per share, after giving effect to the conversion of the exercise price due to the ordinary share split described in this prospectus.</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material terms and provisions of the additional warrants is not complete and is subject to, and qualified in its entirety by the provisions of, the form of the additional warrant, which is filed as an exhibit to the registration statement of which this prospectus forms a part.</w:t>
      </w:r>
    </w:p>
    <w:p>
      <w:pPr>
        <w:spacing w:after="0" w:line="5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additional warrants are exercisable upon, and for a period of two years following, a triggering event, which includes certain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transactions, certain private placement equity financings of at least $5 million or a public offering on NASDAQ or the New York Stock Exchange. The Series B Private Placement constituted a 2016 Triggering Event as defined in the additional warrants, and as a result, the exercise period for such warrants is two years following October 4, 2017.</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Applicable Shares</w:t>
      </w:r>
      <w:r>
        <w:rPr>
          <w:rFonts w:ascii="Times New Roman" w:cs="Times New Roman" w:eastAsia="Times New Roman" w:hAnsi="Times New Roman"/>
          <w:sz w:val="18"/>
          <w:szCs w:val="18"/>
          <w:color w:val="auto"/>
        </w:rPr>
        <w:t>.  Series B-1 preferred shares, or ordinary shares if exercised upon or following the closing of this offering.</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initial exercise price per applicable share purchasable upon exercise of the warrants will be discounted by 25% from the applicable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price of the shares issued in the relevant triggering event. As a result of the Series B Private Placement, the exercise price was set at $7.62, which represents a 25% discount to the Series B preferred share purchase price per share, after giving effect to the conversion of the exercise price due to the ordinary share split described in this prospectus.</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Absent an effective registration statement filed with the SEC covering the disposition or sale of the warrants or the shares issued or issuable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exercise of the warrants, and registration or qualification under applicable state securities laws, the holder cannot transfer any or all of the warrants or the applicable underlying shares unless such transfer is exempt from the registration requirements of the Securities Act and any applicable state securities laws.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8" w:name="page149"/>
    <w:bookmarkEnd w:id="1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Rights as a Shareholder</w:t>
      </w:r>
      <w:r>
        <w:rPr>
          <w:rFonts w:ascii="Times New Roman" w:cs="Times New Roman" w:eastAsia="Times New Roman" w:hAnsi="Times New Roman"/>
          <w:sz w:val="18"/>
          <w:szCs w:val="18"/>
          <w:color w:val="auto"/>
        </w:rPr>
        <w:t>. Except as otherwise provided in the warrants or by virtue of such holder’s ownership of our ordinary shares, the holder of a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have the rights or privileges of a holder of ordinary shares, including any voting rights, until the holder exercises the warrant.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Warrants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2016 Convertible Loan, the Company granted to the lenders warrants, or the 2016 Warrants, in the 2016 Convertible Loan to purchase an additional 40% of the number of the Company’s equity securities issued to such lender following the conversion of the loan in to the Company’s equity securities following a 2016 Triggering Event. As a result of the Series B preferred shares purchase agreement, the price at which the previously issued 2016 Warrants may be exercised was set at $908.78.</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2017, we had 5,292 outstanding 2016 Warrants in an aggregate principal amount of $4.8 million, which upon the closing of this offering will become warrants to purchase 473,639 of our ordinary shares at an exercise price of $10.15 per ordinary share.</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material terms and provisions of the 2016 Warrants is not complete and is subject to, and qualified in its entirety by the provisions of, the form of the 2016 Warrants, which is filed as an exhibit to the registration statement of which this prospectus forms a part.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2016 Warrants are exercisable until June 2020, and will be exercisable into ordinary shares following the completion of this offering.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Applicable Securities</w:t>
      </w:r>
      <w:r>
        <w:rPr>
          <w:rFonts w:ascii="Times New Roman" w:cs="Times New Roman" w:eastAsia="Times New Roman" w:hAnsi="Times New Roman"/>
          <w:sz w:val="18"/>
          <w:szCs w:val="18"/>
          <w:color w:val="auto"/>
        </w:rPr>
        <w:t>.  Series B preferred shares, or ordinary shares if exercised upon or following the closing of this offering.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$10.15 per share.</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i w:val="1"/>
          <w:iCs w:val="1"/>
          <w:color w:val="auto"/>
        </w:rPr>
        <w:t>Transferability</w:t>
      </w:r>
      <w:r>
        <w:rPr>
          <w:rFonts w:ascii="Times New Roman" w:cs="Times New Roman" w:eastAsia="Times New Roman" w:hAnsi="Times New Roman"/>
          <w:sz w:val="17"/>
          <w:szCs w:val="17"/>
          <w:color w:val="auto"/>
        </w:rPr>
        <w:t>. Absent an effective registration statement filed with the SEC covering the disposition or sale of the warrants or the securities issued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issuable upon exercise of the 2016 Warrants, and registration or qualification under applicable state securities laws, the holder cannot transfer any or all of the warrants or the applicable underlying shares unless such transfer is exempt from the registration requirements of the Securities Act and any applicable state securities laws. In addition, the holder can transfer any or all of the 2016 Warrants to a Permitted Transferee, as defined in the Company’s current Articles.</w:t>
      </w:r>
    </w:p>
    <w:p>
      <w:pPr>
        <w:spacing w:after="0" w:line="54"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Rights as a Shareholder</w:t>
      </w:r>
      <w:r>
        <w:rPr>
          <w:rFonts w:ascii="Times New Roman" w:cs="Times New Roman" w:eastAsia="Times New Roman" w:hAnsi="Times New Roman"/>
          <w:sz w:val="18"/>
          <w:szCs w:val="18"/>
          <w:color w:val="auto"/>
        </w:rPr>
        <w:t>. Except as otherwise provided in the warrants or by virtue of such holder’s ownership of our ordinary shares, the holder of a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does not have the rights or privileges of a holder of ordinary shares, including any voting rights, until the holder exercises the 2016 Warrant.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Warrants</w:t>
      </w:r>
    </w:p>
    <w:p>
      <w:pPr>
        <w:spacing w:after="0" w:line="108"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 connection with the Series B Private Placement, the Company issued to GP Nurmenkari Inc., or the placement agent, a warrant to purchase up to 526 Series B preferred shares, or Series B warrants, at a price of $908.78 per share, which upon the closing of this offering will become warrants to purchase 47,077 ordinary shares at an exercise price of $10.15 per share.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of certain material terms and provisions of the Series B Warrants:</w:t>
      </w:r>
    </w:p>
    <w:p>
      <w:pPr>
        <w:spacing w:after="0" w:line="115"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Exercisability. </w:t>
      </w:r>
      <w:r>
        <w:rPr>
          <w:rFonts w:ascii="Times New Roman" w:cs="Times New Roman" w:eastAsia="Times New Roman" w:hAnsi="Times New Roman"/>
          <w:sz w:val="18"/>
          <w:szCs w:val="18"/>
          <w:color w:val="auto"/>
        </w:rPr>
        <w:t>The Series B warrants are exercisable on or before the earlier of: (i) expiration of five years from the date of the Series B warrant, or (ii)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occurrence of a liquidation, bankruptcy, reorganization, dissolution or winding up of the Company, whether voluntary or involuntary.</w:t>
      </w:r>
    </w:p>
    <w:p>
      <w:pPr>
        <w:spacing w:after="0" w:line="5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Applicable Securities. </w:t>
      </w:r>
      <w:r>
        <w:rPr>
          <w:rFonts w:ascii="Times New Roman" w:cs="Times New Roman" w:eastAsia="Times New Roman" w:hAnsi="Times New Roman"/>
          <w:sz w:val="18"/>
          <w:szCs w:val="18"/>
          <w:color w:val="auto"/>
        </w:rPr>
        <w:t>The Series B warrants will be exercisable for Series B preferred shares of the Company, par value NIS 0.01 per share,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issued or issuable according to the Series B warrants, including but not limited to ordinary shares, if exercised upon or following the closing of this offering.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initial exercise price will be $10.15 per share, subject to adjustments as provided in the Series B warrants.</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49" w:name="page150"/>
    <w:bookmarkEnd w:id="1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Series B warrant cannot be transferred to a third party, other than an affiliate of the holder of such Series B warrant (as defined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terms and conditions of the Series B warrants) without (i) a registration under the Securities Act or (ii) an exemption from such registration and, if requested by the Company, a written opinion of legal counsel of the holder of the Series B warrant, addressed to the Company stating that the proposed transfer of the warrant may be effected without registration under the Securities Act, which opinion will be in form reasonably satisfactory to the Company.</w:t>
      </w:r>
    </w:p>
    <w:p>
      <w:pPr>
        <w:spacing w:after="0" w:line="7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Shareholder</w:t>
      </w:r>
      <w:r>
        <w:rPr>
          <w:rFonts w:ascii="Times New Roman" w:cs="Times New Roman" w:eastAsia="Times New Roman" w:hAnsi="Times New Roman"/>
          <w:sz w:val="18"/>
          <w:szCs w:val="18"/>
          <w:color w:val="auto"/>
        </w:rPr>
        <w:t>. Except as otherwise provided in the Series B warrants or by virtue of such holder’s ownership of our ordinary shares, the 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Series B warrant does not have the rights or privileges of a holder of ordinary shares, including any voting rights, until the holder exercises the Series B warrant.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Number, Purpose of the Company and Registered Office</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number with the Israeli Registrar of Companies is 514330604. The purpose of our company appears in Article 3 of our Articles of Association, which is to engage in any lawful activity. In addition, our Articles of Association authorize us to donate reasonable amounts to any charitable cause. Our registered office is at Kiryat Hadassah, Minrav Building — Fifth Floor, Jerusalem 9112002, Israel.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Companies Law, and Articles of Association, our board of directors may exercise all powers and take all actions that are not required under the Companies Law or under our Articles of Association to be exercised or taken by our shareholders or other corporate body, including the power to borrow money for the purposes of our company. Our directors are not subject to any age limit requirement, nor are they disqualified from serving on our board of directors because of a failure to own a certain amount of our shares. Under our Articles of Association, our board of directors must consist of not less than three but no more than nine directors. Pursuant to our Articles of Association, other than the external directors, for whom special election requirements apply under the Companies Law, the vote required to appoint a director is a simple majority vote of holders of our voting shares participating and voting at the relevant meeting. In addition, our Articles of Association allow our board of directors to appoint new directors to fill vacancies on the board of directors if the number of directors is below the maximum number provided in our Articles of Association. Furthermore, under our Articles of Association, our directors other than external directors are divided into three classes with staggered three-year terms. External directors are elected for an initial term of three years, may be elected for additional terms of three years each under certain circumstances, and may be removed from office pursuant to the terms of the Companies Law. For more information about our board of directors, see “Management.”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Ordinary Shares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Dividends and Liquidation Rights</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the rights of holders of shares with preferential or special rights that may be authorized in the future, holders of our ordinary shares are entitled to participate in the payment of dividends pro rata in accordance with the amounts paid-up or credited as paid-up on the par value of such ordinary shares at the time of payment without taking into account any premium paid thereon. In the event of our liquidation, holders of our ordinary shares are entitled to a pro rata share of surplus assets remaining over liabilities, subject to rights conferred on any class of shares which may be issued in the future, in accordance with the amounts paid-up or credited as paid-up on the par value of such ordinary shares, without taking into account any premium paid thereon.</w:t>
      </w:r>
    </w:p>
    <w:p>
      <w:pPr>
        <w:spacing w:after="0" w:line="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According to the Companies Law, a company may make a distribution of dividends out of its profits on the condition that there is no reasonable concern that the distribution may prevent the company from meeting its existing and expected obligations when they fall due. The Companies Law defines such profit as retained earnings or profits accrued in the last two years, whichever is greater, according to the last reviewed or audited financial statements of the company, provided that the end of the period to which the financial statements relate is not more than six months before the distribution. Declaration of dividends requires a resolution of our Board and does not require shareholder approval.</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50" w:name="page151"/>
    <w:bookmarkEnd w:id="1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Under Israeli law, holders of ordinary shares are permitted to freely convert dividends and liquidation distributions into non-Israeli currencies. Such amounts may be subject to Israeli withholding tax and certain reporting obligations may apply. Pursuant to Israeli law, currency control measures may be imposed by governmental action at any time.</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06"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Holders of our ordinary shares are entitled to one vote for each ordinary share on all matters submitted to a vote of shareholders, subject to any special rights of any class of shares that may be authorized in the future. Cumulative voting for the election of directors is not permitted.</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10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quorum required for a meeting of shareholders consists of at least two shareholders, present in person or by proxy, holding at least 25% of our issued shares conferring voting rights. A shareholders’ meeting will be adjourned for lack of a quorum, after half an hour from the time set for such meeting, to the same day in the following week at the same time and place, or any time and place as the board of directors designates in a notice to the shareholders. If at such adjourned meeting a quorum as specified above is not present within half an hour from the time designated for holding the meeting, subject to certain exceptions, any two shareholders present in person or by proxy shall constitute a quorum.</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Shareholders’ Meetings and Resolutions</w:t>
      </w:r>
    </w:p>
    <w:p>
      <w:pPr>
        <w:spacing w:after="0" w:line="1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Chairman of our board of directors is entitled to preside as Chairman of each shareholders’ meeting. If he is absent, his deputy or another person elected by the present shareholders will preside.</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simple majority is sufficient to approve most shareholders’ resolutions, including any amendment to our Articles of Association, unless otherwise required by law or by our Articles of Association. For example, resolutions with respect to certain interested party transactions, or with respect to tender offers may require a special majority.</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required to hold an annual meeting of our shareholders once every calendar year, but no later than 15 months after the date of the previous annual meeting. All meetings other than the annual meeting of shareholders are referred to as special meetings. Our board of directors may call special meetings whenever it sees fit, at such time and place as it may determine. In addition, the Companies Law provides that the board of directors of a public company is required to convene a special meeting upon the request of:</w:t>
      </w:r>
    </w:p>
    <w:p>
      <w:pPr>
        <w:spacing w:after="0" w:line="153" w:lineRule="exact"/>
        <w:rPr>
          <w:sz w:val="20"/>
          <w:szCs w:val="20"/>
          <w:color w:val="auto"/>
        </w:rPr>
      </w:pPr>
    </w:p>
    <w:p>
      <w:pPr>
        <w:ind w:left="360" w:hanging="172"/>
        <w:spacing w:after="0"/>
        <w:tabs>
          <w:tab w:leader="none" w:pos="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directors of the company or one quarter of the board of directors; or</w:t>
      </w:r>
    </w:p>
    <w:p>
      <w:pPr>
        <w:spacing w:after="0" w:line="184" w:lineRule="exact"/>
        <w:rPr>
          <w:rFonts w:ascii="Times New Roman" w:cs="Times New Roman" w:eastAsia="Times New Roman" w:hAnsi="Times New Roman"/>
          <w:sz w:val="18"/>
          <w:szCs w:val="18"/>
          <w:color w:val="auto"/>
        </w:rPr>
      </w:pPr>
    </w:p>
    <w:p>
      <w:pPr>
        <w:ind w:left="360" w:right="380" w:hanging="172"/>
        <w:spacing w:after="0" w:line="282" w:lineRule="auto"/>
        <w:tabs>
          <w:tab w:leader="none" w:pos="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shareholders holding, in the aggregate: (i) five percent of the outstanding shares of the company and one percent of the voting power in the company; or (ii) five percent of the voting power in the company.</w:t>
      </w:r>
    </w:p>
    <w:p>
      <w:pPr>
        <w:spacing w:after="0" w:line="5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Companies Law enables our board of directors to fix a record date to allow us to determine the shareholders entitled to notice of, or to vote at, any meeting of our shareholders. Under current regulations, the record date may be not more than forty days and not less than four days prior to the date of the meeting and notice is required to be published at least 21 or 35 days prior to the meeting, depending on the items on the agenda. Under the Companies Law and regulations promulgated thereunder, one or more shareholders holding at least 1% of the voting rights at a general meeting of shareholders may request that the board of directors include a matter in the agenda of a general meeting of shareholders to be convened in the future, provided that such matter is appropriate for discussion at the general meeting.</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Modification of Shareholders’ Rights</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rights attached to a class of shares may be altered by the approval of the shareholders of such class holding a majority of the voting rights of such class. The provisions in our Articles of Association pertaining to general meetings also apply to any special meeting of a class of shareholders. The quorum required for such special meeting is at least two persons who are the holders of at least 25% of the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51" w:name="page152"/>
    <w:bookmarkEnd w:id="1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outstanding shares of that class represented in person or by proxy at such meeting. If such special meeting is adjourned due to a lack of quorum, the quorum required at the subsequent meeting will be at least two persons who are holders of issued shares of that class or their proxies.</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our Articles of Association, no preemptive rights are attached to our ordinary shares.</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Restrictions on Non-Residents of Israel</w:t>
      </w:r>
    </w:p>
    <w:p>
      <w:pPr>
        <w:spacing w:after="0" w:line="10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ownership or voting of our ordinary shares by non-residents of Israel is not restricted in any way by our Articles of Association or the laws of Israel, except for ownership by nationals of some countries that are, or have been, in a state of war with Israel.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Mergers and Acquisitions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Mergers</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Companies Law permits merger transactions with the approval of each party’s board of directors and shareholders. In accordance with the Companies Law, our Articles of Association provide that a merger may be approved at a shareholders meeting by a majority of the voting power represented at the meeting, in person or by proxy, and voting on that resolution. In determining whether the required majority has approved the merger, shares held by the other party to the merger, any person holding at least 25% of the outstanding voting shares or the means of appointing the board of directors of the other party to the merger, or relatives of or companies controlled by these persons, are excluded from the vote.</w:t>
      </w:r>
    </w:p>
    <w:p>
      <w:pPr>
        <w:spacing w:after="0" w:line="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Companies Law, a merging company must inform its creditors of the proposed merger. Any creditor of a party to the merger may seek a court order blocking the merger if there is a reasonable concern that the surviving company will not be able to satisfy all of the obligations of the parties to the merger. In addition, a merger may not be completed until at least 50 days have passed from the date that a merger proposal was filed with the Israeli Registrar of Companies by each party and 30 days have passed since the merger was approved by the shareholders of each party.</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Tender Offers</w:t>
      </w:r>
    </w:p>
    <w:p>
      <w:pPr>
        <w:spacing w:after="0" w:line="10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The Companies Law also provides that an acquisition of shares in a public company must be made by means of a special tender offer if, as a result of the acquisition, the purchaser would become a 25% or more shareholder of the company, unless there is already a 25% or more shareholder of the company. Similarly, the Companies Law provides that an acquisition of shares in a public company must be made by means of a special tender offer if as a result of the acquisition the purchaser would become a more than 45% shareholder of the company, unless there is already a more than 45% shareholder of the company. These requirements do not apply if the acquisition (i) occurs in the context of a private placement by the company that received shareholder approval or (ii) was from a 25% or more than 45% shareholder, as the case may be. The tender offer must be extended to all shareholders, but the offeror is not required to purchase more than 5% of the company’s voting rights, regardless of how many shares are tendered by shareholders. The tender offer may be consummated only if (i) at least 5% of the company’s outstanding shares will be acquired by the offeror and (ii) the number of shares tendered in the offer exceeds the number of shares whose holders objected to the offer (excluding the controlling shareholders of the offeror, holders of 25% or more of the voting rights in the company or any person having a personal interest in the acceptance of the tender offer or any of their relatives or any entity controlled by them).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tender offer rules under the Israeli Companies Law will have no rights and will become dormant shares.</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2" w:name="page153"/>
    <w:bookmarkEnd w:id="1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If as a result of an acquisition of shares the acquirer will hold more than 90% of a company’s outstanding shares, the acquisition must be made by means of a tender offer for all of the outstanding shares. If (i) the shareholders who do not accept the offer hold less than 5% of the issued and outstanding share capital of the company and (ii) more than half of the shareholders who do not have a personal interest in the offer accept the offer, then all the shares that the acquirer offered to purchase will be transferred to it. However, a full tender offer will also be accepted if the shareholders who do not accept the offer holder less than 2% of the issued and outstanding shares of the company. The Companies Law provides for appraisal rights if any shareholder files a request in court within six months following the consummation of a full tender off, but the acquirer is entitled to stipulate that tendering shareholders forfeit their appraisal rights. If</w:t>
      </w:r>
    </w:p>
    <w:p>
      <w:pPr>
        <w:ind w:right="140" w:firstLine="8"/>
        <w:spacing w:after="0" w:line="254" w:lineRule="auto"/>
        <w:tabs>
          <w:tab w:leader="none" w:pos="2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who did not respond or accept the tender offer hold at least 5% of the issued and outstanding shares of the company or the shareholders who accept the offer constitute less than a majority of the offerees that do not have a personal interest in the acceptance of the tender offer, or (ii) the shareholders who do not accept the offer hold 2% or more of the outstanding shares of the company, then the acquirer may not acquire shares that will cause his shareholdings to exceed 90% of the outstanding shares.</w:t>
      </w:r>
    </w:p>
    <w:p>
      <w:pPr>
        <w:spacing w:after="0" w:line="1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Tax Law</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sales and dispositions of shares of the participating companies are, subject to certain exceptions, restricted. Moreover, with respect to certain share swap transactions, the tax deferral is limited in time, and when the time expires, tax then becomes payable even if no actual disposition of the shares has occurred.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Duties</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Under the Companies Law, a shareholder has a duty to act in good faith and customary manner toward the company and other shareholders and to refrain from abusing its power in the company, including, among other things, in voting at a meeting of shareholders on the following matters:</w:t>
      </w:r>
    </w:p>
    <w:p>
      <w:pPr>
        <w:spacing w:after="0" w:line="135" w:lineRule="exact"/>
        <w:rPr>
          <w:sz w:val="20"/>
          <w:szCs w:val="20"/>
          <w:color w:val="auto"/>
        </w:rPr>
      </w:pPr>
    </w:p>
    <w:p>
      <w:pPr>
        <w:ind w:left="360" w:hanging="172"/>
        <w:spacing w:after="0"/>
        <w:tabs>
          <w:tab w:leader="none" w:pos="3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company’s articles of association;</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the company’s authorized share capital;</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w:t>
      </w:r>
    </w:p>
    <w:p>
      <w:pPr>
        <w:spacing w:after="0" w:line="198"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interested-party transactions that require shareholder approval.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shareholder also has a general duty to refrain from discriminating against other shareholders.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certain shareholders have a duty of fairness toward the company. These shareholders include any controlling shareholder, any shareholder who knows that it possesses the power to determine the outcome of a shareholder vote and any shareholder who, under the company’s articles of association, has the power to appoint or to prevent the appointment of a director or officer of the company or another power with respect to the company. The Companies Law does not define the substance of this duty of fairness. However, a shareholder’s breach of the duty of fairness is subject to laws regarding breaches of contracts, taking into account the position of such shareholder in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Corporate Records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Companies Law, shareholders are provided access to minutes of our general meetings, our shareholders register and principal shareholders register, our articles of association in effect from time to time, our financial statements and any document that we are required by law to file publicly with the Israeli Companies Registrar or the Israel Securities Authority. In addition, shareholders may request to be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53" w:name="page154"/>
    <w:bookmarkEnd w:id="1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list our ordinary shares on the NASDAQ Capital Market under the symbol “ENTX.”</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Upon listing of our ordinary shares for trading on the NASDAQ Capital Market, the transfer agent and registrar for the ordinary shares will be American Stock Transfer &amp; Trust Company, LLC.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54" w:name="page155"/>
    <w:bookmarkEnd w:id="1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TAXATION AND GOVERNMENT PROGRAMS</w:t>
      </w:r>
    </w:p>
    <w:p>
      <w:pPr>
        <w:spacing w:after="0" w:line="9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following description is not intended to constitute a complete analysis of all tax consequences relating to the acquisition, ownership and disposition of our ordinary shares. You are encouraged to consult your tax advisor concerning the tax consequences of your particular situation, as well as any tax consequences that may arise under the laws of any state, local, foreign or other taxing jurisdiction.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Israeli Tax Considerations</w:t>
      </w:r>
    </w:p>
    <w:p>
      <w:pPr>
        <w:spacing w:after="0" w:line="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following are material Israeli income tax consequences of the ownership and disposition of our ordinary shares that are purchased in this offering. It does not purport to be a comprehensive description of all the tax considerations that may be relevant to a decision to own or dispose of our ordinary shares. This discussion does not address all the aspects of Israeli tax laws that may be relevant to an investor in light of its particular circumstances or to certain types of investors subject to special treatment under applicable law. The following discussion also contains an overview of the current tax regime applicable to companies in Israel, with specific reference to its effect on us. This discussion is based upon the tax laws of Israel and regulations promulgated thereunder as of the date hereof, which are subject to change. Some parts of this discussion are based on new tax legislation which has not been subject to judicial or administrative interpretation. The discussion should not be construed as legal or professional tax advice and does not cover all possible tax considerations.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Tax Structure</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Israeli companies are generally subject to corporate tax on their taxable income currently at the rate of 24% in 2017 (23% in 2018 and thereafter). However, the effective tax rate payable by a company that derives income from a Preferred Enterprise, Preferred Technological Enterprise or Preferred Special Technological Enterprise (as discussed below) may be considerably lower. Israeli companies are generally subject to capital gains tax at the regular corporate tax 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Benefits Under the Law for the Encouragement of Industry (Taxes)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According to the Law for the Encouragement of Industry (Taxes), 5729-1969, or the Industry Encouragement Law, an “industrial company” is an Israeli resident company that was incorporated in Israel, of which 90% or more of its income in any tax year, (other than income from certain government loans), is derived from an “Industrial Enterprise” owned by it and located in Israel. An “Industrial Enterprise” is generally defined as an enterprise whose major activity in any tax year is industrial production.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Industry Encouragement Law, industrial companies are entitled to the following tax-related benefits:</w:t>
      </w:r>
    </w:p>
    <w:p>
      <w:pPr>
        <w:spacing w:after="0" w:line="198" w:lineRule="exact"/>
        <w:rPr>
          <w:sz w:val="20"/>
          <w:szCs w:val="20"/>
          <w:color w:val="auto"/>
        </w:rPr>
      </w:pPr>
    </w:p>
    <w:p>
      <w:pPr>
        <w:ind w:left="360" w:right="480" w:hanging="172"/>
        <w:spacing w:after="0" w:line="282" w:lineRule="auto"/>
        <w:tabs>
          <w:tab w:leader="none" w:pos="3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over an eight-year period of the cost of purchased know-how and patents and rights to use a patent and know-how which are used for the development or advancement of the Industrial Enterprise, commencing on the year in which such rights were first exercised;</w:t>
      </w:r>
    </w:p>
    <w:p>
      <w:pPr>
        <w:spacing w:after="0" w:line="12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over a three-year period of expenses incurred in connection with the issuance and listing of shares on a stock market;</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elect, under specified conditions, to file a consolidated tax return together with related Israeli industrial companies; and</w:t>
      </w:r>
    </w:p>
    <w:p>
      <w:pPr>
        <w:spacing w:after="0" w:line="198"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depreciation rates on certain equipment and buildings.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Eligibility for benefits under the Industry Encouragement Law is not subject to receipt of prior approval from any governmental authority.</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we have not generated income yet, there is no assurance that we qualify as an Industrial Company or that the benefits described above will be available to us in the future.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55" w:name="page156"/>
    <w:bookmarkEnd w:id="1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 for the Encouragement of Capital Investments, 5719-1959</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 Benefits for Income from Preferred Enterprise</w:t>
      </w:r>
    </w:p>
    <w:p>
      <w:pPr>
        <w:spacing w:after="0" w:line="10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The Law for the Encouragement of Capital Investments, 5719-1959, generally referred to as the Investment Law, currently provides certain tax benefits,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alia</w:t>
      </w:r>
      <w:r>
        <w:rPr>
          <w:rFonts w:ascii="Times New Roman" w:cs="Times New Roman" w:eastAsia="Times New Roman" w:hAnsi="Times New Roman"/>
          <w:sz w:val="18"/>
          <w:szCs w:val="18"/>
          <w:color w:val="auto"/>
        </w:rPr>
        <w:t>, for income generated by “Preferred Companies” from their “Preferred Enterprises.” The definition of a Preferred Company includes, inter alia,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incorporated in Israel that (i) is not wholly-owned by a governmental entity; (ii) owns a Preferred Enterprise, which is defined as an “Industrial Enterprise” (as defined under the Investment Law); (iii) is controlled and managed from Israel; and (iv) satisfies further conditions set forth in the Investment Law.</w:t>
      </w:r>
    </w:p>
    <w:p>
      <w:pPr>
        <w:spacing w:after="0" w:line="7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Preferred Company is entitled to a reduced corporate tax rate of 16% with respect to income attributable to its Preferred Enterprise, unless the Preferred Enterprise is located in a specified development zone, known as development zone A, in which case the rate is currently 7.5%.</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Dividends paid out of income attributed to a Preferred Enterprise are generally subject to tax at the rate of 20% or such lower rate as may be provided in an applicable tax treaty. However, if such dividends are paid to an Israeli company, no tax is required to be withheld (although, if the funds are subsequently distributed to individuals or non-Israeli residents (individuals and corporations), the withholding tax would apply).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an additional tax of 3% will be imposed on individuals whose annual taxable income exceeds a certain threshold (NIS 640,000 for 2017).</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we have not yet generated income, there is no assurance that we qualify as a Preferred Company or that the benefits described above will be available to us in the future.</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 Benefits for Income from Preferred Technology Enterprise</w:t>
      </w:r>
    </w:p>
    <w:p>
      <w:pPr>
        <w:spacing w:after="0" w:line="10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An amendment to the Investment Law, or the 2017 Amendment, was enacted as part of the Economic Efficiency Law that was published on December 29, 2016, and became effective as of January 1, 2017. The 2017 Amendment provides new tax benefits to Preferred Companies for two types of “Technology Enterprises,” as described below, and is in addition to the other existing tax beneficial programs under the Investment Law.</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2017 Amendment provides that a technology company satisfying certain conditions will qualify as a “Preferred Technology Enterprise” and may thereby enjoy a reduced corporate tax rate of 12% on income that qualifies as “Preferred Technology Income”, as defined in the Investment Law. The tax rate is further reduced to 7.5% for a Preferred Technology Enterprise located in development zone A. In addition, a Preferred Technology Enterprise may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IIA.</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2017 Amendment further provides that a technology company satisfying certain conditions (including an annual turnover of NIS 10 billion or more of the group that the technology company is a part) will qualify as a “Special Preferred Technology Enterprise” and may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an Israeli company or acquired from a foreign company, in each case if the Benefited Intangible Assets were acquired on or after January 1, 2017, and the sale received prior approval from the IIA. A Special Preferred Technology Enterprise that acquires Benefitted Intangible Assets from a foreign company for more than NIS 500 million will be eligible for these benefits for at least 10 years, subject to satisfying certain conditions and obtaining certain approvals as specified in the Investment Law.</w:t>
      </w:r>
    </w:p>
    <w:p>
      <w:pPr>
        <w:spacing w:after="0" w:line="7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Dividends distributed by a Preferred Technology Enterprise or a Special Preferred Technology Enterprise, paid out of Preferred Technology Income, are subject to tax at the rate of 20%, and if distributed to a foreign company and other conditions are met the tax rate will be 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6" w:name="page157"/>
    <w:bookmarkEnd w:id="1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we have not yet generated income, there is no assurance that we qualify as a Preferred Technology Enterprise or Special Preferred Technology Enterprise or that the benefits described above will be available to us in the future.</w:t>
      </w:r>
    </w:p>
    <w:p>
      <w:pPr>
        <w:spacing w:after="0" w:line="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If in the future we generate taxable income, to the extent that we qualify as a “Preferred Company,” the benefits provided under the Investment Law could potentially reduce our corporate tax liabilities. Therefore, the termination or substantial reduction of the benefits available under the Investment Law could materially increase our tax liabilities.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Gains Tax</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Israeli law generally imposes a capital gains tax on the sale of any capital assets by residents of Israel, as defined for Israeli tax purposes, and on the sale of capital assets located in Israel, including shares of Israeli companies by non-residents of Israel, unless a specific exemption is available or unless a tax treaty between Israel and the shareholder’s country of residence provides otherwise. Israeli law distinguishes between real capital gain and inflationary surplus. The inflationary surplus is a portion of the total capital gain that is attributable to the increase in the Israeli consumer price index or, in certain circumstances, a foreign currency exchange rate between the date of purchase and the date of sale. The real capital gain is the excess of the total capital gain over the inflationary surplus.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Israeli Resident Shareholders</w:t>
      </w:r>
    </w:p>
    <w:p>
      <w:pPr>
        <w:spacing w:after="0" w:line="1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Generally, the tax rate applicable to real capital gains derived from the sale of our ordinary shares acquired pursuant to this offering is 25% for Israeli individuals, unless such shareholder claims a deduction for interest and linkage differences expenses in connection with such shares, in which case the gain will generally be taxed at a rate of 30%. Additionally, if such shareholder is considered a “significant shareholder” at the time of the sale or at any time during the 12-month period preceding such sale, the tax rate will be 30%. A “significant shareholder” is defined as a person who holds, directly or indirectly, including together with others, at least 10% of any means of control in the company (including, among other things, the right to receive profits of the company, voting rights, the right to receive the company’s liquidation proceeds and the right to appoint a director). However, different tax rates will apply to dealers in securities, whose income from the sale of securities is considered “business income”. An additional tax of 3% will be imposed on individuals whose annual taxable income exceeds a certain threshold (NIS 640,000 for 2017). Israeli companies are subject to the corporate tax rate on real capital gains derived from the sale of shares at the rate of 24% in 2017 (23% in 2018 and thereafter). Individual and corporate shareholder dealing in securities in Israel are taxed at the tax rates applicable to “business income”: 24% for corporations in 2017 (23% in 2018 and thereafter) and a marginal tax rate of up to 47% in 2017 and thereafter for individuals, plus an additional tax of 3%, which is imposed on individuals whose annual taxable income exceeds a certain threshold (NIS 640,000 for 2017).</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Non-Israeli Resident Shareholders</w:t>
      </w:r>
    </w:p>
    <w:p>
      <w:pPr>
        <w:spacing w:after="0" w:line="10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Non-Israeli residents (individuals and corporations) are generally exempt from Israeli capital gains tax on any gains derived from the sale, exchange or disposition of shares of Israeli companies publicly traded on a recognized stock exchange outside of Israel, provided, among other things, that such shareholders did not acquire their shares prior to the company’s initial public offering and the gains were not derived from a permanent establishment of such shareholders in Israel. However, shareholders that are non-Israeli entities will not be entitled to such exemption if Israeli residents hold an interest of more than 25% in such non-Israeli entities or are the beneficiaries of or are entitled to 25% or more of the revenues or profits of such non-Israeli entity, whether directly or indirectly. This exemption is not applicable to a person whose gains from selling or otherwise disposing of the shares are deemed to be business income.</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a sale of securities may be exempt from Israeli capital gains tax under the provisions of an applicable tax treaty. For example, pursuant to the Convention between the Government of the United States of America and the Government of Israel with respect to Taxes on Income, as amended, or the U.S.-Israel Tax Treaty, capital gains arising from the sale, exchange or disposition of ordinary shares by a person who qualifies as a resident of the United States within the meaning of the U.S.-Israel Tax Treaty and who holds the shares as a capital asset and is entitled to claim the benefits afforded to such person by</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57" w:name="page158"/>
    <w:bookmarkEnd w:id="1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U.S.-Israel Tax Treaty generally will not be subject to the Israeli capital gains tax unless (i) such person holds, directly or indirectly, shares representing 10% or more of our voting power during any part of the 12-month period preceding such sale, exchange or disposition, subject to particular conditions, (ii) the capital gains from such sale, exchange or disposition can be allocated to a permanent establishment of the shareholder in Israel or (iii) such person is an individual and was present in Israel for a period or periods of 183 days or more in the aggregate during the relevant tax year. In any such case, the sale, exchange or disposition of such shares would be subject to Israeli tax, to the extent applicable. Eligibility to benefit from tax treaties is conditioned upon the shareholder presenting a withholding certificate issued by the Israel Tax Authority prior to the applicable payment.</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Withholding and Reporting</w:t>
      </w:r>
    </w:p>
    <w:p>
      <w:pPr>
        <w:spacing w:after="0" w:line="1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Either the purchaser, the Israeli stockbrokers or financial institutions through which the shares are held is obliged to withhold tax on the amount of consideration paid upon the sale of securities (or on the capital gain realized on the sale, if known) at the Israeli corporate tax rate for Israeli companies (24% in 2017 and 23% in 2018 and thereafter). In case the seller is an individual, the applicable withholding tax rate would be 25%.</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some instances where our shareholders may be liable for Israeli tax on the sale of their ordinary shares, the payment of the consideration may be subject to the withholding of Israeli tax at source. Shareholders, including non-Israeli resident shareholders, may be required to demonstrate that they are exempt from tax on their capital gains in order to avoid withholding at source at the time of sale. In transactions involving a sale of all of the shares of an Israeli resident company, in the form of a merger or otherwise, the Israel Tax Authority may require non-Israeli resident shareholders who are not liable for Israeli tax to sign a declaration in a form specified by the Israel Tax Authority or obtain a specific exemption from the Israel Tax Authority to confirm their status as a non-resident of Israel, and, in the absence of such declarations or exemptions, may require the purchaser of the shares to withhold taxes at source.</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the sale of securities traded on a stock exchange, a detailed return, including a computation of the tax due, must be filed and an advanced payment must be paid on January 31 and June 30 of every tax year in respect of sales of securities made within the previous six months. However, if all tax due was withheld at source according to applicable provisions of the Ordinance and the regulations promulgated thereunder, then the aforementioned return need not be filed and no advance payment must be made. Capital gain is also reportable on the annual income tax return.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Dividend Distributions</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Israeli Residents</w:t>
      </w:r>
    </w:p>
    <w:p>
      <w:pPr>
        <w:spacing w:after="0" w:line="1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Israeli resident individuals are generally subject to Israeli income tax on the receipt of dividends paid on our ordinary shares (other than bonus shares). The tax rate applicable to such dividends is 25% or 30% for a shareholder that is considered a “significant shareholder” (as defined below) at any time during the 12-month period preceding such distribution. Dividends paid from income attributed to Preferred Enterprises are generally subject to tax at the rate of 20%. Dividends distributed by a Preferred Technology Enterprise or a Special Preferred Technology Enterprise, paid out of Preferred Technology Income, are generally subject to tax at the rate of 20%.</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Israeli resident companies are generally exempt from tax on the receipt of dividends paid on our ordinary shares.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the dividend is attributable partly to income derived from a Preferred Enterprise or to Preferred Technology Income of a Preferred Technology Enterprise or a Special Preferred Technology Enterprise and partly to other sources of income, the tax rate will be a blended rate reflecting the relative portions of the two types of income. We cannot assure you that we will designate the profits that may be distributed in a way that will reduce shareholders’ tax liability.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an additional tax of 3% will be imposed on individuals whose annual taxable income exceeds a certain threshold (NIS 640,000 for 2017).</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58" w:name="page159"/>
    <w:bookmarkEnd w:id="1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Non-Israeli Residents</w:t>
      </w:r>
    </w:p>
    <w:p>
      <w:pPr>
        <w:spacing w:after="0" w:line="10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Non-residents of Israel (whether individuals or corporations) are generally subject to Israeli income tax on the receipt of dividends paid on ordinary shares at the rate of 25%, or 30% for a shareholder that is considered a “significant shareholder” (as defined above) at any time during the 12-month period preceding such distribution, or 20% if the dividend is distributed from income attributable to a Preferred Enterprise, Preferred Technology Enterprise or Special Preferred Technology Enterprise, which tax is to be withheld at source. Dividends not derived from income attributable to a Preferred Enterprise, Preferred Technology Enterprise or Special Preferred Technology Enterprise, are generally subject to Israeli withholding tax at a rate of 25% so long as the shares of a publicly traded company are registered with a nominee company (regardless of whether the recipient is a significant shareholder), unless a different rate is provided in a treaty between Israel and the shareholder’s country of residence.</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U.S.-Israel Tax Treaty, the maximum rate of tax withheld in Israel on dividends paid to a holder of ordinary shares who qualifies as a resident of the United States within the meaning of the U.S.-Israel Tax Treaty is 25%. Such tax rate is generally reduced to 12.5% (for distribution of income that is not attributable to a Preferred Enterprise Preferred Technology Enterprise or Special Preferred Technology Enterprise) if the shareholder is a U.S. corporation and holds at least 10% of our issued voting power during the tax year in which the dividend is distributed as well as during the whole of its prior tax year, provided that not more than 25% of the gross income for such preceding year consists of certain types of interest or dividends and a certificate for a reduced withholding tax rate is obtained in advance from the Israeli Tax Authority.</w:t>
      </w:r>
    </w:p>
    <w:p>
      <w:pPr>
        <w:spacing w:after="0" w:line="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aforementioned rates under the U.S.-Israel Double Tax Treaty will not apply if the dividend income was derived through a permanent establishment of the U.S. resident in Israel.</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non-Israeli resident who receives dividend income derived from or accrued from Israel, from which the full amount of tax was withheld at source, is generally exempt from the obligation to file tax returns in Israel with respect to such income, provided that (i) such income was not generated from business conducted in Israel by the taxpayer, and (ii) the taxpayer has no other taxable sources of income in Israel with respect to which a tax return is required to be filed.</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Eligibility to benefit from tax treaties is conditioned upon the shareholder presenting a withholding certificate issued by the Israel Tax Authority prior to the applicable dividend distribution.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Tax</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Individuals who are subject to tax in Israel are also subject to an additional tax at a rate of 3% on annual income exceeding a certain threshold (NIS 640,000 for 2017), which amount is linked to the annual change in the Israeli consumer price index, including, but not limited to, dividends, interest and capital gain, subject to the provisions of an applicable tax treaty.</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9" w:name="page160"/>
    <w:bookmarkEnd w:id="1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Material U.S. Federal Income Tax Considerations for U.S. Holders</w:t>
      </w:r>
    </w:p>
    <w:p>
      <w:pPr>
        <w:spacing w:after="0" w:line="9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opinion of Davis Polk &amp; Wardwell LLP, the following are material U.S. federal income tax consequences to the U.S. Holders described below of owning and disposing of our ordinary shares, but it does not purport to be a comprehensive description of all the tax considerations that may be relevant to a particular person’s decision to acquire the ordinary shares. This discussion applies only to a U.S. Holder that acquires our ordinary shares in this offering and holds the ordinary shares as capital assets for U.S. federal income tax purposes. In addition, it does not describe all of the tax consequences that may be relevant in light of a U.S. Holder’s particular circumstances, including alternative minimum tax consequences, any aspect of the provisions of the Internal Revenue Code of 1986, as amended, or the Code, commonly known as the Medicare tax and tax consequences applicable to U.S. Holders subject to special rules, such as:</w:t>
      </w:r>
    </w:p>
    <w:p>
      <w:pPr>
        <w:spacing w:after="0" w:line="108" w:lineRule="exact"/>
        <w:rPr>
          <w:sz w:val="20"/>
          <w:szCs w:val="20"/>
          <w:color w:val="auto"/>
        </w:rPr>
      </w:pPr>
    </w:p>
    <w:p>
      <w:pPr>
        <w:ind w:left="360" w:hanging="172"/>
        <w:spacing w:after="0"/>
        <w:tabs>
          <w:tab w:leader="none" w:pos="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that use a mark-to-market method of tax accounting;</w:t>
      </w:r>
    </w:p>
    <w:p>
      <w:pPr>
        <w:spacing w:after="0" w:line="130" w:lineRule="exact"/>
        <w:rPr>
          <w:rFonts w:ascii="Times New Roman" w:cs="Times New Roman" w:eastAsia="Times New Roman" w:hAnsi="Times New Roman"/>
          <w:sz w:val="18"/>
          <w:szCs w:val="18"/>
          <w:color w:val="auto"/>
        </w:rPr>
      </w:pPr>
    </w:p>
    <w:p>
      <w:pPr>
        <w:ind w:left="360" w:right="820" w:hanging="172"/>
        <w:spacing w:after="0" w:line="282" w:lineRule="auto"/>
        <w:tabs>
          <w:tab w:leader="none" w:pos="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as part of a “straddle” or integrated transaction or persons entering into a constructive sale with respect to the ordinary shares;</w:t>
      </w:r>
    </w:p>
    <w:p>
      <w:pPr>
        <w:spacing w:after="0" w:line="8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exempt entities, “individual retirement accounts” or “Roth IRAs”;</w:t>
      </w:r>
    </w:p>
    <w:p>
      <w:pPr>
        <w:spacing w:after="0" w:line="14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our stock by vote or value; or</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in connection with a trade or business conducted outside of the United States.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owns our ordinary shares, the U.S. federal income tax treatment of a partner will generally depend on the status of the partner and the activities of the partnership. Partnerships owning our ordinary shares and partners in such partnerships should consult their tax advisers as to the particular U.S. federal tax consequences of owning and disposing of the ordinary shares.</w:t>
      </w:r>
    </w:p>
    <w:p>
      <w:pPr>
        <w:spacing w:after="0" w:line="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and final and proposed Treasury regulations, changes to any of which subsequent to the date of this offering may affect the tax consequences described herein.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person who, for U.S. federal income tax purposes, is a beneficial owner of ordinary shares and is:</w:t>
      </w:r>
    </w:p>
    <w:p>
      <w:pPr>
        <w:spacing w:after="0" w:line="131" w:lineRule="exact"/>
        <w:rPr>
          <w:sz w:val="20"/>
          <w:szCs w:val="20"/>
          <w:color w:val="auto"/>
        </w:rPr>
      </w:pPr>
    </w:p>
    <w:p>
      <w:pPr>
        <w:ind w:left="360" w:hanging="172"/>
        <w:spacing w:after="0"/>
        <w:tabs>
          <w:tab w:leader="none" w:pos="3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44" w:lineRule="exact"/>
        <w:rPr>
          <w:rFonts w:ascii="Times New Roman" w:cs="Times New Roman" w:eastAsia="Times New Roman" w:hAnsi="Times New Roman"/>
          <w:sz w:val="18"/>
          <w:szCs w:val="18"/>
          <w:color w:val="auto"/>
        </w:rPr>
      </w:pPr>
    </w:p>
    <w:p>
      <w:pPr>
        <w:ind w:left="360" w:right="380" w:hanging="172"/>
        <w:spacing w:after="0" w:line="282" w:lineRule="auto"/>
        <w:tabs>
          <w:tab w:leader="none" w:pos="3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6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advisers concerning the U.S. federal, state, local and foreign tax consequences of owning and disposing of our ordinary shares in their particular circumstances.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distributions, if any, paid on our ordinary shares (other than certain pro-rata distributions of ordinary shares) will be treated as dividends to the extent paid out of our current or accumulated earnings and profits (as determined under U.S. federal income tax principles). Because we do not calculate our earnings and profits under U.S. federal income tax principles, it is expected that distributions generally will be reported to U.S. Holders as dividends. Subject to applicable limitations, dividends paid to certain non-corporate U.S. Holders may be</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60" w:name="page161"/>
    <w:bookmarkEnd w:id="1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taxable at the favorable tax rates applicable to “qualified dividend income”. Non-corporate U.S. Holders should consult their tax advisers regarding the availability of these favorable rates on dividends in their particular circumstances. Dividends will not be eligible for the dividends received deduction generally available to U.S. corporations under the Code and will generally be included in a U.S. Holder’s income on the date of receipt.</w:t>
      </w:r>
    </w:p>
    <w:p>
      <w:pPr>
        <w:spacing w:after="0" w:line="5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Dividend income will include any amounts withheld by us in respect of Israeli taxes, and will be treated as foreign source income for foreign tax credit purposes. Subject to applicable limitations, some of which vary depending upon the U.S. Holder’s circumstances, Israeli taxes withheld from dividends on our ordinary shares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elect to deduct foreign taxes (including Israeli taxes) in computing their taxable income, subject to applicable limitations. An election to deduct foreign taxes instead of claiming foreign tax credits applies to all foreign taxes paid or accrued in the taxable year.</w:t>
      </w:r>
    </w:p>
    <w:p>
      <w:pPr>
        <w:spacing w:after="0" w:line="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any dividend is paid in foreign currency, the amount of dividend income will be the dividend’s U.S. dollar amount calculated by reference to the exchange rate in effect on the date of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or Other Taxable Disposition of Ordinary Shares</w:t>
      </w:r>
    </w:p>
    <w:p>
      <w:pPr>
        <w:spacing w:after="0" w:line="8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gain or loss realized on the sale or other taxable disposition of our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This gain or loss will generally be U.S. source gain or loss for foreign tax credit purposes. The deductibility of capital losses is subject to limitations.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be a “passive foreign investment company,” or a PFIC, for our current or any future taxable year. In general, a non-U.S. corporation is a PFIC for any taxable year in which (i) 75% or more of its gross income consists of passive income, the income test or (ii) 50% or more of the average quarterly value of its assets consists of assets that produce, or are held for the production of, passive income, the assets test. Generally, “passive income” includes interest, dividends, rents, royalties and certain gains, and cash (including cash raised in this offering) is a passive asset for PFIC purposes.</w:t>
      </w:r>
    </w:p>
    <w:p>
      <w:pPr>
        <w:spacing w:after="0" w:line="5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assets shown on our balance sheet are expected to consist primarily of cash and cash equivalents for the foreseeable future. Therefore, whether we will satisfy the assets test for the current or any future taxable year will depend largely on the quarterly value of our goodwill, and on how quickly we utilize the cash in our business. Because (i) the value of our goodwill may be determined by reference to the market price of our ordinary shares, which may be volatile given the nature and early stage of our business, (ii) we expect to hold a significant amount of cash following this offering, and (iii) a company’s PFIC status is determined on an annual basis after the end of each taxable year, we cannot express a view as to whether we will be a PFIC for the current or any future taxable year. In addition, it is not clear how to apply the income test to a company such as our company, whose only income for a relevant taxable year is passive interest income but whose overall losses significantly exceed the amount of such passive income. We believe that it is reasonable to take the position that a company like us, whose overall losses exceed its passive income, would not be a PFIC if it otherwise would not be a PFIC under the assets test for the relevant taxable year, but there can be no assurance that the Internal Revenue Service will respect, or a court will uphold, such position.</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purposes of the assets test and income test,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61" w:name="page162"/>
    <w:bookmarkEnd w:id="1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attribution rules, if we were a PFIC for any taxable year and had any subsidiaries or other entities in which we held a direct or indirect equity interest that are also PFICs, or Lower-tier PFICs, U.S. Holders would be deemed to own their proportionate share of any such Lower-tier PFICs and would be subject to U.S. federal income tax according to the rules described in the following paragraph on (i) certain distributions by a Lower-tier PFIC and (ii) a disposition of shares of a Lower-tier PFIC, in each case as if the U.S. Holders held such shares or equity interests directly, even if the U.S. Holders do not receive the proceeds of those distributions or dispositions.</w:t>
      </w:r>
    </w:p>
    <w:p>
      <w:pPr>
        <w:spacing w:after="0" w:line="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If we were a PFIC for any taxable year during which a U.S. Holder held our ordinary shares, an adverse tax regime would apply to the U.S. Holder’s investment in our ordinary shares. Generally, gain recognized upon a disposition (including, under certain circumstances, a pledge) of ordinary shares by the U.S. Holder would be allocated ratably over the U.S. Holder’s holding period for such ordinary shares. The amounts allocated to the taxable year of disposition and to taxable years prior to the first taxable year in which we were a PFIC would be taxed as ordinary income. The amount allocated to each other taxable year would be subject to tax at the highest tax rate in effect for that taxable year for individuals or corporations, as appropriate, and an interest charge would be imposed on the resulting tax liability for each such year. Further, to the extent that any distribution received by a U.S. Holder on ordinary shares exceeded 125% of the average of the annual distributions received on such ordinary shares during the preceding three years or the U.S. Holder’s holding period, whichever is shorter, that distribution would be subject to taxation in the same manner.</w:t>
      </w:r>
    </w:p>
    <w:p>
      <w:pPr>
        <w:spacing w:after="0" w:line="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Alternatively, if we were a PFIC and if the ordinary shares were “regularly traded” on a “qualified exchange,” a U.S. Holder might be able to make a mark-to-market election with respect to our ordinary shares (but generally not with respect to Lower-tier PFICs, if any) that would result in tax treatment different from the general tax treatment for PFICs described above. The ordinary shares would be treated as “regularly traded” in any calendar year in which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quantity of the ordinary shares were traded on a qualified exchange on at least 15 days during each calendar quarter. The NASDAQ Capital Market, where our ordinary shares are expected to be listed, is a qualified exchange for this purpose. If a U.S. Holder makes the mark-to-market election, the U.S. Holder generally will recognize in each year that we are a PFIC as ordinary income any excess of the fair market value of the ordinary shares at the end of the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these income or loss amounts. In addition, if a U.S. Holder makes the mark-to-market election, any gain that the U.S. Holder recognizes on the sale or other disposition of ordinary shares in a year in which we are a PFIC will be treated as ordinary income and any loss will be treated as an ordinary loss (but only to the extent of the net amount of income previously included as a result of the mark-to-market election). U.S. Holders should consult their tax advisers regarding the availability and advisability of making a mark-to-market election in their particular circumstances.</w:t>
      </w:r>
    </w:p>
    <w:p>
      <w:pPr>
        <w:spacing w:after="0" w:line="8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a further alternative tax treatment.</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we were a PFIC for any year during which a U.S. Holder owns ordinary shares, we generally would continue to be treated as a PFIC with respect to such U.S. Holder’s ordinary shares unless (a) we ceased to be a PFIC and (b) the U.S. Holder has made a “deemed sale” election under the PFIC rules which may result in recognition of gain (but not loss), taxable under the PFIC rules described above, without the receipt of any corresponding cash.</w:t>
      </w:r>
    </w:p>
    <w:p>
      <w:pPr>
        <w:spacing w:after="0" w:line="6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If we were a PFIC or, with respect to a particular U.S. Holder, were treated as a PFIC for the taxable year in which we pay a dividend or the prior taxable year, the preferential rates discussed above with respect to dividends paid to certain non-corporate U.S. Holders would not apply. In addition, if we were a PFIC for any taxable year during which a U.S. Holder owns ordinary shares, the U.S. Holder would be required to file annual reports with the Internal Revenue Service, subject to certain exceptions.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Holders should consult their tax advisers regarding the potential application of the PFIC rules to an investment in our ordinary shares.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62" w:name="page163"/>
    <w:bookmarkEnd w:id="1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 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Internal Revenue Service.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with Respect to Foreign Financial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U.S. Holders who are individuals and certain closely-held entities may be required to report information relating to the ordinary shares, unless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are held in an account maintained by a financial institution (in which case the account itself may be reportable if maintained by a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financial institution). U.S. Holders should consult their tax advisors regarding their reporting obligations with respect to their ownership and disposition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ordinary shares.</w:t>
      </w: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163" w:name="page164"/>
    <w:bookmarkEnd w:id="1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SHARES ELIGIBLE FOR FUTURE SALE</w:t>
      </w:r>
    </w:p>
    <w:p>
      <w:pPr>
        <w:spacing w:after="0" w:line="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ordinary shares. Future sales of our ordinary shares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ordinary shares in the public market after such restrictions lapse, or the perception that those sales may occur, could adversely affect the prevailing market price at such time and our ability to raise equity capital in the future.</w:t>
      </w:r>
    </w:p>
    <w:p>
      <w:pPr>
        <w:spacing w:after="0" w:line="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Based on the number of ordinary shares outstanding as of December 31, 2017, upon completion of this offering 11,897,252 ordinary shares will be outstanding (which includes 3,377,213 ordinary shares issuable upon the conversion of our preferred shares that will be outstanding upon the closing of this offering and 428,348 ordinary shares issuable upon the conversion of our convertible loans that will be outstanding upon the closing of this offering), after giving effect to the 1-for-89.5 split of our ordinary shares that is described elsewhere in this prospectus, assuming no exercise of options or outstanding warrants or the underwriters’ option to purchase additional ordinary shares from us.</w:t>
      </w:r>
    </w:p>
    <w:p>
      <w:pPr>
        <w:spacing w:after="0" w:line="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Of these shares, the 5,000,000 ordinary shares sold in this offering and the 984,500 shares registered for resale by certain shareholders pursuant to the resale prospectus included in this registration statement will be freely tradable without restriction or further registration under the Securities Act, unless purchased by our “affiliates,” as that term is defined in Rule 144 under the Securities Act. The remaining 5,912,752 ordinary shares outstanding after this offering will be “restricted securities” under Rule 144, and we expect that substantially all of these restricted securities will be subject to the 180-day lock-up period under the lock-up agreements described below. Following the expiration of these lock-up periods, those shares may be registered or may be eligible for resale in compliance with Rules 144 or 701 under the Securities Act, as described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0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and our executive officers, directors, and certain of our shareholders and lenders have agreed not to offer, sell, agree to sell, directly or indirectly, or otherwise dispose of any ordinary shares or any securities convertible into or exchangeable for ordinary shares except for the ordinary shares offered in this offering without the prior written consent of Oppenheimer &amp; Co. Inc. for a period of 180 days after the date of this prospectus, subject to certain exceptions. After the expiration of the 180-day period, the shares may be sold subject to the restrictions under Rule 144 or 701 under the Securities Act or by means of registered public offerings. Certain securities held by our shareholders shall not be subject to any such lock-up period, other than as required by applicable law, rule or regulation. The underwriters may, in their sole discretion, at any time without prior notice, release all or any portion of the shares from the restrictions in any such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Affiliate Resales of Restricted Securities</w:t>
      </w:r>
    </w:p>
    <w:p>
      <w:pPr>
        <w:spacing w:after="0" w:line="1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part of our shares for at least six months would be entitled to sell in “broker’s transactions” or certain “riskless principal transactions” or to market makers, a number of shares within any three-month period that does not exceed the greater of:</w:t>
      </w:r>
    </w:p>
    <w:p>
      <w:pPr>
        <w:spacing w:after="0" w:line="31" w:lineRule="exact"/>
        <w:rPr>
          <w:sz w:val="20"/>
          <w:szCs w:val="20"/>
          <w:color w:val="auto"/>
        </w:rPr>
      </w:pPr>
    </w:p>
    <w:p>
      <w:pPr>
        <w:ind w:left="360" w:hanging="172"/>
        <w:spacing w:after="0"/>
        <w:tabs>
          <w:tab w:leader="none" w:pos="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shares then outstanding, which will equal approximately shares immediately after this offering; or</w:t>
      </w:r>
    </w:p>
    <w:p>
      <w:pPr>
        <w:spacing w:after="0" w:line="76" w:lineRule="exact"/>
        <w:rPr>
          <w:rFonts w:ascii="Times New Roman" w:cs="Times New Roman" w:eastAsia="Times New Roman" w:hAnsi="Times New Roman"/>
          <w:sz w:val="18"/>
          <w:szCs w:val="18"/>
          <w:color w:val="auto"/>
        </w:rPr>
      </w:pPr>
    </w:p>
    <w:p>
      <w:pPr>
        <w:ind w:left="360" w:right="440" w:hanging="172"/>
        <w:spacing w:after="0" w:line="282" w:lineRule="auto"/>
        <w:tabs>
          <w:tab w:leader="none" w:pos="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on the NASDAQ Capital Market during the four calendar weeks preceding the filing of a notice on Form 144 with respect to such sale.</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Affiliate resales under Rule 144 also are subject to the availability of current public information about us. In addition, if the number of securities being sold under Rule 144 by an affiliate during any three-month period exceeds 5,000 securities or has an aggregate sale price in excess of $50,000, the seller must file a</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64" w:name="page165"/>
    <w:bookmarkEnd w:id="1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on Form 144 with the SEC and concurrently with either the placing of a sale order with the broker or the execution directly with a market maker.</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Nonaffiliate Resales of Restricted Securities</w:t>
      </w:r>
    </w:p>
    <w:p>
      <w:pPr>
        <w:spacing w:after="0" w:line="1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shares for at least six months but less than a year, is entitled to sell such securities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 Nonaffiliate resales are not subject to the manner of sale, volume limitation or notice filing provisions of Rule 144.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general, under Rule 701 of the Securities Act, each of our employees, consultants or advisors who acquires our ordinary shares from us in connection with a compensatory share plan or other written agreement executed prior to the closing of this offering is eligible to resell such ordinary shares in reliance on Rule 144, but without compliance with some of the restrictions, including the holding period, contained in Rule 144.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After the completion of this offering, we intend to file one or more registration statements on Form S-8 under the Securities Act covering our shares subject to outstanding options and shares issuable under the Plan, permitting the resale of such shares by nonaffiliates in the public market without restriction under the Securities Act and the sale by affiliates in the public market, subject to compliance with the resale provisions of Rule 144. Accordingly, our shares registered under any such registration statement will be available for sale in the open market upon exercise by the holders, subject to vesting and holding restrictions, as applicable, Rule 144 limitations applicable to our affiliates and the contractual lock-up provisions described above.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Stockholder Resale Prospectus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described in the Explanatory Note to the registration statement of which this prospectus forms a part, the registration statement also contains the Selling Stockholder Resale Prospectus to be used in connection with the potential resale by certain selling stockholders of our ordinary shares issued. These ordinary shares have been registered to permit public resale of such shares, and the selling stockholders may offer the shares for resale from time to time pursuant to the Selling Stockholder Resale Prospectus. The selling stockholders may also sell, transfer or otherwise dispose of all or a portion of their shares in transactions exempt from the registration requirements of the Securities Act or pursuant to another effective registration statement covering those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Upon completion of this offering, the holders of 6,384,304 ordinary shares will be entitled to various rights with respect to the registration of these shares under the Securities Act. Registration of these shares would result in these shares becoming freely tradable without restriction under the Securities Act immediately upon the registered sale of such securities.</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Demand Registration Rights</w:t>
      </w:r>
    </w:p>
    <w:p>
      <w:pPr>
        <w:spacing w:after="0" w:line="10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Pursuant to the investors’ rights agreement, at any time beginning 180 days after the closing of this offering and for so long as we are eligible to file a registration statement on Form F-3, any shareholder or group of shareholders holding an aggregate of at least 10% of the registrable securities under the investors’ rights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65" w:name="page166"/>
    <w:bookmarkEnd w:id="1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agreement that are not held by D.N.A Biomedical, may request in writing that we effect the registration under the Securities Act of the sale or other transfer of such shareholder or shareholders’ ordinary shares, provided that we are not required to effect more than three such registrations.</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Form F-3 Registration Statement</w:t>
      </w:r>
    </w:p>
    <w:p>
      <w:pPr>
        <w:spacing w:after="0" w:line="1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After we become eligible to file a registration statement on Form F-3, which will not be until at least 12 months after the date of this prospectus, any shareholder or group of shareholders holding an aggregate of at least 10% of the registrable securities under the investors’ rights agreement that are not held by D.N.A Biomedical may request in writing that we effect a registration of the sale or other transfer of such shares, provided that the aggregate anticipated proceeds from the sale of such shares equals at least $1.0 million and that we are not required to effect more than three such registrations.</w:t>
      </w:r>
    </w:p>
    <w:p>
      <w:pPr>
        <w:spacing w:after="0" w:line="7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will not be obligated to file a registration statement on Form F-3 in certain cases including if in the good faith judgment of our board of directors (as reflected in a certificate delivered by our chief executive officer), such registration would be seriously detrimental to our company or its shareholders, provided that we do not use this exemption more than once in any 12-month period. We also have the right not to effect a Form F-3 registration statement during the period from 60 days prior to the filing of, to six months following the effective date of, a previous registration statements.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investors’ rights agreement also provides our shareholders with “piggy back” registration rights in the event that we determine to register the sale of any of our securities following this offering. With respect to such registration rights, we have committed to use our reasonable best efforts to include in a registration statement a prospectus relating to the resale of certain securities held by certain of our shareholders, or to file concurrently with the application of this registration statement a separate registration statement with respect to the resale under the Securities Act of such securities held by such shareholders, so as to permit their disposition (such securities held by such shareholders and the rights attached to such securities are freely transferable by such shareholders).</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66" w:name="page167"/>
    <w:bookmarkEnd w:id="1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UNDERWRITING</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entered into an underwriting agreement with the underwriters named below on , 2018. Oppenheimer &amp; Co. Inc. is acting as the representative of the underwriters. The underwriting agreement provides for the purchase of a specific number of ordinary shares by each of the underwriters. The underwriters’ obligations are several, which means that each underwriter is required to purchase a specified number of ordinary shares, but is not responsible for the commitment of any other underwriter to purchase ordinary shares. Subject to the terms and conditions of the underwriting agreement, each underwriter has severally agreed to purchase the number of ordinary shares set forth opposite its name below:</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 of</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Ordinary</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70" w:lineRule="exact"/>
        <w:rPr>
          <w:sz w:val="20"/>
          <w:szCs w:val="20"/>
          <w:color w:val="auto"/>
        </w:rPr>
      </w:pPr>
    </w:p>
    <w:p>
      <w:pPr>
        <w:sectPr>
          <w:pgSz w:w="11900" w:h="16838" w:orient="portrait"/>
          <w:cols w:equalWidth="0" w:num="2">
            <w:col w:w="9700" w:space="720"/>
            <w:col w:w="1000"/>
          </w:cols>
          <w:pgMar w:left="240" w:top="114" w:right="2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6608445</wp:posOffset>
            </wp:positionH>
            <wp:positionV relativeFrom="paragraph">
              <wp:posOffset>17145</wp:posOffset>
            </wp:positionV>
            <wp:extent cx="46291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34290</wp:posOffset>
            </wp:positionV>
            <wp:extent cx="46291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1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underwriters have agreed to purchase all of the ordinary shares offered by this prospectus (other than those covered by the over-allotment option described below) if any are purchased.</w:t>
      </w:r>
    </w:p>
    <w:p>
      <w:pPr>
        <w:spacing w:after="0" w:line="54" w:lineRule="exact"/>
        <w:rPr>
          <w:sz w:val="20"/>
          <w:szCs w:val="20"/>
          <w:color w:val="auto"/>
        </w:rPr>
      </w:pPr>
    </w:p>
    <w:p>
      <w:pPr>
        <w:spacing w:after="0"/>
        <w:tabs>
          <w:tab w:leader="none" w:pos="7060" w:val="left"/>
        </w:tabs>
        <w:rPr>
          <w:sz w:val="20"/>
          <w:szCs w:val="20"/>
          <w:color w:val="auto"/>
        </w:rPr>
      </w:pPr>
      <w:r>
        <w:rPr>
          <w:rFonts w:ascii="Times New Roman" w:cs="Times New Roman" w:eastAsia="Times New Roman" w:hAnsi="Times New Roman"/>
          <w:sz w:val="18"/>
          <w:szCs w:val="18"/>
          <w:color w:val="auto"/>
        </w:rPr>
        <w:t>The ordinary shares offered hereby are expected to be ready for delivery on or about</w:t>
      </w:r>
      <w:r>
        <w:rPr>
          <w:sz w:val="20"/>
          <w:szCs w:val="20"/>
          <w:color w:val="auto"/>
        </w:rPr>
        <w:tab/>
      </w:r>
      <w:r>
        <w:rPr>
          <w:rFonts w:ascii="Times New Roman" w:cs="Times New Roman" w:eastAsia="Times New Roman" w:hAnsi="Times New Roman"/>
          <w:sz w:val="17"/>
          <w:szCs w:val="17"/>
          <w:color w:val="auto"/>
        </w:rPr>
        <w:t>, 2018 against payment in immediately available funds.</w:t>
      </w:r>
    </w:p>
    <w:p>
      <w:pPr>
        <w:spacing w:after="0" w:line="104"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The underwriters are offering the ordinary shares subject to various conditions and may reject all or part of any order. The representative of the underwriters has advised us that the underwriters propose initially to offer the ordinary shares to the public at the public offering price set forth on the cover page of this</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prospectus and to dealers at a price less a concession not in excess of $ per ordinary share to brokers and dealers. After the ordinary shares are released for sale to the public, the representative may change the offering price, the concession, and other selling terms at various times.</w:t>
      </w:r>
    </w:p>
    <w:p>
      <w:pPr>
        <w:spacing w:after="0" w:line="7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We have granted the underwriters an over-allotment option. This option, which is exercisable for up to 30 days after the date of this prospectus, permits the underwriters to purchase a maximum of 750,000 additional ordinary shares from us to cover over-allotments, if any. If the underwriters exercise all or part of this option, they will purchase ordinary shares covered by the option at the public offering price that appears on the cover page of this prospectus, less the</w:t>
      </w:r>
    </w:p>
    <w:p>
      <w:pPr>
        <w:spacing w:after="0" w:line="2" w:lineRule="exact"/>
        <w:rPr>
          <w:sz w:val="20"/>
          <w:szCs w:val="20"/>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underwriting discounts and commissions. If this option is exercised in full, the total price to public will be $ , and the total proceeds to us, before expenses, will be $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amount of the discounts and commissions to be paid to the underwriters by us, before expenses: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Without</w:t>
            </w:r>
          </w:p>
        </w:tc>
        <w:tc>
          <w:tcPr>
            <w:tcW w:w="1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 With Full</w:t>
            </w:r>
          </w:p>
        </w:tc>
      </w:tr>
      <w:tr>
        <w:trPr>
          <w:trHeight w:val="162"/>
        </w:trPr>
        <w:tc>
          <w:tcPr>
            <w:tcW w:w="6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Per</w:t>
            </w:r>
          </w:p>
        </w:tc>
        <w:tc>
          <w:tcPr>
            <w:tcW w:w="18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1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Exercise of</w:t>
            </w:r>
          </w:p>
        </w:tc>
      </w:tr>
      <w:tr>
        <w:trPr>
          <w:trHeight w:val="162"/>
        </w:trPr>
        <w:tc>
          <w:tcPr>
            <w:tcW w:w="6300" w:type="dxa"/>
            <w:vAlign w:val="bottom"/>
          </w:tcPr>
          <w:p>
            <w:pPr>
              <w:spacing w:after="0"/>
              <w:rPr>
                <w:sz w:val="14"/>
                <w:szCs w:val="14"/>
                <w:color w:val="auto"/>
              </w:rPr>
            </w:pPr>
          </w:p>
        </w:tc>
        <w:tc>
          <w:tcPr>
            <w:tcW w:w="14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8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1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Over-Allotment</w:t>
            </w:r>
          </w:p>
        </w:tc>
      </w:tr>
      <w:tr>
        <w:trPr>
          <w:trHeight w:val="190"/>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58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r>
      <w:tr>
        <w:trPr>
          <w:trHeight w:val="24"/>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6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Public offering price</w:t>
            </w:r>
          </w:p>
        </w:tc>
        <w:tc>
          <w:tcPr>
            <w:tcW w:w="84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r>
      <w:tr>
        <w:trPr>
          <w:trHeight w:val="263"/>
        </w:trPr>
        <w:tc>
          <w:tcPr>
            <w:tcW w:w="6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380" w:type="dxa"/>
            <w:vAlign w:val="bottom"/>
          </w:tcPr>
          <w:p>
            <w:pPr>
              <w:spacing w:after="0"/>
              <w:rPr>
                <w:sz w:val="22"/>
                <w:szCs w:val="22"/>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r>
      <w:tr>
        <w:trPr>
          <w:trHeight w:val="20"/>
        </w:trPr>
        <w:tc>
          <w:tcPr>
            <w:tcW w:w="6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r>
      <w:tr>
        <w:trPr>
          <w:trHeight w:val="270"/>
        </w:trPr>
        <w:tc>
          <w:tcPr>
            <w:tcW w:w="6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-522605</wp:posOffset>
            </wp:positionV>
            <wp:extent cx="1371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490537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our total expenses of the offering, excluding the estimated underwriting discounts and commissions, will be approximately $1.2 million. We</w:t>
      </w:r>
    </w:p>
    <w:p>
      <w:pPr>
        <w:spacing w:after="0" w:line="2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have agreed to reimburse the underwriters up to $ for expenses related to any filing with, and any clearance of this offering by, the Financial Industry Regulatory Authority, Inc.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and our officers and directors have agreed to a 180-day “lock-up” with respect to our ordinary shares and other of our securities that they beneficially own, including securities that are convertible into ordinary shares and securities that are exchangeable or exercisable ordinary shares. This means that, subject to certain exceptions, for a period of 180 days following the date of this prospectus, we and such persons may not offer, sell, pledge or otherwise dispose of these securities without the prior written consent of Oppenheimer &amp; Co.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167" w:name="page168"/>
    <w:bookmarkEnd w:id="1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Rules of the Securities and Exchange Commission may limit the ability of the underwriters to bid for or purchase ordinary shares before the distribution of the ordinary shares is completed. However, the underwriters may engage in the following activities in accordance with the rules:</w:t>
      </w:r>
    </w:p>
    <w:p>
      <w:pPr>
        <w:spacing w:after="0" w:line="2" w:lineRule="exact"/>
        <w:rPr>
          <w:sz w:val="20"/>
          <w:szCs w:val="20"/>
          <w:color w:val="auto"/>
        </w:rPr>
      </w:pPr>
    </w:p>
    <w:p>
      <w:pPr>
        <w:ind w:left="360" w:right="340" w:hanging="172"/>
        <w:spacing w:after="0" w:line="281" w:lineRule="auto"/>
        <w:tabs>
          <w:tab w:leader="none" w:pos="3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 The representative may make bids or purchases for the purpose of pegging, fixing or maintaining the price of the ordinary shares, so long as stabilizing bids do not exceed a specified maximum.</w:t>
      </w:r>
    </w:p>
    <w:p>
      <w:pPr>
        <w:spacing w:after="0" w:line="1" w:lineRule="exact"/>
        <w:rPr>
          <w:rFonts w:ascii="Times New Roman" w:cs="Times New Roman" w:eastAsia="Times New Roman" w:hAnsi="Times New Roman"/>
          <w:sz w:val="18"/>
          <w:szCs w:val="18"/>
          <w:color w:val="auto"/>
        </w:rPr>
      </w:pPr>
    </w:p>
    <w:p>
      <w:pPr>
        <w:ind w:left="360" w:right="460" w:hanging="172"/>
        <w:spacing w:after="0" w:line="254" w:lineRule="auto"/>
        <w:tabs>
          <w:tab w:leader="none" w:pos="3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Over-allotments and syndicate covering transactions — The underwriters may sell more ordinary shares in connection with this offering than the number of ordinary shares that they have committed to purchase. This over-allotment creates a short position for the underwriters. This short sales position may involve either “covered” short sales or “naked” short sales. Covered short sales are short sales made in an amount not greater than the underwriters’ over-allotment option to purchase additional ordinary shares in this offering described above. The underwriters may close out any covered short position either by exercising its over-allotment option or by purchasing ordinary shares in the open market. To determine how they will close the covered short position, the underwriters will consider, among other things, the price of ordinary shares available for purchase in the open market, as compared to the price at which they may purchase ordinary shares through the over-allotment option. Naked short sales are short sales in excess of the over-allotment option. The underwriters must close out any naked short position by purchasing ordinary shares in the open market. A naked short position is more likely to be created if the underwriters are concerned that, in the open market after pricing, there may be downward pressure on the price of the ordinary shares that could adversely affect investors who purchase ordinary shares in this offering.</w:t>
      </w:r>
    </w:p>
    <w:p>
      <w:pPr>
        <w:spacing w:after="0" w:line="24" w:lineRule="exact"/>
        <w:rPr>
          <w:rFonts w:ascii="Times New Roman" w:cs="Times New Roman" w:eastAsia="Times New Roman" w:hAnsi="Times New Roman"/>
          <w:sz w:val="18"/>
          <w:szCs w:val="18"/>
          <w:color w:val="auto"/>
        </w:rPr>
      </w:pPr>
    </w:p>
    <w:p>
      <w:pPr>
        <w:ind w:left="360" w:right="620" w:hanging="172"/>
        <w:spacing w:after="0" w:line="281" w:lineRule="auto"/>
        <w:tabs>
          <w:tab w:leader="none" w:pos="3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 If the representative purchases ordinary shares in the open market in a stabilizing transaction or syndicate covering transaction, it may reclaim a selling concession from the underwriters and selling group members who sold those ordinary shares as part of this offering.</w:t>
      </w:r>
    </w:p>
    <w:p>
      <w:pPr>
        <w:spacing w:after="0" w:line="1" w:lineRule="exact"/>
        <w:rPr>
          <w:rFonts w:ascii="Times New Roman" w:cs="Times New Roman" w:eastAsia="Times New Roman" w:hAnsi="Times New Roman"/>
          <w:sz w:val="18"/>
          <w:szCs w:val="18"/>
          <w:color w:val="auto"/>
        </w:rPr>
      </w:pPr>
    </w:p>
    <w:p>
      <w:pPr>
        <w:ind w:left="360" w:right="500" w:hanging="172"/>
        <w:spacing w:after="0" w:line="282" w:lineRule="auto"/>
        <w:tabs>
          <w:tab w:leader="none" w:pos="3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market making — Market makers in the ordinary shares who are underwriters or prospective underwriters may make bids for or purchases of ordinary shares, subject to limitations, until the time, if ever, at which a stabilizing bid is made.</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or to stabilize the market price of our ordinary shares may have the effect of raising or maintaining the market price of our ordinary shares or preventing or mitigating a decline in the market price of our ordinary shares. As a result, the price of the ordinary shares of our common stock may be higher than the price that might otherwise exist in the open market. The imposition of a penalty bid might also have an effect on the price of the ordinary shares if it discourages resales of the ordinary shares.</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Neither we nor the underwriters make any representation or prediction as to the effect that the transactions described above may have on the price of the ordinary shares. These transactions may occur on The NASDAQ Capital Market or otherwise. If such transactions are commenced, they may be discontinued without notice at any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Delivery of Preliminary Prospectus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delivered to potential investors by one or more of the underwriters participating in this offering. The prospectus in electronic format will be identical to the paper version of such prospectus. Other than the prospectus in electronic format, the information on any underwriter’s website and any information contained in any other website maintained by an underwriter is not part of this prospectus or the registration statement of which this prospectus forms a part.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Non-U.S. Investors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Belgium</w:t>
      </w:r>
    </w:p>
    <w:p>
      <w:pPr>
        <w:spacing w:after="0" w:line="1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offering is exclusively conducted under applicable private placement exemptions and therefore it has not been and will not be notified to, and this document or any other offering material relating to the ordinary shares has not been and will not be approved by, the Belgian Banking, Finance and Insurance Commission (“Commission bancaire, financière et des assurances/Commissie voor het Bank, Financie en Assurantiewezen”). Any representation to the contrary is unlawful.</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68" w:name="page169"/>
    <w:bookmarkEnd w:id="1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Each underwriter has undertaken not to offer sell, resell, transfer or deliver directly or indirectly, any ordinary shares, or to take any steps relating/ancillary thereto, and not to distribute or publish this document or any other material relating to the ordinary shares or to the offering in a manner which would be construed as: (a) a public offering under the Belgian Royal Decree of 7 July 1999 on the public character of financial transactions; or (b) an offering of securities to the public under Directive 2003/71/EC which triggers an obligation to publish a prospectus in Belgium. Any action contrary to these restrictions will cause the recipient and the company to be in violation of the Belgian securities laws.</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securities described herein (the “Securities”). No securities commission or similar regulatory authority in Canada has reviewed or in any way passed upon this document or on the merits of the Securities and any representation to the contrary is an offence.</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Canadian investors are advised that this document has been prepared in reliance on section 3A.3 of National Instrument 33-105 Underwriting Conflicts (“NI 33-105”). Pursuant to section 3A.3 of NI 33-105, this document is exempt from the requirement to provide investors with certain conflicts of interest disclosure pertaining to “connected issuer” and/or “related issuer” relationships as would otherwise be required pursuant to subsection 2.1(1) of NI 33-105.</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Resale Restrictions</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offer and sale of the securities in Canada is being made on a private placement basis only and is exempt from the requirement to prepare and file a prospectus under applicable Canadian securities laws. Any resale of Securities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securities outside of Canada.</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Representations of Purchasers</w:t>
      </w:r>
    </w:p>
    <w:p>
      <w:pPr>
        <w:spacing w:after="0" w:line="1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Each Canadian investor who purchases the securities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(“NI 45-106”) or, in Ontario, as such term is defined in 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(iii) is a “permitted client” as such term is defined in section 1.1 of National Instrument 31-103 </w:t>
      </w:r>
      <w:r>
        <w:rPr>
          <w:rFonts w:ascii="Times New Roman" w:cs="Times New Roman" w:eastAsia="Times New Roman" w:hAnsi="Times New Roman"/>
          <w:sz w:val="18"/>
          <w:szCs w:val="18"/>
          <w:i w:val="1"/>
          <w:iCs w:val="1"/>
          <w:color w:val="auto"/>
        </w:rPr>
        <w:t>Registration Requirements, Exemptions and Ongoing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Registrant Obligations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Taxation and Eligibility for Investment</w:t>
      </w:r>
    </w:p>
    <w:p>
      <w:pPr>
        <w:spacing w:after="0" w:line="1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securities and, in particular, does not address any Canadian tax considerations. No representation or warranty is hereby made as to the tax consequences to a resident, or deemed resident, of Canada of an investment in the securities or with respect to the eligibility of the securities for investment by such investor under relevant Canadian federal and provincial legislation and regulations.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69" w:name="page170"/>
    <w:bookmarkEnd w:id="1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Rights of Action for Damages or Rescission</w:t>
      </w:r>
    </w:p>
    <w:p>
      <w:pPr>
        <w:spacing w:after="0" w:line="10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Times New Roman" w:cs="Times New Roman" w:eastAsia="Times New Roman" w:hAnsi="Times New Roman"/>
          <w:sz w:val="18"/>
          <w:szCs w:val="18"/>
          <w:i w:val="1"/>
          <w:iCs w:val="1"/>
          <w:color w:val="auto"/>
        </w:rPr>
        <w:t>Ontario Prospectus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Registration Exemptions </w:t>
      </w:r>
      <w:r>
        <w:rPr>
          <w:rFonts w:ascii="Times New Roman" w:cs="Times New Roman" w:eastAsia="Times New Roman" w:hAnsi="Times New Roman"/>
          <w:sz w:val="18"/>
          <w:szCs w:val="18"/>
          <w:color w:val="auto"/>
        </w:rPr>
        <w:t>and in Multilateral Instrument 45-107</w:t>
      </w:r>
      <w:r>
        <w:rPr>
          <w:rFonts w:ascii="Times New Roman" w:cs="Times New Roman" w:eastAsia="Times New Roman" w:hAnsi="Times New Roman"/>
          <w:sz w:val="18"/>
          <w:szCs w:val="18"/>
          <w:i w:val="1"/>
          <w:iCs w:val="1"/>
          <w:color w:val="auto"/>
        </w:rPr>
        <w:t xml:space="preserve"> Listing Representation and Statutory Rights of Action Disclosure Exemptions</w:t>
      </w:r>
      <w:r>
        <w:rPr>
          <w:rFonts w:ascii="Times New Roman" w:cs="Times New Roman" w:eastAsia="Times New Roman" w:hAnsi="Times New Roman"/>
          <w:sz w:val="18"/>
          <w:szCs w:val="18"/>
          <w:color w:val="auto"/>
        </w:rPr>
        <w:t>, as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Language of Documents</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w:cs="Times New Roman" w:eastAsia="Times New Roman" w:hAnsi="Times New Roman"/>
          <w:sz w:val="18"/>
          <w:szCs w:val="18"/>
          <w:i w:val="1"/>
          <w:iCs w:val="1"/>
          <w:color w:val="auto"/>
        </w:rPr>
        <w:t>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France</w:t>
      </w:r>
    </w:p>
    <w:p>
      <w:pPr>
        <w:spacing w:after="0" w:line="10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Neither this prospectus nor any other offering material relating to the ordinary shares has been submitted to the clearance procedures of the Autorité des marchés financiers in France. The ordinary shares have not been offered or sold and will not be offered or sold, directly or indirectly, to the public in France. Neither this prospectus nor any other offering material relating to the ordinary shares has been or will be: (a) released, issued, distributed or caused to be released, issued or distributed to the public in France; or (b) used in connection with any offer for subscription or sale of the ordinary shares to the public in France. Such offers, sales and distributions will be made in France only: (i) 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 (ii) to investment services providers authorised to engage in portfolio management on behalf of third parties; or (iii) in a transaction that, in accordance with article L.411-2-II-1°-or-2°-or 3° of the French Code monétaire et financier and article 211-2 of the General Regulations (Règlement Général) of the Autorité des marchés financiers, does not constitute a public offer (appel public à l’épargne). Such ordinary shares may be resold only in compliance with Articles L.411-1, L.411-2, L.412-1 and L.621-8 through L.621-8-3 of the French Code monétaire et financier.</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Israel</w:t>
      </w:r>
    </w:p>
    <w:p>
      <w:pPr>
        <w:spacing w:after="0" w:line="10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prospectus does not constitute a prospectus under the Israeli Securities Law, 5728-1968 (the “Securities Law”), and has not been filed with or approved by the Israel Securities Authority. In the State of Israel, this document is being distributed only to, and is directed only at, and any offer of the ordinary shares is directed only at, investors listed in the first addendum to the Israeli Securities Law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70" w:name="page171"/>
    <w:bookmarkEnd w:id="17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Italy</w:t>
      </w:r>
    </w:p>
    <w:p>
      <w:pPr>
        <w:spacing w:after="0" w:line="10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offering of the ordinary shares offered hereby in Italy has not been registered with the Commissione Nazionale per la Società e la Borsa (“CONSOB”) pursuant to Italian securities legislation and, accordingly, the ordinary shares offered hereby cannot be offered, sold or delivered in the Republic of Italy (“Italy”) nor may any copy of this prospectus or any other document relating to the ordinary shares offered hereby be distributed in Italy other than to professional investors (operatori qualificati) as defined in Article 31, second paragraph, of CONSOB Regulation No. 11522 of 1 July, 1998 as subsequently amended. Any offer, sale or delivery of the ordinary shares offered hereby or distribution of copies of this prospectus or any other document relating to the ordinary shares offered hereby in Italy must be made:</w:t>
      </w:r>
    </w:p>
    <w:p>
      <w:pPr>
        <w:spacing w:after="0" w:line="134" w:lineRule="exact"/>
        <w:rPr>
          <w:sz w:val="20"/>
          <w:szCs w:val="20"/>
          <w:color w:val="auto"/>
        </w:rPr>
      </w:pPr>
    </w:p>
    <w:p>
      <w:pPr>
        <w:ind w:left="360" w:right="920" w:hanging="352"/>
        <w:spacing w:after="0" w:line="282" w:lineRule="auto"/>
        <w:tabs>
          <w:tab w:leader="none" w:pos="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investment firm, bank or intermediary permitted to conduct such activities in Italy in accordance with Legislative Decree No. 58 of 24 February 1998 and Legislative Decree No. 385 of 1 September 1993 (the “Banking Act”);</w:t>
      </w:r>
    </w:p>
    <w:p>
      <w:pPr>
        <w:spacing w:after="0" w:line="10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Article 129 of the Banking Act and the implementing guidelines of the Bank of Italy; and</w:t>
      </w:r>
    </w:p>
    <w:p>
      <w:pPr>
        <w:spacing w:after="0" w:line="171" w:lineRule="exact"/>
        <w:rPr>
          <w:rFonts w:ascii="Times New Roman" w:cs="Times New Roman" w:eastAsia="Times New Roman" w:hAnsi="Times New Roman"/>
          <w:sz w:val="18"/>
          <w:szCs w:val="18"/>
          <w:color w:val="auto"/>
        </w:rPr>
      </w:pPr>
    </w:p>
    <w:p>
      <w:pPr>
        <w:ind w:left="360" w:right="840" w:hanging="352"/>
        <w:spacing w:after="0" w:line="282" w:lineRule="auto"/>
        <w:tabs>
          <w:tab w:leader="none" w:pos="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any other applicable laws and regulations and other possible requirements or limitations which may be imposed by Italian authorities.</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Sweden</w:t>
      </w:r>
    </w:p>
    <w:p>
      <w:pPr>
        <w:spacing w:after="0" w:line="10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prospectus has not been nor will it be registered with or approved by Finansinspektionen (the Swedish Financial Supervisory Authority). Accordingly, this prospectus may not be made available, nor may the ordinary shares offered hereunder be marketed and offered for sale in Sweden, other than under circumstances which are deemed not to require a prospectus under the Financial Instruments Trading Act (1991: 980).</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Switzerland</w:t>
      </w:r>
    </w:p>
    <w:p>
      <w:pPr>
        <w:spacing w:after="0" w:line="10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ordinary shares offered pursuant to this prospectus will not be offered, directly or indirectly, to the public in Switzerland and this prospectus does not constitute a public offering prospectus as that term is understood pursuant to art. 652a or art. 1156 of the Swiss Federal Code of Obligations. The company has not applied for a listing of the ordinary shares being offered pursuant to this prospectus on the SWX Swiss Exchange or on any other regulated securities market, and consequently, the information presented in this prospectus does not necessarily comply with the information standards set out in the relevant listing rules. The ordinary shares being offered pursuant to this prospectus have not been registered with the Swiss Federal Banking Commission as foreign investment funds, and the investor protection afforded to acquirers of investment fund certificates does not extend to acquirers of ordinary shares.</w:t>
      </w:r>
    </w:p>
    <w:p>
      <w:pPr>
        <w:spacing w:after="0" w:line="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Investors are advised to contact their legal, financial or tax advisers to obtain an independent assessment of the financial and tax consequences of an investment in ordinary shares.</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United Kingdom/Germany/Norway/The Netherlands</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an offer to the public of any ordinary shares which are the subject of the offering contemplated by this prospectus may not be made in that Relevant Member State other than the offers contemplated in this prospectus in name(s) of Member State(s) where prospectus will be approved or passported for the purposes of a non-exempt offer once this prospectus has been approved by the competent authority in such Member State and published and passported in accordance with the Prospectus Directive as implemented in name(s) of relevant Member State(s) except that an offer to the public in that Relevant Member State of any ordinary shares may be made at any time under the following exemptions under the Prospectus Directive, if they have been implemented in that Relevant Member State:</w:t>
      </w:r>
    </w:p>
    <w:p>
      <w:pPr>
        <w:spacing w:after="0" w:line="135" w:lineRule="exact"/>
        <w:rPr>
          <w:sz w:val="20"/>
          <w:szCs w:val="20"/>
          <w:color w:val="auto"/>
        </w:rPr>
      </w:pPr>
    </w:p>
    <w:p>
      <w:pPr>
        <w:ind w:left="360" w:right="340" w:hanging="352"/>
        <w:spacing w:after="0" w:line="282" w:lineRule="auto"/>
        <w:tabs>
          <w:tab w:leader="none" w:pos="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legal entities which are authorized or regulated to operate in the financial markets or, if not so authorized or regulated, whose corporate purpose is solely to invest in securities;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71" w:name="page172"/>
    <w:bookmarkEnd w:id="17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 w:right="300" w:hanging="352"/>
        <w:spacing w:after="0" w:line="282" w:lineRule="auto"/>
        <w:tabs>
          <w:tab w:leader="none" w:pos="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0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representative to fewer than 100 natural or legal persons (other than qualified investors as defined in the Prospectus Directive); or</w:t>
      </w:r>
    </w:p>
    <w:p>
      <w:pPr>
        <w:spacing w:after="0" w:line="171" w:lineRule="exact"/>
        <w:rPr>
          <w:rFonts w:ascii="Times New Roman" w:cs="Times New Roman" w:eastAsia="Times New Roman" w:hAnsi="Times New Roman"/>
          <w:sz w:val="18"/>
          <w:szCs w:val="18"/>
          <w:color w:val="auto"/>
        </w:rPr>
      </w:pPr>
    </w:p>
    <w:p>
      <w:pPr>
        <w:ind w:left="360" w:right="640" w:hanging="352"/>
        <w:spacing w:after="0" w:line="282" w:lineRule="auto"/>
        <w:tabs>
          <w:tab w:leader="none" w:pos="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ordinary shares shall result in a requirement for the publication by the company or any underwriter of a prospectus pursuant to Article 3 of the Prospectus Directive.</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ordinary shares in any Relevant Member State means the communication in any form and by any means of sufficient information on the terms of the offer and any ordinary shares to be offered so as to enable an investor to decide to purchase any ordinary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underwriter has represented, warranted and agreed that:</w:t>
      </w:r>
    </w:p>
    <w:p>
      <w:pPr>
        <w:spacing w:after="0" w:line="171" w:lineRule="exact"/>
        <w:rPr>
          <w:sz w:val="20"/>
          <w:szCs w:val="20"/>
          <w:color w:val="auto"/>
        </w:rPr>
      </w:pPr>
    </w:p>
    <w:p>
      <w:pPr>
        <w:ind w:left="360" w:right="440" w:hanging="352"/>
        <w:spacing w:after="0" w:line="266" w:lineRule="auto"/>
        <w:tabs>
          <w:tab w:leader="none" w:pos="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any invitation or inducement to engage in investment activity (within the meaning of section 21 of the Financial Services and Markets Act 2000 (the FSMA)) received by it in connection with the issue or sale of any ordinary shares in circumstances in which section 21(1) of the FSMA does not apply to the company; and</w:t>
      </w:r>
    </w:p>
    <w:p>
      <w:pPr>
        <w:spacing w:after="0" w:line="122" w:lineRule="exact"/>
        <w:rPr>
          <w:rFonts w:ascii="Times New Roman" w:cs="Times New Roman" w:eastAsia="Times New Roman" w:hAnsi="Times New Roman"/>
          <w:sz w:val="18"/>
          <w:szCs w:val="18"/>
          <w:color w:val="auto"/>
        </w:rPr>
      </w:pPr>
    </w:p>
    <w:p>
      <w:pPr>
        <w:ind w:left="360" w:right="720" w:hanging="352"/>
        <w:spacing w:after="0" w:line="282" w:lineRule="auto"/>
        <w:tabs>
          <w:tab w:leader="none" w:pos="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the FSMA with respect to anything done by it in relation to the ordinary shares in, from or otherwise involving the United Kingdom.</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172" w:name="page173"/>
    <w:bookmarkEnd w:id="17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EXPENSES RELATED TO THE OFFERING</w:t>
      </w:r>
    </w:p>
    <w:p>
      <w:pPr>
        <w:spacing w:after="0" w:line="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costs and expenses, other than underwriting discounts and underwriting expenses, payable by us in connection with this offering. With the exception of the SEC registration fee, the listing fee and the FINRA filing fee, all amounts are estimates.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 registration fee</w:t>
            </w:r>
          </w:p>
        </w:tc>
        <w:tc>
          <w:tcPr>
            <w:tcW w:w="3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10,062</w:t>
            </w:r>
          </w:p>
        </w:tc>
      </w:tr>
      <w:tr>
        <w:trPr>
          <w:trHeight w:val="257"/>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NASDAQ Capital Market listing fee</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50,000</w:t>
            </w:r>
          </w:p>
        </w:tc>
      </w:tr>
      <w:tr>
        <w:trPr>
          <w:trHeight w:val="257"/>
        </w:trPr>
        <w:tc>
          <w:tcPr>
            <w:tcW w:w="6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FINRA filing fee</w:t>
            </w:r>
          </w:p>
        </w:tc>
        <w:tc>
          <w:tcPr>
            <w:tcW w:w="3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12,500</w:t>
            </w:r>
          </w:p>
        </w:tc>
      </w:tr>
      <w:tr>
        <w:trPr>
          <w:trHeight w:val="257"/>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Printing expenses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100,000</w:t>
            </w:r>
          </w:p>
        </w:tc>
      </w:tr>
      <w:tr>
        <w:trPr>
          <w:trHeight w:val="257"/>
        </w:trPr>
        <w:tc>
          <w:tcPr>
            <w:tcW w:w="6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Legal fees and expenses</w:t>
            </w:r>
          </w:p>
        </w:tc>
        <w:tc>
          <w:tcPr>
            <w:tcW w:w="3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700,000</w:t>
            </w:r>
          </w:p>
        </w:tc>
      </w:tr>
      <w:tr>
        <w:trPr>
          <w:trHeight w:val="257"/>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234,000</w:t>
            </w:r>
          </w:p>
        </w:tc>
      </w:tr>
      <w:tr>
        <w:trPr>
          <w:trHeight w:val="257"/>
        </w:trPr>
        <w:tc>
          <w:tcPr>
            <w:tcW w:w="6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Transfer agent’s fees</w:t>
            </w:r>
          </w:p>
        </w:tc>
        <w:tc>
          <w:tcPr>
            <w:tcW w:w="3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25,000</w:t>
            </w:r>
          </w:p>
        </w:tc>
      </w:tr>
      <w:tr>
        <w:trPr>
          <w:trHeight w:val="257"/>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Miscellaneous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100,000</w:t>
            </w:r>
          </w:p>
        </w:tc>
      </w:tr>
      <w:tr>
        <w:trPr>
          <w:trHeight w:val="257"/>
        </w:trPr>
        <w:tc>
          <w:tcPr>
            <w:tcW w:w="6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7"/>
              </w:rPr>
              <w:t>1,231,562</w:t>
            </w: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validity of the ordinary shares being offered by this prospectus and other legal matters concerning this offering relating to Israeli law will be passed upon for us by Herzog Fox &amp; Neeman, Tel Aviv, Israel. Certain legal matters in connection with this offering relating to U.S. law will be passed upon for us by Davis Polk &amp; Wardwell LLP, New York, New York. Certain legal matters in connection with this offering will be passed upon for the underwriters by Gornitzky &amp; Co., Tel Aviv, Israel, with respect to Israeli law, and by Mintz, Levin, Cohn, Ferris, Glovsky and Popeo, P.C., New York, New York, with respect to U.S. law.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EXPERTS</w:t>
      </w:r>
    </w:p>
    <w:p>
      <w:pPr>
        <w:spacing w:after="0" w:line="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financial statements as of December 31, 2016 and 2015 and for each of the two years in the period ended December 31, 2016 included in this prospectus have been so included in reliance on the report (which contains an explanatory paragraph relating to the Company’s ability to continue as a going concern as described in Note 1 to the financial statements) of Kesselman &amp; Kesselman, Certified Public Accountants (Israel), a member firm of PricewaterhouseCoopers International Limited, an independent registered public accounting firm, given on the authority of said firm as experts in auditing and accounting. The current address of Kesselman &amp; Kesselman, Certified Public Accountants (Israel) is 25 Hamered Street, Tel Aviv, Israel 6812508.</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3" w:name="page174"/>
    <w:bookmarkEnd w:id="17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ENFORCEABILITY OF CIVIL LIABILITIES</w:t>
      </w:r>
    </w:p>
    <w:p>
      <w:pPr>
        <w:spacing w:after="0" w:line="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the State of Israel. Service of process upon us, our directors and officers and the Israeli experts, if any, named in this prospectus, many whom reside outside the United States, may be difficult to obtain within the United States. Furthermore, because the majority of our assets and investments, and substantially all of our directors, officers and such Israeli experts, if any, are located outside the United States, any judgment obtained in the United States against us or any of them may be difficult to collect within the United States.</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been informed by our legal counsel in Israel that it may also be difficult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There is little binding case law in Israel addressing these matters. If U.S. law is found to be applicable, the content of applicable U.S. law must be proved as a fact, which can be a time-consuming and costly process. Certain matters of procedure will also be governed by Israeli law.</w:t>
      </w:r>
    </w:p>
    <w:p>
      <w:pPr>
        <w:spacing w:after="0" w:line="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Subject to specified time limitations and legal procedures, under the rules of private international law currently prevailing in Israel, Israeli courts may enforce a U.S. judgment in a civil matter which, subject to certain exceptions, is non-appealable, including a judgment based upon the civil liability provisions of the U.S. securities laws, as well as a monetary or compensatory judgment in a non-civil matter, provided that, among other things, the following conditions are met:</w:t>
      </w:r>
    </w:p>
    <w:p>
      <w:pPr>
        <w:spacing w:after="0" w:line="153" w:lineRule="exact"/>
        <w:rPr>
          <w:sz w:val="20"/>
          <w:szCs w:val="20"/>
          <w:color w:val="auto"/>
        </w:rPr>
      </w:pPr>
    </w:p>
    <w:p>
      <w:pPr>
        <w:ind w:left="360" w:hanging="172"/>
        <w:spacing w:after="0"/>
        <w:tabs>
          <w:tab w:leader="none" w:pos="3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enforceable under the laws of State of Israel and under the laws of the state in which it was given;</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rendered by a court of competent jurisdiction under the rules of private international law prevailing in Israel;</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the state in which the judgment was given provides for the enforcement of judgments of Israeli courts;</w:t>
      </w:r>
    </w:p>
    <w:p>
      <w:pPr>
        <w:spacing w:after="0" w:line="198"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service of process has been effected and the defendant has had a reasonable opportunity to be heard and present his or her evidence;</w:t>
      </w:r>
    </w:p>
    <w:p>
      <w:pPr>
        <w:spacing w:after="0" w:line="18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and the enforcement of the judgment are not contrary to the law, public policy, security or sovereignty of the State of Israel;</w:t>
      </w:r>
    </w:p>
    <w:p>
      <w:pPr>
        <w:spacing w:after="0" w:line="184" w:lineRule="exact"/>
        <w:rPr>
          <w:rFonts w:ascii="Times New Roman" w:cs="Times New Roman" w:eastAsia="Times New Roman" w:hAnsi="Times New Roman"/>
          <w:sz w:val="18"/>
          <w:szCs w:val="18"/>
          <w:color w:val="auto"/>
        </w:rPr>
      </w:pPr>
    </w:p>
    <w:p>
      <w:pPr>
        <w:ind w:left="360" w:right="840" w:hanging="172"/>
        <w:spacing w:after="0" w:line="282" w:lineRule="auto"/>
        <w:tabs>
          <w:tab w:leader="none" w:pos="3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obtained by fraudulent means and does not conflict with any other valid judgment in the same matter between the same parties; and</w:t>
      </w:r>
    </w:p>
    <w:p>
      <w:pPr>
        <w:spacing w:after="0" w:line="12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action between the same parties in the same matter is not pending in any Israeli court at the time the lawsuit is instituted in the foreign court.</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 fluctuations.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74" w:name="page175"/>
    <w:bookmarkEnd w:id="17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WHERE YOU CAN FIND MORE INFORMATION</w:t>
      </w:r>
    </w:p>
    <w:p>
      <w:pPr>
        <w:spacing w:after="0" w:line="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not currently subject to the informational requirements of the Exchange Act. Upon completion of this offering, we will be subject to the information reporting requirements of the Exchange Act that are applicable to foreign private issuers, and under those requirements will file reports with the SEC. Those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U.S. companies whose securities are registered under the Exchange Act. However, we intend to file with the SEC, within four months after the end of each fiscal year, or such applicable time as required by the SEC, an annual report on Form 20-F containing financial statements audited by an independent registered public accounting firm, and to submit to the SEC, on Form 6-K, unaudited quarterly financial information for the first three quarters of each fiscal year.</w:t>
      </w:r>
    </w:p>
    <w:p>
      <w:pPr>
        <w:spacing w:after="0" w:line="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maintain a corporate website at www.enterabio.com. Information contained on, or that can be accessed through, our website does not constitute a part of this prospectus and is not incorporated by reference herein. We have included our website address in this prospectus solely for informational purposes.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5" w:name="page176"/>
    <w:bookmarkEnd w:id="17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TO FINANCIAL STATEMENTS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
        </w:trPr>
        <w:tc>
          <w:tcPr>
            <w:tcW w:w="18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0"/>
        </w:trPr>
        <w:tc>
          <w:tcPr>
            <w:tcW w:w="49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5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16"/>
        </w:trPr>
        <w:tc>
          <w:tcPr>
            <w:tcW w:w="4900" w:type="dxa"/>
            <w:vAlign w:val="bottom"/>
            <w:gridSpan w:val="7"/>
          </w:tcPr>
          <w:p>
            <w:pPr>
              <w:spacing w:after="0"/>
              <w:rPr>
                <w:rFonts w:ascii="Times New Roman" w:cs="Times New Roman" w:eastAsia="Times New Roman" w:hAnsi="Times New Roman"/>
                <w:sz w:val="18"/>
                <w:szCs w:val="18"/>
                <w:color w:val="0000EE"/>
              </w:rPr>
            </w:pPr>
            <w:hyperlink w:anchor="page176">
              <w:r>
                <w:rPr>
                  <w:rFonts w:ascii="Times New Roman" w:cs="Times New Roman" w:eastAsia="Times New Roman" w:hAnsi="Times New Roman"/>
                  <w:sz w:val="18"/>
                  <w:szCs w:val="18"/>
                  <w:color w:val="0000EE"/>
                </w:rPr>
                <w:t>Report of Independent Registered Public Accounting Firm</w:t>
              </w:r>
            </w:hyperlink>
          </w:p>
        </w:tc>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3"/>
          </w:tcPr>
          <w:p>
            <w:pPr>
              <w:jc w:val="right"/>
              <w:ind w:right="400"/>
              <w:spacing w:after="0"/>
              <w:rPr>
                <w:rFonts w:ascii="Times New Roman" w:cs="Times New Roman" w:eastAsia="Times New Roman" w:hAnsi="Times New Roman"/>
                <w:sz w:val="18"/>
                <w:szCs w:val="18"/>
                <w:color w:val="0000EE"/>
              </w:rPr>
            </w:pPr>
            <w:hyperlink w:anchor="page176">
              <w:r>
                <w:rPr>
                  <w:rFonts w:ascii="Times New Roman" w:cs="Times New Roman" w:eastAsia="Times New Roman" w:hAnsi="Times New Roman"/>
                  <w:sz w:val="18"/>
                  <w:szCs w:val="18"/>
                  <w:color w:val="0000EE"/>
                </w:rPr>
                <w:t>F-2</w:t>
              </w:r>
            </w:hyperlink>
          </w:p>
        </w:tc>
      </w:tr>
      <w:tr>
        <w:trPr>
          <w:trHeight w:val="21"/>
        </w:trPr>
        <w:tc>
          <w:tcPr>
            <w:tcW w:w="1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2300" w:type="dxa"/>
            <w:vAlign w:val="bottom"/>
            <w:gridSpan w:val="2"/>
            <w:shd w:val="clear" w:color="auto" w:fill="CCEEFF"/>
          </w:tcPr>
          <w:p>
            <w:pPr>
              <w:spacing w:after="0"/>
              <w:rPr>
                <w:rFonts w:ascii="Times New Roman" w:cs="Times New Roman" w:eastAsia="Times New Roman" w:hAnsi="Times New Roman"/>
                <w:sz w:val="18"/>
                <w:szCs w:val="18"/>
                <w:color w:val="0000EE"/>
                <w:w w:val="99"/>
              </w:rPr>
            </w:pPr>
            <w:hyperlink w:anchor="page177">
              <w:r>
                <w:rPr>
                  <w:rFonts w:ascii="Times New Roman" w:cs="Times New Roman" w:eastAsia="Times New Roman" w:hAnsi="Times New Roman"/>
                  <w:sz w:val="18"/>
                  <w:szCs w:val="18"/>
                  <w:color w:val="0000EE"/>
                  <w:w w:val="99"/>
                </w:rPr>
                <w:t>Statements of financial position</w:t>
              </w:r>
            </w:hyperlink>
          </w:p>
        </w:tc>
        <w:tc>
          <w:tcPr>
            <w:tcW w:w="2600" w:type="dxa"/>
            <w:vAlign w:val="bottom"/>
            <w:gridSpan w:val="5"/>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rFonts w:ascii="Times New Roman" w:cs="Times New Roman" w:eastAsia="Times New Roman" w:hAnsi="Times New Roman"/>
                <w:sz w:val="18"/>
                <w:szCs w:val="18"/>
                <w:color w:val="0000EE"/>
              </w:rPr>
            </w:pPr>
            <w:hyperlink w:anchor="page177">
              <w:r>
                <w:rPr>
                  <w:rFonts w:ascii="Times New Roman" w:cs="Times New Roman" w:eastAsia="Times New Roman" w:hAnsi="Times New Roman"/>
                  <w:sz w:val="18"/>
                  <w:szCs w:val="18"/>
                  <w:color w:val="0000EE"/>
                </w:rPr>
                <w:t>F-3</w:t>
              </w:r>
            </w:hyperlink>
          </w:p>
        </w:tc>
      </w:tr>
      <w:tr>
        <w:trPr>
          <w:trHeight w:val="21"/>
        </w:trPr>
        <w:tc>
          <w:tcPr>
            <w:tcW w:w="18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900" w:type="dxa"/>
            <w:vAlign w:val="bottom"/>
            <w:gridSpan w:val="7"/>
          </w:tcPr>
          <w:p>
            <w:pPr>
              <w:spacing w:after="0"/>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Statements of comprehensive loss</w:t>
              </w:r>
            </w:hyperlink>
          </w:p>
        </w:tc>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3"/>
          </w:tcPr>
          <w:p>
            <w:pPr>
              <w:jc w:val="right"/>
              <w:ind w:right="400"/>
              <w:spacing w:after="0"/>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F-4</w:t>
              </w:r>
            </w:hyperlink>
          </w:p>
        </w:tc>
      </w:tr>
      <w:tr>
        <w:trPr>
          <w:trHeight w:val="21"/>
        </w:trPr>
        <w:tc>
          <w:tcPr>
            <w:tcW w:w="1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4900" w:type="dxa"/>
            <w:vAlign w:val="bottom"/>
            <w:gridSpan w:val="7"/>
            <w:shd w:val="clear" w:color="auto" w:fill="CCEEFF"/>
          </w:tcPr>
          <w:p>
            <w:pPr>
              <w:spacing w:after="0"/>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Statements of changes in capital deficiency</w:t>
              </w:r>
            </w:hyperlink>
          </w:p>
        </w:tc>
        <w:tc>
          <w:tcPr>
            <w:tcW w:w="5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F-5</w:t>
              </w:r>
            </w:hyperlink>
          </w:p>
        </w:tc>
      </w:tr>
      <w:tr>
        <w:trPr>
          <w:trHeight w:val="21"/>
        </w:trPr>
        <w:tc>
          <w:tcPr>
            <w:tcW w:w="18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120" w:type="dxa"/>
            <w:vAlign w:val="bottom"/>
            <w:gridSpan w:val="5"/>
          </w:tcPr>
          <w:p>
            <w:pPr>
              <w:spacing w:after="0"/>
              <w:rPr>
                <w:rFonts w:ascii="Times New Roman" w:cs="Times New Roman" w:eastAsia="Times New Roman" w:hAnsi="Times New Roman"/>
                <w:sz w:val="18"/>
                <w:szCs w:val="18"/>
                <w:color w:val="0000EE"/>
              </w:rPr>
            </w:pPr>
            <w:hyperlink w:anchor="page180">
              <w:r>
                <w:rPr>
                  <w:rFonts w:ascii="Times New Roman" w:cs="Times New Roman" w:eastAsia="Times New Roman" w:hAnsi="Times New Roman"/>
                  <w:sz w:val="18"/>
                  <w:szCs w:val="18"/>
                  <w:color w:val="0000EE"/>
                </w:rPr>
                <w:t>Statements of cash flows</w:t>
              </w:r>
            </w:hyperlink>
          </w:p>
        </w:tc>
        <w:tc>
          <w:tcPr>
            <w:tcW w:w="1780" w:type="dxa"/>
            <w:vAlign w:val="bottom"/>
            <w:gridSpan w:val="2"/>
          </w:tcPr>
          <w:p>
            <w:pPr>
              <w:spacing w:after="0"/>
              <w:rPr>
                <w:sz w:val="18"/>
                <w:szCs w:val="18"/>
                <w:color w:val="auto"/>
              </w:rPr>
            </w:pPr>
          </w:p>
        </w:tc>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3"/>
          </w:tcPr>
          <w:p>
            <w:pPr>
              <w:jc w:val="right"/>
              <w:ind w:right="400"/>
              <w:spacing w:after="0"/>
              <w:rPr>
                <w:rFonts w:ascii="Times New Roman" w:cs="Times New Roman" w:eastAsia="Times New Roman" w:hAnsi="Times New Roman"/>
                <w:sz w:val="18"/>
                <w:szCs w:val="18"/>
                <w:color w:val="0000EE"/>
              </w:rPr>
            </w:pPr>
            <w:hyperlink w:anchor="page180">
              <w:r>
                <w:rPr>
                  <w:rFonts w:ascii="Times New Roman" w:cs="Times New Roman" w:eastAsia="Times New Roman" w:hAnsi="Times New Roman"/>
                  <w:sz w:val="18"/>
                  <w:szCs w:val="18"/>
                  <w:color w:val="0000EE"/>
                </w:rPr>
                <w:t>F-6</w:t>
              </w:r>
            </w:hyperlink>
          </w:p>
        </w:tc>
      </w:tr>
      <w:tr>
        <w:trPr>
          <w:trHeight w:val="21"/>
        </w:trPr>
        <w:tc>
          <w:tcPr>
            <w:tcW w:w="18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2360" w:type="dxa"/>
            <w:vAlign w:val="bottom"/>
            <w:gridSpan w:val="3"/>
            <w:shd w:val="clear" w:color="auto" w:fill="CCEEFF"/>
          </w:tcPr>
          <w:p>
            <w:pPr>
              <w:spacing w:after="0"/>
              <w:rPr>
                <w:rFonts w:ascii="Times New Roman" w:cs="Times New Roman" w:eastAsia="Times New Roman" w:hAnsi="Times New Roman"/>
                <w:sz w:val="18"/>
                <w:szCs w:val="18"/>
                <w:color w:val="0000EE"/>
                <w:w w:val="99"/>
              </w:rPr>
            </w:pPr>
            <w:hyperlink w:anchor="page181">
              <w:r>
                <w:rPr>
                  <w:rFonts w:ascii="Times New Roman" w:cs="Times New Roman" w:eastAsia="Times New Roman" w:hAnsi="Times New Roman"/>
                  <w:sz w:val="18"/>
                  <w:szCs w:val="18"/>
                  <w:color w:val="0000EE"/>
                  <w:w w:val="99"/>
                </w:rPr>
                <w:t>Notes to the financial statements</w:t>
              </w:r>
            </w:hyperlink>
          </w:p>
        </w:tc>
        <w:tc>
          <w:tcPr>
            <w:tcW w:w="2540" w:type="dxa"/>
            <w:vAlign w:val="bottom"/>
            <w:gridSpan w:val="4"/>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rFonts w:ascii="Times New Roman" w:cs="Times New Roman" w:eastAsia="Times New Roman" w:hAnsi="Times New Roman"/>
                <w:sz w:val="18"/>
                <w:szCs w:val="18"/>
                <w:color w:val="0000EE"/>
              </w:rPr>
            </w:pPr>
            <w:hyperlink w:anchor="page181">
              <w:r>
                <w:rPr>
                  <w:rFonts w:ascii="Times New Roman" w:cs="Times New Roman" w:eastAsia="Times New Roman" w:hAnsi="Times New Roman"/>
                  <w:sz w:val="18"/>
                  <w:szCs w:val="18"/>
                  <w:color w:val="0000EE"/>
                </w:rPr>
                <w:t>F-7</w:t>
              </w:r>
            </w:hyperlink>
          </w:p>
        </w:tc>
      </w:tr>
      <w:tr>
        <w:trPr>
          <w:trHeight w:val="21"/>
        </w:trPr>
        <w:tc>
          <w:tcPr>
            <w:tcW w:w="18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365"/>
        </w:trPr>
        <w:tc>
          <w:tcPr>
            <w:tcW w:w="49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w:t>
            </w:r>
          </w:p>
        </w:tc>
        <w:tc>
          <w:tcPr>
            <w:tcW w:w="5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2300" w:type="dxa"/>
            <w:vAlign w:val="bottom"/>
            <w:gridSpan w:val="2"/>
            <w:shd w:val="clear" w:color="auto" w:fill="CCEEFF"/>
          </w:tcPr>
          <w:p>
            <w:pPr>
              <w:spacing w:after="0"/>
              <w:rPr>
                <w:rFonts w:ascii="Times New Roman" w:cs="Times New Roman" w:eastAsia="Times New Roman" w:hAnsi="Times New Roman"/>
                <w:sz w:val="18"/>
                <w:szCs w:val="18"/>
                <w:color w:val="0000EE"/>
                <w:w w:val="99"/>
              </w:rPr>
            </w:pPr>
            <w:hyperlink w:anchor="page204">
              <w:r>
                <w:rPr>
                  <w:rFonts w:ascii="Times New Roman" w:cs="Times New Roman" w:eastAsia="Times New Roman" w:hAnsi="Times New Roman"/>
                  <w:sz w:val="18"/>
                  <w:szCs w:val="18"/>
                  <w:color w:val="0000EE"/>
                  <w:w w:val="99"/>
                </w:rPr>
                <w:t>Statements of financial position</w:t>
              </w:r>
            </w:hyperlink>
          </w:p>
        </w:tc>
        <w:tc>
          <w:tcPr>
            <w:tcW w:w="2600" w:type="dxa"/>
            <w:vAlign w:val="bottom"/>
            <w:gridSpan w:val="5"/>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rFonts w:ascii="Times New Roman" w:cs="Times New Roman" w:eastAsia="Times New Roman" w:hAnsi="Times New Roman"/>
                <w:sz w:val="18"/>
                <w:szCs w:val="18"/>
                <w:color w:val="0000EE"/>
                <w:w w:val="93"/>
              </w:rPr>
            </w:pPr>
            <w:hyperlink w:anchor="page204">
              <w:r>
                <w:rPr>
                  <w:rFonts w:ascii="Times New Roman" w:cs="Times New Roman" w:eastAsia="Times New Roman" w:hAnsi="Times New Roman"/>
                  <w:sz w:val="18"/>
                  <w:szCs w:val="18"/>
                  <w:color w:val="0000EE"/>
                  <w:w w:val="93"/>
                </w:rPr>
                <w:t>F-30</w:t>
              </w:r>
            </w:hyperlink>
          </w:p>
        </w:tc>
      </w:tr>
      <w:tr>
        <w:trPr>
          <w:trHeight w:val="21"/>
        </w:trPr>
        <w:tc>
          <w:tcPr>
            <w:tcW w:w="18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900" w:type="dxa"/>
            <w:vAlign w:val="bottom"/>
            <w:gridSpan w:val="7"/>
          </w:tcPr>
          <w:p>
            <w:pPr>
              <w:spacing w:after="0"/>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Statements of comprehensive loss</w:t>
              </w:r>
            </w:hyperlink>
          </w:p>
        </w:tc>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3"/>
          </w:tcPr>
          <w:p>
            <w:pPr>
              <w:jc w:val="right"/>
              <w:ind w:right="400"/>
              <w:spacing w:after="0"/>
              <w:rPr>
                <w:rFonts w:ascii="Times New Roman" w:cs="Times New Roman" w:eastAsia="Times New Roman" w:hAnsi="Times New Roman"/>
                <w:sz w:val="18"/>
                <w:szCs w:val="18"/>
                <w:color w:val="0000EE"/>
                <w:w w:val="93"/>
              </w:rPr>
            </w:pPr>
            <w:hyperlink w:anchor="page205">
              <w:r>
                <w:rPr>
                  <w:rFonts w:ascii="Times New Roman" w:cs="Times New Roman" w:eastAsia="Times New Roman" w:hAnsi="Times New Roman"/>
                  <w:sz w:val="18"/>
                  <w:szCs w:val="18"/>
                  <w:color w:val="0000EE"/>
                  <w:w w:val="93"/>
                </w:rPr>
                <w:t>F-31</w:t>
              </w:r>
            </w:hyperlink>
          </w:p>
        </w:tc>
      </w:tr>
      <w:tr>
        <w:trPr>
          <w:trHeight w:val="21"/>
        </w:trPr>
        <w:tc>
          <w:tcPr>
            <w:tcW w:w="1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4900" w:type="dxa"/>
            <w:vAlign w:val="bottom"/>
            <w:gridSpan w:val="7"/>
            <w:shd w:val="clear" w:color="auto" w:fill="CCEEFF"/>
          </w:tcPr>
          <w:p>
            <w:pPr>
              <w:spacing w:after="0"/>
              <w:rPr>
                <w:rFonts w:ascii="Times New Roman" w:cs="Times New Roman" w:eastAsia="Times New Roman" w:hAnsi="Times New Roman"/>
                <w:sz w:val="18"/>
                <w:szCs w:val="18"/>
                <w:color w:val="0000EE"/>
              </w:rPr>
            </w:pPr>
            <w:hyperlink w:anchor="page206">
              <w:r>
                <w:rPr>
                  <w:rFonts w:ascii="Times New Roman" w:cs="Times New Roman" w:eastAsia="Times New Roman" w:hAnsi="Times New Roman"/>
                  <w:sz w:val="18"/>
                  <w:szCs w:val="18"/>
                  <w:color w:val="0000EE"/>
                </w:rPr>
                <w:t>Statements of changes in capital deficiency</w:t>
              </w:r>
            </w:hyperlink>
          </w:p>
        </w:tc>
        <w:tc>
          <w:tcPr>
            <w:tcW w:w="5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rFonts w:ascii="Times New Roman" w:cs="Times New Roman" w:eastAsia="Times New Roman" w:hAnsi="Times New Roman"/>
                <w:sz w:val="18"/>
                <w:szCs w:val="18"/>
                <w:color w:val="0000EE"/>
                <w:w w:val="93"/>
              </w:rPr>
            </w:pPr>
            <w:hyperlink w:anchor="page206">
              <w:r>
                <w:rPr>
                  <w:rFonts w:ascii="Times New Roman" w:cs="Times New Roman" w:eastAsia="Times New Roman" w:hAnsi="Times New Roman"/>
                  <w:sz w:val="18"/>
                  <w:szCs w:val="18"/>
                  <w:color w:val="0000EE"/>
                  <w:w w:val="93"/>
                </w:rPr>
                <w:t>F-32</w:t>
              </w:r>
            </w:hyperlink>
          </w:p>
        </w:tc>
      </w:tr>
      <w:tr>
        <w:trPr>
          <w:trHeight w:val="21"/>
        </w:trPr>
        <w:tc>
          <w:tcPr>
            <w:tcW w:w="18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120" w:type="dxa"/>
            <w:vAlign w:val="bottom"/>
            <w:gridSpan w:val="5"/>
          </w:tcPr>
          <w:p>
            <w:pPr>
              <w:spacing w:after="0"/>
              <w:rPr>
                <w:rFonts w:ascii="Times New Roman" w:cs="Times New Roman" w:eastAsia="Times New Roman" w:hAnsi="Times New Roman"/>
                <w:sz w:val="18"/>
                <w:szCs w:val="18"/>
                <w:color w:val="0000EE"/>
              </w:rPr>
            </w:pPr>
            <w:hyperlink w:anchor="page207">
              <w:r>
                <w:rPr>
                  <w:rFonts w:ascii="Times New Roman" w:cs="Times New Roman" w:eastAsia="Times New Roman" w:hAnsi="Times New Roman"/>
                  <w:sz w:val="18"/>
                  <w:szCs w:val="18"/>
                  <w:color w:val="0000EE"/>
                </w:rPr>
                <w:t>Statements of cash flows</w:t>
              </w:r>
            </w:hyperlink>
          </w:p>
        </w:tc>
        <w:tc>
          <w:tcPr>
            <w:tcW w:w="1780" w:type="dxa"/>
            <w:vAlign w:val="bottom"/>
            <w:gridSpan w:val="2"/>
          </w:tcPr>
          <w:p>
            <w:pPr>
              <w:spacing w:after="0"/>
              <w:rPr>
                <w:sz w:val="18"/>
                <w:szCs w:val="18"/>
                <w:color w:val="auto"/>
              </w:rPr>
            </w:pPr>
          </w:p>
        </w:tc>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3"/>
          </w:tcPr>
          <w:p>
            <w:pPr>
              <w:jc w:val="right"/>
              <w:ind w:right="400"/>
              <w:spacing w:after="0"/>
              <w:rPr>
                <w:rFonts w:ascii="Times New Roman" w:cs="Times New Roman" w:eastAsia="Times New Roman" w:hAnsi="Times New Roman"/>
                <w:sz w:val="18"/>
                <w:szCs w:val="18"/>
                <w:color w:val="0000EE"/>
                <w:w w:val="93"/>
              </w:rPr>
            </w:pPr>
            <w:hyperlink w:anchor="page207">
              <w:r>
                <w:rPr>
                  <w:rFonts w:ascii="Times New Roman" w:cs="Times New Roman" w:eastAsia="Times New Roman" w:hAnsi="Times New Roman"/>
                  <w:sz w:val="18"/>
                  <w:szCs w:val="18"/>
                  <w:color w:val="0000EE"/>
                  <w:w w:val="93"/>
                </w:rPr>
                <w:t>F-33</w:t>
              </w:r>
            </w:hyperlink>
          </w:p>
        </w:tc>
      </w:tr>
      <w:tr>
        <w:trPr>
          <w:trHeight w:val="21"/>
        </w:trPr>
        <w:tc>
          <w:tcPr>
            <w:tcW w:w="18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2360" w:type="dxa"/>
            <w:vAlign w:val="bottom"/>
            <w:gridSpan w:val="3"/>
            <w:shd w:val="clear" w:color="auto" w:fill="CCEEFF"/>
          </w:tcPr>
          <w:p>
            <w:pPr>
              <w:spacing w:after="0"/>
              <w:rPr>
                <w:rFonts w:ascii="Times New Roman" w:cs="Times New Roman" w:eastAsia="Times New Roman" w:hAnsi="Times New Roman"/>
                <w:sz w:val="18"/>
                <w:szCs w:val="18"/>
                <w:color w:val="0000EE"/>
                <w:w w:val="99"/>
              </w:rPr>
            </w:pPr>
            <w:hyperlink w:anchor="page209">
              <w:r>
                <w:rPr>
                  <w:rFonts w:ascii="Times New Roman" w:cs="Times New Roman" w:eastAsia="Times New Roman" w:hAnsi="Times New Roman"/>
                  <w:sz w:val="18"/>
                  <w:szCs w:val="18"/>
                  <w:color w:val="0000EE"/>
                  <w:w w:val="99"/>
                </w:rPr>
                <w:t>Notes to the financial statements</w:t>
              </w:r>
            </w:hyperlink>
          </w:p>
        </w:tc>
        <w:tc>
          <w:tcPr>
            <w:tcW w:w="2540" w:type="dxa"/>
            <w:vAlign w:val="bottom"/>
            <w:gridSpan w:val="4"/>
            <w:shd w:val="clear" w:color="auto" w:fill="CCEEFF"/>
          </w:tcPr>
          <w:p>
            <w:pPr>
              <w:spacing w:after="0"/>
              <w:rPr>
                <w:sz w:val="20"/>
                <w:szCs w:val="20"/>
                <w:color w:val="auto"/>
              </w:rPr>
            </w:pPr>
          </w:p>
        </w:tc>
        <w:tc>
          <w:tcPr>
            <w:tcW w:w="5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400"/>
              <w:spacing w:after="0"/>
              <w:rPr>
                <w:rFonts w:ascii="Times New Roman" w:cs="Times New Roman" w:eastAsia="Times New Roman" w:hAnsi="Times New Roman"/>
                <w:sz w:val="18"/>
                <w:szCs w:val="18"/>
                <w:color w:val="0000EE"/>
                <w:w w:val="93"/>
              </w:rPr>
            </w:pPr>
            <w:hyperlink w:anchor="page209">
              <w:r>
                <w:rPr>
                  <w:rFonts w:ascii="Times New Roman" w:cs="Times New Roman" w:eastAsia="Times New Roman" w:hAnsi="Times New Roman"/>
                  <w:sz w:val="18"/>
                  <w:szCs w:val="18"/>
                  <w:color w:val="0000EE"/>
                  <w:w w:val="93"/>
                </w:rPr>
                <w:t>F-35</w:t>
              </w:r>
            </w:hyperlink>
          </w:p>
        </w:tc>
      </w:tr>
      <w:tr>
        <w:trPr>
          <w:trHeight w:val="851"/>
        </w:trPr>
        <w:tc>
          <w:tcPr>
            <w:tcW w:w="18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5780" w:type="dxa"/>
            <w:vAlign w:val="bottom"/>
            <w:tcBorders>
              <w:top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F-1</w:t>
            </w:r>
          </w:p>
        </w:tc>
        <w:tc>
          <w:tcPr>
            <w:tcW w:w="340" w:type="dxa"/>
            <w:vAlign w:val="bottom"/>
            <w:tcBorders>
              <w:top w:val="single" w:sz="8" w:color="0000EE"/>
            </w:tcBorders>
            <w:gridSpan w:val="2"/>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r>
      <w:tr>
        <w:trPr>
          <w:trHeight w:val="385"/>
        </w:trPr>
        <w:tc>
          <w:tcPr>
            <w:tcW w:w="1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-2992120</wp:posOffset>
            </wp:positionV>
            <wp:extent cx="652589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6" w:name="page177"/>
    <w:bookmarkEnd w:id="176"/>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548640" cy="420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486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the shareholders of</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9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statements of financial position of Entera Bio Ltd. (the “Company”) as of December 31, 2016 and 2015 and the related statements of comprehensive loss, changes in capital deficiency and cash flows for the years then ended. These financial statements are the responsibility of the Company’s board of directors and management. Our responsibility is to express an opinion on these financial statements based on our audits.</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Company’s board of directors and management, as well as evaluating the overall financial statement presentation. We believe that our audits provide a reasonable basis for our opinion.</w:t>
      </w:r>
    </w:p>
    <w:p>
      <w:pPr>
        <w:spacing w:after="0" w:line="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December 31, 2016 and 2015 and the results of its operations and its cash flows for the years then ended, in conformity with International Financial Reporting Standards (“IFRS”) as issued by the International Accounting Standards Board (“IASB”).</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As discussed in Note 1a.2 to the financial statements, the Company has suffered recurring losses from operations, has negative working capital and has cash outflows from operating activities that raise substantial doubt about its ability to continue as a going concern. Management’s plans in regard to these matters are also described in Note 1a.2. The financial statements do not include any adjustments that might result from the outcome of this uncertainty.</w:t>
      </w:r>
    </w:p>
    <w:p>
      <w:pPr>
        <w:sectPr>
          <w:pgSz w:w="11900" w:h="16838" w:orient="portrait"/>
          <w:cols w:equalWidth="0" w:num="1">
            <w:col w:w="11400"/>
          </w:cols>
          <w:pgMar w:left="240" w:top="114" w:right="259" w:bottom="1440" w:gutter="0" w:footer="0" w:header="0"/>
        </w:sect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Tel-Aviv, Israel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13, 2017</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(lsr.)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p>
      <w:pPr>
        <w:spacing w:after="0" w:line="200" w:lineRule="exact"/>
        <w:rPr>
          <w:sz w:val="20"/>
          <w:szCs w:val="20"/>
          <w:color w:val="auto"/>
        </w:rPr>
      </w:pPr>
    </w:p>
    <w:p>
      <w:pPr>
        <w:sectPr>
          <w:pgSz w:w="11900" w:h="16838" w:orient="portrait"/>
          <w:cols w:equalWidth="0" w:num="2">
            <w:col w:w="2360" w:space="720"/>
            <w:col w:w="8320"/>
          </w:cols>
          <w:pgMar w:left="240" w:top="114"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8"/>
          <w:szCs w:val="18"/>
          <w:i w:val="1"/>
          <w:iCs w:val="1"/>
          <w:color w:val="auto"/>
        </w:rPr>
        <w:t>Kesselman &amp; Kesselman, Trade Tower, 25 Hamered Street, Tel-Aviv 6812508, Israel, P.O Box 50005 Tel-Aviv 6150001 Telephone: +972-3-7954555, Fax:+972-3-7954556, www.pwc.com/il</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type w:val="continuous"/>
        </w:sectPr>
      </w:pPr>
    </w:p>
    <w:bookmarkStart w:id="177" w:name="page178"/>
    <w:bookmarkEnd w:id="177"/>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STATEMENTS OF FINANCIAL POSITION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0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740" w:type="dxa"/>
            <w:vAlign w:val="bottom"/>
          </w:tcPr>
          <w:p>
            <w:pPr>
              <w:spacing w:after="0"/>
              <w:rPr>
                <w:sz w:val="17"/>
                <w:szCs w:val="17"/>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70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U.S. dollars in thousands</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18"/>
                <w:szCs w:val="18"/>
                <w:color w:val="auto"/>
              </w:rPr>
            </w:pPr>
          </w:p>
        </w:tc>
        <w:tc>
          <w:tcPr>
            <w:tcW w:w="5500" w:type="dxa"/>
            <w:vAlign w:val="bottom"/>
            <w:shd w:val="clear" w:color="auto" w:fill="CCEEFF"/>
          </w:tcPr>
          <w:p>
            <w:pPr>
              <w:jc w:val="center"/>
              <w:ind w:right="26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4,163</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deposits</w:t>
            </w:r>
          </w:p>
        </w:tc>
        <w:tc>
          <w:tcPr>
            <w:tcW w:w="220" w:type="dxa"/>
            <w:vAlign w:val="bottom"/>
          </w:tcPr>
          <w:p>
            <w:pPr>
              <w:spacing w:after="0"/>
              <w:rPr>
                <w:sz w:val="18"/>
                <w:szCs w:val="18"/>
                <w:color w:val="auto"/>
              </w:rPr>
            </w:pPr>
          </w:p>
        </w:tc>
        <w:tc>
          <w:tcPr>
            <w:tcW w:w="8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7a2</w:t>
            </w: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1,075</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12a</w:t>
            </w: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195</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5,433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8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auto"/>
              <w:right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199</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6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6</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654</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853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6,286</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bottom w:val="single" w:sz="8" w:color="CCEEFF"/>
            </w:tcBorders>
            <w:vMerge w:val="restart"/>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w w:val="99"/>
              </w:rPr>
              <w:t>Liabilities net of capital deficiency</w:t>
            </w: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700" w:type="dxa"/>
            <w:vAlign w:val="bottom"/>
          </w:tcPr>
          <w:p>
            <w:pPr>
              <w:spacing w:after="0"/>
              <w:rPr>
                <w:sz w:val="22"/>
                <w:szCs w:val="22"/>
                <w:color w:val="auto"/>
              </w:rPr>
            </w:pPr>
          </w:p>
        </w:tc>
        <w:tc>
          <w:tcPr>
            <w:tcW w:w="55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8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rPr>
              <w:t>12b</w:t>
            </w: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604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loans</w:t>
            </w:r>
          </w:p>
        </w:tc>
        <w:tc>
          <w:tcPr>
            <w:tcW w:w="6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7</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9,885</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10,542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8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auto"/>
              <w:right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loans</w:t>
            </w:r>
          </w:p>
        </w:tc>
        <w:tc>
          <w:tcPr>
            <w:tcW w:w="6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4,835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6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7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13,062</w:t>
            </w: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Warrants to purchase preferred shares and shares</w:t>
            </w:r>
          </w:p>
        </w:tc>
        <w:tc>
          <w:tcPr>
            <w:tcW w:w="6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4,800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to issue preferred shares and warrants</w:t>
            </w:r>
          </w:p>
        </w:tc>
        <w:tc>
          <w:tcPr>
            <w:tcW w:w="6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273</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Severance pay obligations, net</w:t>
            </w:r>
          </w:p>
        </w:tc>
        <w:tc>
          <w:tcPr>
            <w:tcW w:w="22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20,990</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27,630</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31,532</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28,434</w:t>
            </w:r>
          </w:p>
        </w:tc>
        <w:tc>
          <w:tcPr>
            <w:tcW w:w="0" w:type="dxa"/>
            <w:vAlign w:val="bottom"/>
          </w:tcPr>
          <w:p>
            <w:pPr>
              <w:spacing w:after="0"/>
              <w:rPr>
                <w:sz w:val="1"/>
                <w:szCs w:val="1"/>
                <w:color w:val="auto"/>
              </w:rPr>
            </w:pPr>
          </w:p>
        </w:tc>
      </w:tr>
      <w:tr>
        <w:trPr>
          <w:trHeight w:val="210"/>
        </w:trPr>
        <w:tc>
          <w:tcPr>
            <w:tcW w:w="8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620" w:type="dxa"/>
            <w:vAlign w:val="bottom"/>
            <w:tcBorders>
              <w:top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DEFICIENCY:</w:t>
            </w:r>
          </w:p>
        </w:tc>
        <w:tc>
          <w:tcPr>
            <w:tcW w:w="6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 NIS 0.01 par value:</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Authorized – as of December 31, 2016 and 2015,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1,000,000 shares; issued and outstanding</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 of December 31, 2016 – 34,544 shares and as of December 31, 2015 – 34,396 shares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reserves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2,844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2,485</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(30,616)</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(29,417)</w:t>
            </w:r>
          </w:p>
        </w:tc>
        <w:tc>
          <w:tcPr>
            <w:tcW w:w="0" w:type="dxa"/>
            <w:vAlign w:val="bottom"/>
          </w:tcPr>
          <w:p>
            <w:pPr>
              <w:spacing w:after="0"/>
              <w:rPr>
                <w:sz w:val="1"/>
                <w:szCs w:val="1"/>
                <w:color w:val="auto"/>
              </w:rPr>
            </w:pPr>
          </w:p>
        </w:tc>
      </w:tr>
      <w:tr>
        <w:trPr>
          <w:trHeight w:val="20"/>
        </w:trPr>
        <w:tc>
          <w:tcPr>
            <w:tcW w:w="8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 DEFICIENCY</w:t>
            </w: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7"/>
              </w:rPr>
              <w:t>(25,246)</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(25,687)</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NET OF CAPITAL DEFICIENCY</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6,286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5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-1997710</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-2323465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-3241040</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-4476115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-5144770</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-6130925</wp:posOffset>
            </wp:positionV>
            <wp:extent cx="1371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7" w:lineRule="exact"/>
        <w:rPr>
          <w:sz w:val="20"/>
          <w:szCs w:val="20"/>
          <w:color w:val="auto"/>
        </w:rPr>
      </w:pPr>
    </w:p>
    <w:p>
      <w:pPr>
        <w:ind w:left="360" w:hanging="352"/>
        <w:spacing w:after="0"/>
        <w:tabs>
          <w:tab w:leader="none" w:pos="3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amount less than one thousand.</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8" w:name="page179"/>
    <w:bookmarkEnd w:id="178"/>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STATEMENTS OF COMPREHENSIVE LOSS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U.S. dollars in thousands</w:t>
            </w:r>
          </w:p>
        </w:tc>
        <w:tc>
          <w:tcPr>
            <w:tcW w:w="0" w:type="dxa"/>
            <w:vAlign w:val="bottom"/>
          </w:tcPr>
          <w:p>
            <w:pPr>
              <w:spacing w:after="0"/>
              <w:rPr>
                <w:sz w:val="1"/>
                <w:szCs w:val="1"/>
                <w:color w:val="auto"/>
              </w:rPr>
            </w:pPr>
          </w:p>
        </w:tc>
      </w:tr>
      <w:tr>
        <w:trPr>
          <w:trHeight w:val="257"/>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2,648</w:t>
            </w:r>
          </w:p>
        </w:tc>
        <w:tc>
          <w:tcPr>
            <w:tcW w:w="720" w:type="dxa"/>
            <w:vAlign w:val="bottom"/>
            <w:tcBorders>
              <w:right w:val="single" w:sz="8" w:color="CCEEFF"/>
            </w:tcBorders>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2,115</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2,719</w:t>
            </w:r>
          </w:p>
        </w:tc>
        <w:tc>
          <w:tcPr>
            <w:tcW w:w="7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1,586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30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5,367</w:t>
            </w:r>
          </w:p>
        </w:tc>
        <w:tc>
          <w:tcPr>
            <w:tcW w:w="720" w:type="dxa"/>
            <w:vAlign w:val="bottom"/>
            <w:tcBorders>
              <w:right w:val="single" w:sz="8" w:color="CCEEFF"/>
            </w:tcBorders>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3,701</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8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FINANCIAL (INCOME) EXPENSES:</w:t>
            </w:r>
          </w:p>
        </w:tc>
        <w:tc>
          <w:tcPr>
            <w:tcW w:w="620" w:type="dxa"/>
            <w:vAlign w:val="bottom"/>
            <w:tcBorders>
              <w:top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change in fair value of financial liabilities at fair value</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(4,311)</w:t>
            </w:r>
          </w:p>
        </w:tc>
        <w:tc>
          <w:tcPr>
            <w:tcW w:w="720" w:type="dxa"/>
            <w:vAlign w:val="bottom"/>
            <w:tcBorders>
              <w:right w:val="single" w:sz="8" w:color="CCEEFF"/>
            </w:tcBorders>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financial expenses, net</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7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FINANCIAL (INCOME) EXPENSES, </w:t>
            </w:r>
            <w:r>
              <w:rPr>
                <w:rFonts w:ascii="Times New Roman" w:cs="Times New Roman" w:eastAsia="Times New Roman" w:hAnsi="Times New Roman"/>
                <w:sz w:val="18"/>
                <w:szCs w:val="18"/>
                <w:color w:val="auto"/>
              </w:rPr>
              <w:t>net</w:t>
            </w: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30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(4,168)</w:t>
            </w:r>
          </w:p>
        </w:tc>
        <w:tc>
          <w:tcPr>
            <w:tcW w:w="720" w:type="dxa"/>
            <w:vAlign w:val="bottom"/>
            <w:tcBorders>
              <w:right w:val="single" w:sz="8" w:color="CCEEFF"/>
            </w:tcBorders>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COMPREHENSIVE LOSS</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1,199</w:t>
            </w:r>
          </w:p>
        </w:tc>
        <w:tc>
          <w:tcPr>
            <w:tcW w:w="7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4,282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8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U.S. dollars (except for</w:t>
            </w:r>
          </w:p>
        </w:tc>
        <w:tc>
          <w:tcPr>
            <w:tcW w:w="0" w:type="dxa"/>
            <w:vAlign w:val="bottom"/>
          </w:tcPr>
          <w:p>
            <w:pPr>
              <w:spacing w:after="0"/>
              <w:rPr>
                <w:sz w:val="1"/>
                <w:szCs w:val="1"/>
                <w:color w:val="auto"/>
              </w:rPr>
            </w:pPr>
          </w:p>
        </w:tc>
      </w:tr>
      <w:tr>
        <w:trPr>
          <w:trHeight w:val="188"/>
        </w:trPr>
        <w:tc>
          <w:tcPr>
            <w:tcW w:w="8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color w:val="auto"/>
              </w:rPr>
              <w:t>share numbers)</w:t>
            </w:r>
          </w:p>
        </w:tc>
        <w:tc>
          <w:tcPr>
            <w:tcW w:w="0" w:type="dxa"/>
            <w:vAlign w:val="bottom"/>
          </w:tcPr>
          <w:p>
            <w:pPr>
              <w:spacing w:after="0"/>
              <w:rPr>
                <w:sz w:val="1"/>
                <w:szCs w:val="1"/>
                <w:color w:val="auto"/>
              </w:rPr>
            </w:pPr>
          </w:p>
        </w:tc>
      </w:tr>
      <w:tr>
        <w:trPr>
          <w:trHeight w:val="24"/>
        </w:trPr>
        <w:tc>
          <w:tcPr>
            <w:tcW w:w="8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gridSpan w:val="3"/>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ORDINARY SHARE –</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4"/>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w:t>
            </w: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34,409</w:t>
            </w:r>
          </w:p>
        </w:tc>
        <w:tc>
          <w:tcPr>
            <w:tcW w:w="720" w:type="dxa"/>
            <w:vAlign w:val="bottom"/>
            <w:tcBorders>
              <w:bottom w:val="single" w:sz="8" w:color="CCEEFF"/>
              <w:right w:val="single" w:sz="8" w:color="CCEEFF"/>
            </w:tcBorders>
            <w:shd w:val="clear" w:color="auto" w:fill="CCEEFF"/>
          </w:tcPr>
          <w:p>
            <w:pPr>
              <w:spacing w:after="0"/>
              <w:rPr>
                <w:sz w:val="22"/>
                <w:szCs w:val="22"/>
                <w:color w:val="auto"/>
              </w:rPr>
            </w:pPr>
          </w:p>
        </w:tc>
        <w:tc>
          <w:tcPr>
            <w:tcW w:w="4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34,396</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51,972</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34,396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-1843405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-2597785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-3060700</wp:posOffset>
            </wp:positionV>
            <wp:extent cx="1371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589153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891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9" w:name="page180"/>
    <w:bookmarkEnd w:id="179"/>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STATEMENTS OF CHANGES IN CAPITAL DEFICIENCY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8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3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0"/>
        </w:trPr>
        <w:tc>
          <w:tcPr>
            <w:tcW w:w="2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3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20" w:type="dxa"/>
            <w:vAlign w:val="bottom"/>
          </w:tcPr>
          <w:p>
            <w:pPr>
              <w:spacing w:after="0"/>
              <w:rPr>
                <w:sz w:val="16"/>
                <w:szCs w:val="16"/>
                <w:color w:val="auto"/>
              </w:rPr>
            </w:pP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2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U.S. dollars in thousands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57"/>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2015</w:t>
            </w:r>
          </w:p>
        </w:tc>
        <w:tc>
          <w:tcPr>
            <w:tcW w:w="1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34,396</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8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(25,135)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(21,771)</w:t>
            </w:r>
          </w:p>
        </w:tc>
      </w:tr>
      <w:tr>
        <w:trPr>
          <w:trHeight w:val="36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DURING THE YEAR</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ENDED DECEMBER 31, 2015: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for the year</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(4,282)</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(4,282)</w:t>
            </w: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366</w:t>
            </w:r>
          </w:p>
        </w:tc>
        <w:tc>
          <w:tcPr>
            <w:tcW w:w="4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w:t>
            </w:r>
          </w:p>
        </w:tc>
      </w:tr>
      <w:tr>
        <w:trPr>
          <w:trHeight w:val="20"/>
        </w:trPr>
        <w:tc>
          <w:tcPr>
            <w:tcW w:w="27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2015</w:t>
            </w:r>
          </w:p>
        </w:tc>
        <w:tc>
          <w:tcPr>
            <w:tcW w:w="1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34,396</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80" w:type="dxa"/>
            <w:vAlign w:val="bottom"/>
          </w:tcPr>
          <w:p>
            <w:pPr>
              <w:spacing w:after="0"/>
              <w:rPr>
                <w:sz w:val="21"/>
                <w:szCs w:val="21"/>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1,354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(29,417)</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(25,687)</w:t>
            </w:r>
          </w:p>
        </w:tc>
      </w:tr>
      <w:tr>
        <w:trPr>
          <w:trHeight w:val="371"/>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DURING THE YEAR</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ENDED DECEMBER 31, 2016: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shares</w:t>
            </w:r>
          </w:p>
        </w:tc>
        <w:tc>
          <w:tcPr>
            <w:tcW w:w="1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for the year</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(1,199)</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(1,199)</w:t>
            </w: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1,490</w:t>
            </w:r>
          </w:p>
        </w:tc>
        <w:tc>
          <w:tcPr>
            <w:tcW w:w="4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1,490</w:t>
            </w:r>
          </w:p>
        </w:tc>
      </w:tr>
      <w:tr>
        <w:trPr>
          <w:trHeight w:val="20"/>
        </w:trPr>
        <w:tc>
          <w:tcPr>
            <w:tcW w:w="27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4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2016</w:t>
            </w:r>
          </w:p>
        </w:tc>
        <w:tc>
          <w:tcPr>
            <w:tcW w:w="1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34,544</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80" w:type="dxa"/>
            <w:vAlign w:val="bottom"/>
          </w:tcPr>
          <w:p>
            <w:pPr>
              <w:spacing w:after="0"/>
              <w:rPr>
                <w:sz w:val="21"/>
                <w:szCs w:val="21"/>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2,844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(30,616)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(25,246)</w:t>
            </w:r>
          </w:p>
        </w:tc>
      </w:tr>
      <w:tr>
        <w:trPr>
          <w:trHeight w:val="27"/>
        </w:trPr>
        <w:tc>
          <w:tcPr>
            <w:tcW w:w="2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2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-2469515</wp:posOffset>
            </wp:positionV>
            <wp:extent cx="514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-2469515</wp:posOffset>
            </wp:positionV>
            <wp:extent cx="514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-2469515</wp:posOffset>
            </wp:positionV>
            <wp:extent cx="514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-2469515</wp:posOffset>
            </wp:positionV>
            <wp:extent cx="514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7" w:lineRule="exact"/>
        <w:rPr>
          <w:sz w:val="20"/>
          <w:szCs w:val="20"/>
          <w:color w:val="auto"/>
        </w:rPr>
      </w:pPr>
    </w:p>
    <w:p>
      <w:pPr>
        <w:ind w:left="360" w:hanging="352"/>
        <w:spacing w:after="0"/>
        <w:tabs>
          <w:tab w:leader="none" w:pos="3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amount of less than one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0" w:name="page181"/>
    <w:bookmarkEnd w:id="180"/>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STATEMENTS OF CASH FLOWS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9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9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color w:val="auto"/>
              </w:rPr>
              <w:t>U.S dollars in thousands</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for the year</w:t>
            </w:r>
          </w:p>
        </w:tc>
        <w:tc>
          <w:tcPr>
            <w:tcW w:w="12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8"/>
              </w:rPr>
              <w:t>(1,199)</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(4,282)</w:t>
            </w:r>
          </w:p>
        </w:tc>
        <w:tc>
          <w:tcPr>
            <w:tcW w:w="0" w:type="dxa"/>
            <w:vAlign w:val="bottom"/>
          </w:tcPr>
          <w:p>
            <w:pPr>
              <w:spacing w:after="0"/>
              <w:rPr>
                <w:sz w:val="1"/>
                <w:szCs w:val="1"/>
                <w:color w:val="auto"/>
              </w:rPr>
            </w:pPr>
          </w:p>
        </w:tc>
      </w:tr>
      <w:tr>
        <w:trPr>
          <w:trHeight w:val="230"/>
        </w:trPr>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required to reflect net cash used in operating activities (see appendix A)</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8"/>
              </w:rPr>
              <w:t>(1,943)</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8"/>
              </w:rPr>
              <w:t>(3,142)</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(3,495)</w:t>
            </w:r>
          </w:p>
        </w:tc>
        <w:tc>
          <w:tcPr>
            <w:tcW w:w="0" w:type="dxa"/>
            <w:vAlign w:val="bottom"/>
          </w:tcPr>
          <w:p>
            <w:pPr>
              <w:spacing w:after="0"/>
              <w:rPr>
                <w:sz w:val="1"/>
                <w:szCs w:val="1"/>
                <w:color w:val="auto"/>
              </w:rPr>
            </w:pPr>
          </w:p>
        </w:tc>
      </w:tr>
      <w:tr>
        <w:trPr>
          <w:trHeight w:val="318"/>
        </w:trPr>
        <w:tc>
          <w:tcPr>
            <w:tcW w:w="9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8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right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 restricted deposits</w:t>
            </w:r>
          </w:p>
        </w:tc>
        <w:tc>
          <w:tcPr>
            <w:tcW w:w="12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8"/>
              </w:rPr>
              <w:t>(1,075)</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(41)</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9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8"/>
              </w:rPr>
              <w:t>(1,116)</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318"/>
        </w:trPr>
        <w:tc>
          <w:tcPr>
            <w:tcW w:w="9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8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right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issuance of preferred shares and warrants</w:t>
            </w: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convertible loan and warrants, net</w:t>
            </w: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7,216</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7,216</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0" w:type="dxa"/>
            <w:vAlign w:val="bottom"/>
            <w:gridSpan w:val="2"/>
            <w:vMerge w:val="continue"/>
            <w:shd w:val="clear" w:color="auto" w:fill="CCEEFF"/>
          </w:tcPr>
          <w:p>
            <w:pPr>
              <w:spacing w:after="0"/>
              <w:rPr>
                <w:sz w:val="24"/>
                <w:szCs w:val="24"/>
                <w:color w:val="auto"/>
              </w:rPr>
            </w:pP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2,958</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YEAR</w:t>
            </w: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1,205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EXCHANGE DIFFERENCES ON CASH AND CASH EQUIVALENTS</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9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4,163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APPENDIX A:</w:t>
            </w:r>
          </w:p>
        </w:tc>
        <w:tc>
          <w:tcPr>
            <w:tcW w:w="48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right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required to reflect net cash used in operating activities:</w:t>
            </w: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35</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loss from change in fair value of financial liabilities at fair value</w:t>
            </w:r>
          </w:p>
        </w:tc>
        <w:tc>
          <w:tcPr>
            <w:tcW w:w="12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8"/>
              </w:rPr>
              <w:t>(4,311)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costs related to convertible loan and warrants</w:t>
            </w: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363</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Financial expenses</w:t>
            </w: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changes in severance pay</w:t>
            </w: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1,490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8"/>
              </w:rPr>
              <w:t>(2,296)</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94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480" w:type="dxa"/>
            <w:vAlign w:val="bottom"/>
            <w:tcBorders>
              <w:top w:val="single" w:sz="8" w:color="auto"/>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500</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9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increase in accounts payable:</w:t>
            </w: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w:t>
            </w:r>
          </w:p>
        </w:tc>
        <w:tc>
          <w:tcPr>
            <w:tcW w:w="12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(298)</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151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353</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9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8"/>
              </w:rPr>
              <w:t>(1,943)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3600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360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-1294130</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-3138170</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-3806825</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-4476115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-5179060</wp:posOffset>
            </wp:positionV>
            <wp:extent cx="1371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SUPPLEMENTARY INFORMATION ON INVESTING AND FINANCING ACTIVITIES NOT INVOLVING</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extinguishment of convertible loans see note 7.</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1" w:name="page182"/>
    <w:bookmarkEnd w:id="181"/>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 INFORMATION:</w:t>
      </w:r>
    </w:p>
    <w:p>
      <w:pPr>
        <w:spacing w:after="0" w:line="198" w:lineRule="exact"/>
        <w:rPr>
          <w:sz w:val="20"/>
          <w:szCs w:val="20"/>
          <w:color w:val="auto"/>
        </w:rPr>
      </w:pPr>
    </w:p>
    <w:p>
      <w:pPr>
        <w:ind w:left="540" w:hanging="352"/>
        <w:spacing w:after="0"/>
        <w:tabs>
          <w:tab w:leader="none" w:pos="5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48" w:lineRule="exact"/>
        <w:rPr>
          <w:rFonts w:ascii="Times New Roman" w:cs="Times New Roman" w:eastAsia="Times New Roman" w:hAnsi="Times New Roman"/>
          <w:sz w:val="18"/>
          <w:szCs w:val="18"/>
          <w:b w:val="1"/>
          <w:bCs w:val="1"/>
          <w:color w:val="auto"/>
        </w:rPr>
      </w:pPr>
    </w:p>
    <w:p>
      <w:pPr>
        <w:ind w:left="900" w:right="1040" w:hanging="352"/>
        <w:spacing w:after="0" w:line="261" w:lineRule="auto"/>
        <w:tabs>
          <w:tab w:leader="none" w:pos="9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Entera Bio Ltd. (the “Company”) was incorporated on June 1, 2010. The Company is a clinical-stage biopharmaceutical company, focused on the development and commercialization of orally delivered large molecule therapeutics in areas with significant unmet medical needs. Currently the Company is focused on the development of oral capsules for the treatment of hypoparathyroidism and osteoporosis.</w:t>
      </w:r>
    </w:p>
    <w:p>
      <w:pPr>
        <w:spacing w:after="0" w:line="126" w:lineRule="exact"/>
        <w:rPr>
          <w:rFonts w:ascii="Times New Roman" w:cs="Times New Roman" w:eastAsia="Times New Roman" w:hAnsi="Times New Roman"/>
          <w:sz w:val="18"/>
          <w:szCs w:val="18"/>
          <w:color w:val="auto"/>
        </w:rPr>
      </w:pPr>
    </w:p>
    <w:p>
      <w:pPr>
        <w:ind w:left="900" w:right="840" w:hanging="352"/>
        <w:spacing w:after="0" w:line="258" w:lineRule="auto"/>
        <w:tabs>
          <w:tab w:leader="none" w:pos="9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Company is engaged in research and development activities, it has not yet derived income from its activity and has incurred through December 31, 2016, accumulated losses in the amount of $30,616 thousand. The Company also has negative working capital and has cash outflows from operating activities. The Company’s management is of the opinion that its available funds as of December 31, 2016 will not allow the Company to execute its development plans in the upcoming year. These factors raise substantial doubt as to the Company’s ability to continue as a going concern.</w:t>
      </w:r>
    </w:p>
    <w:p>
      <w:pPr>
        <w:spacing w:after="0" w:line="75" w:lineRule="exact"/>
        <w:rPr>
          <w:rFonts w:ascii="Times New Roman" w:cs="Times New Roman" w:eastAsia="Times New Roman" w:hAnsi="Times New Roman"/>
          <w:sz w:val="18"/>
          <w:szCs w:val="18"/>
          <w:color w:val="auto"/>
        </w:rPr>
      </w:pPr>
    </w:p>
    <w:p>
      <w:pPr>
        <w:ind w:left="90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is in the process of evaluating various financing alternatives in the public or private equity markets, as the Company will need to finance future research and development activities and general and administrative expenses through fund raising. However, there is no certainty about the Company’s ability to obtain such funding.</w:t>
      </w:r>
    </w:p>
    <w:p>
      <w:pPr>
        <w:spacing w:after="0" w:line="68" w:lineRule="exact"/>
        <w:rPr>
          <w:rFonts w:ascii="Times New Roman" w:cs="Times New Roman" w:eastAsia="Times New Roman" w:hAnsi="Times New Roman"/>
          <w:sz w:val="18"/>
          <w:szCs w:val="18"/>
          <w:color w:val="auto"/>
        </w:rPr>
      </w:pPr>
    </w:p>
    <w:p>
      <w:pPr>
        <w:ind w:left="900" w:right="4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has been prepared on a going concern basis, which assumes the Company will continue to realize its assets and discharge its liabilities in the normal course of business. If the Company does not raise the requisite funds, it will need to curtail or cease operations. These financial statements do not include any adjustments that may be necessary should the Company be unable to continue as a going concern.</w:t>
      </w:r>
    </w:p>
    <w:p>
      <w:pPr>
        <w:spacing w:after="0" w:line="176" w:lineRule="exact"/>
        <w:rPr>
          <w:rFonts w:ascii="Times New Roman" w:cs="Times New Roman" w:eastAsia="Times New Roman" w:hAnsi="Times New Roman"/>
          <w:sz w:val="18"/>
          <w:szCs w:val="18"/>
          <w:color w:val="auto"/>
        </w:rPr>
      </w:pPr>
    </w:p>
    <w:p>
      <w:pPr>
        <w:ind w:left="540" w:hanging="352"/>
        <w:spacing w:after="0"/>
        <w:tabs>
          <w:tab w:leader="none" w:pos="5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of financial statements</w:t>
      </w:r>
    </w:p>
    <w:p>
      <w:pPr>
        <w:spacing w:after="0" w:line="107"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financial statements were approved by the Board of Directors on July 13, 2017.</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98" w:lineRule="exact"/>
        <w:rPr>
          <w:sz w:val="20"/>
          <w:szCs w:val="20"/>
          <w:color w:val="auto"/>
        </w:rPr>
      </w:pPr>
    </w:p>
    <w:p>
      <w:pPr>
        <w:ind w:left="540" w:hanging="352"/>
        <w:spacing w:after="0"/>
        <w:tabs>
          <w:tab w:leader="none" w:pos="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of the financial statements:</w:t>
      </w:r>
    </w:p>
    <w:p>
      <w:pPr>
        <w:spacing w:after="0" w:line="107" w:lineRule="exact"/>
        <w:rPr>
          <w:rFonts w:ascii="Times New Roman" w:cs="Times New Roman" w:eastAsia="Times New Roman" w:hAnsi="Times New Roman"/>
          <w:sz w:val="18"/>
          <w:szCs w:val="18"/>
          <w:b w:val="1"/>
          <w:bCs w:val="1"/>
          <w:color w:val="auto"/>
        </w:rPr>
      </w:pPr>
    </w:p>
    <w:p>
      <w:pPr>
        <w:ind w:left="540" w:right="320"/>
        <w:spacing w:after="0" w:line="32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of the Company as of December 31, 2016 and 2015 and for each of the two years then ended have been prepared in accordance with International Financial Reporting Standards, (“IFRS”), as issued by the International Accounting Standards Board (“IASB”). The significant accounting policies described below have been applied consistently in relation to all the periods presented, unless otherwise stated.</w:t>
      </w:r>
    </w:p>
    <w:p>
      <w:pPr>
        <w:spacing w:after="0" w:line="13" w:lineRule="exact"/>
        <w:rPr>
          <w:rFonts w:ascii="Times New Roman" w:cs="Times New Roman" w:eastAsia="Times New Roman" w:hAnsi="Times New Roman"/>
          <w:sz w:val="18"/>
          <w:szCs w:val="18"/>
          <w:b w:val="1"/>
          <w:bCs w:val="1"/>
          <w:color w:val="auto"/>
        </w:rPr>
      </w:pPr>
    </w:p>
    <w:p>
      <w:pPr>
        <w:ind w:left="5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have been prepared under the historical cost convention, subject to adjustments in respect of revaluation of financial liabilities at fair value through profit or loss. The Company’s financial liabilities at fair value through profit or loss include convertible loans, preferred shares, warrants to preferred shares and shares and liability to issue preferred shares and warrants.</w:t>
      </w:r>
    </w:p>
    <w:p>
      <w:pPr>
        <w:spacing w:after="0" w:line="68" w:lineRule="exact"/>
        <w:rPr>
          <w:rFonts w:ascii="Times New Roman" w:cs="Times New Roman" w:eastAsia="Times New Roman" w:hAnsi="Times New Roman"/>
          <w:sz w:val="18"/>
          <w:szCs w:val="18"/>
          <w:b w:val="1"/>
          <w:bCs w:val="1"/>
          <w:color w:val="auto"/>
        </w:rPr>
      </w:pPr>
    </w:p>
    <w:p>
      <w:pPr>
        <w:ind w:left="5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IFRS requires the use of certain critical accounting estimates. It also requires management to exercise its judgment in the process of applying the Company’s accounting policies. The areas involving a higher degree of judgment or complexity, or areas where assumptions and estimates are significant to the financial statements are disclosed in note 3. Actual results could differ from those estimates and assumptions.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2" w:name="page183"/>
    <w:bookmarkEnd w:id="182"/>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171" w:lineRule="exact"/>
        <w:rPr>
          <w:sz w:val="20"/>
          <w:szCs w:val="20"/>
          <w:color w:val="auto"/>
        </w:rPr>
      </w:pPr>
    </w:p>
    <w:p>
      <w:pPr>
        <w:ind w:left="540" w:hanging="352"/>
        <w:spacing w:after="0"/>
        <w:tabs>
          <w:tab w:leader="none" w:pos="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and presentation currency:</w:t>
      </w:r>
    </w:p>
    <w:p>
      <w:pPr>
        <w:spacing w:after="0" w:line="80" w:lineRule="exact"/>
        <w:rPr>
          <w:rFonts w:ascii="Times New Roman" w:cs="Times New Roman" w:eastAsia="Times New Roman" w:hAnsi="Times New Roman"/>
          <w:sz w:val="18"/>
          <w:szCs w:val="18"/>
          <w:b w:val="1"/>
          <w:bCs w:val="1"/>
          <w:color w:val="auto"/>
        </w:rPr>
      </w:pPr>
    </w:p>
    <w:p>
      <w:pPr>
        <w:ind w:left="900" w:hanging="352"/>
        <w:spacing w:after="0"/>
        <w:tabs>
          <w:tab w:leader="none" w:pos="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Functional and presentation currency</w:t>
      </w:r>
    </w:p>
    <w:p>
      <w:pPr>
        <w:spacing w:after="0" w:line="117" w:lineRule="exact"/>
        <w:rPr>
          <w:rFonts w:ascii="Times New Roman" w:cs="Times New Roman" w:eastAsia="Times New Roman" w:hAnsi="Times New Roman"/>
          <w:sz w:val="18"/>
          <w:szCs w:val="18"/>
          <w:color w:val="auto"/>
        </w:rPr>
      </w:pPr>
    </w:p>
    <w:p>
      <w:pPr>
        <w:jc w:val="both"/>
        <w:ind w:left="90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included in the financial statements of the Company are measured using the currency of the primary economic environment in which the entity operates (“the functional currency”). The U.S. dollar is the currency of the primary economic environment in which the operations of the Company is conducted. The financial statements are presented in U.S dollars.</w:t>
      </w:r>
    </w:p>
    <w:p>
      <w:pPr>
        <w:spacing w:after="0" w:line="68" w:lineRule="exact"/>
        <w:rPr>
          <w:rFonts w:ascii="Times New Roman" w:cs="Times New Roman" w:eastAsia="Times New Roman" w:hAnsi="Times New Roman"/>
          <w:sz w:val="18"/>
          <w:szCs w:val="18"/>
          <w:color w:val="auto"/>
        </w:rPr>
      </w:pPr>
    </w:p>
    <w:p>
      <w:pPr>
        <w:ind w:left="900" w:hanging="352"/>
        <w:spacing w:after="0"/>
        <w:tabs>
          <w:tab w:leader="none" w:pos="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and balances</w:t>
      </w:r>
    </w:p>
    <w:p>
      <w:pPr>
        <w:spacing w:after="0" w:line="117" w:lineRule="exact"/>
        <w:rPr>
          <w:rFonts w:ascii="Times New Roman" w:cs="Times New Roman" w:eastAsia="Times New Roman" w:hAnsi="Times New Roman"/>
          <w:sz w:val="18"/>
          <w:szCs w:val="18"/>
          <w:color w:val="auto"/>
        </w:rPr>
      </w:pPr>
    </w:p>
    <w:p>
      <w:pPr>
        <w:ind w:left="9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transactions are translated into the functional currency using exchange rates prevailing at the dates of the transactions. Foreign exchange gains and losses resulting from the settlement of such transactions and from the translation at year-end exchange rates of monetary assets and liabilities denominated in foreign currencies are recognized in the statements of comprehensive loss within financial income or expenses.</w:t>
      </w:r>
    </w:p>
    <w:p>
      <w:pPr>
        <w:spacing w:after="0" w:line="71" w:lineRule="exact"/>
        <w:rPr>
          <w:rFonts w:ascii="Times New Roman" w:cs="Times New Roman" w:eastAsia="Times New Roman" w:hAnsi="Times New Roman"/>
          <w:sz w:val="18"/>
          <w:szCs w:val="18"/>
          <w:color w:val="auto"/>
        </w:rPr>
      </w:pPr>
    </w:p>
    <w:p>
      <w:pPr>
        <w:ind w:left="90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 differences on non-monetary financial assets and liabilities at fair value through profit or loss are recognized in profit or loss as part of the fair value gain or loss within financial income or expenses.</w:t>
      </w:r>
    </w:p>
    <w:p>
      <w:pPr>
        <w:spacing w:after="0" w:line="171" w:lineRule="exact"/>
        <w:rPr>
          <w:rFonts w:ascii="Times New Roman" w:cs="Times New Roman" w:eastAsia="Times New Roman" w:hAnsi="Times New Roman"/>
          <w:sz w:val="18"/>
          <w:szCs w:val="18"/>
          <w:color w:val="auto"/>
        </w:rPr>
      </w:pPr>
    </w:p>
    <w:p>
      <w:pPr>
        <w:ind w:left="540" w:hanging="352"/>
        <w:spacing w:after="0"/>
        <w:tabs>
          <w:tab w:leader="none" w:pos="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07" w:lineRule="exact"/>
        <w:rPr>
          <w:rFonts w:ascii="Times New Roman" w:cs="Times New Roman" w:eastAsia="Times New Roman" w:hAnsi="Times New Roman"/>
          <w:sz w:val="18"/>
          <w:szCs w:val="18"/>
          <w:b w:val="1"/>
          <w:bCs w:val="1"/>
          <w:color w:val="auto"/>
        </w:rPr>
      </w:pPr>
    </w:p>
    <w:p>
      <w:pPr>
        <w:ind w:left="54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include cash on hand and short-term bank deposits (with original maturities of three months or less) that are not restricted as to withdrawal or use, and are therefore considered to be cash equivalents.</w:t>
      </w:r>
    </w:p>
    <w:p>
      <w:pPr>
        <w:spacing w:after="0" w:line="157" w:lineRule="exact"/>
        <w:rPr>
          <w:rFonts w:ascii="Times New Roman" w:cs="Times New Roman" w:eastAsia="Times New Roman" w:hAnsi="Times New Roman"/>
          <w:sz w:val="18"/>
          <w:szCs w:val="18"/>
          <w:b w:val="1"/>
          <w:bCs w:val="1"/>
          <w:color w:val="auto"/>
        </w:rPr>
      </w:pPr>
    </w:p>
    <w:p>
      <w:pPr>
        <w:ind w:left="540" w:hanging="352"/>
        <w:spacing w:after="0"/>
        <w:tabs>
          <w:tab w:leader="none" w:pos="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deposits:</w:t>
      </w:r>
    </w:p>
    <w:p>
      <w:pPr>
        <w:spacing w:after="0" w:line="107"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cash deposits relate to accounts where withdrawals are restricted under contractual agreements.</w:t>
      </w:r>
    </w:p>
    <w:p>
      <w:pPr>
        <w:spacing w:after="0" w:line="221" w:lineRule="exact"/>
        <w:rPr>
          <w:rFonts w:ascii="Times New Roman" w:cs="Times New Roman" w:eastAsia="Times New Roman" w:hAnsi="Times New Roman"/>
          <w:sz w:val="18"/>
          <w:szCs w:val="18"/>
          <w:b w:val="1"/>
          <w:bCs w:val="1"/>
          <w:color w:val="auto"/>
        </w:rPr>
      </w:pPr>
    </w:p>
    <w:p>
      <w:pPr>
        <w:ind w:left="540" w:hanging="352"/>
        <w:spacing w:after="0"/>
        <w:tabs>
          <w:tab w:leader="none" w:pos="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94" w:lineRule="exact"/>
        <w:rPr>
          <w:rFonts w:ascii="Times New Roman" w:cs="Times New Roman" w:eastAsia="Times New Roman" w:hAnsi="Times New Roman"/>
          <w:sz w:val="18"/>
          <w:szCs w:val="18"/>
          <w:b w:val="1"/>
          <w:bCs w:val="1"/>
          <w:color w:val="auto"/>
        </w:rPr>
      </w:pPr>
    </w:p>
    <w:p>
      <w:pPr>
        <w:jc w:val="both"/>
        <w:ind w:left="900" w:right="560" w:hanging="352"/>
        <w:spacing w:after="0" w:line="266" w:lineRule="auto"/>
        <w:tabs>
          <w:tab w:leader="none" w:pos="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stated at historical cost less accumulated depreciation and impairment. Historical cost includes expenditures that are directly attributable to the acquisition of the items. Repairs and maintenance are charged to the statement of comprehensive loss during the period in which they are incurred.</w:t>
      </w:r>
    </w:p>
    <w:p>
      <w:pPr>
        <w:spacing w:after="0" w:line="68" w:lineRule="exact"/>
        <w:rPr>
          <w:rFonts w:ascii="Times New Roman" w:cs="Times New Roman" w:eastAsia="Times New Roman" w:hAnsi="Times New Roman"/>
          <w:sz w:val="18"/>
          <w:szCs w:val="18"/>
          <w:color w:val="auto"/>
        </w:rPr>
      </w:pPr>
    </w:p>
    <w:p>
      <w:pPr>
        <w:ind w:left="900" w:hanging="352"/>
        <w:spacing w:after="0"/>
        <w:tabs>
          <w:tab w:leader="none" w:pos="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are depreciated using the straight-line method to allocate their cost over their estimated useful lives.</w:t>
      </w:r>
    </w:p>
    <w:p>
      <w:pPr>
        <w:spacing w:after="0" w:line="221" w:lineRule="exact"/>
        <w:rPr>
          <w:rFonts w:ascii="Times New Roman" w:cs="Times New Roman" w:eastAsia="Times New Roman" w:hAnsi="Times New Roman"/>
          <w:sz w:val="18"/>
          <w:szCs w:val="18"/>
          <w:color w:val="auto"/>
        </w:rPr>
      </w:pPr>
    </w:p>
    <w:p>
      <w:pPr>
        <w:ind w:left="540" w:hanging="352"/>
        <w:spacing w:after="0"/>
        <w:tabs>
          <w:tab w:leader="none" w:pos="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94" w:lineRule="exact"/>
        <w:rPr>
          <w:rFonts w:ascii="Times New Roman" w:cs="Times New Roman" w:eastAsia="Times New Roman" w:hAnsi="Times New Roman"/>
          <w:sz w:val="18"/>
          <w:szCs w:val="18"/>
          <w:b w:val="1"/>
          <w:bCs w:val="1"/>
          <w:color w:val="auto"/>
        </w:rPr>
      </w:pPr>
    </w:p>
    <w:p>
      <w:pPr>
        <w:ind w:left="900" w:hanging="352"/>
        <w:spacing w:after="0"/>
        <w:tabs>
          <w:tab w:leader="none" w:pos="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w:t>
      </w:r>
    </w:p>
    <w:p>
      <w:pPr>
        <w:spacing w:after="0" w:line="117" w:lineRule="exact"/>
        <w:rPr>
          <w:rFonts w:ascii="Times New Roman" w:cs="Times New Roman" w:eastAsia="Times New Roman" w:hAnsi="Times New Roman"/>
          <w:sz w:val="18"/>
          <w:szCs w:val="18"/>
          <w:color w:val="auto"/>
        </w:rPr>
      </w:pPr>
    </w:p>
    <w:p>
      <w:pPr>
        <w:ind w:left="900" w:right="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expenses are charged to profit or loss as incurred. An intangible asset arising from development of the Company’s products is recognized if all of the following conditions are met:</w:t>
      </w:r>
    </w:p>
    <w:p>
      <w:pPr>
        <w:spacing w:after="0" w:line="80" w:lineRule="exact"/>
        <w:rPr>
          <w:rFonts w:ascii="Times New Roman" w:cs="Times New Roman" w:eastAsia="Times New Roman" w:hAnsi="Times New Roman"/>
          <w:sz w:val="18"/>
          <w:szCs w:val="18"/>
          <w:color w:val="auto"/>
        </w:rPr>
      </w:pPr>
    </w:p>
    <w:p>
      <w:pPr>
        <w:ind w:left="1260" w:hanging="172"/>
        <w:spacing w:after="0"/>
        <w:tabs>
          <w:tab w:leader="none" w:pos="126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technically feasible to complete the intangible asset so that it will be available for use;</w:t>
      </w:r>
    </w:p>
    <w:p>
      <w:pPr>
        <w:spacing w:after="0" w:line="144" w:lineRule="exact"/>
        <w:rPr>
          <w:rFonts w:ascii="Times New Roman" w:cs="Times New Roman" w:eastAsia="Times New Roman" w:hAnsi="Times New Roman"/>
          <w:sz w:val="18"/>
          <w:szCs w:val="18"/>
          <w:color w:val="auto"/>
        </w:rPr>
      </w:pPr>
    </w:p>
    <w:p>
      <w:pPr>
        <w:ind w:left="1260" w:hanging="172"/>
        <w:spacing w:after="0"/>
        <w:tabs>
          <w:tab w:leader="none" w:pos="126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intends to complete the intangible asset and use it or sell it;</w:t>
      </w:r>
    </w:p>
    <w:p>
      <w:pPr>
        <w:spacing w:after="0" w:line="144" w:lineRule="exact"/>
        <w:rPr>
          <w:rFonts w:ascii="Times New Roman" w:cs="Times New Roman" w:eastAsia="Times New Roman" w:hAnsi="Times New Roman"/>
          <w:sz w:val="18"/>
          <w:szCs w:val="18"/>
          <w:color w:val="auto"/>
        </w:rPr>
      </w:pPr>
    </w:p>
    <w:p>
      <w:pPr>
        <w:ind w:left="1260" w:hanging="172"/>
        <w:spacing w:after="0"/>
        <w:tabs>
          <w:tab w:leader="none" w:pos="126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ability to use or sell the intangible asset;</w:t>
      </w:r>
    </w:p>
    <w:p>
      <w:pPr>
        <w:spacing w:after="0" w:line="144" w:lineRule="exact"/>
        <w:rPr>
          <w:rFonts w:ascii="Times New Roman" w:cs="Times New Roman" w:eastAsia="Times New Roman" w:hAnsi="Times New Roman"/>
          <w:sz w:val="18"/>
          <w:szCs w:val="18"/>
          <w:color w:val="auto"/>
        </w:rPr>
      </w:pPr>
    </w:p>
    <w:p>
      <w:pPr>
        <w:ind w:left="1260" w:hanging="172"/>
        <w:spacing w:after="0"/>
        <w:tabs>
          <w:tab w:leader="none" w:pos="126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can be demonstrated how the intangible asset will generate probable future economic benefits;</w:t>
      </w:r>
    </w:p>
    <w:p>
      <w:pPr>
        <w:spacing w:after="0" w:line="2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14" w:right="379" w:bottom="1440" w:gutter="0" w:footer="0" w:header="0"/>
        </w:sectPr>
      </w:pPr>
    </w:p>
    <w:bookmarkStart w:id="183" w:name="page184"/>
    <w:bookmarkEnd w:id="183"/>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162" w:lineRule="exact"/>
        <w:rPr>
          <w:sz w:val="20"/>
          <w:szCs w:val="20"/>
          <w:color w:val="auto"/>
        </w:rPr>
      </w:pPr>
    </w:p>
    <w:p>
      <w:pPr>
        <w:ind w:left="1260" w:right="760" w:hanging="172"/>
        <w:spacing w:after="0" w:line="282" w:lineRule="auto"/>
        <w:tabs>
          <w:tab w:leader="none" w:pos="12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technical, financial and other resources to complete the development and to use or sell the intangible asset are available; and costs associated with the intangible asset during development can be measured reliably.</w:t>
      </w:r>
    </w:p>
    <w:p>
      <w:pPr>
        <w:spacing w:after="0" w:line="54" w:lineRule="exact"/>
        <w:rPr>
          <w:sz w:val="20"/>
          <w:szCs w:val="20"/>
          <w:color w:val="auto"/>
        </w:rPr>
      </w:pPr>
    </w:p>
    <w:p>
      <w:pPr>
        <w:ind w:left="900" w:right="80"/>
        <w:spacing w:after="0" w:line="282" w:lineRule="auto"/>
        <w:rPr>
          <w:sz w:val="20"/>
          <w:szCs w:val="20"/>
          <w:color w:val="auto"/>
        </w:rPr>
      </w:pPr>
      <w:r>
        <w:rPr>
          <w:rFonts w:ascii="Times New Roman" w:cs="Times New Roman" w:eastAsia="Times New Roman" w:hAnsi="Times New Roman"/>
          <w:sz w:val="18"/>
          <w:szCs w:val="18"/>
          <w:color w:val="auto"/>
        </w:rPr>
        <w:t>Other development costs that do not meet the above criteria are recognized as expenses as incurred. Development costs previously recognized as an expense are not recognized as an asset in a subsequent period.</w:t>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During the years ended December 31, 2016 and 2015, the Company has not capitalized development costs.</w:t>
      </w:r>
    </w:p>
    <w:p>
      <w:pPr>
        <w:spacing w:after="0" w:line="171" w:lineRule="exact"/>
        <w:rPr>
          <w:sz w:val="20"/>
          <w:szCs w:val="20"/>
          <w:color w:val="auto"/>
        </w:rPr>
      </w:pPr>
    </w:p>
    <w:p>
      <w:pPr>
        <w:ind w:left="900" w:hanging="352"/>
        <w:spacing w:after="0"/>
        <w:tabs>
          <w:tab w:leader="none" w:pos="9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process research and development (IPR&amp;D)</w:t>
      </w:r>
    </w:p>
    <w:p>
      <w:pPr>
        <w:spacing w:after="0" w:line="117" w:lineRule="exact"/>
        <w:rPr>
          <w:rFonts w:ascii="Times New Roman" w:cs="Times New Roman" w:eastAsia="Times New Roman" w:hAnsi="Times New Roman"/>
          <w:sz w:val="18"/>
          <w:szCs w:val="18"/>
          <w:color w:val="auto"/>
        </w:rPr>
      </w:pPr>
    </w:p>
    <w:p>
      <w:pPr>
        <w:ind w:left="90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IPR&amp;D acquired is presented based on the fair value at the date of the acquisition and is not depreciated during the research and development period. Such assets are tested annually for impairment.</w:t>
      </w:r>
    </w:p>
    <w:p>
      <w:pPr>
        <w:spacing w:after="0" w:line="157" w:lineRule="exact"/>
        <w:rPr>
          <w:rFonts w:ascii="Times New Roman" w:cs="Times New Roman" w:eastAsia="Times New Roman" w:hAnsi="Times New Roman"/>
          <w:sz w:val="18"/>
          <w:szCs w:val="18"/>
          <w:color w:val="auto"/>
        </w:rPr>
      </w:pPr>
    </w:p>
    <w:p>
      <w:pPr>
        <w:ind w:left="540" w:hanging="352"/>
        <w:spacing w:after="0"/>
        <w:tabs>
          <w:tab w:leader="none" w:pos="5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non-financial assets</w:t>
      </w:r>
    </w:p>
    <w:p>
      <w:pPr>
        <w:spacing w:after="0" w:line="107" w:lineRule="exact"/>
        <w:rPr>
          <w:rFonts w:ascii="Times New Roman" w:cs="Times New Roman" w:eastAsia="Times New Roman" w:hAnsi="Times New Roman"/>
          <w:sz w:val="18"/>
          <w:szCs w:val="18"/>
          <w:b w:val="1"/>
          <w:bCs w:val="1"/>
          <w:color w:val="auto"/>
        </w:rPr>
      </w:pPr>
    </w:p>
    <w:p>
      <w:pPr>
        <w:ind w:left="54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not ready to use are not subject to amortization and are tested annually for impairment. Assets that are subject to depreciation are reviewed for impairment whenever events or changes in circumstances indicate that the carrying amount may not be recoverable. An impairment loss is recognized for the amount by which the asset carrying amount exceeds its recoverable amount. The recoverable amount is the higher of an asset’s fair value less costs to dispose and its value in use. For the purposes of assessing impairment, assets are grouped at the lowest levels for which there are separately identifiable cash flows (cash-generating units).</w:t>
      </w:r>
    </w:p>
    <w:p>
      <w:pPr>
        <w:spacing w:after="0" w:line="75"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years ended December 31, 2016 and 2015, no impairment has been recognized.</w:t>
      </w:r>
    </w:p>
    <w:p>
      <w:pPr>
        <w:spacing w:after="0" w:line="221" w:lineRule="exact"/>
        <w:rPr>
          <w:rFonts w:ascii="Times New Roman" w:cs="Times New Roman" w:eastAsia="Times New Roman" w:hAnsi="Times New Roman"/>
          <w:sz w:val="18"/>
          <w:szCs w:val="18"/>
          <w:b w:val="1"/>
          <w:bCs w:val="1"/>
          <w:color w:val="auto"/>
        </w:rPr>
      </w:pPr>
    </w:p>
    <w:p>
      <w:pPr>
        <w:ind w:left="540" w:hanging="352"/>
        <w:spacing w:after="0"/>
        <w:tabs>
          <w:tab w:leader="none" w:pos="5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07" w:lineRule="exact"/>
        <w:rPr>
          <w:rFonts w:ascii="Times New Roman" w:cs="Times New Roman" w:eastAsia="Times New Roman" w:hAnsi="Times New Roman"/>
          <w:sz w:val="18"/>
          <w:szCs w:val="18"/>
          <w:b w:val="1"/>
          <w:bCs w:val="1"/>
          <w:color w:val="auto"/>
        </w:rPr>
      </w:pPr>
    </w:p>
    <w:p>
      <w:pPr>
        <w:ind w:left="54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decision-maker, who is responsible for allocating resources and assessing performance of the operating segments. The Company operates in one operating segment.</w:t>
      </w:r>
    </w:p>
    <w:p>
      <w:pPr>
        <w:spacing w:after="0" w:line="157" w:lineRule="exact"/>
        <w:rPr>
          <w:rFonts w:ascii="Times New Roman" w:cs="Times New Roman" w:eastAsia="Times New Roman" w:hAnsi="Times New Roman"/>
          <w:sz w:val="18"/>
          <w:szCs w:val="18"/>
          <w:b w:val="1"/>
          <w:bCs w:val="1"/>
          <w:color w:val="auto"/>
        </w:rPr>
      </w:pPr>
    </w:p>
    <w:p>
      <w:pPr>
        <w:ind w:left="540" w:hanging="352"/>
        <w:spacing w:after="0"/>
        <w:tabs>
          <w:tab w:leader="none" w:pos="5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Liabilities:</w:t>
      </w:r>
    </w:p>
    <w:p>
      <w:pPr>
        <w:spacing w:after="0" w:line="148" w:lineRule="exact"/>
        <w:rPr>
          <w:rFonts w:ascii="Times New Roman" w:cs="Times New Roman" w:eastAsia="Times New Roman" w:hAnsi="Times New Roman"/>
          <w:sz w:val="18"/>
          <w:szCs w:val="18"/>
          <w:b w:val="1"/>
          <w:bCs w:val="1"/>
          <w:color w:val="auto"/>
        </w:rPr>
      </w:pPr>
    </w:p>
    <w:p>
      <w:pPr>
        <w:ind w:left="900" w:hanging="352"/>
        <w:spacing w:after="0"/>
        <w:tabs>
          <w:tab w:leader="none" w:pos="9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liabilities at fair value through profit or loss</w:t>
      </w:r>
    </w:p>
    <w:p>
      <w:pPr>
        <w:spacing w:after="0" w:line="117" w:lineRule="exact"/>
        <w:rPr>
          <w:rFonts w:ascii="Times New Roman" w:cs="Times New Roman" w:eastAsia="Times New Roman" w:hAnsi="Times New Roman"/>
          <w:sz w:val="18"/>
          <w:szCs w:val="18"/>
          <w:color w:val="auto"/>
        </w:rPr>
      </w:pPr>
    </w:p>
    <w:p>
      <w:pPr>
        <w:ind w:left="9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includes the Company’s 2016 Convertible Loan (see note 7), 2012 Convertible Loan (see note 7), preferred shares, warrants to purchase preferred shares and shares and liability to issue preferred shares and warrants (see note 8). The convertible loans and preferred shares are convertible into a variable number of ordinary shares. Gains or losses arising from changes in the fair value of financial liabilities at fair value through profit or loss are presented in the statement of comprehensive loss under “financial income” or “financial expenses”.</w:t>
      </w:r>
    </w:p>
    <w:p>
      <w:pPr>
        <w:spacing w:after="0" w:line="112" w:lineRule="exact"/>
        <w:rPr>
          <w:rFonts w:ascii="Times New Roman" w:cs="Times New Roman" w:eastAsia="Times New Roman" w:hAnsi="Times New Roman"/>
          <w:sz w:val="18"/>
          <w:szCs w:val="18"/>
          <w:color w:val="auto"/>
        </w:rPr>
      </w:pPr>
    </w:p>
    <w:p>
      <w:pPr>
        <w:ind w:left="900" w:hanging="352"/>
        <w:spacing w:after="0"/>
        <w:tabs>
          <w:tab w:leader="none" w:pos="9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liabilities</w:t>
      </w:r>
    </w:p>
    <w:p>
      <w:pPr>
        <w:spacing w:after="0" w:line="117" w:lineRule="exact"/>
        <w:rPr>
          <w:rFonts w:ascii="Times New Roman" w:cs="Times New Roman" w:eastAsia="Times New Roman" w:hAnsi="Times New Roman"/>
          <w:sz w:val="18"/>
          <w:szCs w:val="18"/>
          <w:color w:val="auto"/>
        </w:rPr>
      </w:pPr>
    </w:p>
    <w:p>
      <w:pPr>
        <w:ind w:left="90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liabilities, including the 2015 Convertible Loan (see note 7a(2)), are initially measured at fair value. In subsequent periods, the other financial liabilities are measured at amortized cost. Any difference between the consideration (net of transaction costs) and the redemption value is accreted to profit or loss over the term of the liability, using the effective interest method.</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84" w:name="page185"/>
    <w:bookmarkEnd w:id="184"/>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0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Interest expense is calculated using the effective interest rate method as described in IAS 39 “Financial instruments”.</w:t>
      </w:r>
    </w:p>
    <w:p>
      <w:pPr>
        <w:spacing w:after="0" w:line="117" w:lineRule="exact"/>
        <w:rPr>
          <w:sz w:val="20"/>
          <w:szCs w:val="20"/>
          <w:color w:val="auto"/>
        </w:rPr>
      </w:pPr>
    </w:p>
    <w:p>
      <w:pPr>
        <w:ind w:left="900" w:right="320"/>
        <w:spacing w:after="0" w:line="282" w:lineRule="auto"/>
        <w:rPr>
          <w:sz w:val="20"/>
          <w:szCs w:val="20"/>
          <w:color w:val="auto"/>
        </w:rPr>
      </w:pPr>
      <w:r>
        <w:rPr>
          <w:rFonts w:ascii="Times New Roman" w:cs="Times New Roman" w:eastAsia="Times New Roman" w:hAnsi="Times New Roman"/>
          <w:sz w:val="18"/>
          <w:szCs w:val="18"/>
          <w:color w:val="auto"/>
        </w:rPr>
        <w:t>Financial liabilities are classified as current liabilities, unless the Company has an unconditional right to defer settlement of the liability for at least 12 months after the end of the reporting period, in which case they are classified as noncurrent liabilities.</w:t>
      </w:r>
    </w:p>
    <w:p>
      <w:pPr>
        <w:spacing w:after="0" w:line="158" w:lineRule="exact"/>
        <w:rPr>
          <w:sz w:val="20"/>
          <w:szCs w:val="20"/>
          <w:color w:val="auto"/>
        </w:rPr>
      </w:pPr>
    </w:p>
    <w:p>
      <w:pPr>
        <w:ind w:left="540" w:hanging="352"/>
        <w:spacing w:after="0"/>
        <w:tabs>
          <w:tab w:leader="none" w:pos="5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107" w:lineRule="exact"/>
        <w:rPr>
          <w:rFonts w:ascii="Times New Roman" w:cs="Times New Roman" w:eastAsia="Times New Roman" w:hAnsi="Times New Roman"/>
          <w:sz w:val="18"/>
          <w:szCs w:val="18"/>
          <w:b w:val="1"/>
          <w:bCs w:val="1"/>
          <w:color w:val="auto"/>
        </w:rPr>
      </w:pPr>
    </w:p>
    <w:p>
      <w:pPr>
        <w:ind w:left="5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Ordinary shares are classified as equity. Incremental costs directly attributable to the issue of new shares are included in equity as a deduction from the proceeds.</w:t>
      </w:r>
    </w:p>
    <w:p>
      <w:pPr>
        <w:spacing w:after="0" w:line="171" w:lineRule="exact"/>
        <w:rPr>
          <w:rFonts w:ascii="Times New Roman" w:cs="Times New Roman" w:eastAsia="Times New Roman" w:hAnsi="Times New Roman"/>
          <w:sz w:val="18"/>
          <w:szCs w:val="18"/>
          <w:b w:val="1"/>
          <w:bCs w:val="1"/>
          <w:color w:val="auto"/>
        </w:rPr>
      </w:pPr>
    </w:p>
    <w:p>
      <w:pPr>
        <w:ind w:left="540" w:hanging="352"/>
        <w:spacing w:after="0"/>
        <w:tabs>
          <w:tab w:leader="none" w:pos="5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income tax</w:t>
      </w:r>
    </w:p>
    <w:p>
      <w:pPr>
        <w:spacing w:after="0" w:line="107" w:lineRule="exact"/>
        <w:rPr>
          <w:rFonts w:ascii="Times New Roman" w:cs="Times New Roman" w:eastAsia="Times New Roman" w:hAnsi="Times New Roman"/>
          <w:sz w:val="18"/>
          <w:szCs w:val="18"/>
          <w:b w:val="1"/>
          <w:bCs w:val="1"/>
          <w:color w:val="auto"/>
        </w:rPr>
      </w:pPr>
    </w:p>
    <w:p>
      <w:pPr>
        <w:ind w:left="54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income taxes are recognized using the liability method on temporary differences arising between the tax bases of assets and liabilities and their carrying amounts in the financial statements. Deferred income tax assets are recognized only to the extent that it is probable that future taxable income will be available against which the temporary differences can be utilized. Deferred income tax is determined using tax rates and laws that have been enacted or substantively enacted by the balance sheet date and are expected to apply when the related deferred income tax asset is realized or the deferred income tax liability is settled.</w:t>
      </w:r>
    </w:p>
    <w:p>
      <w:pPr>
        <w:spacing w:after="0" w:line="75"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expectation of taxable income in the future, no deferred tax assets are recorded in the financial statements.</w:t>
      </w:r>
    </w:p>
    <w:p>
      <w:pPr>
        <w:spacing w:after="0" w:line="221" w:lineRule="exact"/>
        <w:rPr>
          <w:rFonts w:ascii="Times New Roman" w:cs="Times New Roman" w:eastAsia="Times New Roman" w:hAnsi="Times New Roman"/>
          <w:sz w:val="18"/>
          <w:szCs w:val="18"/>
          <w:b w:val="1"/>
          <w:bCs w:val="1"/>
          <w:color w:val="auto"/>
        </w:rPr>
      </w:pPr>
    </w:p>
    <w:p>
      <w:pPr>
        <w:ind w:left="540" w:hanging="352"/>
        <w:spacing w:after="0"/>
        <w:tabs>
          <w:tab w:leader="none" w:pos="5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w:t>
      </w:r>
    </w:p>
    <w:p>
      <w:pPr>
        <w:spacing w:after="0" w:line="107" w:lineRule="exact"/>
        <w:rPr>
          <w:rFonts w:ascii="Times New Roman" w:cs="Times New Roman" w:eastAsia="Times New Roman" w:hAnsi="Times New Roman"/>
          <w:sz w:val="18"/>
          <w:szCs w:val="18"/>
          <w:b w:val="1"/>
          <w:bCs w:val="1"/>
          <w:color w:val="auto"/>
        </w:rPr>
      </w:pPr>
    </w:p>
    <w:p>
      <w:pPr>
        <w:ind w:left="54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adopted a share-based compensation plan for employees, directors and service providers. As part of the plan, the Company grants employees, directors and service providers, from time to time and at its discretion, options to purchase Company’s ordinary shares. The fair value of the employees', directors' and service providers' services received in exchange for the grant of the options is recognized as an expense in the statement of comprehensive loss. The total amount recognized as an expense over the vesting period of the options was determined by reference to the fair value of the options granted at the date of grant.</w:t>
      </w:r>
    </w:p>
    <w:p>
      <w:pPr>
        <w:spacing w:after="0" w:line="75" w:lineRule="exact"/>
        <w:rPr>
          <w:rFonts w:ascii="Times New Roman" w:cs="Times New Roman" w:eastAsia="Times New Roman" w:hAnsi="Times New Roman"/>
          <w:sz w:val="18"/>
          <w:szCs w:val="18"/>
          <w:b w:val="1"/>
          <w:bCs w:val="1"/>
          <w:color w:val="auto"/>
        </w:rPr>
      </w:pPr>
    </w:p>
    <w:p>
      <w:pPr>
        <w:ind w:left="54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Service conditions and performance vesting conditions are included in assumptions about the number of options that are expected to vest. The total expense is recognized over the vesting period, which is the period over which all of the specified vesting conditions are to be satisfied.</w:t>
      </w:r>
    </w:p>
    <w:p>
      <w:pPr>
        <w:spacing w:after="0" w:line="53" w:lineRule="exact"/>
        <w:rPr>
          <w:rFonts w:ascii="Times New Roman" w:cs="Times New Roman" w:eastAsia="Times New Roman" w:hAnsi="Times New Roman"/>
          <w:sz w:val="18"/>
          <w:szCs w:val="18"/>
          <w:b w:val="1"/>
          <w:bCs w:val="1"/>
          <w:color w:val="auto"/>
        </w:rPr>
      </w:pPr>
    </w:p>
    <w:p>
      <w:pPr>
        <w:ind w:left="540" w:right="7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end of each reporting period, the Company revises its estimates of the number of options that are expected to vest based on the service conditions and performance conditions. The Company recognizes the impact of the revision to original estimates, if any, in the statement of comprehensive loss, with a corresponding adjustment to “other reserves”.</w:t>
      </w:r>
    </w:p>
    <w:p>
      <w:pPr>
        <w:spacing w:after="0" w:line="68" w:lineRule="exact"/>
        <w:rPr>
          <w:rFonts w:ascii="Times New Roman" w:cs="Times New Roman" w:eastAsia="Times New Roman" w:hAnsi="Times New Roman"/>
          <w:sz w:val="18"/>
          <w:szCs w:val="18"/>
          <w:b w:val="1"/>
          <w:bCs w:val="1"/>
          <w:color w:val="auto"/>
        </w:rPr>
      </w:pPr>
    </w:p>
    <w:p>
      <w:pPr>
        <w:ind w:left="54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options are exercised, the Company issues new shares, with proceeds less directly attributable transaction costs recognized as share capital (par value) and additional paid in capital.</w:t>
      </w:r>
    </w:p>
    <w:p>
      <w:pPr>
        <w:spacing w:after="0" w:line="157" w:lineRule="exact"/>
        <w:rPr>
          <w:rFonts w:ascii="Times New Roman" w:cs="Times New Roman" w:eastAsia="Times New Roman" w:hAnsi="Times New Roman"/>
          <w:sz w:val="18"/>
          <w:szCs w:val="18"/>
          <w:b w:val="1"/>
          <w:bCs w:val="1"/>
          <w:color w:val="auto"/>
        </w:rPr>
      </w:pPr>
    </w:p>
    <w:p>
      <w:pPr>
        <w:ind w:left="540" w:hanging="352"/>
        <w:spacing w:after="0"/>
        <w:tabs>
          <w:tab w:leader="none" w:pos="5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grants</w:t>
      </w:r>
    </w:p>
    <w:p>
      <w:pPr>
        <w:spacing w:after="0" w:line="107" w:lineRule="exact"/>
        <w:rPr>
          <w:rFonts w:ascii="Times New Roman" w:cs="Times New Roman" w:eastAsia="Times New Roman" w:hAnsi="Times New Roman"/>
          <w:sz w:val="18"/>
          <w:szCs w:val="18"/>
          <w:b w:val="1"/>
          <w:bCs w:val="1"/>
          <w:color w:val="auto"/>
        </w:rPr>
      </w:pPr>
    </w:p>
    <w:p>
      <w:pPr>
        <w:ind w:left="5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Government grants, which are received from Israel Innovation Authority (the “IIA”) by way of participation in research and development that is conducted by the Company, fall within the scope of “forgivable loans”, as set forth in International Accounting Standard Number 20 “The Accounting Treatment of Government Grants and Disclosure in respect of Government Assistance” (“IAS 20”). Since at the time of the receipt of the grants there is no reasonable assurance that the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5" w:name="page186"/>
    <w:bookmarkEnd w:id="185"/>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02" w:lineRule="exact"/>
        <w:rPr>
          <w:sz w:val="20"/>
          <w:szCs w:val="20"/>
          <w:color w:val="auto"/>
        </w:rPr>
      </w:pPr>
    </w:p>
    <w:p>
      <w:pPr>
        <w:ind w:left="540" w:right="200"/>
        <w:spacing w:after="0" w:line="266" w:lineRule="auto"/>
        <w:rPr>
          <w:sz w:val="20"/>
          <w:szCs w:val="20"/>
          <w:color w:val="auto"/>
        </w:rPr>
      </w:pPr>
      <w:r>
        <w:rPr>
          <w:rFonts w:ascii="Times New Roman" w:cs="Times New Roman" w:eastAsia="Times New Roman" w:hAnsi="Times New Roman"/>
          <w:sz w:val="18"/>
          <w:szCs w:val="18"/>
          <w:color w:val="auto"/>
        </w:rPr>
        <w:t>grants that have been received will be repaid, at the time of their receipt they are offset against the related research and development expenses in the statement of comprehensive loss. To the extent that it will be considered “more likely than not” that the grants will be repaid in the future, the Company would record a financial liability. To date, the Company has not recorded government grants as a financial liability.</w:t>
      </w:r>
    </w:p>
    <w:p>
      <w:pPr>
        <w:spacing w:after="0" w:line="172" w:lineRule="exact"/>
        <w:rPr>
          <w:sz w:val="20"/>
          <w:szCs w:val="20"/>
          <w:color w:val="auto"/>
        </w:rPr>
      </w:pPr>
    </w:p>
    <w:p>
      <w:pPr>
        <w:ind w:left="540" w:hanging="352"/>
        <w:spacing w:after="0"/>
        <w:tabs>
          <w:tab w:leader="none" w:pos="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ordinary share</w:t>
      </w:r>
    </w:p>
    <w:p>
      <w:pPr>
        <w:spacing w:after="0" w:line="107" w:lineRule="exact"/>
        <w:rPr>
          <w:rFonts w:ascii="Times New Roman" w:cs="Times New Roman" w:eastAsia="Times New Roman" w:hAnsi="Times New Roman"/>
          <w:sz w:val="18"/>
          <w:szCs w:val="18"/>
          <w:b w:val="1"/>
          <w:bCs w:val="1"/>
          <w:color w:val="auto"/>
        </w:rPr>
      </w:pPr>
    </w:p>
    <w:p>
      <w:pPr>
        <w:ind w:left="54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is calculated by dividing the loss attributable to equity holders of the Company by the weighted average number of ordinary shares issued and outstanding during the year. In computing diluted loss per share, basic loss per share are adjusted to take into account the potential dilution that could occur upon the conversion of the dilutive series of convertible debentures and preferred stock, and warrants, by subtracting from net loss fair value changes of such financial instruments, and by adjusting the weighted average number of outstanding ordinary shares, assuming conversion of all such dilutive potential shares. The Company’s dilutive potential shares consist of shares issuable upon conversion of convertible loan and preferred shares, warrants and options. Potential shares are only dilutive if their conversion would increase the loss per share. If the loss per share would decrease, the shares are anti-dilutive and are excluded from the diluted loss per share calculation.</w:t>
      </w:r>
    </w:p>
    <w:p>
      <w:pPr>
        <w:spacing w:after="0" w:line="198" w:lineRule="exact"/>
        <w:rPr>
          <w:rFonts w:ascii="Times New Roman" w:cs="Times New Roman" w:eastAsia="Times New Roman" w:hAnsi="Times New Roman"/>
          <w:sz w:val="18"/>
          <w:szCs w:val="18"/>
          <w:b w:val="1"/>
          <w:bCs w:val="1"/>
          <w:color w:val="auto"/>
        </w:rPr>
      </w:pPr>
    </w:p>
    <w:p>
      <w:pPr>
        <w:ind w:left="540" w:hanging="352"/>
        <w:spacing w:after="0"/>
        <w:tabs>
          <w:tab w:leader="none" w:pos="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standards, amendments to standards or interpretations</w:t>
      </w:r>
    </w:p>
    <w:p>
      <w:pPr>
        <w:spacing w:after="0" w:line="107"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new standards, amendments to standards or interpretations have been issued, but are not effective, and have not been early adopted:</w:t>
      </w:r>
    </w:p>
    <w:p>
      <w:pPr>
        <w:spacing w:after="0" w:line="144" w:lineRule="exact"/>
        <w:rPr>
          <w:rFonts w:ascii="Times New Roman" w:cs="Times New Roman" w:eastAsia="Times New Roman" w:hAnsi="Times New Roman"/>
          <w:sz w:val="18"/>
          <w:szCs w:val="18"/>
          <w:b w:val="1"/>
          <w:bCs w:val="1"/>
          <w:color w:val="auto"/>
        </w:rPr>
      </w:pPr>
    </w:p>
    <w:p>
      <w:pPr>
        <w:ind w:left="900" w:hanging="352"/>
        <w:spacing w:after="0"/>
        <w:tabs>
          <w:tab w:leader="none" w:pos="9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9, “Financial Instruments”</w:t>
      </w:r>
    </w:p>
    <w:p>
      <w:pPr>
        <w:spacing w:after="0" w:line="117" w:lineRule="exact"/>
        <w:rPr>
          <w:rFonts w:ascii="Times New Roman" w:cs="Times New Roman" w:eastAsia="Times New Roman" w:hAnsi="Times New Roman"/>
          <w:sz w:val="18"/>
          <w:szCs w:val="18"/>
          <w:color w:val="auto"/>
        </w:rPr>
      </w:pPr>
    </w:p>
    <w:p>
      <w:pPr>
        <w:ind w:left="90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version of IFRS 9 replaces most of the guidance in IAS 39. IFRS 9 retains but simplifies the mixed measurement model and establishes three primary measurement categories for financial assets: amortised cost, fair value through other comprehensive income and fair value through profit and loss. The basis of classification depends on the entity’s business model and the contractual cash flow characteristics of the financial asset. Investments in equity instruments are required to be measured at fair value through profit or loss with the irrevocable option at inception to present changes in fair value in other comprehensive income. There is now a new expected credit losses model that replaces the incurred loss impairment model used in IAS 39. For financial liabilities, there were no changes to classification and measurement except for the recognition of changes in own credit risk in other comprehensive income, and for liabilities designated at fair value through profit or loss. The standard is effective for accounting periods beginning on or after January 1, 2018. The Company is currently evaluating the impact of adoption on its financial statements.</w:t>
      </w:r>
    </w:p>
    <w:p>
      <w:pPr>
        <w:spacing w:after="0" w:line="108" w:lineRule="exact"/>
        <w:rPr>
          <w:rFonts w:ascii="Times New Roman" w:cs="Times New Roman" w:eastAsia="Times New Roman" w:hAnsi="Times New Roman"/>
          <w:sz w:val="18"/>
          <w:szCs w:val="18"/>
          <w:color w:val="auto"/>
        </w:rPr>
      </w:pPr>
    </w:p>
    <w:p>
      <w:pPr>
        <w:ind w:left="900" w:hanging="352"/>
        <w:spacing w:after="0"/>
        <w:tabs>
          <w:tab w:leader="none" w:pos="9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16, “Leases”</w:t>
      </w:r>
    </w:p>
    <w:p>
      <w:pPr>
        <w:spacing w:after="0" w:line="117" w:lineRule="exact"/>
        <w:rPr>
          <w:rFonts w:ascii="Times New Roman" w:cs="Times New Roman" w:eastAsia="Times New Roman" w:hAnsi="Times New Roman"/>
          <w:sz w:val="18"/>
          <w:szCs w:val="18"/>
          <w:color w:val="auto"/>
        </w:rPr>
      </w:pPr>
    </w:p>
    <w:p>
      <w:pPr>
        <w:ind w:left="9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2016, the IASB issued IFRS 16, Leases, which sets out the principles for the recognition, measurement, presentation and disclosure of leases for both parties to a contract and replaces the previous leases standard, IAS 17, Leases. IFRS 16 eliminates the classification of leases for the lessee as either operating leases or finance leases as required by IAS 17 and instead introduces a single lessee accounting model whereby a lessee is required to recognize assets and liabilities for all leases with a term that is greater than 12 months, unless the underlying asset is of low value, and to recognize depreciation of leased assets separately from interest on lease liabilities in the income statement. As IFRS 16 substantially carries forward the lessor accounting requirements in IAS 17, a lessor will continue to classify its leases as operating</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6" w:name="page187"/>
    <w:bookmarkEnd w:id="186"/>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02" w:lineRule="exact"/>
        <w:rPr>
          <w:sz w:val="20"/>
          <w:szCs w:val="20"/>
          <w:color w:val="auto"/>
        </w:rPr>
      </w:pPr>
    </w:p>
    <w:p>
      <w:pPr>
        <w:ind w:left="900" w:right="180"/>
        <w:spacing w:after="0" w:line="266" w:lineRule="auto"/>
        <w:rPr>
          <w:sz w:val="20"/>
          <w:szCs w:val="20"/>
          <w:color w:val="auto"/>
        </w:rPr>
      </w:pPr>
      <w:r>
        <w:rPr>
          <w:rFonts w:ascii="Times New Roman" w:cs="Times New Roman" w:eastAsia="Times New Roman" w:hAnsi="Times New Roman"/>
          <w:sz w:val="18"/>
          <w:szCs w:val="18"/>
          <w:color w:val="auto"/>
        </w:rPr>
        <w:t>leases or finance leases and to account for those two types of leases differently. IFRS 16 is effective from January 1, 2019 with early adoption allowed only if IFRS 15, Revenue from Contracts with Customers, is also applied. The Company is currently evaluating the impact of adoption on its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CRITICAL ACCOUNTING ESTIMATES AND JUDGEMENTS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Estimates and judgments are continually evaluated and are based on historical experience and other factors, including expectations of future events that are believed to be reasonable under the circumstances.</w:t>
      </w:r>
    </w:p>
    <w:p>
      <w:pPr>
        <w:spacing w:after="0" w:line="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makes estimates and assumptions concerning the future. The resulting accounting estimates will, by definition, seldom equal the related actual results. The estimates and assumptions that have a significant risk of causing a material adjustment to the carrying amounts of assets and liabilities within the next financial year are discussed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With respect to grants to employees, service providers and directors, the value of the labor services received in return is measured on the date of grant, based on the fair value of the equity instruments granted to the employees and directors. In order to measure the fair value of the labor service received, the Company uses the Black-Scholes model to value the equity instrument. See also note 10b.</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liabilities at fair value through profit or loss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determine the fair value of the 2016 Convertible Loan, 2012 Convertible Loan, preferred shares, warrants to purchase preferred shares and shares and liability to issue preferred shares and warrants, the Company uses its judgment to select a variety of methods and make assumptions that are mainly based on market conditions existing at the end of each reporting period. The estimated fair value of these financial liabilities might have been different had Company’s management used different estimates and assumptions. See also note 7 and 8.</w:t>
      </w:r>
    </w:p>
    <w:p>
      <w:pPr>
        <w:spacing w:after="0" w:line="72"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The main parameter which affects the value of the financial liabilities that are measured periodically at fair value is the Company’s equity value. The following table presents a sensitivity analysis of the effect of increases and decreases in the Company’s equity value on the carrying amount, as of December 31, 2016, of the financial liabilities measured periodically at fair value: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
        </w:trPr>
        <w:tc>
          <w:tcPr>
            <w:tcW w:w="4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1"/>
        </w:trPr>
        <w:tc>
          <w:tcPr>
            <w:tcW w:w="4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52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90"/>
        </w:trPr>
        <w:tc>
          <w:tcPr>
            <w:tcW w:w="4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of 10%</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5%</w:t>
            </w:r>
          </w:p>
        </w:tc>
        <w:tc>
          <w:tcPr>
            <w:tcW w:w="15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of 5%</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of 10%</w:t>
            </w:r>
          </w:p>
        </w:tc>
      </w:tr>
      <w:tr>
        <w:trPr>
          <w:trHeight w:val="24"/>
        </w:trPr>
        <w:tc>
          <w:tcPr>
            <w:tcW w:w="4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5"/>
        </w:trPr>
        <w:tc>
          <w:tcPr>
            <w:tcW w:w="4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U.S. dollars in thousands</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equity</w:t>
            </w:r>
          </w:p>
        </w:tc>
        <w:tc>
          <w:tcPr>
            <w:tcW w:w="27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63,900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67,450</w:t>
            </w:r>
          </w:p>
        </w:tc>
        <w:tc>
          <w:tcPr>
            <w:tcW w:w="152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71,000</w:t>
            </w:r>
          </w:p>
        </w:tc>
        <w:tc>
          <w:tcPr>
            <w:tcW w:w="8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74,550</w:t>
            </w:r>
          </w:p>
        </w:tc>
        <w:tc>
          <w:tcPr>
            <w:tcW w:w="9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78,100</w:t>
            </w:r>
          </w:p>
        </w:tc>
      </w:tr>
      <w:tr>
        <w:trPr>
          <w:trHeight w:val="25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loans</w:t>
            </w:r>
          </w:p>
        </w:tc>
        <w:tc>
          <w:tcPr>
            <w:tcW w:w="27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13,127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1520" w:type="dxa"/>
            <w:vAlign w:val="bottom"/>
          </w:tcPr>
          <w:p>
            <w:pPr>
              <w:jc w:val="right"/>
              <w:ind w:right="378"/>
              <w:spacing w:after="0"/>
              <w:rPr>
                <w:sz w:val="20"/>
                <w:szCs w:val="20"/>
                <w:color w:val="auto"/>
              </w:rPr>
            </w:pPr>
            <w:r>
              <w:rPr>
                <w:rFonts w:ascii="Times New Roman" w:cs="Times New Roman" w:eastAsia="Times New Roman" w:hAnsi="Times New Roman"/>
                <w:sz w:val="18"/>
                <w:szCs w:val="18"/>
                <w:color w:val="auto"/>
              </w:rPr>
              <w:t>13,715</w:t>
            </w:r>
          </w:p>
        </w:tc>
        <w:tc>
          <w:tcPr>
            <w:tcW w:w="8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14,009</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14,298</w:t>
            </w:r>
          </w:p>
        </w:tc>
      </w:tr>
      <w:tr>
        <w:trPr>
          <w:trHeight w:val="25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7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9,945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152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11,031</w:t>
            </w:r>
          </w:p>
        </w:tc>
        <w:tc>
          <w:tcPr>
            <w:tcW w:w="8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11,584</w:t>
            </w:r>
          </w:p>
        </w:tc>
        <w:tc>
          <w:tcPr>
            <w:tcW w:w="9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12,137</w:t>
            </w:r>
          </w:p>
        </w:tc>
      </w:tr>
      <w:tr>
        <w:trPr>
          <w:trHeight w:val="25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preferred shares and shares</w:t>
            </w:r>
          </w:p>
        </w:tc>
        <w:tc>
          <w:tcPr>
            <w:tcW w:w="27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4,331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520" w:type="dxa"/>
            <w:vAlign w:val="bottom"/>
          </w:tcPr>
          <w:p>
            <w:pPr>
              <w:jc w:val="right"/>
              <w:ind w:right="378"/>
              <w:spacing w:after="0"/>
              <w:rPr>
                <w:sz w:val="20"/>
                <w:szCs w:val="20"/>
                <w:color w:val="auto"/>
              </w:rPr>
            </w:pPr>
            <w:r>
              <w:rPr>
                <w:rFonts w:ascii="Times New Roman" w:cs="Times New Roman" w:eastAsia="Times New Roman" w:hAnsi="Times New Roman"/>
                <w:sz w:val="18"/>
                <w:szCs w:val="18"/>
                <w:color w:val="auto"/>
              </w:rPr>
              <w:t>4,800</w:t>
            </w:r>
          </w:p>
        </w:tc>
        <w:tc>
          <w:tcPr>
            <w:tcW w:w="8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5,035</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5,266</w:t>
            </w:r>
          </w:p>
        </w:tc>
      </w:tr>
      <w:tr>
        <w:trPr>
          <w:trHeight w:val="25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to issue preferred shares and warrants</w:t>
            </w:r>
          </w:p>
        </w:tc>
        <w:tc>
          <w:tcPr>
            <w:tcW w:w="27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227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52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273</w:t>
            </w:r>
          </w:p>
        </w:tc>
        <w:tc>
          <w:tcPr>
            <w:tcW w:w="8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296</w:t>
            </w:r>
          </w:p>
        </w:tc>
        <w:tc>
          <w:tcPr>
            <w:tcW w:w="9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319</w:t>
            </w:r>
          </w:p>
        </w:tc>
      </w:tr>
      <w:tr>
        <w:trPr>
          <w:trHeight w:val="486"/>
        </w:trPr>
        <w:tc>
          <w:tcPr>
            <w:tcW w:w="4540" w:type="dxa"/>
            <w:vAlign w:val="bottom"/>
          </w:tcPr>
          <w:p>
            <w:pPr>
              <w:spacing w:after="0"/>
              <w:rPr>
                <w:sz w:val="24"/>
                <w:szCs w:val="24"/>
                <w:color w:val="auto"/>
              </w:rPr>
            </w:pPr>
          </w:p>
        </w:tc>
        <w:tc>
          <w:tcPr>
            <w:tcW w:w="2720" w:type="dxa"/>
            <w:vAlign w:val="bottom"/>
            <w:gridSpan w:val="2"/>
          </w:tcPr>
          <w:p>
            <w:pPr>
              <w:jc w:val="right"/>
              <w:ind w:right="1308"/>
              <w:spacing w:after="0"/>
              <w:rPr>
                <w:sz w:val="20"/>
                <w:szCs w:val="20"/>
                <w:color w:val="auto"/>
              </w:rPr>
            </w:pPr>
            <w:r>
              <w:rPr>
                <w:rFonts w:ascii="Times New Roman" w:cs="Times New Roman" w:eastAsia="Times New Roman" w:hAnsi="Times New Roman"/>
                <w:sz w:val="18"/>
                <w:szCs w:val="18"/>
                <w:color w:val="auto"/>
              </w:rPr>
              <w:t>F-12</w:t>
            </w: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5"/>
        </w:trPr>
        <w:tc>
          <w:tcPr>
            <w:tcW w:w="45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-1525905</wp:posOffset>
            </wp:positionV>
            <wp:extent cx="13716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-1525905</wp:posOffset>
            </wp:positionV>
            <wp:extent cx="1371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-1525905</wp:posOffset>
            </wp:positionV>
            <wp:extent cx="1371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-1525905</wp:posOffset>
            </wp:positionV>
            <wp:extent cx="1371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7" w:name="page188"/>
    <w:bookmarkEnd w:id="187"/>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FINANCIAL INSTRUMENTS:</w:t>
      </w:r>
    </w:p>
    <w:p>
      <w:pPr>
        <w:spacing w:after="0" w:line="198" w:lineRule="exact"/>
        <w:rPr>
          <w:sz w:val="20"/>
          <w:szCs w:val="20"/>
          <w:color w:val="auto"/>
        </w:rPr>
      </w:pPr>
    </w:p>
    <w:p>
      <w:pPr>
        <w:ind w:left="540" w:hanging="352"/>
        <w:spacing w:after="0"/>
        <w:tabs>
          <w:tab w:leader="none" w:pos="5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w:t>
      </w:r>
    </w:p>
    <w:p>
      <w:pPr>
        <w:spacing w:after="0" w:line="80" w:lineRule="exact"/>
        <w:rPr>
          <w:rFonts w:ascii="Times New Roman" w:cs="Times New Roman" w:eastAsia="Times New Roman" w:hAnsi="Times New Roman"/>
          <w:sz w:val="18"/>
          <w:szCs w:val="18"/>
          <w:b w:val="1"/>
          <w:bCs w:val="1"/>
          <w:color w:val="auto"/>
        </w:rPr>
      </w:pPr>
    </w:p>
    <w:p>
      <w:pPr>
        <w:ind w:left="900" w:hanging="352"/>
        <w:spacing w:after="0"/>
        <w:tabs>
          <w:tab w:leader="none" w:pos="9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 factors</w:t>
      </w:r>
    </w:p>
    <w:p>
      <w:pPr>
        <w:spacing w:after="0" w:line="117" w:lineRule="exact"/>
        <w:rPr>
          <w:rFonts w:ascii="Times New Roman" w:cs="Times New Roman" w:eastAsia="Times New Roman" w:hAnsi="Times New Roman"/>
          <w:sz w:val="18"/>
          <w:szCs w:val="18"/>
          <w:color w:val="auto"/>
        </w:rPr>
      </w:pPr>
    </w:p>
    <w:p>
      <w:pPr>
        <w:ind w:left="900" w:right="9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activities expose it to a variety of financial risks. The Company’s overall risk management program focuses on the unpredictability of financial markets and seeks to minimize potential adverse effects on the Company’s financial performance.</w:t>
      </w:r>
    </w:p>
    <w:p>
      <w:pPr>
        <w:spacing w:after="0" w:line="53" w:lineRule="exact"/>
        <w:rPr>
          <w:rFonts w:ascii="Times New Roman" w:cs="Times New Roman" w:eastAsia="Times New Roman" w:hAnsi="Times New Roman"/>
          <w:sz w:val="18"/>
          <w:szCs w:val="18"/>
          <w:color w:val="auto"/>
        </w:rPr>
      </w:pPr>
    </w:p>
    <w:p>
      <w:pPr>
        <w:ind w:left="9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is performed by the Chief Financial Officer of the Company, who identifies and evaluates financial risks in close cooperation with the Company’s Chief Executive Officer.</w:t>
      </w:r>
    </w:p>
    <w:p>
      <w:pPr>
        <w:spacing w:after="0" w:line="53"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use financial instruments for hedging activity.</w:t>
      </w:r>
    </w:p>
    <w:p>
      <w:pPr>
        <w:spacing w:after="0" w:line="130" w:lineRule="exact"/>
        <w:rPr>
          <w:rFonts w:ascii="Times New Roman" w:cs="Times New Roman" w:eastAsia="Times New Roman" w:hAnsi="Times New Roman"/>
          <w:sz w:val="18"/>
          <w:szCs w:val="18"/>
          <w:color w:val="auto"/>
        </w:rPr>
      </w:pPr>
    </w:p>
    <w:p>
      <w:pPr>
        <w:ind w:left="900" w:hanging="352"/>
        <w:spacing w:after="0"/>
        <w:tabs>
          <w:tab w:leader="none" w:pos="9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w:t>
      </w:r>
    </w:p>
    <w:p>
      <w:pPr>
        <w:spacing w:after="0" w:line="117" w:lineRule="exact"/>
        <w:rPr>
          <w:rFonts w:ascii="Times New Roman" w:cs="Times New Roman" w:eastAsia="Times New Roman" w:hAnsi="Times New Roman"/>
          <w:sz w:val="18"/>
          <w:szCs w:val="18"/>
          <w:color w:val="auto"/>
        </w:rPr>
      </w:pPr>
    </w:p>
    <w:p>
      <w:pPr>
        <w:jc w:val="both"/>
        <w:ind w:left="900"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and interest risk arises from cash and cash equivalents and deposits with banks. A portion of the liquid instruments of the Company is invested in short-term deposits in leading Israeli banks. The Company estimates that since the liquid instruments are mainly invested for the short-term and with a highly-rated institution, the credit and interest risk associated with these balances is immaterial.</w:t>
      </w:r>
    </w:p>
    <w:p>
      <w:pPr>
        <w:spacing w:after="0" w:line="68" w:lineRule="exact"/>
        <w:rPr>
          <w:rFonts w:ascii="Times New Roman" w:cs="Times New Roman" w:eastAsia="Times New Roman" w:hAnsi="Times New Roman"/>
          <w:sz w:val="18"/>
          <w:szCs w:val="18"/>
          <w:color w:val="auto"/>
        </w:rPr>
      </w:pPr>
    </w:p>
    <w:p>
      <w:pPr>
        <w:ind w:left="900" w:hanging="352"/>
        <w:spacing w:after="0"/>
        <w:tabs>
          <w:tab w:leader="none" w:pos="9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w:t>
      </w:r>
    </w:p>
    <w:p>
      <w:pPr>
        <w:spacing w:after="0" w:line="11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liquidity risk management implies maintaining sufficient cash.</w:t>
      </w:r>
    </w:p>
    <w:p>
      <w:pPr>
        <w:spacing w:after="0" w:line="117" w:lineRule="exact"/>
        <w:rPr>
          <w:rFonts w:ascii="Times New Roman" w:cs="Times New Roman" w:eastAsia="Times New Roman" w:hAnsi="Times New Roman"/>
          <w:sz w:val="18"/>
          <w:szCs w:val="18"/>
          <w:color w:val="auto"/>
        </w:rPr>
      </w:pPr>
    </w:p>
    <w:p>
      <w:pPr>
        <w:ind w:left="90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a research stage and has not yet generated revenues. It is therefore exposed to liquidity risk, taking into consideration the forecasts of cash flows required to finance its investments and other activities.</w:t>
      </w:r>
    </w:p>
    <w:p>
      <w:pPr>
        <w:spacing w:after="0" w:line="53" w:lineRule="exact"/>
        <w:rPr>
          <w:rFonts w:ascii="Times New Roman" w:cs="Times New Roman" w:eastAsia="Times New Roman" w:hAnsi="Times New Roman"/>
          <w:sz w:val="18"/>
          <w:szCs w:val="18"/>
          <w:color w:val="auto"/>
        </w:rPr>
      </w:pPr>
    </w:p>
    <w:p>
      <w:pPr>
        <w:ind w:left="900" w:hanging="352"/>
        <w:spacing w:after="0"/>
        <w:tabs>
          <w:tab w:leader="none" w:pos="9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risk — Foreign exchange risk</w:t>
      </w:r>
    </w:p>
    <w:p>
      <w:pPr>
        <w:spacing w:after="0" w:line="117" w:lineRule="exact"/>
        <w:rPr>
          <w:rFonts w:ascii="Times New Roman" w:cs="Times New Roman" w:eastAsia="Times New Roman" w:hAnsi="Times New Roman"/>
          <w:sz w:val="18"/>
          <w:szCs w:val="18"/>
          <w:color w:val="auto"/>
        </w:rPr>
      </w:pPr>
    </w:p>
    <w:p>
      <w:pPr>
        <w:ind w:left="900"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might be exposed to foreign exchange risk as a result of making payments to employees or service providers and investment of some liquidity in currencies other than the Company’s functional currency. The Company manages the foreign exchange risk by aligning the currencies for holding liquidity with the currencies of expected expenses, based on the expected cash flows of the Company.</w:t>
      </w:r>
    </w:p>
    <w:p>
      <w:pPr>
        <w:spacing w:after="0" w:line="172" w:lineRule="exact"/>
        <w:rPr>
          <w:rFonts w:ascii="Times New Roman" w:cs="Times New Roman" w:eastAsia="Times New Roman" w:hAnsi="Times New Roman"/>
          <w:sz w:val="18"/>
          <w:szCs w:val="18"/>
          <w:color w:val="auto"/>
        </w:rPr>
      </w:pPr>
    </w:p>
    <w:p>
      <w:pPr>
        <w:ind w:left="540" w:hanging="352"/>
        <w:spacing w:after="0"/>
        <w:tabs>
          <w:tab w:leader="none" w:pos="5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risk management</w:t>
      </w:r>
    </w:p>
    <w:p>
      <w:pPr>
        <w:spacing w:after="0" w:line="107" w:lineRule="exact"/>
        <w:rPr>
          <w:rFonts w:ascii="Times New Roman" w:cs="Times New Roman" w:eastAsia="Times New Roman" w:hAnsi="Times New Roman"/>
          <w:sz w:val="18"/>
          <w:szCs w:val="18"/>
          <w:b w:val="1"/>
          <w:bCs w:val="1"/>
          <w:color w:val="auto"/>
        </w:rPr>
      </w:pPr>
    </w:p>
    <w:p>
      <w:pPr>
        <w:jc w:val="both"/>
        <w:ind w:left="54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objectives when managing capital are to safeguard the Company’s ability to continue as a going concern in order to provide returns for shareholders and to maintain an optimal capital structure to reduce the cost of capital. It should be noted that the Company is in the research and development stage and has not yet generated revenues.</w:t>
      </w:r>
    </w:p>
    <w:p>
      <w:pPr>
        <w:spacing w:after="0" w:line="185" w:lineRule="exact"/>
        <w:rPr>
          <w:rFonts w:ascii="Times New Roman" w:cs="Times New Roman" w:eastAsia="Times New Roman" w:hAnsi="Times New Roman"/>
          <w:sz w:val="18"/>
          <w:szCs w:val="18"/>
          <w:b w:val="1"/>
          <w:bCs w:val="1"/>
          <w:color w:val="auto"/>
        </w:rPr>
      </w:pPr>
    </w:p>
    <w:p>
      <w:pPr>
        <w:ind w:left="540" w:hanging="352"/>
        <w:spacing w:after="0"/>
        <w:tabs>
          <w:tab w:leader="none" w:pos="5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07"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different levels of valuation of financial instruments are defined as follows:</w:t>
      </w:r>
    </w:p>
    <w:p>
      <w:pPr>
        <w:spacing w:after="0" w:line="117"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117" w:lineRule="exact"/>
        <w:rPr>
          <w:rFonts w:ascii="Times New Roman" w:cs="Times New Roman" w:eastAsia="Times New Roman" w:hAnsi="Times New Roman"/>
          <w:sz w:val="18"/>
          <w:szCs w:val="18"/>
          <w:b w:val="1"/>
          <w:bCs w:val="1"/>
          <w:color w:val="auto"/>
        </w:rPr>
      </w:pPr>
    </w:p>
    <w:p>
      <w:pPr>
        <w:ind w:left="1260" w:right="840" w:hanging="7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Inputs, other than quoted prices included within level 1 that are observable for the asset or liability, either directly (as prices) or indirectly (derived from prices).</w:t>
      </w:r>
    </w:p>
    <w:p>
      <w:pPr>
        <w:spacing w:after="0" w:line="67"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Inputs for the asset or liability that are not based on observable market data (unobservable inputs).</w:t>
      </w:r>
    </w:p>
    <w:p>
      <w:pPr>
        <w:spacing w:after="0" w:line="117"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financial instruments traded in active markets is based on quoted market prices at the dates of the statements of financial position.</w:t>
      </w: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114" w:right="399" w:bottom="1440" w:gutter="0" w:footer="0" w:header="0"/>
        </w:sectPr>
      </w:pPr>
    </w:p>
    <w:bookmarkStart w:id="188" w:name="page189"/>
    <w:bookmarkEnd w:id="188"/>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FINANCIAL INSTRUMENTS: (Continued)</w:t>
      </w:r>
    </w:p>
    <w:p>
      <w:pPr>
        <w:spacing w:after="0" w:line="202" w:lineRule="exact"/>
        <w:rPr>
          <w:sz w:val="20"/>
          <w:szCs w:val="20"/>
          <w:color w:val="auto"/>
        </w:rPr>
      </w:pPr>
    </w:p>
    <w:p>
      <w:pPr>
        <w:ind w:left="540" w:right="80"/>
        <w:spacing w:after="0" w:line="266" w:lineRule="auto"/>
        <w:rPr>
          <w:sz w:val="20"/>
          <w:szCs w:val="20"/>
          <w:color w:val="auto"/>
        </w:rPr>
      </w:pPr>
      <w:r>
        <w:rPr>
          <w:rFonts w:ascii="Times New Roman" w:cs="Times New Roman" w:eastAsia="Times New Roman" w:hAnsi="Times New Roman"/>
          <w:sz w:val="18"/>
          <w:szCs w:val="18"/>
          <w:color w:val="auto"/>
        </w:rPr>
        <w:t>A market is regarded as active if quoted prices are readily and regularly available from an exchange, dealer, broker, industry group, pricing service, or regulatory agency, and those prices represent actual and regularly occurring market transactions on an arm’s length basis. These instruments are included in level 1.</w:t>
      </w:r>
    </w:p>
    <w:p>
      <w:pPr>
        <w:spacing w:after="0" w:line="68" w:lineRule="exact"/>
        <w:rPr>
          <w:sz w:val="20"/>
          <w:szCs w:val="20"/>
          <w:color w:val="auto"/>
        </w:rPr>
      </w:pPr>
    </w:p>
    <w:p>
      <w:pPr>
        <w:ind w:left="540" w:right="80"/>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to fair value an instrument are observable, the instrument is included in level 2.</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one or more of the significant inputs is not based on observable market data, the instrument is included in level 3.</w:t>
      </w:r>
    </w:p>
    <w:p>
      <w:pPr>
        <w:spacing w:after="0" w:line="117" w:lineRule="exact"/>
        <w:rPr>
          <w:sz w:val="20"/>
          <w:szCs w:val="20"/>
          <w:color w:val="auto"/>
        </w:rPr>
      </w:pPr>
    </w:p>
    <w:p>
      <w:pPr>
        <w:ind w:left="540" w:right="280"/>
        <w:spacing w:after="0" w:line="282" w:lineRule="auto"/>
        <w:rPr>
          <w:sz w:val="20"/>
          <w:szCs w:val="20"/>
          <w:color w:val="auto"/>
        </w:rPr>
      </w:pPr>
      <w:r>
        <w:rPr>
          <w:rFonts w:ascii="Times New Roman" w:cs="Times New Roman" w:eastAsia="Times New Roman" w:hAnsi="Times New Roman"/>
          <w:sz w:val="18"/>
          <w:szCs w:val="18"/>
          <w:color w:val="auto"/>
        </w:rPr>
        <w:t>As of December 31, 2016 and 2015, the fair value of certain financial instruments (cash and cash equivalents, restricted cash, other receivables and accounts payable) approximates their carrying value.</w:t>
      </w:r>
    </w:p>
    <w:p>
      <w:pPr>
        <w:spacing w:after="0" w:line="158" w:lineRule="exact"/>
        <w:rPr>
          <w:sz w:val="20"/>
          <w:szCs w:val="20"/>
          <w:color w:val="auto"/>
        </w:rPr>
      </w:pPr>
    </w:p>
    <w:p>
      <w:pPr>
        <w:ind w:left="540" w:hanging="352"/>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Classification of financial instruments by groups: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0" w:type="dxa"/>
            <w:vAlign w:val="bottom"/>
          </w:tcPr>
          <w:p>
            <w:pPr>
              <w:spacing w:after="0"/>
              <w:rPr>
                <w:sz w:val="14"/>
                <w:szCs w:val="14"/>
                <w:color w:val="auto"/>
              </w:rPr>
            </w:pPr>
          </w:p>
        </w:tc>
        <w:tc>
          <w:tcPr>
            <w:tcW w:w="12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Loans and</w:t>
            </w:r>
          </w:p>
        </w:tc>
      </w:tr>
      <w:tr>
        <w:trPr>
          <w:trHeight w:val="190"/>
        </w:trPr>
        <w:tc>
          <w:tcPr>
            <w:tcW w:w="10200" w:type="dxa"/>
            <w:vAlign w:val="bottom"/>
          </w:tcPr>
          <w:p>
            <w:pPr>
              <w:spacing w:after="0"/>
              <w:rPr>
                <w:sz w:val="16"/>
                <w:szCs w:val="16"/>
                <w:color w:val="auto"/>
              </w:rPr>
            </w:pPr>
          </w:p>
        </w:tc>
        <w:tc>
          <w:tcPr>
            <w:tcW w:w="12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receivables</w:t>
            </w:r>
          </w:p>
        </w:tc>
      </w:tr>
      <w:tr>
        <w:trPr>
          <w:trHeight w:val="24"/>
        </w:trPr>
        <w:tc>
          <w:tcPr>
            <w:tcW w:w="1020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r>
      <w:tr>
        <w:trPr>
          <w:trHeight w:val="173"/>
        </w:trPr>
        <w:tc>
          <w:tcPr>
            <w:tcW w:w="10200" w:type="dxa"/>
            <w:vAlign w:val="bottom"/>
          </w:tcPr>
          <w:p>
            <w:pPr>
              <w:spacing w:after="0"/>
              <w:rPr>
                <w:sz w:val="15"/>
                <w:szCs w:val="15"/>
                <w:color w:val="auto"/>
              </w:rPr>
            </w:pP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U.S. dollars</w:t>
            </w:r>
          </w:p>
        </w:tc>
      </w:tr>
      <w:tr>
        <w:trPr>
          <w:trHeight w:val="185"/>
        </w:trPr>
        <w:tc>
          <w:tcPr>
            <w:tcW w:w="10200" w:type="dxa"/>
            <w:vAlign w:val="bottom"/>
          </w:tcPr>
          <w:p>
            <w:pPr>
              <w:spacing w:after="0"/>
              <w:rPr>
                <w:sz w:val="16"/>
                <w:szCs w:val="16"/>
                <w:color w:val="auto"/>
              </w:rPr>
            </w:pP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in thousands</w:t>
            </w:r>
          </w:p>
        </w:tc>
      </w:tr>
      <w:tr>
        <w:trPr>
          <w:trHeight w:val="297"/>
        </w:trPr>
        <w:tc>
          <w:tcPr>
            <w:tcW w:w="10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r>
      <w:tr>
        <w:trPr>
          <w:trHeight w:val="257"/>
        </w:trPr>
        <w:tc>
          <w:tcPr>
            <w:tcW w:w="102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0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420" w:type="dxa"/>
            <w:vAlign w:val="bottom"/>
            <w:shd w:val="clear" w:color="auto" w:fill="CCEEFF"/>
          </w:tcPr>
          <w:p>
            <w:pPr>
              <w:spacing w:after="0"/>
              <w:rPr>
                <w:sz w:val="22"/>
                <w:szCs w:val="22"/>
                <w:color w:val="auto"/>
              </w:rPr>
            </w:pPr>
          </w:p>
        </w:tc>
      </w:tr>
      <w:tr>
        <w:trPr>
          <w:trHeight w:val="257"/>
        </w:trPr>
        <w:tc>
          <w:tcPr>
            <w:tcW w:w="10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Restricted deposits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420" w:type="dxa"/>
            <w:vAlign w:val="bottom"/>
          </w:tcPr>
          <w:p>
            <w:pPr>
              <w:spacing w:after="0"/>
              <w:rPr>
                <w:sz w:val="22"/>
                <w:szCs w:val="22"/>
                <w:color w:val="auto"/>
              </w:rPr>
            </w:pPr>
          </w:p>
        </w:tc>
      </w:tr>
      <w:tr>
        <w:trPr>
          <w:trHeight w:val="264"/>
        </w:trPr>
        <w:tc>
          <w:tcPr>
            <w:tcW w:w="102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Receivables (excluding prepaid expenses)</w:t>
            </w:r>
          </w:p>
        </w:tc>
        <w:tc>
          <w:tcPr>
            <w:tcW w:w="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20" w:type="dxa"/>
            <w:vAlign w:val="bottom"/>
            <w:tcBorders>
              <w:bottom w:val="single" w:sz="8" w:color="CCEEFF"/>
            </w:tcBorders>
            <w:shd w:val="clear" w:color="auto" w:fill="CCEEFF"/>
          </w:tcPr>
          <w:p>
            <w:pPr>
              <w:spacing w:after="0"/>
              <w:rPr>
                <w:sz w:val="22"/>
                <w:szCs w:val="22"/>
                <w:color w:val="auto"/>
              </w:rPr>
            </w:pPr>
          </w:p>
        </w:tc>
      </w:tr>
      <w:tr>
        <w:trPr>
          <w:trHeight w:val="304"/>
        </w:trPr>
        <w:tc>
          <w:tcPr>
            <w:tcW w:w="102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420" w:type="dxa"/>
            <w:vAlign w:val="bottom"/>
          </w:tcPr>
          <w:p>
            <w:pPr>
              <w:spacing w:after="0"/>
              <w:rPr>
                <w:sz w:val="24"/>
                <w:szCs w:val="24"/>
                <w:color w:val="auto"/>
              </w:rPr>
            </w:pPr>
          </w:p>
        </w:tc>
      </w:tr>
      <w:tr>
        <w:trPr>
          <w:trHeight w:val="311"/>
        </w:trPr>
        <w:tc>
          <w:tcPr>
            <w:tcW w:w="102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As of December 31, 2015:</w:t>
            </w:r>
          </w:p>
        </w:tc>
        <w:tc>
          <w:tcPr>
            <w:tcW w:w="4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420" w:type="dxa"/>
            <w:vAlign w:val="bottom"/>
            <w:tcBorders>
              <w:top w:val="single" w:sz="8" w:color="CCEEFF"/>
            </w:tcBorders>
            <w:shd w:val="clear" w:color="auto" w:fill="CCEEFF"/>
          </w:tcPr>
          <w:p>
            <w:pPr>
              <w:spacing w:after="0"/>
              <w:rPr>
                <w:sz w:val="24"/>
                <w:szCs w:val="24"/>
                <w:color w:val="auto"/>
              </w:rPr>
            </w:pPr>
          </w:p>
        </w:tc>
      </w:tr>
      <w:tr>
        <w:trPr>
          <w:trHeight w:val="257"/>
        </w:trPr>
        <w:tc>
          <w:tcPr>
            <w:tcW w:w="10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420" w:type="dxa"/>
            <w:vAlign w:val="bottom"/>
          </w:tcPr>
          <w:p>
            <w:pPr>
              <w:spacing w:after="0"/>
              <w:rPr>
                <w:sz w:val="22"/>
                <w:szCs w:val="22"/>
                <w:color w:val="auto"/>
              </w:rPr>
            </w:pPr>
          </w:p>
        </w:tc>
      </w:tr>
      <w:tr>
        <w:trPr>
          <w:trHeight w:val="264"/>
        </w:trPr>
        <w:tc>
          <w:tcPr>
            <w:tcW w:w="102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Receivables (excluding prepaid expenses)</w:t>
            </w:r>
          </w:p>
        </w:tc>
        <w:tc>
          <w:tcPr>
            <w:tcW w:w="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20" w:type="dxa"/>
            <w:vAlign w:val="bottom"/>
            <w:tcBorders>
              <w:bottom w:val="single" w:sz="8" w:color="CCEEFF"/>
            </w:tcBorders>
            <w:shd w:val="clear" w:color="auto" w:fill="CCEEFF"/>
          </w:tcPr>
          <w:p>
            <w:pPr>
              <w:spacing w:after="0"/>
              <w:rPr>
                <w:sz w:val="22"/>
                <w:szCs w:val="22"/>
                <w:color w:val="auto"/>
              </w:rPr>
            </w:pPr>
          </w:p>
        </w:tc>
      </w:tr>
      <w:tr>
        <w:trPr>
          <w:trHeight w:val="257"/>
        </w:trPr>
        <w:tc>
          <w:tcPr>
            <w:tcW w:w="10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420" w:type="dxa"/>
            <w:vAlign w:val="bottom"/>
          </w:tcPr>
          <w:p>
            <w:pPr>
              <w:spacing w:after="0"/>
              <w:rPr>
                <w:sz w:val="22"/>
                <w:szCs w:val="22"/>
                <w:color w:val="auto"/>
              </w:rPr>
            </w:pPr>
          </w:p>
        </w:tc>
      </w:tr>
      <w:tr>
        <w:trPr>
          <w:trHeight w:val="20"/>
        </w:trPr>
        <w:tc>
          <w:tcPr>
            <w:tcW w:w="10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20" w:type="dxa"/>
            <w:vAlign w:val="bottom"/>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liabilities at fair</w:t>
            </w: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value through</w:t>
            </w: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 at</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profit or loss</w:t>
            </w: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0"/>
        </w:trPr>
        <w:tc>
          <w:tcPr>
            <w:tcW w:w="48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20" w:type="dxa"/>
            <w:vAlign w:val="bottom"/>
            <w:gridSpan w:val="3"/>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840" w:type="dxa"/>
            <w:vAlign w:val="bottom"/>
          </w:tcPr>
          <w:p>
            <w:pPr>
              <w:spacing w:after="0"/>
              <w:rPr>
                <w:sz w:val="16"/>
                <w:szCs w:val="16"/>
                <w:color w:val="auto"/>
              </w:rPr>
            </w:pPr>
          </w:p>
        </w:tc>
        <w:tc>
          <w:tcPr>
            <w:tcW w:w="114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4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U.S. dollars in thousands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0"/>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2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4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Trade and other payable</w:t>
            </w: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657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657</w:t>
            </w:r>
          </w:p>
        </w:tc>
      </w:tr>
      <w:tr>
        <w:trPr>
          <w:trHeight w:val="230"/>
        </w:trPr>
        <w:tc>
          <w:tcPr>
            <w:tcW w:w="4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Convertible loans</w:t>
            </w:r>
          </w:p>
        </w:tc>
        <w:tc>
          <w:tcPr>
            <w:tcW w:w="38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13,715</w:t>
            </w:r>
          </w:p>
        </w:tc>
        <w:tc>
          <w:tcPr>
            <w:tcW w:w="198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1,005</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14,720</w:t>
            </w:r>
          </w:p>
        </w:tc>
      </w:tr>
      <w:tr>
        <w:trPr>
          <w:trHeight w:val="230"/>
        </w:trPr>
        <w:tc>
          <w:tcPr>
            <w:tcW w:w="4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Preferred shares</w:t>
            </w:r>
          </w:p>
        </w:tc>
        <w:tc>
          <w:tcPr>
            <w:tcW w:w="364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w w:val="96"/>
              </w:rPr>
              <w:t>11,031</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11,031</w:t>
            </w:r>
          </w:p>
        </w:tc>
      </w:tr>
      <w:tr>
        <w:trPr>
          <w:trHeight w:val="230"/>
        </w:trPr>
        <w:tc>
          <w:tcPr>
            <w:tcW w:w="4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Warrants to purchase preferred shares and shares</w:t>
            </w:r>
          </w:p>
        </w:tc>
        <w:tc>
          <w:tcPr>
            <w:tcW w:w="38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4,800</w:t>
            </w:r>
          </w:p>
        </w:tc>
        <w:tc>
          <w:tcPr>
            <w:tcW w:w="8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4,800</w:t>
            </w:r>
          </w:p>
        </w:tc>
      </w:tr>
      <w:tr>
        <w:trPr>
          <w:trHeight w:val="263"/>
        </w:trPr>
        <w:tc>
          <w:tcPr>
            <w:tcW w:w="4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Liability to issue preferred shares and warrants</w:t>
            </w:r>
          </w:p>
        </w:tc>
        <w:tc>
          <w:tcPr>
            <w:tcW w:w="3160" w:type="dxa"/>
            <w:vAlign w:val="bottom"/>
            <w:gridSpan w:val="2"/>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840" w:type="dxa"/>
            <w:vAlign w:val="bottom"/>
          </w:tcPr>
          <w:p>
            <w:pPr>
              <w:spacing w:after="0"/>
              <w:rPr>
                <w:sz w:val="22"/>
                <w:szCs w:val="22"/>
                <w:color w:val="auto"/>
              </w:rPr>
            </w:pPr>
          </w:p>
        </w:tc>
        <w:tc>
          <w:tcPr>
            <w:tcW w:w="11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48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7"/>
        </w:trPr>
        <w:tc>
          <w:tcPr>
            <w:tcW w:w="4880" w:type="dxa"/>
            <w:vAlign w:val="bottom"/>
            <w:shd w:val="clear" w:color="auto" w:fill="CCEEFF"/>
          </w:tcPr>
          <w:p>
            <w:pPr>
              <w:spacing w:after="0"/>
              <w:rPr>
                <w:sz w:val="22"/>
                <w:szCs w:val="22"/>
                <w:color w:val="auto"/>
              </w:rPr>
            </w:pPr>
          </w:p>
        </w:tc>
        <w:tc>
          <w:tcPr>
            <w:tcW w:w="38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29,819</w:t>
            </w:r>
          </w:p>
        </w:tc>
        <w:tc>
          <w:tcPr>
            <w:tcW w:w="198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1,662</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31,481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r>
        <w:trPr>
          <w:trHeight w:val="507"/>
        </w:trPr>
        <w:tc>
          <w:tcPr>
            <w:tcW w:w="4880" w:type="dxa"/>
            <w:vAlign w:val="bottom"/>
          </w:tcPr>
          <w:p>
            <w:pPr>
              <w:spacing w:after="0"/>
              <w:rPr>
                <w:sz w:val="24"/>
                <w:szCs w:val="24"/>
                <w:color w:val="auto"/>
              </w:rPr>
            </w:pPr>
          </w:p>
        </w:tc>
        <w:tc>
          <w:tcPr>
            <w:tcW w:w="3880" w:type="dxa"/>
            <w:vAlign w:val="bottom"/>
            <w:gridSpan w:val="4"/>
          </w:tcPr>
          <w:p>
            <w:pPr>
              <w:jc w:val="right"/>
              <w:ind w:right="2880"/>
              <w:spacing w:after="0"/>
              <w:rPr>
                <w:sz w:val="20"/>
                <w:szCs w:val="20"/>
                <w:color w:val="auto"/>
              </w:rPr>
            </w:pPr>
            <w:r>
              <w:rPr>
                <w:rFonts w:ascii="Times New Roman" w:cs="Times New Roman" w:eastAsia="Times New Roman" w:hAnsi="Times New Roman"/>
                <w:sz w:val="18"/>
                <w:szCs w:val="18"/>
                <w:color w:val="auto"/>
              </w:rPr>
              <w:t>F-14</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5"/>
        </w:trPr>
        <w:tc>
          <w:tcPr>
            <w:tcW w:w="48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-788035</wp:posOffset>
            </wp:positionV>
            <wp:extent cx="1117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681799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-1817370</wp:posOffset>
            </wp:positionV>
            <wp:extent cx="1371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-1817370</wp:posOffset>
            </wp:positionV>
            <wp:extent cx="1371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9" w:name="page190"/>
    <w:bookmarkEnd w:id="189"/>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FINANCIAL INSTRUMENTS: (Continued)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8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Pr>
          <w:p>
            <w:pPr>
              <w:spacing w:after="0"/>
              <w:rPr>
                <w:sz w:val="14"/>
                <w:szCs w:val="14"/>
                <w:color w:val="auto"/>
              </w:rPr>
            </w:pPr>
          </w:p>
        </w:tc>
        <w:tc>
          <w:tcPr>
            <w:tcW w:w="18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liabilities at fair</w:t>
            </w:r>
          </w:p>
        </w:tc>
        <w:tc>
          <w:tcPr>
            <w:tcW w:w="132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Pr>
          <w:p>
            <w:pPr>
              <w:spacing w:after="0"/>
              <w:rPr>
                <w:sz w:val="14"/>
                <w:szCs w:val="14"/>
                <w:color w:val="auto"/>
              </w:rPr>
            </w:pPr>
          </w:p>
        </w:tc>
        <w:tc>
          <w:tcPr>
            <w:tcW w:w="18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 through</w:t>
            </w:r>
          </w:p>
        </w:tc>
        <w:tc>
          <w:tcPr>
            <w:tcW w:w="132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liabilities at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Pr>
          <w:p>
            <w:pPr>
              <w:spacing w:after="0"/>
              <w:rPr>
                <w:sz w:val="14"/>
                <w:szCs w:val="14"/>
                <w:color w:val="auto"/>
              </w:rPr>
            </w:pPr>
          </w:p>
        </w:tc>
        <w:tc>
          <w:tcPr>
            <w:tcW w:w="18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profit or loss</w:t>
            </w:r>
          </w:p>
        </w:tc>
        <w:tc>
          <w:tcPr>
            <w:tcW w:w="132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8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80" w:type="dxa"/>
            <w:vAlign w:val="bottom"/>
          </w:tcPr>
          <w:p>
            <w:pPr>
              <w:spacing w:after="0"/>
              <w:rPr>
                <w:sz w:val="16"/>
                <w:szCs w:val="16"/>
                <w:color w:val="auto"/>
              </w:rPr>
            </w:pPr>
          </w:p>
        </w:tc>
        <w:tc>
          <w:tcPr>
            <w:tcW w:w="11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75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color w:val="auto"/>
              </w:rPr>
              <w:t>U.S. dollars in thousands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As of December 31, 2015:</w:t>
            </w:r>
          </w:p>
        </w:tc>
        <w:tc>
          <w:tcPr>
            <w:tcW w:w="5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Trade and other payable</w:t>
            </w:r>
          </w:p>
        </w:tc>
        <w:tc>
          <w:tcPr>
            <w:tcW w:w="500" w:type="dxa"/>
            <w:vAlign w:val="bottom"/>
          </w:tcPr>
          <w:p>
            <w:pPr>
              <w:spacing w:after="0"/>
              <w:rPr>
                <w:sz w:val="22"/>
                <w:szCs w:val="22"/>
                <w:color w:val="auto"/>
              </w:rPr>
            </w:pPr>
          </w:p>
        </w:tc>
        <w:tc>
          <w:tcPr>
            <w:tcW w:w="138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804</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57"/>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Convertible loan</w:t>
            </w:r>
          </w:p>
        </w:tc>
        <w:tc>
          <w:tcPr>
            <w:tcW w:w="1560" w:type="dxa"/>
            <w:vAlign w:val="bottom"/>
            <w:gridSpan w:val="3"/>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6,160</w:t>
            </w:r>
          </w:p>
        </w:tc>
        <w:tc>
          <w:tcPr>
            <w:tcW w:w="320" w:type="dxa"/>
            <w:vAlign w:val="bottom"/>
            <w:shd w:val="clear" w:color="auto" w:fill="CCEEFF"/>
          </w:tcPr>
          <w:p>
            <w:pPr>
              <w:spacing w:after="0"/>
              <w:rPr>
                <w:sz w:val="22"/>
                <w:szCs w:val="22"/>
                <w:color w:val="auto"/>
              </w:rPr>
            </w:pPr>
          </w:p>
        </w:tc>
        <w:tc>
          <w:tcPr>
            <w:tcW w:w="1320" w:type="dxa"/>
            <w:vAlign w:val="bottom"/>
            <w:tcBorders>
              <w:right w:val="single" w:sz="8" w:color="CCEEFF"/>
            </w:tcBorders>
            <w:gridSpan w:val="4"/>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1,893</w:t>
            </w: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8,053</w:t>
            </w:r>
          </w:p>
        </w:tc>
        <w:tc>
          <w:tcPr>
            <w:tcW w:w="0" w:type="dxa"/>
            <w:vAlign w:val="bottom"/>
          </w:tcPr>
          <w:p>
            <w:pPr>
              <w:spacing w:after="0"/>
              <w:rPr>
                <w:sz w:val="1"/>
                <w:szCs w:val="1"/>
                <w:color w:val="auto"/>
              </w:rPr>
            </w:pPr>
          </w:p>
        </w:tc>
      </w:tr>
      <w:tr>
        <w:trPr>
          <w:trHeight w:val="257"/>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Preferred shares</w:t>
            </w:r>
          </w:p>
        </w:tc>
        <w:tc>
          <w:tcPr>
            <w:tcW w:w="1560" w:type="dxa"/>
            <w:vAlign w:val="bottom"/>
            <w:gridSpan w:val="3"/>
          </w:tcPr>
          <w:p>
            <w:pPr>
              <w:jc w:val="right"/>
              <w:ind w:right="488"/>
              <w:spacing w:after="0"/>
              <w:rPr>
                <w:sz w:val="20"/>
                <w:szCs w:val="20"/>
                <w:color w:val="auto"/>
              </w:rPr>
            </w:pPr>
            <w:r>
              <w:rPr>
                <w:rFonts w:ascii="Times New Roman" w:cs="Times New Roman" w:eastAsia="Times New Roman" w:hAnsi="Times New Roman"/>
                <w:sz w:val="18"/>
                <w:szCs w:val="18"/>
                <w:color w:val="auto"/>
              </w:rPr>
              <w:t>13,062</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6"/>
              </w:rPr>
              <w:t>13,062</w:t>
            </w:r>
          </w:p>
        </w:tc>
        <w:tc>
          <w:tcPr>
            <w:tcW w:w="0" w:type="dxa"/>
            <w:vAlign w:val="bottom"/>
          </w:tcPr>
          <w:p>
            <w:pPr>
              <w:spacing w:after="0"/>
              <w:rPr>
                <w:sz w:val="1"/>
                <w:szCs w:val="1"/>
                <w:color w:val="auto"/>
              </w:rPr>
            </w:pPr>
          </w:p>
        </w:tc>
      </w:tr>
      <w:tr>
        <w:trPr>
          <w:trHeight w:val="257"/>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Warrants to purchase preferred shares and shares</w:t>
            </w:r>
          </w:p>
        </w:tc>
        <w:tc>
          <w:tcPr>
            <w:tcW w:w="1560" w:type="dxa"/>
            <w:vAlign w:val="bottom"/>
            <w:gridSpan w:val="3"/>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4,332</w:t>
            </w: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90"/>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Liability to issue preferred shares and warrants</w:t>
            </w:r>
          </w:p>
        </w:tc>
        <w:tc>
          <w:tcPr>
            <w:tcW w:w="500" w:type="dxa"/>
            <w:vAlign w:val="bottom"/>
          </w:tcPr>
          <w:p>
            <w:pPr>
              <w:spacing w:after="0"/>
              <w:rPr>
                <w:sz w:val="24"/>
                <w:szCs w:val="24"/>
                <w:color w:val="auto"/>
              </w:rPr>
            </w:pPr>
          </w:p>
        </w:tc>
        <w:tc>
          <w:tcPr>
            <w:tcW w:w="10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2,154</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0"/>
        </w:trPr>
        <w:tc>
          <w:tcPr>
            <w:tcW w:w="75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shd w:val="clear" w:color="auto" w:fill="CCEEFF"/>
          </w:tcPr>
          <w:p>
            <w:pPr>
              <w:spacing w:after="0"/>
              <w:rPr>
                <w:sz w:val="23"/>
                <w:szCs w:val="23"/>
                <w:color w:val="auto"/>
              </w:rPr>
            </w:pPr>
          </w:p>
        </w:tc>
        <w:tc>
          <w:tcPr>
            <w:tcW w:w="1560" w:type="dxa"/>
            <w:vAlign w:val="bottom"/>
            <w:gridSpan w:val="3"/>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25,708</w:t>
            </w:r>
          </w:p>
        </w:tc>
        <w:tc>
          <w:tcPr>
            <w:tcW w:w="320" w:type="dxa"/>
            <w:vAlign w:val="bottom"/>
            <w:shd w:val="clear" w:color="auto" w:fill="CCEEFF"/>
          </w:tcPr>
          <w:p>
            <w:pPr>
              <w:spacing w:after="0"/>
              <w:rPr>
                <w:sz w:val="23"/>
                <w:szCs w:val="23"/>
                <w:color w:val="auto"/>
              </w:rPr>
            </w:pPr>
          </w:p>
        </w:tc>
        <w:tc>
          <w:tcPr>
            <w:tcW w:w="1320" w:type="dxa"/>
            <w:vAlign w:val="bottom"/>
            <w:tcBorders>
              <w:right w:val="single" w:sz="8" w:color="CCEEFF"/>
            </w:tcBorders>
            <w:gridSpan w:val="4"/>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2,697</w:t>
            </w: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28,405</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CASH AND CASH EQUIVALENTS</w:t>
            </w:r>
          </w:p>
        </w:tc>
        <w:tc>
          <w:tcPr>
            <w:tcW w:w="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5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gridSpan w:val="7"/>
          </w:tcPr>
          <w:p>
            <w:pPr>
              <w:jc w:val="right"/>
              <w:ind w:right="440"/>
              <w:spacing w:after="0"/>
              <w:rPr>
                <w:sz w:val="20"/>
                <w:szCs w:val="20"/>
                <w:color w:val="auto"/>
              </w:rPr>
            </w:pPr>
            <w:r>
              <w:rPr>
                <w:rFonts w:ascii="Times New Roman" w:cs="Times New Roman" w:eastAsia="Times New Roman" w:hAnsi="Times New Roman"/>
                <w:sz w:val="14"/>
                <w:szCs w:val="14"/>
                <w:color w:val="auto"/>
              </w:rPr>
              <w:t>U.S. dollars in thousands</w:t>
            </w:r>
          </w:p>
        </w:tc>
        <w:tc>
          <w:tcPr>
            <w:tcW w:w="0" w:type="dxa"/>
            <w:vAlign w:val="bottom"/>
          </w:tcPr>
          <w:p>
            <w:pPr>
              <w:spacing w:after="0"/>
              <w:rPr>
                <w:sz w:val="1"/>
                <w:szCs w:val="1"/>
                <w:color w:val="auto"/>
              </w:rPr>
            </w:pPr>
          </w:p>
        </w:tc>
      </w:tr>
      <w:tr>
        <w:trPr>
          <w:trHeight w:val="257"/>
        </w:trPr>
        <w:tc>
          <w:tcPr>
            <w:tcW w:w="7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Cash in bank</w:t>
            </w:r>
          </w:p>
        </w:tc>
        <w:tc>
          <w:tcPr>
            <w:tcW w:w="5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w w:val="93"/>
              </w:rPr>
              <w:t>4,159</w:t>
            </w:r>
          </w:p>
        </w:tc>
        <w:tc>
          <w:tcPr>
            <w:tcW w:w="74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1,201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Short-term bank deposits</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22"/>
                <w:szCs w:val="2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5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w w:val="93"/>
              </w:rPr>
              <w:t>4,163</w:t>
            </w:r>
          </w:p>
        </w:tc>
        <w:tc>
          <w:tcPr>
            <w:tcW w:w="74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1,205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-1525905</wp:posOffset>
            </wp:positionV>
            <wp:extent cx="1117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-1525905</wp:posOffset>
            </wp:positionV>
            <wp:extent cx="681799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-2666365</wp:posOffset>
            </wp:positionV>
            <wp:extent cx="13716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-2666365</wp:posOffset>
            </wp:positionV>
            <wp:extent cx="13716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-659765</wp:posOffset>
            </wp:positionV>
            <wp:extent cx="1371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INTANGIBLE ASSETS:</w:t>
      </w:r>
    </w:p>
    <w:p>
      <w:pPr>
        <w:spacing w:after="0" w:line="40" w:lineRule="exact"/>
        <w:rPr>
          <w:sz w:val="20"/>
          <w:szCs w:val="20"/>
          <w:color w:val="auto"/>
        </w:rPr>
      </w:pPr>
    </w:p>
    <w:p>
      <w:pPr>
        <w:ind w:left="540" w:right="480" w:hanging="352"/>
        <w:spacing w:after="0" w:line="258" w:lineRule="auto"/>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 2010 D.N.A. Biomedical Solutions Ltd. (“D.N.A.”) and Oramed Ltd., (“Oramed”) entered into a joint venture agreement, (the “Joint Venture Agreement”) for the establishment of Entera Bio Ltd.. According to the Joint Venture Agreement each of D.N.A. and Oramed acquired 50% of the Company’s ordinary shares. D.N.A invested $600,000 in the Company, and Oramed and the Company entered into a Patent License Agreement pursuant to which Oramed licensed to the Company certain of Oramed’s patent (the “IPR&amp;D”). The IPR&amp;D was recorded as an intangible asset based on its fair value.</w:t>
      </w:r>
    </w:p>
    <w:p>
      <w:pPr>
        <w:spacing w:after="0" w:line="62" w:lineRule="exact"/>
        <w:rPr>
          <w:rFonts w:ascii="Times New Roman" w:cs="Times New Roman" w:eastAsia="Times New Roman" w:hAnsi="Times New Roman"/>
          <w:sz w:val="18"/>
          <w:szCs w:val="18"/>
          <w:b w:val="1"/>
          <w:bCs w:val="1"/>
          <w:color w:val="auto"/>
        </w:rPr>
      </w:pPr>
    </w:p>
    <w:p>
      <w:pPr>
        <w:ind w:left="540" w:right="3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22, 2011, Oramed and the Company entered into a patent transfer agreement, (the “Patent Transfer Agreement”), that superseded the Patent License Agreement, whereby Oramed assigned to the Company all of its rights, title and interest to its patent that Oramed licensed to the Company since 2010, under certain conditions. Under this agreement, the Company is obligated to pay Oramed royalties equal to 3% of its net revenues (as defined in the Patent Transfer Agreement). The IPR&amp;D is not yet ready to use and as such is not subject to amortization.</w:t>
      </w:r>
    </w:p>
    <w:p>
      <w:pPr>
        <w:spacing w:after="0" w:line="17" w:lineRule="exact"/>
        <w:rPr>
          <w:rFonts w:ascii="Times New Roman" w:cs="Times New Roman" w:eastAsia="Times New Roman" w:hAnsi="Times New Roman"/>
          <w:sz w:val="18"/>
          <w:szCs w:val="18"/>
          <w:b w:val="1"/>
          <w:bCs w:val="1"/>
          <w:color w:val="auto"/>
        </w:rPr>
      </w:pPr>
    </w:p>
    <w:p>
      <w:pPr>
        <w:ind w:left="540" w:right="440" w:hanging="352"/>
        <w:spacing w:after="0" w:line="255" w:lineRule="auto"/>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tests intangible assets for impairment at least once a year at December 31 by calculating the recoverable amount of the cash generating unit to which the intangible asset belongs, which is the Company as a whole. The recoverable amount was calculated based on a fair value less cost to sell. For the purpose of calculating fair value of the Company’s equity as of December 31, 2016 the Company prepared a valuation of the cash generating unit based on discounted cash flows (DCF). For both years, based on such assessments, the Company concluded that the recoverable amount of the cash generating unit to which the IPR&amp;D intangible asset belongs is significantly higher than its book value, and there is no need for impairment. The DCF model is based on the assumption that the Company will raise the necessary funds to serve the projected activities. Main assumptions used in the valuations are as follows: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0" w:name="page191"/>
    <w:bookmarkEnd w:id="190"/>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INTANGIBLE ASSETS: (Continued)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8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
        </w:trPr>
        <w:tc>
          <w:tcPr>
            <w:tcW w:w="80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0"/>
        </w:trPr>
        <w:tc>
          <w:tcPr>
            <w:tcW w:w="8040" w:type="dxa"/>
            <w:vAlign w:val="bottom"/>
          </w:tcPr>
          <w:p>
            <w:pPr>
              <w:spacing w:after="0"/>
              <w:rPr>
                <w:sz w:val="17"/>
                <w:szCs w:val="17"/>
                <w:color w:val="auto"/>
              </w:rPr>
            </w:pPr>
          </w:p>
        </w:tc>
        <w:tc>
          <w:tcPr>
            <w:tcW w:w="174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7"/>
                <w:szCs w:val="17"/>
                <w:color w:val="auto"/>
              </w:rPr>
            </w:pPr>
          </w:p>
        </w:tc>
      </w:tr>
      <w:tr>
        <w:trPr>
          <w:trHeight w:val="24"/>
        </w:trPr>
        <w:tc>
          <w:tcPr>
            <w:tcW w:w="80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50"/>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Weighted average cost of capital (WACC)</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21"/>
                <w:szCs w:val="21"/>
                <w:color w:val="auto"/>
              </w:rPr>
            </w:pPr>
          </w:p>
        </w:tc>
      </w:tr>
      <w:tr>
        <w:trPr>
          <w:trHeight w:val="257"/>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Commencement of sales</w:t>
            </w:r>
          </w:p>
        </w:tc>
        <w:tc>
          <w:tcPr>
            <w:tcW w:w="2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2021 – 2025</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2018 – 2020</w:t>
            </w:r>
          </w:p>
        </w:tc>
      </w:tr>
      <w:tr>
        <w:trPr>
          <w:trHeight w:val="257"/>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Probability of reaching sales</w:t>
            </w:r>
          </w:p>
        </w:tc>
        <w:tc>
          <w:tcPr>
            <w:tcW w:w="2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20.1% – 37.9%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-496570</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63373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CONVERTIBLE LOANS:</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135" w:lineRule="exact"/>
        <w:rPr>
          <w:sz w:val="20"/>
          <w:szCs w:val="20"/>
          <w:color w:val="auto"/>
        </w:rPr>
      </w:pPr>
    </w:p>
    <w:p>
      <w:pPr>
        <w:ind w:left="900" w:hanging="352"/>
        <w:spacing w:after="0"/>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2012 Convertible Loan</w:t>
      </w:r>
    </w:p>
    <w:p>
      <w:pPr>
        <w:spacing w:after="0" w:line="117" w:lineRule="exact"/>
        <w:rPr>
          <w:rFonts w:ascii="Times New Roman" w:cs="Times New Roman" w:eastAsia="Times New Roman" w:hAnsi="Times New Roman"/>
          <w:sz w:val="18"/>
          <w:szCs w:val="18"/>
          <w:color w:val="auto"/>
        </w:rPr>
      </w:pPr>
    </w:p>
    <w:p>
      <w:pPr>
        <w:ind w:left="900" w:right="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2012, the Company entered into loan agreements with certain lenders for an aggregate amount of $1.15 million. Each of the loans bears interest at a rate of 0.6% per year, which is to be repaid every five years, and is due and payable after a term of twenty years. Each of the investors has the right during the term to convert its respective loan amount into ordinary shares at a conversion price of $240.26 per ordinary share (subject to adjustment), and for a period of the initial five years of the term of the loan agreement to exchange all such ordinary shares received into ordinary shares of D.N.A at the rate of one of the Company’s ordinary shares for 5,590 ordinary shares of D.N.A or 2,795 ordinary shares after the stock merge performed by D.N.A in October 2015 (also subject to adjustment) (the “D.N.A option”). In addition, under the terms of the loan agreements the outstanding loan amounts will be automatically converted into the Company’s ordinary shares upon the closing of an initial public offering and certain merger and acquisition transactions. The Company has designated the 2012 Convertible Loan on initial recognition as a financial liability at fair value through profit or loss.</w:t>
      </w:r>
    </w:p>
    <w:p>
      <w:pPr>
        <w:spacing w:after="0" w:line="135" w:lineRule="exact"/>
        <w:rPr>
          <w:rFonts w:ascii="Times New Roman" w:cs="Times New Roman" w:eastAsia="Times New Roman" w:hAnsi="Times New Roman"/>
          <w:sz w:val="18"/>
          <w:szCs w:val="18"/>
          <w:color w:val="auto"/>
        </w:rPr>
      </w:pPr>
    </w:p>
    <w:p>
      <w:pPr>
        <w:ind w:left="900" w:hanging="352"/>
        <w:spacing w:after="0"/>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2015 Convertible Loan</w:t>
      </w:r>
    </w:p>
    <w:p>
      <w:pPr>
        <w:spacing w:after="0" w:line="117" w:lineRule="exact"/>
        <w:rPr>
          <w:rFonts w:ascii="Times New Roman" w:cs="Times New Roman" w:eastAsia="Times New Roman" w:hAnsi="Times New Roman"/>
          <w:sz w:val="18"/>
          <w:szCs w:val="18"/>
          <w:color w:val="auto"/>
        </w:rPr>
      </w:pPr>
    </w:p>
    <w:p>
      <w:pPr>
        <w:ind w:left="9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5, 2015, the Company entered into a Convertible Promissory Note and Loan Agreement (“2015 Convertible Loan”) with certain lenders. Pursuant to the loan agreement, the lenders loaned the Company an aggregate amount of $2.005 million. The loan would have been automatically converted upon occurrence of the following events as described in the agreement: initial public offering (IPO), private placement in an aggregate amount of no less than $10 million or change of control (Triggering Event). The loan would have converted into the same class of shares issued in such a transaction at a 25% discount to the applicable price per share in the Triggering Event. The loan was due to mature in February 2017 and bore interest at a rate of 5% per year.</w:t>
      </w:r>
    </w:p>
    <w:p>
      <w:pPr>
        <w:spacing w:after="0" w:line="79" w:lineRule="exact"/>
        <w:rPr>
          <w:rFonts w:ascii="Times New Roman" w:cs="Times New Roman" w:eastAsia="Times New Roman" w:hAnsi="Times New Roman"/>
          <w:sz w:val="18"/>
          <w:szCs w:val="18"/>
          <w:color w:val="auto"/>
        </w:rPr>
      </w:pPr>
    </w:p>
    <w:p>
      <w:pPr>
        <w:ind w:left="90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issued to the lenders warrants to purchase an additional shares equal to 40% of the shares issued upon conversion of the loan (for the earlier of 2 years from the warrant date or 1 year from consummation of an IPO).</w:t>
      </w:r>
    </w:p>
    <w:p>
      <w:pPr>
        <w:spacing w:after="0" w:line="53" w:lineRule="exact"/>
        <w:rPr>
          <w:rFonts w:ascii="Times New Roman" w:cs="Times New Roman" w:eastAsia="Times New Roman" w:hAnsi="Times New Roman"/>
          <w:sz w:val="18"/>
          <w:szCs w:val="18"/>
          <w:color w:val="auto"/>
        </w:rPr>
      </w:pPr>
    </w:p>
    <w:p>
      <w:pPr>
        <w:ind w:left="90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allocated the total consideration of $2,005 thousand between the warrants and the loan as following: $240 thousand was allocated to the warrants based on their fair value and the remaining consideration was allocated to the loan agreement. The Company measures the loan according to the amortized cost using the effective interest method. The Company treated the warrants as a liability at fair value through profit or loss. As part of the 2016 Convertible Loan agreement as detailed below (See Note 7(a)(3)), the Company provided the right to the lenders of the 2015 Convertible Loan to exchange the 2015 Convertible Loan to the 2016</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1" w:name="page192"/>
    <w:bookmarkEnd w:id="191"/>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CONVERTIBLE LOANS: (Continued)</w:t>
      </w:r>
    </w:p>
    <w:p>
      <w:pPr>
        <w:spacing w:after="0" w:line="202" w:lineRule="exact"/>
        <w:rPr>
          <w:sz w:val="20"/>
          <w:szCs w:val="20"/>
          <w:color w:val="auto"/>
        </w:rPr>
      </w:pPr>
    </w:p>
    <w:p>
      <w:pPr>
        <w:ind w:left="900" w:right="220"/>
        <w:spacing w:after="0" w:line="282" w:lineRule="auto"/>
        <w:rPr>
          <w:sz w:val="20"/>
          <w:szCs w:val="20"/>
          <w:color w:val="auto"/>
        </w:rPr>
      </w:pPr>
      <w:r>
        <w:rPr>
          <w:rFonts w:ascii="Times New Roman" w:cs="Times New Roman" w:eastAsia="Times New Roman" w:hAnsi="Times New Roman"/>
          <w:sz w:val="18"/>
          <w:szCs w:val="18"/>
          <w:color w:val="auto"/>
        </w:rPr>
        <w:t>Convertible Loan including the maturity date. As a result, from total amount of $2,005 thousand, an amount of $1,057 thousand (consisting of $1,025 thousand principal amount plus interest accrued up to June 14, 2016 less withholding tax) exchanged to the new convertible loan.</w:t>
      </w:r>
    </w:p>
    <w:p>
      <w:pPr>
        <w:spacing w:after="0" w:line="54" w:lineRule="exact"/>
        <w:rPr>
          <w:sz w:val="20"/>
          <w:szCs w:val="20"/>
          <w:color w:val="auto"/>
        </w:rPr>
      </w:pPr>
    </w:p>
    <w:p>
      <w:pPr>
        <w:ind w:left="900" w:right="200"/>
        <w:spacing w:after="0" w:line="266" w:lineRule="auto"/>
        <w:rPr>
          <w:sz w:val="20"/>
          <w:szCs w:val="20"/>
          <w:color w:val="auto"/>
        </w:rPr>
      </w:pPr>
      <w:r>
        <w:rPr>
          <w:rFonts w:ascii="Times New Roman" w:cs="Times New Roman" w:eastAsia="Times New Roman" w:hAnsi="Times New Roman"/>
          <w:sz w:val="18"/>
          <w:szCs w:val="18"/>
          <w:color w:val="auto"/>
        </w:rPr>
        <w:t>Since the terms of the loans are substantially different, the exchange was considered as an extinguishment, which in essence means recording a loss due to 2015 Convertible Loan that were exchanged for the new convertible loan recorded at fair value. The loss of extinguishment of $64 thousand was recognized.</w:t>
      </w:r>
    </w:p>
    <w:p>
      <w:pPr>
        <w:spacing w:after="0" w:line="68" w:lineRule="exact"/>
        <w:rPr>
          <w:sz w:val="20"/>
          <w:szCs w:val="20"/>
          <w:color w:val="auto"/>
        </w:rPr>
      </w:pPr>
    </w:p>
    <w:p>
      <w:pPr>
        <w:ind w:left="900" w:right="100"/>
        <w:spacing w:after="0" w:line="261" w:lineRule="auto"/>
        <w:rPr>
          <w:sz w:val="20"/>
          <w:szCs w:val="20"/>
          <w:color w:val="auto"/>
        </w:rPr>
      </w:pPr>
      <w:r>
        <w:rPr>
          <w:rFonts w:ascii="Times New Roman" w:cs="Times New Roman" w:eastAsia="Times New Roman" w:hAnsi="Times New Roman"/>
          <w:sz w:val="18"/>
          <w:szCs w:val="18"/>
          <w:color w:val="auto"/>
        </w:rPr>
        <w:t>According to the 2016 Convertible Loan agreement, the Company deposited at the trustee an amount of $1,053 thousand to be held until the earlier of the conversion of the 2015 Convertible Loan into shares or the 2015 Convertible Loan maturity date, February 5, 2017. The deposit is presented as a separate line item as restricted cash on the balance sheet. On the maturity date, February 5, 2017, the Company repaid the amount of $1,053 thousand using the cash deposited at the trustee.</w:t>
      </w:r>
    </w:p>
    <w:p>
      <w:pPr>
        <w:spacing w:after="0" w:line="126" w:lineRule="exact"/>
        <w:rPr>
          <w:sz w:val="20"/>
          <w:szCs w:val="20"/>
          <w:color w:val="auto"/>
        </w:rPr>
      </w:pPr>
    </w:p>
    <w:p>
      <w:pPr>
        <w:ind w:left="900" w:hanging="352"/>
        <w:spacing w:after="0"/>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2016 Convertible Loan</w:t>
      </w:r>
    </w:p>
    <w:p>
      <w:pPr>
        <w:spacing w:after="0" w:line="117" w:lineRule="exact"/>
        <w:rPr>
          <w:rFonts w:ascii="Times New Roman" w:cs="Times New Roman" w:eastAsia="Times New Roman" w:hAnsi="Times New Roman"/>
          <w:sz w:val="18"/>
          <w:szCs w:val="18"/>
          <w:color w:val="auto"/>
        </w:rPr>
      </w:pPr>
    </w:p>
    <w:p>
      <w:pPr>
        <w:ind w:left="900" w:right="9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2016, the Company closed a private placement (the “2016 Convertible Loan”) with certain lenders in an aggregate amount of approximately $7.44 million in exchange for the following instruments:</w:t>
      </w:r>
    </w:p>
    <w:p>
      <w:pPr>
        <w:spacing w:after="0" w:line="53" w:lineRule="exact"/>
        <w:rPr>
          <w:rFonts w:ascii="Times New Roman" w:cs="Times New Roman" w:eastAsia="Times New Roman" w:hAnsi="Times New Roman"/>
          <w:sz w:val="18"/>
          <w:szCs w:val="18"/>
          <w:color w:val="auto"/>
        </w:rPr>
      </w:pPr>
    </w:p>
    <w:p>
      <w:pPr>
        <w:ind w:left="9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for a term of 18 months. The loan bears interest at a rate of 5% per year. The loan will be automatically converted upon occurrence of the following events as described in the agreement: initial public offering (IPO) of at least $20 million, private placement in an aggregate amount of no less than $10 million or change of control (the “Triggering Event”). Furthermore, in case of private placement in an aggregate amount of $4-$10 million the lenders shall have the right to convert the loan to shares. The loan will convert into the same class of shares issued in such a transaction at the lower of a 25% discount to the applicable price per share in the Triggering Event or value of equity on a fully diluted basis of $65 million.</w:t>
      </w:r>
    </w:p>
    <w:p>
      <w:pPr>
        <w:spacing w:after="0" w:line="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has designated the 2016 Convertible Loan on initial recognition as a financial liability at fair value through profit or loss.</w:t>
      </w:r>
    </w:p>
    <w:p>
      <w:pPr>
        <w:spacing w:after="0" w:line="117" w:lineRule="exact"/>
        <w:rPr>
          <w:sz w:val="20"/>
          <w:szCs w:val="20"/>
          <w:color w:val="auto"/>
        </w:rPr>
      </w:pPr>
    </w:p>
    <w:p>
      <w:pPr>
        <w:ind w:left="900" w:right="40" w:firstLine="8"/>
        <w:spacing w:after="0" w:line="282" w:lineRule="auto"/>
        <w:tabs>
          <w:tab w:leader="none" w:pos="10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additional shares equal to 40% of the shares issued upon conversion in exchange for an exercise price of the fair value of the shares in a Triggering Event. The warrant will be exercisable for 4 years from the grant date.</w:t>
      </w:r>
    </w:p>
    <w:p>
      <w:pPr>
        <w:spacing w:after="0" w:line="54" w:lineRule="exact"/>
        <w:rPr>
          <w:sz w:val="20"/>
          <w:szCs w:val="20"/>
          <w:color w:val="auto"/>
        </w:rPr>
      </w:pPr>
    </w:p>
    <w:p>
      <w:pPr>
        <w:ind w:left="900" w:right="580"/>
        <w:spacing w:after="0" w:line="282" w:lineRule="auto"/>
        <w:rPr>
          <w:sz w:val="20"/>
          <w:szCs w:val="20"/>
          <w:color w:val="auto"/>
        </w:rPr>
      </w:pPr>
      <w:r>
        <w:rPr>
          <w:rFonts w:ascii="Times New Roman" w:cs="Times New Roman" w:eastAsia="Times New Roman" w:hAnsi="Times New Roman"/>
          <w:sz w:val="18"/>
          <w:szCs w:val="18"/>
          <w:color w:val="auto"/>
        </w:rPr>
        <w:t>Total transaction expenses amounted to $363 thousand, out of which $150 thousand were payable in Company shares. The proceeds were allocated to the convertible loan and the warrants according to their fair value.</w:t>
      </w:r>
    </w:p>
    <w:p>
      <w:pPr>
        <w:spacing w:after="0" w:line="54" w:lineRule="exact"/>
        <w:rPr>
          <w:sz w:val="20"/>
          <w:szCs w:val="20"/>
          <w:color w:val="auto"/>
        </w:rPr>
      </w:pPr>
    </w:p>
    <w:p>
      <w:pPr>
        <w:jc w:val="both"/>
        <w:ind w:left="900" w:right="60"/>
        <w:spacing w:after="0" w:line="266" w:lineRule="auto"/>
        <w:rPr>
          <w:sz w:val="20"/>
          <w:szCs w:val="20"/>
          <w:color w:val="auto"/>
        </w:rPr>
      </w:pPr>
      <w:r>
        <w:rPr>
          <w:rFonts w:ascii="Times New Roman" w:cs="Times New Roman" w:eastAsia="Times New Roman" w:hAnsi="Times New Roman"/>
          <w:sz w:val="18"/>
          <w:szCs w:val="18"/>
          <w:color w:val="auto"/>
        </w:rPr>
        <w:t>As part of the agreement, the Company gave the right to the lenders of the 2015 Convertible Loan to exchange the 2015 Convertible Loan to the 2016 Convertible Loan including the maturity date. As a result from total amount of $2,005 thousand, an amount of $1,057 thousand (consisting of $1,025 thousand principal amount plus interest accrued up to June 14, 2016 less withholding taxes) exchanged to the 2016 Convertible Loan.</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92" w:name="page193"/>
    <w:bookmarkEnd w:id="192"/>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CONVERTIBLE LOANS: (Continued)</w:t>
      </w:r>
    </w:p>
    <w:p>
      <w:pPr>
        <w:spacing w:after="0" w:line="202" w:lineRule="exact"/>
        <w:rPr>
          <w:sz w:val="20"/>
          <w:szCs w:val="20"/>
          <w:color w:val="auto"/>
        </w:rPr>
      </w:pPr>
    </w:p>
    <w:p>
      <w:pPr>
        <w:ind w:left="900" w:right="60"/>
        <w:spacing w:after="0" w:line="261" w:lineRule="auto"/>
        <w:rPr>
          <w:sz w:val="20"/>
          <w:szCs w:val="20"/>
          <w:color w:val="auto"/>
        </w:rPr>
      </w:pPr>
      <w:r>
        <w:rPr>
          <w:rFonts w:ascii="Times New Roman" w:cs="Times New Roman" w:eastAsia="Times New Roman" w:hAnsi="Times New Roman"/>
          <w:sz w:val="18"/>
          <w:szCs w:val="18"/>
          <w:color w:val="auto"/>
        </w:rPr>
        <w:t>The Company prepared a valuation of the financial liabilities presented above (a Level 3 valuation). The debt component of the convertible loans was valued based on the discounting of future payments of the debt. The convertible components (conversion option to the Company’s ordinary shares) were valued based on a combination of the Probability-Weighted Expected Return Method and Back Solve option pricing method model. The following parameters were used: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10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r>
      <w:tr>
        <w:trPr>
          <w:trHeight w:val="24"/>
        </w:trPr>
        <w:tc>
          <w:tcPr>
            <w:tcW w:w="9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0"/>
        </w:trPr>
        <w:tc>
          <w:tcPr>
            <w:tcW w:w="9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
        </w:trPr>
        <w:tc>
          <w:tcPr>
            <w:tcW w:w="9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920" w:type="dxa"/>
            <w:vAlign w:val="bottom"/>
            <w:shd w:val="clear" w:color="auto" w:fill="CCEEFF"/>
          </w:tcPr>
          <w:p>
            <w:pPr>
              <w:spacing w:after="0"/>
              <w:rPr>
                <w:sz w:val="21"/>
                <w:szCs w:val="21"/>
                <w:color w:val="auto"/>
              </w:rPr>
            </w:pPr>
          </w:p>
        </w:tc>
        <w:tc>
          <w:tcPr>
            <w:tcW w:w="7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WACC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7"/>
        </w:trPr>
        <w:tc>
          <w:tcPr>
            <w:tcW w:w="920" w:type="dxa"/>
            <w:vAlign w:val="bottom"/>
          </w:tcPr>
          <w:p>
            <w:pPr>
              <w:spacing w:after="0"/>
              <w:rPr>
                <w:sz w:val="22"/>
                <w:szCs w:val="22"/>
                <w:color w:val="auto"/>
              </w:rPr>
            </w:pPr>
          </w:p>
        </w:tc>
        <w:tc>
          <w:tcPr>
            <w:tcW w:w="73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Value of equity*</w:t>
            </w:r>
          </w:p>
        </w:tc>
        <w:tc>
          <w:tcPr>
            <w:tcW w:w="2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$71 million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million</w:t>
            </w:r>
          </w:p>
        </w:tc>
      </w:tr>
      <w:tr>
        <w:trPr>
          <w:trHeight w:val="257"/>
        </w:trPr>
        <w:tc>
          <w:tcPr>
            <w:tcW w:w="920" w:type="dxa"/>
            <w:vAlign w:val="bottom"/>
            <w:shd w:val="clear" w:color="auto" w:fill="CCEEFF"/>
          </w:tcPr>
          <w:p>
            <w:pPr>
              <w:spacing w:after="0"/>
              <w:rPr>
                <w:sz w:val="22"/>
                <w:szCs w:val="22"/>
                <w:color w:val="auto"/>
              </w:rPr>
            </w:pPr>
          </w:p>
        </w:tc>
        <w:tc>
          <w:tcPr>
            <w:tcW w:w="7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Volatility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7"/>
        </w:trPr>
        <w:tc>
          <w:tcPr>
            <w:tcW w:w="920" w:type="dxa"/>
            <w:vAlign w:val="bottom"/>
          </w:tcPr>
          <w:p>
            <w:pPr>
              <w:spacing w:after="0"/>
              <w:rPr>
                <w:sz w:val="22"/>
                <w:szCs w:val="22"/>
                <w:color w:val="auto"/>
              </w:rPr>
            </w:pPr>
          </w:p>
        </w:tc>
        <w:tc>
          <w:tcPr>
            <w:tcW w:w="73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Commencement of sales</w:t>
            </w:r>
          </w:p>
        </w:tc>
        <w:tc>
          <w:tcPr>
            <w:tcW w:w="21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2021 – 2025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 – 2020</w:t>
            </w:r>
          </w:p>
        </w:tc>
      </w:tr>
      <w:tr>
        <w:trPr>
          <w:trHeight w:val="257"/>
        </w:trPr>
        <w:tc>
          <w:tcPr>
            <w:tcW w:w="920" w:type="dxa"/>
            <w:vAlign w:val="bottom"/>
            <w:shd w:val="clear" w:color="auto" w:fill="CCEEFF"/>
          </w:tcPr>
          <w:p>
            <w:pPr>
              <w:spacing w:after="0"/>
              <w:rPr>
                <w:sz w:val="22"/>
                <w:szCs w:val="22"/>
                <w:color w:val="auto"/>
              </w:rPr>
            </w:pPr>
          </w:p>
        </w:tc>
        <w:tc>
          <w:tcPr>
            <w:tcW w:w="7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Probability for success in phase 2</w:t>
            </w:r>
          </w:p>
        </w:tc>
        <w:tc>
          <w:tcPr>
            <w:tcW w:w="21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7"/>
        </w:trPr>
        <w:tc>
          <w:tcPr>
            <w:tcW w:w="920" w:type="dxa"/>
            <w:vAlign w:val="bottom"/>
          </w:tcPr>
          <w:p>
            <w:pPr>
              <w:spacing w:after="0"/>
              <w:rPr>
                <w:sz w:val="22"/>
                <w:szCs w:val="22"/>
                <w:color w:val="auto"/>
              </w:rPr>
            </w:pPr>
          </w:p>
        </w:tc>
        <w:tc>
          <w:tcPr>
            <w:tcW w:w="73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Probability of entering Phase 2b/3 for Hypo</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920" w:type="dxa"/>
            <w:vAlign w:val="bottom"/>
            <w:shd w:val="clear" w:color="auto" w:fill="CCEEFF"/>
          </w:tcPr>
          <w:p>
            <w:pPr>
              <w:spacing w:after="0"/>
              <w:rPr>
                <w:sz w:val="22"/>
                <w:szCs w:val="22"/>
                <w:color w:val="auto"/>
              </w:rPr>
            </w:pPr>
          </w:p>
        </w:tc>
        <w:tc>
          <w:tcPr>
            <w:tcW w:w="7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Probability for IPO</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920" w:type="dxa"/>
            <w:vAlign w:val="bottom"/>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49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-1320165</wp:posOffset>
            </wp:positionV>
            <wp:extent cx="632015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187" w:lineRule="exact"/>
        <w:rPr>
          <w:sz w:val="20"/>
          <w:szCs w:val="20"/>
          <w:color w:val="auto"/>
        </w:rPr>
      </w:pPr>
    </w:p>
    <w:p>
      <w:pPr>
        <w:ind w:left="1260" w:hanging="352"/>
        <w:spacing w:after="0"/>
        <w:tabs>
          <w:tab w:leader="none" w:pos="12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equity as of December 31, 2016 and 2015 was based on the valuations performed as detailed in note 6.</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115"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4"/>
          <w:szCs w:val="14"/>
          <w:b w:val="1"/>
          <w:bCs w:val="1"/>
          <w:color w:val="auto"/>
        </w:rPr>
        <w:t>Convertible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33655</wp:posOffset>
            </wp:positionV>
            <wp:extent cx="10718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64"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4"/>
          <w:szCs w:val="14"/>
          <w:color w:val="auto"/>
        </w:rPr>
        <w:t>U.S. dollars</w:t>
      </w:r>
    </w:p>
    <w:p>
      <w:pPr>
        <w:spacing w:after="0" w:line="1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631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p>
      <w:pPr>
        <w:spacing w:after="0" w:line="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Balance as of January 1, 2015</w:t>
      </w:r>
    </w:p>
    <w:p>
      <w:pPr>
        <w:spacing w:after="0" w:line="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Additions during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631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Financial expenses</w:t>
      </w:r>
    </w:p>
    <w:p>
      <w:pPr>
        <w:spacing w:after="0" w:line="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Changes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Balance as of December 31, 2015</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Additions during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631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Financial expenses</w:t>
      </w:r>
    </w:p>
    <w:p>
      <w:pPr>
        <w:spacing w:after="0" w:line="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Changes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Balance as of December 31, 2016</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6,158</w:t>
      </w:r>
    </w:p>
    <w:p>
      <w:pPr>
        <w:spacing w:after="0" w:line="50"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1,765</w:t>
      </w:r>
    </w:p>
    <w:p>
      <w:pPr>
        <w:spacing w:after="0" w:line="50"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128</w:t>
      </w:r>
    </w:p>
    <w:p>
      <w:pPr>
        <w:spacing w:after="0" w:line="50"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2</w:t>
      </w:r>
    </w:p>
    <w:p>
      <w:pPr>
        <w:spacing w:after="0" w:line="77"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8,053</w:t>
      </w:r>
    </w:p>
    <w:p>
      <w:pPr>
        <w:spacing w:after="0" w:line="50"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6,110</w:t>
      </w:r>
    </w:p>
    <w:p>
      <w:pPr>
        <w:spacing w:after="0" w:line="50"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105</w:t>
      </w:r>
    </w:p>
    <w:p>
      <w:pPr>
        <w:spacing w:after="0" w:line="50"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452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14,720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3175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20" w:space="720"/>
            <w:col w:w="1080"/>
          </w:cols>
          <w:pgMar w:left="240" w:top="114" w:right="239" w:bottom="1440" w:gutter="0" w:footer="0" w:header="0"/>
          <w:type w:val="continuous"/>
        </w:sectPr>
      </w:pP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2720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193" w:name="page194"/>
    <w:bookmarkEnd w:id="193"/>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CONVERTIBLE LOANS: (Continued)</w:t>
      </w:r>
    </w:p>
    <w:p>
      <w:pPr>
        <w:spacing w:after="0" w:line="196" w:lineRule="exact"/>
        <w:rPr>
          <w:sz w:val="20"/>
          <w:szCs w:val="20"/>
          <w:color w:val="auto"/>
        </w:rPr>
      </w:pPr>
    </w:p>
    <w:p>
      <w:pPr>
        <w:jc w:val="center"/>
        <w:ind w:left="9600"/>
        <w:spacing w:after="0"/>
        <w:rPr>
          <w:sz w:val="20"/>
          <w:szCs w:val="20"/>
          <w:color w:val="auto"/>
        </w:rPr>
      </w:pPr>
      <w:r>
        <w:rPr>
          <w:rFonts w:ascii="Times New Roman" w:cs="Times New Roman" w:eastAsia="Times New Roman" w:hAnsi="Times New Roman"/>
          <w:sz w:val="14"/>
          <w:szCs w:val="14"/>
          <w:b w:val="1"/>
          <w:bCs w:val="1"/>
          <w:color w:val="auto"/>
        </w:rPr>
        <w:t>Warrants to</w:t>
      </w:r>
    </w:p>
    <w:p>
      <w:pPr>
        <w:spacing w:after="0" w:line="19"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purchase preferred</w:t>
      </w:r>
    </w:p>
    <w:p>
      <w:pPr>
        <w:spacing w:after="0" w:line="1"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 and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22225</wp:posOffset>
            </wp:positionV>
            <wp:extent cx="112331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46"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4"/>
          <w:szCs w:val="14"/>
          <w:color w:val="auto"/>
        </w:rPr>
        <w:t>U.S. dollars</w:t>
      </w:r>
    </w:p>
    <w:p>
      <w:pPr>
        <w:spacing w:after="0" w:line="17"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631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p>
      <w:pPr>
        <w:spacing w:after="0" w:line="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Balance as of January 1, 2015</w:t>
      </w:r>
    </w:p>
    <w:p>
      <w:pPr>
        <w:spacing w:after="0" w:line="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Additions during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03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Changes in fair value</w:t>
      </w:r>
    </w:p>
    <w:p>
      <w:pPr>
        <w:spacing w:after="0" w:line="7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Balance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631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Additions during 2016</w:t>
      </w:r>
    </w:p>
    <w:p>
      <w:pPr>
        <w:spacing w:after="0" w:line="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Changes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Balance as of December 31, 2016</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240</w:t>
      </w:r>
    </w:p>
    <w:p>
      <w:pPr>
        <w:spacing w:after="0" w:line="50"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(25)</w:t>
      </w:r>
    </w:p>
    <w:p>
      <w:pPr>
        <w:spacing w:after="0" w:line="77"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215</w:t>
      </w:r>
    </w:p>
    <w:p>
      <w:pPr>
        <w:spacing w:after="0" w:line="50"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1,319</w:t>
      </w:r>
    </w:p>
    <w:p>
      <w:pPr>
        <w:spacing w:after="0" w:line="50"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103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25717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00" w:space="720"/>
            <w:col w:w="1100"/>
          </w:cols>
          <w:pgMar w:left="240" w:top="114" w:right="23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PREFERRED SHARES AND WARRANTS TO PREFERED SHARES:</w:t>
      </w:r>
    </w:p>
    <w:p>
      <w:pPr>
        <w:spacing w:after="0" w:line="148" w:lineRule="exact"/>
        <w:rPr>
          <w:sz w:val="20"/>
          <w:szCs w:val="20"/>
          <w:color w:val="auto"/>
        </w:rPr>
      </w:pPr>
    </w:p>
    <w:p>
      <w:pPr>
        <w:ind w:left="540" w:right="380" w:hanging="352"/>
        <w:spacing w:after="0" w:line="252" w:lineRule="auto"/>
        <w:tabs>
          <w:tab w:leader="none" w:pos="5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29, 2014, the Company and Centillion entered into a Series A Preferred Share Purchase Agreement (the “Centillion preferred share purchase agreement”). According to the Centillion preferred share purchase agreement, Centillion purchased 4,172 of the Company’s preferred shares, for an aggregate purchase price of $2,000 thousand at a purchase price of $479.38 per share (the “per share purchase price”). The Company also issued to Centillion a warrant to purchase up to 1,043 of its applicable shares upon exercise of the warrant (“applicable shares”) at the per share purchase price. According to the Centillion Preferred share purchase agreement, upon the Company’s filing of a registration statement for an initial public offering with the SEC no later than June 29, 2014, or the “first milestone”, Centillion was required to purchase from the Company an additional 4,172 preferred shares at the per share purchase price (for additional proceeds of $2,000 thousand) and the Company was required to issue to Centillion a warrant to purchase an additional 1,043 applicable shares at the per share purchase price. Finally, pursuant to the terms of the Centillion preferred share purchase agreement, upon the consummation of an initial public offering of the Company’s ordinary shares on or prior to December 29, 2014, pursuant to which the ordinary shares are listed on the Nasdaq or AMEX, or a “Qualified IPO” and such event the “second milestone”, Centillion was required to purchase from the Company an additional 2,086 preferred shares at the per share purchase price (for additional proceeds of $1,000 thousand) and the Company was required to issue to Centillion a warrant to purchase an additional 522 preferred shares at the per share purchase price. Centillion also had the right to acquire the preferred shares and warrant to be issued upon either of the milestones prior to the applicable milestone date.</w:t>
      </w:r>
    </w:p>
    <w:p>
      <w:pPr>
        <w:spacing w:after="0" w:line="90" w:lineRule="exact"/>
        <w:rPr>
          <w:rFonts w:ascii="Times New Roman" w:cs="Times New Roman" w:eastAsia="Times New Roman" w:hAnsi="Times New Roman"/>
          <w:sz w:val="18"/>
          <w:szCs w:val="18"/>
          <w:b w:val="1"/>
          <w:bCs w:val="1"/>
          <w:color w:val="auto"/>
        </w:rPr>
      </w:pPr>
    </w:p>
    <w:p>
      <w:pPr>
        <w:ind w:left="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18, 2014, the Company and Centillion entered into the first amendment to the Centillion preferred share purchase agreement, pursuant to which the date for the first milestone was extended from June 29, 2014 to November 1, 2014, and the date for the second milestone was extended from December 29, 2014 to May 1, 2015.</w:t>
      </w:r>
    </w:p>
    <w:p>
      <w:pPr>
        <w:spacing w:after="0" w:line="68" w:lineRule="exact"/>
        <w:rPr>
          <w:rFonts w:ascii="Times New Roman" w:cs="Times New Roman" w:eastAsia="Times New Roman" w:hAnsi="Times New Roman"/>
          <w:sz w:val="18"/>
          <w:szCs w:val="18"/>
          <w:b w:val="1"/>
          <w:bCs w:val="1"/>
          <w:color w:val="auto"/>
        </w:rPr>
      </w:pPr>
    </w:p>
    <w:p>
      <w:pPr>
        <w:ind w:left="540" w:right="1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21, 2015, the Company and Centillion entered into the second amendment to the Centillion preferred share purchase agreement, or the “second amendment”. Pursuant to the second amendment, Centillion exercised its right to acquire the preferred shares and warrant to be issued upon the first milestone although as of such date the Company had not filed a registration statement for its initial public offering, and paid the Company $2,000 thousand. In consideration therefor, the Company also issued to Centillion an additional warrant, or the “additional Centillion warrant”. The additional Centillion warrant is exercisable upon (and for a period of one year following) the first to occur of a significant financing round, an M&amp;A event (as defined in the warrant agreement)</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194" w:name="page195"/>
    <w:bookmarkEnd w:id="194"/>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PREFERRED SHARES AND WARRANTS TO PREFERED SHARES: (Continued)</w:t>
      </w:r>
    </w:p>
    <w:p>
      <w:pPr>
        <w:spacing w:after="0" w:line="202" w:lineRule="exact"/>
        <w:rPr>
          <w:sz w:val="20"/>
          <w:szCs w:val="20"/>
          <w:color w:val="auto"/>
        </w:rPr>
      </w:pPr>
    </w:p>
    <w:p>
      <w:pPr>
        <w:ind w:left="540" w:right="140"/>
        <w:spacing w:after="0" w:line="261" w:lineRule="auto"/>
        <w:rPr>
          <w:sz w:val="20"/>
          <w:szCs w:val="20"/>
          <w:color w:val="auto"/>
        </w:rPr>
      </w:pPr>
      <w:r>
        <w:rPr>
          <w:rFonts w:ascii="Times New Roman" w:cs="Times New Roman" w:eastAsia="Times New Roman" w:hAnsi="Times New Roman"/>
          <w:sz w:val="18"/>
          <w:szCs w:val="18"/>
          <w:color w:val="auto"/>
        </w:rPr>
        <w:t>or the Company’s initial public offering, to purchase up to $2,000 thousand of the type of shares issued in such a transaction at a 25% discount to the applicable price per share. In addition, pursuant to the second amendment the date for the second milestone was extended from May 1, 2015 to October 1, 2015. According to the second amendment as the second milestone was not achieved by October 1, 2015, Centillion has extended it until October 1, 2017.</w:t>
      </w:r>
    </w:p>
    <w:p>
      <w:pPr>
        <w:spacing w:after="0" w:line="72"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In the course of 2014, the Company consummated the closings of the Series A Preferred Share Purchase Agreements it had entered into with each of WFI E Bio LLC., or WFI, and White Car Group Ltd., or “White Car”, and on January 11, 2015 the Company consummated the closing of the Series A Preferred Share Purchase Agreement it had entered into with HFN Trust Company 2013 Ltd., or “HFN Trust”, and such agreements together the “additional preferred share purchase agreements”. Pursuant to the terms of the additional share purchase agreements WFI, White Car and HFN Trust purchased from the Company 501, 417 and 21 preferred shares for an aggregate purchase price of $240 thousand, $200 thousand and $10 thousand, respectively, and the Company issued to each of WFI, White Car and HFN Trust a warrant to purchase up to 125, 104 and five of its applicable shares, respectively, each upon substantially the same terms as the Centillion preferred share purchase agreement and the form of warrants the Company issued to Centillion. The additional preferred share purchase agreements also provide for the issuance of preferred shares and warrants upon the achievement of those milestones set forth in the Centillion preferred share purchase agreement on terms substantially identical to those contained in the Centillion preferred share purchase agreement.</w:t>
      </w:r>
    </w:p>
    <w:p>
      <w:pPr>
        <w:spacing w:after="0" w:line="78" w:lineRule="exact"/>
        <w:rPr>
          <w:sz w:val="20"/>
          <w:szCs w:val="20"/>
          <w:color w:val="auto"/>
        </w:rPr>
      </w:pPr>
    </w:p>
    <w:p>
      <w:pPr>
        <w:ind w:left="540" w:right="20"/>
        <w:spacing w:after="0" w:line="256" w:lineRule="auto"/>
        <w:rPr>
          <w:sz w:val="20"/>
          <w:szCs w:val="20"/>
          <w:color w:val="auto"/>
        </w:rPr>
      </w:pPr>
      <w:r>
        <w:rPr>
          <w:rFonts w:ascii="Times New Roman" w:cs="Times New Roman" w:eastAsia="Times New Roman" w:hAnsi="Times New Roman"/>
          <w:sz w:val="18"/>
          <w:szCs w:val="18"/>
          <w:color w:val="auto"/>
        </w:rPr>
        <w:t>In March 2015, the Company entered into the first Amendment to each of the additional preferred share purchase agreements, which contained terms substantially identical to those contained in the second amendment to the Centillion preferred share purchase agreement, and the Company issued to each of WFI, White Car and HFN Trust an additional warrant, or together with the additional Centillion warrant the “additional warrants”, to purchase up to $240 thousand, $200 thousand and $10 thousand, respectively, upon terms substantially identical to those contained in the additional warrant the Company issued to Centillion in connection with the second amendment to the Centillion preferred share purchase agreement including the extension of the second milestone to October 1, 2017.</w:t>
      </w:r>
    </w:p>
    <w:p>
      <w:pPr>
        <w:spacing w:after="0" w:line="107" w:lineRule="exact"/>
        <w:rPr>
          <w:sz w:val="20"/>
          <w:szCs w:val="20"/>
          <w:color w:val="auto"/>
        </w:rPr>
      </w:pPr>
    </w:p>
    <w:p>
      <w:pPr>
        <w:ind w:left="540" w:right="640" w:hanging="352"/>
        <w:spacing w:after="0" w:line="282" w:lineRule="auto"/>
        <w:tabs>
          <w:tab w:leader="none" w:pos="5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preferred shares confer on the holders thereof all rights accruing to holders of Ordinary Shares in the Company, on an as-converted basis, and in addition, the preferred shares have the rights, preferences and privileges granted to the preferred shares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as follows:</w:t>
      </w:r>
    </w:p>
    <w:p>
      <w:pPr>
        <w:spacing w:after="0" w:line="67" w:lineRule="exact"/>
        <w:rPr>
          <w:rFonts w:ascii="Times New Roman" w:cs="Times New Roman" w:eastAsia="Times New Roman" w:hAnsi="Times New Roman"/>
          <w:sz w:val="18"/>
          <w:szCs w:val="18"/>
          <w:b w:val="1"/>
          <w:bCs w:val="1"/>
          <w:color w:val="auto"/>
        </w:rPr>
      </w:pPr>
    </w:p>
    <w:p>
      <w:pPr>
        <w:ind w:left="900" w:right="700" w:hanging="352"/>
        <w:spacing w:after="0" w:line="266" w:lineRule="auto"/>
        <w:tabs>
          <w:tab w:leader="none" w:pos="90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preferred shares has the right to convert such preferred shares into the Company’s ordinary shares at the then-applicable conversion price. In addition, the preferred shares will be automatically converted into ordinary shares at the then-applicable conversion price upon the consummation of a Qualified IPO.</w:t>
      </w:r>
    </w:p>
    <w:p>
      <w:pPr>
        <w:spacing w:after="0" w:line="95" w:lineRule="exact"/>
        <w:rPr>
          <w:rFonts w:ascii="Times New Roman" w:cs="Times New Roman" w:eastAsia="Times New Roman" w:hAnsi="Times New Roman"/>
          <w:sz w:val="18"/>
          <w:szCs w:val="18"/>
          <w:color w:val="auto"/>
        </w:rPr>
      </w:pPr>
    </w:p>
    <w:p>
      <w:pPr>
        <w:ind w:left="900" w:right="7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of such preferred shares is $479.38 per preferred share, which is the per share purchase price or the original issuance price. This conversion price is subject to appropriate adjustments in the event of certain stock dividends or other distributions payable without payment of any consideration, a stock split, stock subdivision, stock combination or reverse stock split, or in the event that prior to a Qualified IPO the Company issues certain new securities at a price per share lower than the then-applicable conversion price of such preferred shares.</w:t>
      </w:r>
    </w:p>
    <w:p>
      <w:pPr>
        <w:spacing w:after="0" w:line="89" w:lineRule="exact"/>
        <w:rPr>
          <w:rFonts w:ascii="Times New Roman" w:cs="Times New Roman" w:eastAsia="Times New Roman" w:hAnsi="Times New Roman"/>
          <w:sz w:val="18"/>
          <w:szCs w:val="18"/>
          <w:color w:val="auto"/>
        </w:rPr>
      </w:pPr>
    </w:p>
    <w:p>
      <w:pPr>
        <w:ind w:left="900" w:right="780" w:hanging="352"/>
        <w:spacing w:after="0" w:line="313" w:lineRule="auto"/>
        <w:tabs>
          <w:tab w:leader="none" w:pos="90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liquidation, bankruptcy, reorganization, dissolution or winding up of the Company as defined in Article 66(d) of the Company’s Fourth Amended and Restated Articles of Association, whether voluntary or involuntary (each, a “Liquidation Event”) or “Deemed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95" w:name="page196"/>
    <w:bookmarkEnd w:id="195"/>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PREFERRED SHARES AND WARRANTS TO PREFERED SHARES: (Continued)</w:t>
      </w:r>
    </w:p>
    <w:p>
      <w:pPr>
        <w:spacing w:after="0" w:line="202" w:lineRule="exact"/>
        <w:rPr>
          <w:sz w:val="20"/>
          <w:szCs w:val="20"/>
          <w:color w:val="auto"/>
        </w:rPr>
      </w:pPr>
    </w:p>
    <w:p>
      <w:pPr>
        <w:ind w:left="900" w:right="180"/>
        <w:spacing w:after="0" w:line="254" w:lineRule="auto"/>
        <w:rPr>
          <w:sz w:val="20"/>
          <w:szCs w:val="20"/>
          <w:color w:val="auto"/>
        </w:rPr>
      </w:pPr>
      <w:r>
        <w:rPr>
          <w:rFonts w:ascii="Times New Roman" w:cs="Times New Roman" w:eastAsia="Times New Roman" w:hAnsi="Times New Roman"/>
          <w:sz w:val="18"/>
          <w:szCs w:val="18"/>
          <w:color w:val="auto"/>
        </w:rPr>
        <w:t>Liquidation Event”, the assets available for distribution will be applied, first to the holders of preferred shares. Each preferred share shall be entitled to receive an amount per share equal to the original preferred share price, plus all declared but unpaid dividends and annual 5% interest on the original preferred share price (“Preferred Shares Preference”). If such assets available for distribution shall be insufficient to permit the payment of the full Preferred Shares Preference, then the assets available for distribution shall be distributed pro rata among the holders of the Preferred Shares. Any remaining assets available for distribution to shareholders shall be distributed among the holders of Ordinary Shares and Preferred Shares on a pro rata basis and on an as-converted basis. In the event that the holders of Preferred Shares, upon distribution pro rata to all shareholders on as converted basis receive an aggregate amount per Preferred Share greater than three (3) times the original preferred share price then the holders of preferred shares shall not be entitled to the Preferred Shares Preference described above and all the assets available for distribution shall be distributed among the holders of ordinary shares and preferred shares on a pro rata basis on an as-converted basis.</w:t>
      </w:r>
    </w:p>
    <w:p>
      <w:pPr>
        <w:spacing w:after="0" w:line="135" w:lineRule="exact"/>
        <w:rPr>
          <w:sz w:val="20"/>
          <w:szCs w:val="20"/>
          <w:color w:val="auto"/>
        </w:rPr>
      </w:pPr>
    </w:p>
    <w:p>
      <w:pPr>
        <w:ind w:left="540" w:right="500" w:hanging="352"/>
        <w:spacing w:after="0" w:line="261" w:lineRule="auto"/>
        <w:tabs>
          <w:tab w:leader="none" w:pos="5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of purposes, the preferred shares are classified as a financial liability considering, inter alia, the deemed liquidation events mechanism described above. In addition, the conversion ratio of Series A Preferred Shares into ordinary shares is subject to certain adjustments, which do not meet the ‘fixed for fixed’ requirement of IAS 32. Therefore, the conversion option represents an embedded derivative, which should be bifurcated and accounted for separately at fair value through profit or loss.</w:t>
      </w:r>
    </w:p>
    <w:p>
      <w:pPr>
        <w:spacing w:after="0" w:line="71"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elected to designate the entire instrument at fair value through profit or loss, as permitted by IAS 39.</w:t>
      </w:r>
    </w:p>
    <w:p>
      <w:pPr>
        <w:spacing w:after="0" w:line="117" w:lineRule="exact"/>
        <w:rPr>
          <w:rFonts w:ascii="Times New Roman" w:cs="Times New Roman" w:eastAsia="Times New Roman" w:hAnsi="Times New Roman"/>
          <w:sz w:val="18"/>
          <w:szCs w:val="18"/>
          <w:b w:val="1"/>
          <w:bCs w:val="1"/>
          <w:color w:val="auto"/>
        </w:rPr>
      </w:pPr>
    </w:p>
    <w:p>
      <w:pPr>
        <w:ind w:left="54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Warrants to purchase preferred shares issued concurrently with the Series A Preferred Shares also meet the definition of a financial liability since they are exercisable into a financial liability. These warrants are measured at fair value through profit or loss at each balance sheet date.</w:t>
      </w:r>
    </w:p>
    <w:p>
      <w:pPr>
        <w:spacing w:after="0" w:line="53" w:lineRule="exact"/>
        <w:rPr>
          <w:rFonts w:ascii="Times New Roman" w:cs="Times New Roman" w:eastAsia="Times New Roman" w:hAnsi="Times New Roman"/>
          <w:sz w:val="18"/>
          <w:szCs w:val="18"/>
          <w:b w:val="1"/>
          <w:bCs w:val="1"/>
          <w:color w:val="auto"/>
        </w:rPr>
      </w:pPr>
    </w:p>
    <w:p>
      <w:pPr>
        <w:ind w:left="54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for future issuances of preferred shares and warrants upon fulfillment of the first and second milestones as described in a) above, are contingent forward contracts, and are therefore accounted for at fair value through profit or loss at each balance sheet date.</w:t>
      </w:r>
    </w:p>
    <w:p>
      <w:pPr>
        <w:spacing w:after="0" w:line="107" w:lineRule="exact"/>
        <w:rPr>
          <w:rFonts w:ascii="Times New Roman" w:cs="Times New Roman" w:eastAsia="Times New Roman" w:hAnsi="Times New Roman"/>
          <w:sz w:val="18"/>
          <w:szCs w:val="18"/>
          <w:b w:val="1"/>
          <w:bCs w:val="1"/>
          <w:color w:val="auto"/>
        </w:rPr>
      </w:pPr>
    </w:p>
    <w:p>
      <w:pPr>
        <w:ind w:left="540" w:right="580" w:hanging="352"/>
        <w:spacing w:after="0" w:line="266" w:lineRule="auto"/>
        <w:tabs>
          <w:tab w:leader="none" w:pos="5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consideration received in 2015 and 2014 pursuant to the transactions described above, amounted to $2,460 thousand and $2,440 thousand, respectively, and were allocated to the components based on their relative fair values. The table below presents the movements in the three components during 2016 and 2015: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Warrants to</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9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Liability to</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9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issue preferred</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3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and</w:t>
            </w:r>
          </w:p>
        </w:tc>
        <w:tc>
          <w:tcPr>
            <w:tcW w:w="19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and</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0"/>
        </w:trPr>
        <w:tc>
          <w:tcPr>
            <w:tcW w:w="4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6"/>
                <w:szCs w:val="16"/>
                <w:color w:val="auto"/>
              </w:rPr>
            </w:pPr>
          </w:p>
        </w:tc>
        <w:tc>
          <w:tcPr>
            <w:tcW w:w="9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9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4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color w:val="auto"/>
              </w:rPr>
              <w:t>U.S. dollars in thousands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0"/>
        </w:trPr>
        <w:tc>
          <w:tcPr>
            <w:tcW w:w="43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Balance as of January 1, 2015</w:t>
            </w:r>
          </w:p>
        </w:tc>
        <w:tc>
          <w:tcPr>
            <w:tcW w:w="31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6,550</w:t>
            </w:r>
          </w:p>
        </w:tc>
        <w:tc>
          <w:tcPr>
            <w:tcW w:w="13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1,380</w:t>
            </w:r>
          </w:p>
        </w:tc>
        <w:tc>
          <w:tcPr>
            <w:tcW w:w="190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8,473</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16,403</w:t>
            </w:r>
          </w:p>
        </w:tc>
      </w:tr>
      <w:tr>
        <w:trPr>
          <w:trHeight w:val="230"/>
        </w:trPr>
        <w:tc>
          <w:tcPr>
            <w:tcW w:w="43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Additions during 2015</w:t>
            </w:r>
          </w:p>
        </w:tc>
        <w:tc>
          <w:tcPr>
            <w:tcW w:w="31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1,903</w:t>
            </w:r>
          </w:p>
        </w:tc>
        <w:tc>
          <w:tcPr>
            <w:tcW w:w="13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557</w:t>
            </w:r>
          </w:p>
        </w:tc>
        <w:tc>
          <w:tcPr>
            <w:tcW w:w="560" w:type="dxa"/>
            <w:vAlign w:val="bottom"/>
          </w:tcPr>
          <w:p>
            <w:pPr>
              <w:spacing w:after="0"/>
              <w:rPr>
                <w:sz w:val="19"/>
                <w:szCs w:val="19"/>
                <w:color w:val="auto"/>
              </w:rPr>
            </w:pPr>
          </w:p>
        </w:tc>
        <w:tc>
          <w:tcPr>
            <w:tcW w:w="13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2,460</w:t>
            </w:r>
          </w:p>
        </w:tc>
      </w:tr>
      <w:tr>
        <w:trPr>
          <w:trHeight w:val="230"/>
        </w:trPr>
        <w:tc>
          <w:tcPr>
            <w:tcW w:w="43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Changes in fair value</w:t>
            </w:r>
          </w:p>
        </w:tc>
        <w:tc>
          <w:tcPr>
            <w:tcW w:w="31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4,609</w:t>
            </w:r>
          </w:p>
        </w:tc>
        <w:tc>
          <w:tcPr>
            <w:tcW w:w="13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2,180</w:t>
            </w:r>
          </w:p>
        </w:tc>
        <w:tc>
          <w:tcPr>
            <w:tcW w:w="190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(6,319)</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470</w:t>
            </w:r>
          </w:p>
        </w:tc>
      </w:tr>
      <w:tr>
        <w:trPr>
          <w:trHeight w:val="230"/>
        </w:trPr>
        <w:tc>
          <w:tcPr>
            <w:tcW w:w="43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31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13,062</w:t>
            </w:r>
          </w:p>
        </w:tc>
        <w:tc>
          <w:tcPr>
            <w:tcW w:w="13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4,117</w:t>
            </w:r>
          </w:p>
        </w:tc>
        <w:tc>
          <w:tcPr>
            <w:tcW w:w="190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2,154</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19,333</w:t>
            </w:r>
          </w:p>
        </w:tc>
      </w:tr>
      <w:tr>
        <w:trPr>
          <w:trHeight w:val="263"/>
        </w:trPr>
        <w:tc>
          <w:tcPr>
            <w:tcW w:w="43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Changes in fair value</w:t>
            </w:r>
          </w:p>
        </w:tc>
        <w:tc>
          <w:tcPr>
            <w:tcW w:w="2240" w:type="dxa"/>
            <w:vAlign w:val="bottom"/>
            <w:gridSpan w:val="2"/>
            <w:shd w:val="clear" w:color="auto" w:fill="CCEEFF"/>
          </w:tcPr>
          <w:p>
            <w:pPr>
              <w:spacing w:after="0"/>
              <w:rPr>
                <w:sz w:val="22"/>
                <w:szCs w:val="22"/>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(2,031)</w:t>
            </w:r>
          </w:p>
        </w:tc>
        <w:tc>
          <w:tcPr>
            <w:tcW w:w="13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(954)</w:t>
            </w:r>
          </w:p>
        </w:tc>
        <w:tc>
          <w:tcPr>
            <w:tcW w:w="190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(1,881)</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(4,866)</w:t>
            </w:r>
          </w:p>
        </w:tc>
      </w:tr>
      <w:tr>
        <w:trPr>
          <w:trHeight w:val="20"/>
        </w:trPr>
        <w:tc>
          <w:tcPr>
            <w:tcW w:w="43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7"/>
        </w:trPr>
        <w:tc>
          <w:tcPr>
            <w:tcW w:w="43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2240" w:type="dxa"/>
            <w:vAlign w:val="bottom"/>
            <w:gridSpan w:val="2"/>
          </w:tcPr>
          <w:p>
            <w:pPr>
              <w:spacing w:after="0"/>
              <w:rPr>
                <w:sz w:val="22"/>
                <w:szCs w:val="22"/>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11,031</w:t>
            </w:r>
          </w:p>
        </w:tc>
        <w:tc>
          <w:tcPr>
            <w:tcW w:w="13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3,163</w:t>
            </w:r>
          </w:p>
        </w:tc>
        <w:tc>
          <w:tcPr>
            <w:tcW w:w="190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273</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14,467</w:t>
            </w:r>
          </w:p>
        </w:tc>
      </w:tr>
      <w:tr>
        <w:trPr>
          <w:trHeight w:val="20"/>
        </w:trPr>
        <w:tc>
          <w:tcPr>
            <w:tcW w:w="4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07"/>
        </w:trPr>
        <w:tc>
          <w:tcPr>
            <w:tcW w:w="4380" w:type="dxa"/>
            <w:vAlign w:val="bottom"/>
          </w:tcPr>
          <w:p>
            <w:pPr>
              <w:spacing w:after="0"/>
              <w:rPr>
                <w:sz w:val="24"/>
                <w:szCs w:val="24"/>
                <w:color w:val="auto"/>
              </w:rPr>
            </w:pPr>
          </w:p>
        </w:tc>
        <w:tc>
          <w:tcPr>
            <w:tcW w:w="3100" w:type="dxa"/>
            <w:vAlign w:val="bottom"/>
            <w:gridSpan w:val="4"/>
          </w:tcPr>
          <w:p>
            <w:pPr>
              <w:jc w:val="right"/>
              <w:ind w:right="1600"/>
              <w:spacing w:after="0"/>
              <w:rPr>
                <w:sz w:val="20"/>
                <w:szCs w:val="20"/>
                <w:color w:val="auto"/>
              </w:rPr>
            </w:pPr>
            <w:r>
              <w:rPr>
                <w:rFonts w:ascii="Times New Roman" w:cs="Times New Roman" w:eastAsia="Times New Roman" w:hAnsi="Times New Roman"/>
                <w:sz w:val="18"/>
                <w:szCs w:val="18"/>
                <w:color w:val="auto"/>
              </w:rPr>
              <w:t>F-21</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5"/>
        </w:trPr>
        <w:tc>
          <w:tcPr>
            <w:tcW w:w="43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6574155</wp:posOffset>
            </wp:positionH>
            <wp:positionV relativeFrom="paragraph">
              <wp:posOffset>-1671955</wp:posOffset>
            </wp:positionV>
            <wp:extent cx="13716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-1671955</wp:posOffset>
            </wp:positionV>
            <wp:extent cx="13716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-1671955</wp:posOffset>
            </wp:positionV>
            <wp:extent cx="13716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6" w:name="page197"/>
    <w:bookmarkEnd w:id="196"/>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PREFERRED SHARES AND WARRANTS TO PREFERED SHARES: (Continued)</w:t>
      </w:r>
    </w:p>
    <w:p>
      <w:pPr>
        <w:spacing w:after="0" w:line="162" w:lineRule="exact"/>
        <w:rPr>
          <w:sz w:val="20"/>
          <w:szCs w:val="20"/>
          <w:color w:val="auto"/>
        </w:rPr>
      </w:pPr>
    </w:p>
    <w:p>
      <w:pPr>
        <w:ind w:left="540" w:right="760" w:hanging="352"/>
        <w:spacing w:after="0" w:line="282" w:lineRule="auto"/>
        <w:tabs>
          <w:tab w:leader="none" w:pos="5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prepared valuations of the fair value of the three components described above (Level 3 valuations) using a combination of the Probability-Weighted Expected Return Method and Back Solve option pricing method model. The following parameters were used: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00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4"/>
        </w:trPr>
        <w:tc>
          <w:tcPr>
            <w:tcW w:w="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0"/>
        </w:trPr>
        <w:tc>
          <w:tcPr>
            <w:tcW w:w="5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3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
        </w:trPr>
        <w:tc>
          <w:tcPr>
            <w:tcW w:w="5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40" w:type="dxa"/>
            <w:vAlign w:val="bottom"/>
            <w:shd w:val="clear" w:color="auto" w:fill="CCEEFF"/>
          </w:tcPr>
          <w:p>
            <w:pPr>
              <w:spacing w:after="0"/>
              <w:rPr>
                <w:sz w:val="21"/>
                <w:szCs w:val="21"/>
                <w:color w:val="auto"/>
              </w:rPr>
            </w:pPr>
          </w:p>
        </w:tc>
        <w:tc>
          <w:tcPr>
            <w:tcW w:w="7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WACC</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7"/>
        </w:trPr>
        <w:tc>
          <w:tcPr>
            <w:tcW w:w="540" w:type="dxa"/>
            <w:vAlign w:val="bottom"/>
          </w:tcPr>
          <w:p>
            <w:pPr>
              <w:spacing w:after="0"/>
              <w:rPr>
                <w:sz w:val="22"/>
                <w:szCs w:val="22"/>
                <w:color w:val="auto"/>
              </w:rPr>
            </w:pPr>
          </w:p>
        </w:tc>
        <w:tc>
          <w:tcPr>
            <w:tcW w:w="7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Value of equity*</w:t>
            </w:r>
          </w:p>
        </w:tc>
        <w:tc>
          <w:tcPr>
            <w:tcW w:w="20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$71 million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million</w:t>
            </w:r>
          </w:p>
        </w:tc>
      </w:tr>
      <w:tr>
        <w:trPr>
          <w:trHeight w:val="257"/>
        </w:trPr>
        <w:tc>
          <w:tcPr>
            <w:tcW w:w="540" w:type="dxa"/>
            <w:vAlign w:val="bottom"/>
            <w:shd w:val="clear" w:color="auto" w:fill="CCEEFF"/>
          </w:tcPr>
          <w:p>
            <w:pPr>
              <w:spacing w:after="0"/>
              <w:rPr>
                <w:sz w:val="22"/>
                <w:szCs w:val="22"/>
                <w:color w:val="auto"/>
              </w:rPr>
            </w:pPr>
          </w:p>
        </w:tc>
        <w:tc>
          <w:tcPr>
            <w:tcW w:w="7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7"/>
        </w:trPr>
        <w:tc>
          <w:tcPr>
            <w:tcW w:w="540" w:type="dxa"/>
            <w:vAlign w:val="bottom"/>
          </w:tcPr>
          <w:p>
            <w:pPr>
              <w:spacing w:after="0"/>
              <w:rPr>
                <w:sz w:val="22"/>
                <w:szCs w:val="22"/>
                <w:color w:val="auto"/>
              </w:rPr>
            </w:pPr>
          </w:p>
        </w:tc>
        <w:tc>
          <w:tcPr>
            <w:tcW w:w="7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Commencement of sales</w:t>
            </w:r>
          </w:p>
        </w:tc>
        <w:tc>
          <w:tcPr>
            <w:tcW w:w="20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2021 –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 – 2020</w:t>
            </w:r>
          </w:p>
        </w:tc>
      </w:tr>
      <w:tr>
        <w:trPr>
          <w:trHeight w:val="257"/>
        </w:trPr>
        <w:tc>
          <w:tcPr>
            <w:tcW w:w="540" w:type="dxa"/>
            <w:vAlign w:val="bottom"/>
            <w:shd w:val="clear" w:color="auto" w:fill="CCEEFF"/>
          </w:tcPr>
          <w:p>
            <w:pPr>
              <w:spacing w:after="0"/>
              <w:rPr>
                <w:sz w:val="22"/>
                <w:szCs w:val="22"/>
                <w:color w:val="auto"/>
              </w:rPr>
            </w:pPr>
          </w:p>
        </w:tc>
        <w:tc>
          <w:tcPr>
            <w:tcW w:w="7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Probability for success in phase 2</w:t>
            </w:r>
          </w:p>
        </w:tc>
        <w:tc>
          <w:tcPr>
            <w:tcW w:w="20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7"/>
        </w:trPr>
        <w:tc>
          <w:tcPr>
            <w:tcW w:w="540" w:type="dxa"/>
            <w:vAlign w:val="bottom"/>
          </w:tcPr>
          <w:p>
            <w:pPr>
              <w:spacing w:after="0"/>
              <w:rPr>
                <w:sz w:val="22"/>
                <w:szCs w:val="22"/>
                <w:color w:val="auto"/>
              </w:rPr>
            </w:pPr>
          </w:p>
        </w:tc>
        <w:tc>
          <w:tcPr>
            <w:tcW w:w="7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Probability of entering Phase 2b/3 for Hypo</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7"/>
        </w:trPr>
        <w:tc>
          <w:tcPr>
            <w:tcW w:w="540" w:type="dxa"/>
            <w:vAlign w:val="bottom"/>
            <w:shd w:val="clear" w:color="auto" w:fill="CCEEFF"/>
          </w:tcPr>
          <w:p>
            <w:pPr>
              <w:spacing w:after="0"/>
              <w:rPr>
                <w:sz w:val="22"/>
                <w:szCs w:val="22"/>
                <w:color w:val="auto"/>
              </w:rPr>
            </w:pPr>
          </w:p>
        </w:tc>
        <w:tc>
          <w:tcPr>
            <w:tcW w:w="7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Probability for IPO</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540" w:type="dxa"/>
            <w:vAlign w:val="bottom"/>
          </w:tcPr>
          <w:p>
            <w:pPr>
              <w:spacing w:after="0"/>
              <w:rPr>
                <w:sz w:val="23"/>
                <w:szCs w:val="23"/>
                <w:color w:val="auto"/>
              </w:rPr>
            </w:pPr>
          </w:p>
        </w:tc>
        <w:tc>
          <w:tcPr>
            <w:tcW w:w="2580" w:type="dxa"/>
            <w:vAlign w:val="bottom"/>
            <w:tcBorders>
              <w:bottom w:val="single" w:sz="8" w:color="auto"/>
            </w:tcBorders>
          </w:tcPr>
          <w:p>
            <w:pPr>
              <w:spacing w:after="0"/>
              <w:rPr>
                <w:sz w:val="23"/>
                <w:szCs w:val="23"/>
                <w:color w:val="auto"/>
              </w:rPr>
            </w:pPr>
          </w:p>
        </w:tc>
        <w:tc>
          <w:tcPr>
            <w:tcW w:w="5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-1328420</wp:posOffset>
            </wp:positionV>
            <wp:extent cx="63715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87" w:lineRule="exact"/>
        <w:rPr>
          <w:sz w:val="20"/>
          <w:szCs w:val="20"/>
          <w:color w:val="auto"/>
        </w:rPr>
      </w:pPr>
    </w:p>
    <w:p>
      <w:pPr>
        <w:ind w:left="900" w:hanging="352"/>
        <w:spacing w:after="0"/>
        <w:tabs>
          <w:tab w:leader="none" w:pos="9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equity was based on the valuation performed as detailed in note 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w:t>
      </w:r>
    </w:p>
    <w:p>
      <w:pPr>
        <w:spacing w:after="0" w:line="135" w:lineRule="exact"/>
        <w:rPr>
          <w:sz w:val="20"/>
          <w:szCs w:val="20"/>
          <w:color w:val="auto"/>
        </w:rPr>
      </w:pPr>
    </w:p>
    <w:p>
      <w:pPr>
        <w:ind w:left="540" w:right="500" w:hanging="352"/>
        <w:spacing w:after="0" w:line="266" w:lineRule="auto"/>
        <w:tabs>
          <w:tab w:leader="none" w:pos="5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29, 2014, the Company entered into a lease agreement for the building it uses in consideration of approximately $58 thousand per year. The lease agreement expired on June 30, 2016 and the Company utilized its option to extend it for an additional one year period until June 30, 2017.</w:t>
      </w:r>
    </w:p>
    <w:p>
      <w:pPr>
        <w:spacing w:after="0" w:line="122" w:lineRule="exact"/>
        <w:rPr>
          <w:rFonts w:ascii="Times New Roman" w:cs="Times New Roman" w:eastAsia="Times New Roman" w:hAnsi="Times New Roman"/>
          <w:sz w:val="18"/>
          <w:szCs w:val="18"/>
          <w:b w:val="1"/>
          <w:bCs w:val="1"/>
          <w:color w:val="auto"/>
        </w:rPr>
      </w:pPr>
    </w:p>
    <w:p>
      <w:pPr>
        <w:ind w:left="540" w:right="800" w:hanging="352"/>
        <w:spacing w:after="0" w:line="282" w:lineRule="auto"/>
        <w:tabs>
          <w:tab w:leader="none" w:pos="5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2014, the Company entered into operating lease agreements for two vehicles and in 2015 for an additional vehicle. The leases will expire during the years 2017 and 2018. The projected annual lease payments are approximately $26 thousand per year.</w:t>
      </w:r>
    </w:p>
    <w:p>
      <w:pPr>
        <w:spacing w:after="0" w:line="107" w:lineRule="exact"/>
        <w:rPr>
          <w:rFonts w:ascii="Times New Roman" w:cs="Times New Roman" w:eastAsia="Times New Roman" w:hAnsi="Times New Roman"/>
          <w:sz w:val="18"/>
          <w:szCs w:val="18"/>
          <w:b w:val="1"/>
          <w:bCs w:val="1"/>
          <w:color w:val="auto"/>
        </w:rPr>
      </w:pPr>
    </w:p>
    <w:p>
      <w:pPr>
        <w:ind w:left="540" w:hanging="352"/>
        <w:spacing w:after="0"/>
        <w:tabs>
          <w:tab w:leader="none" w:pos="5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committed to pay royalties to Oramed — see also note 6.</w:t>
      </w:r>
    </w:p>
    <w:p>
      <w:pPr>
        <w:spacing w:after="0" w:line="171" w:lineRule="exact"/>
        <w:rPr>
          <w:rFonts w:ascii="Times New Roman" w:cs="Times New Roman" w:eastAsia="Times New Roman" w:hAnsi="Times New Roman"/>
          <w:sz w:val="18"/>
          <w:szCs w:val="18"/>
          <w:b w:val="1"/>
          <w:bCs w:val="1"/>
          <w:color w:val="auto"/>
        </w:rPr>
      </w:pPr>
    </w:p>
    <w:p>
      <w:pPr>
        <w:ind w:left="540" w:right="460" w:hanging="352"/>
        <w:spacing w:after="0" w:line="254" w:lineRule="auto"/>
        <w:tabs>
          <w:tab w:leader="none" w:pos="5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committed to pay royalties to the Government of Israel on proceeds from sales of products in the research and development of which the Government participates by way of grants. At the time the grants were received, successful development of the related project was not assumed. In the case of failure of the project that was partly financed by the Government of Israel, the Company is not obligated to pay any such royalties. Under the terms of the Company’s funding from the Israeli Government, royalties are payable on sales of products developed from projects so funded of 3% during the first three years, from commencement of revenues, 4% during the subsequent three years and 5% commencing the seventh year up to 100% of the amount of the grant received by the Company (dollar linked) with the addition of an annual interest based on Libor. The amount that must be repaid may be increased to three times the amount of the grant received, and the rate of royalties may be accelerated, if manufacturing of the products developed with the grant money is transferred outside of the State of Israel. As of December 31, 2016, the total royalty amount that would be payable by the Company, before the additional Libor interest, is approximately $460 thousand.</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7" w:name="page198"/>
    <w:bookmarkEnd w:id="197"/>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67" w:lineRule="exact"/>
        <w:rPr>
          <w:sz w:val="20"/>
          <w:szCs w:val="20"/>
          <w:color w:val="auto"/>
        </w:rPr>
      </w:pPr>
    </w:p>
    <w:p>
      <w:pPr>
        <w:ind w:left="540" w:hanging="352"/>
        <w:spacing w:after="0"/>
        <w:tabs>
          <w:tab w:leader="none" w:pos="5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Composed of ordinary shares of NIS 0.01 par value,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4"/>
        </w:trPr>
        <w:tc>
          <w:tcPr>
            <w:tcW w:w="8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7"/>
          </w:tcPr>
          <w:p>
            <w:pPr>
              <w:spacing w:after="0"/>
              <w:rPr>
                <w:sz w:val="2"/>
                <w:szCs w:val="2"/>
                <w:color w:val="auto"/>
              </w:rPr>
            </w:pPr>
          </w:p>
        </w:tc>
      </w:tr>
      <w:tr>
        <w:trPr>
          <w:trHeight w:val="200"/>
        </w:trPr>
        <w:tc>
          <w:tcPr>
            <w:tcW w:w="8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4"/>
        </w:trPr>
        <w:tc>
          <w:tcPr>
            <w:tcW w:w="8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0"/>
        </w:trPr>
        <w:tc>
          <w:tcPr>
            <w:tcW w:w="8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4"/>
        </w:trPr>
        <w:tc>
          <w:tcPr>
            <w:tcW w:w="8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57"/>
        </w:trPr>
        <w:tc>
          <w:tcPr>
            <w:tcW w:w="894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Authorized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1,000,000</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0"/>
        </w:trPr>
        <w:tc>
          <w:tcPr>
            <w:tcW w:w="89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Issued</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34,544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34,396</w:t>
            </w:r>
          </w:p>
        </w:tc>
        <w:tc>
          <w:tcPr>
            <w:tcW w:w="26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644017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p>
      <w:pPr>
        <w:spacing w:after="0" w:line="164"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8"/>
          <w:szCs w:val="18"/>
          <w:color w:val="auto"/>
        </w:rPr>
        <w:t>The Ordinary Shares confer upon their holders the following rights: (i) the right to vote in any general meeting of the Company, (ii) the right to receive dividends, and (iii) the right to receive upon liquidation of the Company a sum equal to the nominal value of the share, and if a surplus remains, to receive such surplus, subject to the rights conferred on any class of shares which may be issued in the future.</w:t>
      </w:r>
    </w:p>
    <w:p>
      <w:pPr>
        <w:spacing w:after="0" w:line="172" w:lineRule="exact"/>
        <w:rPr>
          <w:sz w:val="20"/>
          <w:szCs w:val="20"/>
          <w:color w:val="auto"/>
        </w:rPr>
      </w:pPr>
    </w:p>
    <w:p>
      <w:pPr>
        <w:ind w:left="540" w:hanging="352"/>
        <w:spacing w:after="0"/>
        <w:tabs>
          <w:tab w:leader="none" w:pos="5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compensation:</w:t>
      </w:r>
    </w:p>
    <w:p>
      <w:pPr>
        <w:spacing w:after="0" w:line="80" w:lineRule="exact"/>
        <w:rPr>
          <w:rFonts w:ascii="Times New Roman" w:cs="Times New Roman" w:eastAsia="Times New Roman" w:hAnsi="Times New Roman"/>
          <w:sz w:val="18"/>
          <w:szCs w:val="18"/>
          <w:b w:val="1"/>
          <w:bCs w:val="1"/>
          <w:color w:val="auto"/>
        </w:rPr>
      </w:pPr>
    </w:p>
    <w:p>
      <w:pPr>
        <w:ind w:left="900" w:hanging="352"/>
        <w:spacing w:after="0"/>
        <w:tabs>
          <w:tab w:leader="none" w:pos="9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plan</w:t>
      </w:r>
    </w:p>
    <w:p>
      <w:pPr>
        <w:spacing w:after="0" w:line="117" w:lineRule="exact"/>
        <w:rPr>
          <w:rFonts w:ascii="Times New Roman" w:cs="Times New Roman" w:eastAsia="Times New Roman" w:hAnsi="Times New Roman"/>
          <w:sz w:val="18"/>
          <w:szCs w:val="18"/>
          <w:color w:val="auto"/>
        </w:rPr>
      </w:pPr>
    </w:p>
    <w:p>
      <w:pPr>
        <w:ind w:left="90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17, 2013, the Company’s board of directors approved a Share Incentive Plan (the “Plan”). Under the Plan, the Company shall reserve sufficient number of Ordinary Shares, NIS 0.01 par value, of the Company for allocation of stock options, restricted share units, restricted share awards and performance-based awards (the “Option”), to employees and non-employees. Each Option is exercisable to acquire one ordinary share.</w:t>
      </w:r>
    </w:p>
    <w:p>
      <w:pPr>
        <w:spacing w:after="0" w:line="7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granted under the Plan that is not exercised within six years from the date upon which it becomes exercisable will expire.</w:t>
      </w:r>
    </w:p>
    <w:p>
      <w:pPr>
        <w:spacing w:after="0" w:line="117" w:lineRule="exact"/>
        <w:rPr>
          <w:rFonts w:ascii="Times New Roman" w:cs="Times New Roman" w:eastAsia="Times New Roman" w:hAnsi="Times New Roman"/>
          <w:sz w:val="18"/>
          <w:szCs w:val="18"/>
          <w:color w:val="auto"/>
        </w:rPr>
      </w:pPr>
    </w:p>
    <w:p>
      <w:pPr>
        <w:ind w:left="90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to employees are subject to the terms stipulated by section 102(b)(2) of the Israeli Income Tax Ordinance (the “Ordinance”). According to these provisions, the Company will not be allowed to claim as an expense for tax purposes the amounts credited to the employees as a capital gain benefit in respect of the options granted.</w:t>
      </w:r>
    </w:p>
    <w:p>
      <w:pPr>
        <w:spacing w:after="0" w:line="68" w:lineRule="exact"/>
        <w:rPr>
          <w:rFonts w:ascii="Times New Roman" w:cs="Times New Roman" w:eastAsia="Times New Roman" w:hAnsi="Times New Roman"/>
          <w:sz w:val="18"/>
          <w:szCs w:val="18"/>
          <w:color w:val="auto"/>
        </w:rPr>
      </w:pPr>
    </w:p>
    <w:p>
      <w:pPr>
        <w:jc w:val="both"/>
        <w:ind w:left="900" w:righ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to related parties or non-employees of the Company are governed by Section 3(i) of the Ordinance. The Company will be allowed to claim as an expense for tax purposes in the year in which the related parties or non-employees exercised the options into shares.</w:t>
      </w:r>
    </w:p>
    <w:p>
      <w:pPr>
        <w:spacing w:after="0" w:line="26" w:lineRule="exact"/>
        <w:rPr>
          <w:rFonts w:ascii="Times New Roman" w:cs="Times New Roman" w:eastAsia="Times New Roman" w:hAnsi="Times New Roman"/>
          <w:sz w:val="18"/>
          <w:szCs w:val="18"/>
          <w:color w:val="auto"/>
        </w:rPr>
      </w:pPr>
    </w:p>
    <w:p>
      <w:pPr>
        <w:ind w:left="900" w:hanging="352"/>
        <w:spacing w:after="0"/>
        <w:tabs>
          <w:tab w:leader="none" w:pos="9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grants:</w:t>
      </w:r>
    </w:p>
    <w:p>
      <w:pPr>
        <w:spacing w:after="0" w:line="90" w:lineRule="exact"/>
        <w:rPr>
          <w:rFonts w:ascii="Times New Roman" w:cs="Times New Roman" w:eastAsia="Times New Roman" w:hAnsi="Times New Roman"/>
          <w:sz w:val="18"/>
          <w:szCs w:val="18"/>
          <w:color w:val="auto"/>
        </w:rPr>
      </w:pPr>
    </w:p>
    <w:p>
      <w:pPr>
        <w:ind w:left="1260" w:right="900" w:hanging="352"/>
        <w:spacing w:after="0" w:line="266" w:lineRule="auto"/>
        <w:tabs>
          <w:tab w:leader="none" w:pos="126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Joint Venture Agreement, the Company granted to its CEO 3,296 options, that reflected upon exercise 9.9% of the Company’s equity at the date of grant, with an exercise price of NIS 0.01 (par value). The options vested over a period of three years from the grant date. The fair value of the options at the date of grant was $132 thousand.</w:t>
      </w:r>
    </w:p>
    <w:p>
      <w:pPr>
        <w:spacing w:after="0" w:line="41" w:lineRule="exact"/>
        <w:rPr>
          <w:rFonts w:ascii="Times New Roman" w:cs="Times New Roman" w:eastAsia="Times New Roman" w:hAnsi="Times New Roman"/>
          <w:sz w:val="18"/>
          <w:szCs w:val="18"/>
          <w:color w:val="auto"/>
        </w:rPr>
      </w:pPr>
    </w:p>
    <w:p>
      <w:pPr>
        <w:ind w:left="1260" w:right="720" w:hanging="352"/>
        <w:spacing w:after="0" w:line="243" w:lineRule="auto"/>
        <w:tabs>
          <w:tab w:leader="none" w:pos="126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January 2014, the Company granted to two service providers (which were accounted for as “employees and others providing similar services” under IFRS 2) 500 options with an exercise price of $273.88. 100 options were granted immediately and will vest over 4 years from the date of grant;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8"/>
          <w:szCs w:val="18"/>
          <w:color w:val="auto"/>
        </w:rPr>
        <w:t xml:space="preserve"> vest on the first anniversary of the date of grant and the remaining vest in twelve equal quarterly installments following the first anniversary of the applicable grant date. The grant of the remaining 400 options is subject to the fulfillment of certain milestones with respect to certain trials conducted by the subcontractors as part of the Company’s development plans. The fair value of the options at the date of grant was $70 thousand. In March 2016, the Company terminated a service agreement with one of the service providers, but the Company did not forfeit the options granted. As such, the Company accelerated the vesting period.</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8" w:name="page199"/>
    <w:bookmarkEnd w:id="198"/>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 (Continued)</w:t>
      </w:r>
    </w:p>
    <w:p>
      <w:pPr>
        <w:spacing w:after="0" w:line="162" w:lineRule="exact"/>
        <w:rPr>
          <w:sz w:val="20"/>
          <w:szCs w:val="20"/>
          <w:color w:val="auto"/>
        </w:rPr>
      </w:pPr>
    </w:p>
    <w:p>
      <w:pPr>
        <w:ind w:left="1260" w:right="740" w:hanging="352"/>
        <w:spacing w:after="0" w:line="262" w:lineRule="auto"/>
        <w:tabs>
          <w:tab w:leader="none" w:pos="12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March 2015, the Company granted options to purchase 327 ordinary shares to certain of the Company’s directors, out of which 85 options were with an exercise price of $240, and 242 options were with an exercise price of NIS 0.01 (par value). The options vest over 4 years from the date of appointment as directors; </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8"/>
          <w:szCs w:val="18"/>
          <w:color w:val="auto"/>
        </w:rPr>
        <w:t xml:space="preserve"> vest on the first anniversary of the date of grant and the remaining vest in twelve equal quarterly installments following the first anniversary of the applicable grant date. The fair value of the options at the date of grant was $398 thousand.</w:t>
      </w:r>
    </w:p>
    <w:p>
      <w:pPr>
        <w:spacing w:after="0" w:line="126" w:lineRule="exact"/>
        <w:rPr>
          <w:rFonts w:ascii="Times New Roman" w:cs="Times New Roman" w:eastAsia="Times New Roman" w:hAnsi="Times New Roman"/>
          <w:sz w:val="18"/>
          <w:szCs w:val="18"/>
          <w:color w:val="auto"/>
        </w:rPr>
      </w:pPr>
    </w:p>
    <w:p>
      <w:pPr>
        <w:jc w:val="both"/>
        <w:ind w:left="1260" w:right="840" w:hanging="352"/>
        <w:spacing w:after="0" w:line="274" w:lineRule="auto"/>
        <w:tabs>
          <w:tab w:leader="none" w:pos="12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December 2015, the Company granted options to purchase 1,133 ordinary shares to a certain director with an exercise price of $479.38. </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of the options vested on April 23, 2016, </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of the options shall vest on April 23, 2017 and the remaining shall vest on April 23, 2018. The fair value of the options at the date of grant was $1,067 thousand.</w:t>
      </w:r>
    </w:p>
    <w:p>
      <w:pPr>
        <w:spacing w:after="0" w:line="114" w:lineRule="exact"/>
        <w:rPr>
          <w:rFonts w:ascii="Times New Roman" w:cs="Times New Roman" w:eastAsia="Times New Roman" w:hAnsi="Times New Roman"/>
          <w:sz w:val="18"/>
          <w:szCs w:val="18"/>
          <w:color w:val="auto"/>
        </w:rPr>
      </w:pPr>
    </w:p>
    <w:p>
      <w:pPr>
        <w:ind w:left="1260" w:hanging="352"/>
        <w:spacing w:after="0"/>
        <w:tabs>
          <w:tab w:leader="none" w:pos="12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2016, the Company granted options to purchase 1,133 ordinary shares to a certain director with an exercise price of</w:t>
      </w:r>
    </w:p>
    <w:p>
      <w:pPr>
        <w:spacing w:after="0" w:line="27" w:lineRule="exact"/>
        <w:rPr>
          <w:rFonts w:ascii="Times New Roman" w:cs="Times New Roman" w:eastAsia="Times New Roman" w:hAnsi="Times New Roman"/>
          <w:sz w:val="18"/>
          <w:szCs w:val="18"/>
          <w:color w:val="auto"/>
        </w:rPr>
      </w:pPr>
    </w:p>
    <w:p>
      <w:pPr>
        <w:ind w:left="1260" w:right="92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$479.38. </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of the options vested on April 29, 2016, </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of the options shall vest on July 29, 2017 and the remaining shall vest on July 29, 2018. The fair value of the options at the date of grant was $827 thousand.</w:t>
      </w:r>
    </w:p>
    <w:p>
      <w:pPr>
        <w:spacing w:after="0" w:line="113" w:lineRule="exact"/>
        <w:rPr>
          <w:rFonts w:ascii="Times New Roman" w:cs="Times New Roman" w:eastAsia="Times New Roman" w:hAnsi="Times New Roman"/>
          <w:sz w:val="18"/>
          <w:szCs w:val="18"/>
          <w:color w:val="auto"/>
        </w:rPr>
      </w:pPr>
    </w:p>
    <w:p>
      <w:pPr>
        <w:jc w:val="both"/>
        <w:ind w:left="1260" w:right="940" w:hanging="352"/>
        <w:spacing w:after="0" w:line="266" w:lineRule="auto"/>
        <w:tabs>
          <w:tab w:leader="none" w:pos="12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May and during November 2016, the Company granted options to purchase 24 ordinary shares to a certain consultant, with an exercise price of par value (0.01 NIS). The options vested immediately. The fair value of the options at the date of grant was $24 thousand.</w:t>
      </w:r>
    </w:p>
    <w:p>
      <w:pPr>
        <w:spacing w:after="0" w:line="122" w:lineRule="exact"/>
        <w:rPr>
          <w:rFonts w:ascii="Times New Roman" w:cs="Times New Roman" w:eastAsia="Times New Roman" w:hAnsi="Times New Roman"/>
          <w:sz w:val="18"/>
          <w:szCs w:val="18"/>
          <w:color w:val="auto"/>
        </w:rPr>
      </w:pPr>
    </w:p>
    <w:p>
      <w:pPr>
        <w:ind w:left="1260" w:hanging="352"/>
        <w:spacing w:after="0"/>
        <w:tabs>
          <w:tab w:leader="none" w:pos="12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2016, the Company granted options to purchase 494 ordinary shares to certain employees with an exercise price of</w:t>
      </w:r>
    </w:p>
    <w:p>
      <w:pPr>
        <w:spacing w:after="0" w:line="27" w:lineRule="exact"/>
        <w:rPr>
          <w:rFonts w:ascii="Times New Roman" w:cs="Times New Roman" w:eastAsia="Times New Roman" w:hAnsi="Times New Roman"/>
          <w:sz w:val="18"/>
          <w:szCs w:val="18"/>
          <w:color w:val="auto"/>
        </w:rPr>
      </w:pPr>
    </w:p>
    <w:p>
      <w:pPr>
        <w:ind w:left="1260" w:right="74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$479. The options vest over 4 years from the date of grant; </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8"/>
          <w:szCs w:val="18"/>
          <w:color w:val="auto"/>
        </w:rPr>
        <w:t xml:space="preserve"> vest on the first anniversary of the date of grant and the remaining vest in twelve equal quarterly installments following the first anniversary of the applicable grant date. The fair value of the options at the date of grant was $362 thousand.</w:t>
      </w:r>
    </w:p>
    <w:p>
      <w:pPr>
        <w:spacing w:after="0" w:line="125" w:lineRule="exact"/>
        <w:rPr>
          <w:rFonts w:ascii="Times New Roman" w:cs="Times New Roman" w:eastAsia="Times New Roman" w:hAnsi="Times New Roman"/>
          <w:sz w:val="18"/>
          <w:szCs w:val="18"/>
          <w:color w:val="auto"/>
        </w:rPr>
      </w:pPr>
    </w:p>
    <w:p>
      <w:pPr>
        <w:ind w:left="900" w:right="780" w:hanging="352"/>
        <w:spacing w:after="0" w:line="282" w:lineRule="auto"/>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each option granted (except options with an exercise price of par value, as described below) is estimated at the date of grant using the Black-Scholes option-pricing model, with the following weighted average assumptions: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4"/>
        </w:trPr>
        <w:tc>
          <w:tcPr>
            <w:tcW w:w="9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7"/>
        </w:trPr>
        <w:tc>
          <w:tcPr>
            <w:tcW w:w="9520" w:type="dxa"/>
            <w:vAlign w:val="bottom"/>
            <w:tcBorders>
              <w:bottom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Ordinary share price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1,018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1,269</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r>
      <w:tr>
        <w:trPr>
          <w:trHeight w:val="20"/>
        </w:trPr>
        <w:tc>
          <w:tcPr>
            <w:tcW w:w="9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9520" w:type="dxa"/>
            <w:vAlign w:val="bottom"/>
            <w:tcBorders>
              <w:bottom w:val="single" w:sz="8" w:color="CCEEFF"/>
            </w:tcBorders>
            <w:gridSpan w:val="2"/>
          </w:tcPr>
          <w:p>
            <w:pPr>
              <w:ind w:left="1400"/>
              <w:spacing w:after="0"/>
              <w:rPr>
                <w:sz w:val="20"/>
                <w:szCs w:val="20"/>
                <w:color w:val="auto"/>
              </w:rPr>
            </w:pPr>
            <w:r>
              <w:rPr>
                <w:rFonts w:ascii="Times New Roman" w:cs="Times New Roman" w:eastAsia="Times New Roman" w:hAnsi="Times New Roman"/>
                <w:sz w:val="18"/>
                <w:szCs w:val="18"/>
                <w:color w:val="auto"/>
              </w:rPr>
              <w:t>Exercise price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r>
      <w:tr>
        <w:trPr>
          <w:trHeight w:val="237"/>
        </w:trPr>
        <w:tc>
          <w:tcPr>
            <w:tcW w:w="9520" w:type="dxa"/>
            <w:vAlign w:val="bottom"/>
            <w:tcBorders>
              <w:bottom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3"/>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spacing w:after="0"/>
              <w:rPr>
                <w:sz w:val="20"/>
                <w:szCs w:val="20"/>
                <w:color w:val="auto"/>
              </w:rPr>
            </w:pPr>
          </w:p>
        </w:tc>
      </w:tr>
      <w:tr>
        <w:trPr>
          <w:trHeight w:val="20"/>
        </w:trPr>
        <w:tc>
          <w:tcPr>
            <w:tcW w:w="9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57"/>
        </w:trPr>
        <w:tc>
          <w:tcPr>
            <w:tcW w:w="95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9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237"/>
        </w:trPr>
        <w:tc>
          <w:tcPr>
            <w:tcW w:w="95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230"/>
        </w:trPr>
        <w:tc>
          <w:tcPr>
            <w:tcW w:w="95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Expected life – in years</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20"/>
                <w:szCs w:val="20"/>
                <w:color w:val="auto"/>
              </w:rPr>
            </w:pPr>
          </w:p>
        </w:tc>
      </w:tr>
      <w:tr>
        <w:trPr>
          <w:trHeight w:val="20"/>
        </w:trPr>
        <w:tc>
          <w:tcPr>
            <w:tcW w:w="9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-1139825</wp:posOffset>
            </wp:positionV>
            <wp:extent cx="663765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pacing w:after="0" w:line="232" w:lineRule="exact"/>
        <w:rPr>
          <w:sz w:val="20"/>
          <w:szCs w:val="20"/>
          <w:color w:val="auto"/>
        </w:rPr>
      </w:pPr>
    </w:p>
    <w:p>
      <w:pPr>
        <w:ind w:left="900" w:right="80"/>
        <w:spacing w:after="0" w:line="261" w:lineRule="auto"/>
        <w:rPr>
          <w:sz w:val="20"/>
          <w:szCs w:val="20"/>
          <w:color w:val="auto"/>
        </w:rPr>
      </w:pPr>
      <w:r>
        <w:rPr>
          <w:rFonts w:ascii="Times New Roman" w:cs="Times New Roman" w:eastAsia="Times New Roman" w:hAnsi="Times New Roman"/>
          <w:sz w:val="18"/>
          <w:szCs w:val="18"/>
          <w:color w:val="auto"/>
        </w:rPr>
        <w:t>The fair value of each option with an exercise price of NIS 0.01 is based on the fair value of ordinary share at the date of grant. The ordinary share price is derived from the value of equity and was based on the valuation performed (as detailed in note 6). The expected volatility is based on comparable companies. The risk-free interest rate is determined based on rates of return on maturity of unlinked treasury bonds with a time to maturity that equals the average life of the options.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9" w:name="page200"/>
    <w:bookmarkEnd w:id="199"/>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 (Continued)</w:t>
      </w:r>
    </w:p>
    <w:p>
      <w:pPr>
        <w:spacing w:after="0" w:line="162" w:lineRule="exact"/>
        <w:rPr>
          <w:sz w:val="20"/>
          <w:szCs w:val="20"/>
          <w:color w:val="auto"/>
        </w:rPr>
      </w:pPr>
    </w:p>
    <w:p>
      <w:pPr>
        <w:ind w:left="900" w:hanging="352"/>
        <w:spacing w:after="0"/>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number of options and weighted average exercise prices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
        </w:trPr>
        <w:tc>
          <w:tcPr>
            <w:tcW w:w="6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0"/>
        </w:trPr>
        <w:tc>
          <w:tcPr>
            <w:tcW w:w="6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
        </w:trPr>
        <w:tc>
          <w:tcPr>
            <w:tcW w:w="6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6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6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6500" w:type="dxa"/>
            <w:vAlign w:val="bottom"/>
          </w:tcPr>
          <w:p>
            <w:pPr>
              <w:spacing w:after="0"/>
              <w:rPr>
                <w:sz w:val="14"/>
                <w:szCs w:val="14"/>
                <w:color w:val="auto"/>
              </w:rPr>
            </w:pPr>
          </w:p>
        </w:tc>
        <w:tc>
          <w:tcPr>
            <w:tcW w:w="920" w:type="dxa"/>
            <w:vAlign w:val="bottom"/>
            <w:gridSpan w:val="3"/>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gridSpan w:val="3"/>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90"/>
        </w:trPr>
        <w:tc>
          <w:tcPr>
            <w:tcW w:w="6500" w:type="dxa"/>
            <w:vAlign w:val="bottom"/>
          </w:tcPr>
          <w:p>
            <w:pPr>
              <w:spacing w:after="0"/>
              <w:rPr>
                <w:sz w:val="16"/>
                <w:szCs w:val="16"/>
                <w:color w:val="auto"/>
              </w:rPr>
            </w:pPr>
          </w:p>
        </w:tc>
        <w:tc>
          <w:tcPr>
            <w:tcW w:w="920" w:type="dxa"/>
            <w:vAlign w:val="bottom"/>
            <w:gridSpan w:val="3"/>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960" w:type="dxa"/>
            <w:vAlign w:val="bottom"/>
            <w:gridSpan w:val="3"/>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price</w:t>
            </w:r>
          </w:p>
        </w:tc>
      </w:tr>
      <w:tr>
        <w:trPr>
          <w:trHeight w:val="24"/>
        </w:trPr>
        <w:tc>
          <w:tcPr>
            <w:tcW w:w="6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50"/>
        </w:trPr>
        <w:tc>
          <w:tcPr>
            <w:tcW w:w="650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720" w:type="dxa"/>
            <w:vAlign w:val="bottom"/>
            <w:gridSpan w:val="2"/>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w w:val="98"/>
              </w:rPr>
              <w:t>7,092</w:t>
            </w:r>
          </w:p>
        </w:tc>
        <w:tc>
          <w:tcPr>
            <w:tcW w:w="200" w:type="dxa"/>
            <w:vAlign w:val="bottom"/>
            <w:shd w:val="clear" w:color="auto" w:fill="CCEEFF"/>
          </w:tcPr>
          <w:p>
            <w:pPr>
              <w:spacing w:after="0"/>
              <w:rPr>
                <w:sz w:val="21"/>
                <w:szCs w:val="21"/>
                <w:color w:val="auto"/>
              </w:rPr>
            </w:pPr>
          </w:p>
        </w:tc>
        <w:tc>
          <w:tcPr>
            <w:tcW w:w="1400" w:type="dxa"/>
            <w:vAlign w:val="bottom"/>
            <w:gridSpan w:val="5"/>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rPr>
              <w:t>$119.7</w:t>
            </w:r>
          </w:p>
        </w:tc>
        <w:tc>
          <w:tcPr>
            <w:tcW w:w="2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rPr>
              <w:t>5,632</w:t>
            </w:r>
          </w:p>
        </w:tc>
        <w:tc>
          <w:tcPr>
            <w:tcW w:w="72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50.69</w:t>
            </w: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63"/>
        </w:trPr>
        <w:tc>
          <w:tcPr>
            <w:tcW w:w="65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Granted</w:t>
            </w:r>
          </w:p>
        </w:tc>
        <w:tc>
          <w:tcPr>
            <w:tcW w:w="720" w:type="dxa"/>
            <w:vAlign w:val="bottom"/>
            <w:gridSpan w:val="2"/>
          </w:tcPr>
          <w:p>
            <w:pPr>
              <w:jc w:val="center"/>
              <w:ind w:left="236"/>
              <w:spacing w:after="0"/>
              <w:rPr>
                <w:sz w:val="20"/>
                <w:szCs w:val="20"/>
                <w:color w:val="auto"/>
              </w:rPr>
            </w:pPr>
            <w:r>
              <w:rPr>
                <w:rFonts w:ascii="Times New Roman" w:cs="Times New Roman" w:eastAsia="Times New Roman" w:hAnsi="Times New Roman"/>
                <w:sz w:val="18"/>
                <w:szCs w:val="18"/>
                <w:color w:val="auto"/>
                <w:w w:val="98"/>
              </w:rPr>
              <w:t>1,651</w:t>
            </w:r>
          </w:p>
        </w:tc>
        <w:tc>
          <w:tcPr>
            <w:tcW w:w="200" w:type="dxa"/>
            <w:vAlign w:val="bottom"/>
          </w:tcPr>
          <w:p>
            <w:pPr>
              <w:spacing w:after="0"/>
              <w:rPr>
                <w:sz w:val="22"/>
                <w:szCs w:val="22"/>
                <w:color w:val="auto"/>
              </w:rPr>
            </w:pPr>
          </w:p>
        </w:tc>
        <w:tc>
          <w:tcPr>
            <w:tcW w:w="1400" w:type="dxa"/>
            <w:vAlign w:val="bottom"/>
            <w:gridSpan w:val="5"/>
          </w:tcPr>
          <w:p>
            <w:pPr>
              <w:jc w:val="center"/>
              <w:ind w:left="254"/>
              <w:spacing w:after="0"/>
              <w:rPr>
                <w:sz w:val="20"/>
                <w:szCs w:val="20"/>
                <w:color w:val="auto"/>
              </w:rPr>
            </w:pPr>
            <w:r>
              <w:rPr>
                <w:rFonts w:ascii="Times New Roman" w:cs="Times New Roman" w:eastAsia="Times New Roman" w:hAnsi="Times New Roman"/>
                <w:sz w:val="18"/>
                <w:szCs w:val="18"/>
                <w:color w:val="auto"/>
              </w:rPr>
              <w:t>$472.3</w:t>
            </w:r>
          </w:p>
        </w:tc>
        <w:tc>
          <w:tcPr>
            <w:tcW w:w="200" w:type="dxa"/>
            <w:vAlign w:val="bottom"/>
          </w:tcPr>
          <w:p>
            <w:pPr>
              <w:spacing w:after="0"/>
              <w:rPr>
                <w:sz w:val="22"/>
                <w:szCs w:val="22"/>
                <w:color w:val="auto"/>
              </w:rPr>
            </w:pPr>
          </w:p>
        </w:tc>
        <w:tc>
          <w:tcPr>
            <w:tcW w:w="960" w:type="dxa"/>
            <w:vAlign w:val="bottom"/>
            <w:gridSpan w:val="3"/>
          </w:tcPr>
          <w:p>
            <w:pPr>
              <w:jc w:val="center"/>
              <w:ind w:left="56"/>
              <w:spacing w:after="0"/>
              <w:rPr>
                <w:sz w:val="20"/>
                <w:szCs w:val="20"/>
                <w:color w:val="auto"/>
              </w:rPr>
            </w:pPr>
            <w:r>
              <w:rPr>
                <w:rFonts w:ascii="Times New Roman" w:cs="Times New Roman" w:eastAsia="Times New Roman" w:hAnsi="Times New Roman"/>
                <w:sz w:val="18"/>
                <w:szCs w:val="18"/>
                <w:color w:val="auto"/>
              </w:rPr>
              <w:t>1,460</w:t>
            </w:r>
          </w:p>
        </w:tc>
        <w:tc>
          <w:tcPr>
            <w:tcW w:w="720" w:type="dxa"/>
            <w:vAlign w:val="bottom"/>
            <w:gridSpan w:val="4"/>
          </w:tcPr>
          <w:p>
            <w:pPr>
              <w:ind w:left="64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65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64"/>
        </w:trPr>
        <w:tc>
          <w:tcPr>
            <w:tcW w:w="650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720" w:type="dxa"/>
            <w:vAlign w:val="bottom"/>
            <w:gridSpan w:val="2"/>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w w:val="98"/>
              </w:rPr>
              <w:t>8,743</w:t>
            </w:r>
          </w:p>
        </w:tc>
        <w:tc>
          <w:tcPr>
            <w:tcW w:w="200" w:type="dxa"/>
            <w:vAlign w:val="bottom"/>
            <w:shd w:val="clear" w:color="auto" w:fill="CCEEFF"/>
          </w:tcPr>
          <w:p>
            <w:pPr>
              <w:spacing w:after="0"/>
              <w:rPr>
                <w:sz w:val="22"/>
                <w:szCs w:val="22"/>
                <w:color w:val="auto"/>
              </w:rPr>
            </w:pPr>
          </w:p>
        </w:tc>
        <w:tc>
          <w:tcPr>
            <w:tcW w:w="1400" w:type="dxa"/>
            <w:vAlign w:val="bottom"/>
            <w:gridSpan w:val="5"/>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rPr>
              <w:t>$186.3</w:t>
            </w:r>
          </w:p>
        </w:tc>
        <w:tc>
          <w:tcPr>
            <w:tcW w:w="2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rPr>
              <w:t>7,092</w:t>
            </w:r>
          </w:p>
        </w:tc>
        <w:tc>
          <w:tcPr>
            <w:tcW w:w="72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119.7</w:t>
            </w: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230"/>
        </w:trPr>
        <w:tc>
          <w:tcPr>
            <w:tcW w:w="65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720" w:type="dxa"/>
            <w:vAlign w:val="bottom"/>
            <w:gridSpan w:val="2"/>
          </w:tcPr>
          <w:p>
            <w:pPr>
              <w:jc w:val="center"/>
              <w:ind w:left="236"/>
              <w:spacing w:after="0"/>
              <w:rPr>
                <w:sz w:val="20"/>
                <w:szCs w:val="20"/>
                <w:color w:val="auto"/>
              </w:rPr>
            </w:pPr>
            <w:r>
              <w:rPr>
                <w:rFonts w:ascii="Times New Roman" w:cs="Times New Roman" w:eastAsia="Times New Roman" w:hAnsi="Times New Roman"/>
                <w:sz w:val="18"/>
                <w:szCs w:val="18"/>
                <w:color w:val="auto"/>
                <w:w w:val="98"/>
              </w:rPr>
              <w:t>6,426</w:t>
            </w:r>
          </w:p>
        </w:tc>
        <w:tc>
          <w:tcPr>
            <w:tcW w:w="200" w:type="dxa"/>
            <w:vAlign w:val="bottom"/>
          </w:tcPr>
          <w:p>
            <w:pPr>
              <w:spacing w:after="0"/>
              <w:rPr>
                <w:sz w:val="20"/>
                <w:szCs w:val="20"/>
                <w:color w:val="auto"/>
              </w:rPr>
            </w:pPr>
          </w:p>
        </w:tc>
        <w:tc>
          <w:tcPr>
            <w:tcW w:w="1400" w:type="dxa"/>
            <w:vAlign w:val="bottom"/>
            <w:gridSpan w:val="5"/>
          </w:tcPr>
          <w:p>
            <w:pPr>
              <w:jc w:val="center"/>
              <w:ind w:left="254"/>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93.73</w:t>
            </w:r>
          </w:p>
        </w:tc>
        <w:tc>
          <w:tcPr>
            <w:tcW w:w="200" w:type="dxa"/>
            <w:vAlign w:val="bottom"/>
          </w:tcPr>
          <w:p>
            <w:pPr>
              <w:spacing w:after="0"/>
              <w:rPr>
                <w:sz w:val="20"/>
                <w:szCs w:val="20"/>
                <w:color w:val="auto"/>
              </w:rPr>
            </w:pPr>
          </w:p>
        </w:tc>
        <w:tc>
          <w:tcPr>
            <w:tcW w:w="960" w:type="dxa"/>
            <w:vAlign w:val="bottom"/>
            <w:gridSpan w:val="3"/>
          </w:tcPr>
          <w:p>
            <w:pPr>
              <w:jc w:val="center"/>
              <w:ind w:left="56"/>
              <w:spacing w:after="0"/>
              <w:rPr>
                <w:sz w:val="20"/>
                <w:szCs w:val="20"/>
                <w:color w:val="auto"/>
              </w:rPr>
            </w:pPr>
            <w:r>
              <w:rPr>
                <w:rFonts w:ascii="Times New Roman" w:cs="Times New Roman" w:eastAsia="Times New Roman" w:hAnsi="Times New Roman"/>
                <w:sz w:val="18"/>
                <w:szCs w:val="18"/>
                <w:color w:val="auto"/>
              </w:rPr>
              <w:t>5,097</w:t>
            </w:r>
          </w:p>
        </w:tc>
        <w:tc>
          <w:tcPr>
            <w:tcW w:w="720" w:type="dxa"/>
            <w:vAlign w:val="bottom"/>
            <w:gridSpan w:val="4"/>
          </w:tcPr>
          <w:p>
            <w:pPr>
              <w:ind w:left="64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20.71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7054215</wp:posOffset>
            </wp:positionH>
            <wp:positionV relativeFrom="paragraph">
              <wp:posOffset>-385445</wp:posOffset>
            </wp:positionV>
            <wp:extent cx="19748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673227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-728345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-728345</wp:posOffset>
            </wp:positionV>
            <wp:extent cx="13716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57283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151" w:lineRule="exact"/>
        <w:rPr>
          <w:sz w:val="20"/>
          <w:szCs w:val="20"/>
          <w:color w:val="auto"/>
        </w:rPr>
      </w:pPr>
    </w:p>
    <w:p>
      <w:pPr>
        <w:ind w:left="900" w:hanging="352"/>
        <w:spacing w:after="0"/>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information about the exercise price and remaining contractual life of outstanding options at year-end: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1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24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20" w:type="dxa"/>
            <w:vAlign w:val="bottom"/>
          </w:tcPr>
          <w:p>
            <w:pPr>
              <w:spacing w:after="0"/>
              <w:rPr>
                <w:sz w:val="14"/>
                <w:szCs w:val="14"/>
                <w:color w:val="auto"/>
              </w:rPr>
            </w:pPr>
          </w:p>
        </w:tc>
        <w:tc>
          <w:tcPr>
            <w:tcW w:w="3080" w:type="dxa"/>
            <w:vAlign w:val="bottom"/>
          </w:tcPr>
          <w:p>
            <w:pPr>
              <w:jc w:val="center"/>
              <w:ind w:left="14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average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of</w:t>
            </w:r>
          </w:p>
        </w:tc>
      </w:tr>
      <w:tr>
        <w:trPr>
          <w:trHeight w:val="162"/>
        </w:trPr>
        <w:tc>
          <w:tcPr>
            <w:tcW w:w="20" w:type="dxa"/>
            <w:vAlign w:val="bottom"/>
          </w:tcPr>
          <w:p>
            <w:pPr>
              <w:spacing w:after="0"/>
              <w:rPr>
                <w:sz w:val="14"/>
                <w:szCs w:val="14"/>
                <w:color w:val="auto"/>
              </w:rPr>
            </w:pPr>
          </w:p>
        </w:tc>
        <w:tc>
          <w:tcPr>
            <w:tcW w:w="3080" w:type="dxa"/>
            <w:vAlign w:val="bottom"/>
          </w:tcPr>
          <w:p>
            <w:pPr>
              <w:jc w:val="center"/>
              <w:ind w:left="14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80" w:type="dxa"/>
            <w:vAlign w:val="bottom"/>
          </w:tcPr>
          <w:p>
            <w:pPr>
              <w:spacing w:after="0"/>
              <w:rPr>
                <w:sz w:val="14"/>
                <w:szCs w:val="14"/>
                <w:color w:val="auto"/>
              </w:rPr>
            </w:pPr>
          </w:p>
        </w:tc>
        <w:tc>
          <w:tcPr>
            <w:tcW w:w="15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62"/>
        </w:trPr>
        <w:tc>
          <w:tcPr>
            <w:tcW w:w="20" w:type="dxa"/>
            <w:vAlign w:val="bottom"/>
          </w:tcPr>
          <w:p>
            <w:pPr>
              <w:spacing w:after="0"/>
              <w:rPr>
                <w:sz w:val="14"/>
                <w:szCs w:val="14"/>
                <w:color w:val="auto"/>
              </w:rPr>
            </w:pPr>
          </w:p>
        </w:tc>
        <w:tc>
          <w:tcPr>
            <w:tcW w:w="3080" w:type="dxa"/>
            <w:vAlign w:val="bottom"/>
          </w:tcPr>
          <w:p>
            <w:pPr>
              <w:jc w:val="center"/>
              <w:ind w:left="1488"/>
              <w:spacing w:after="0"/>
              <w:rPr>
                <w:sz w:val="20"/>
                <w:szCs w:val="20"/>
                <w:color w:val="auto"/>
              </w:rPr>
            </w:pPr>
            <w:r>
              <w:rPr>
                <w:rFonts w:ascii="Times New Roman" w:cs="Times New Roman" w:eastAsia="Times New Roman" w:hAnsi="Times New Roman"/>
                <w:sz w:val="14"/>
                <w:szCs w:val="14"/>
                <w:b w:val="1"/>
                <w:bCs w:val="1"/>
                <w:color w:val="auto"/>
              </w:rPr>
              <w:t>outstanding at</w:t>
            </w:r>
          </w:p>
        </w:tc>
        <w:tc>
          <w:tcPr>
            <w:tcW w:w="48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end of</w:t>
            </w:r>
          </w:p>
        </w:tc>
        <w:tc>
          <w:tcPr>
            <w:tcW w:w="480" w:type="dxa"/>
            <w:vAlign w:val="bottom"/>
          </w:tcPr>
          <w:p>
            <w:pPr>
              <w:spacing w:after="0"/>
              <w:rPr>
                <w:sz w:val="14"/>
                <w:szCs w:val="14"/>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r>
      <w:tr>
        <w:trPr>
          <w:trHeight w:val="190"/>
        </w:trPr>
        <w:tc>
          <w:tcPr>
            <w:tcW w:w="20" w:type="dxa"/>
            <w:vAlign w:val="bottom"/>
          </w:tcPr>
          <w:p>
            <w:pPr>
              <w:spacing w:after="0"/>
              <w:rPr>
                <w:sz w:val="16"/>
                <w:szCs w:val="16"/>
                <w:color w:val="auto"/>
              </w:rPr>
            </w:pPr>
          </w:p>
        </w:tc>
        <w:tc>
          <w:tcPr>
            <w:tcW w:w="3080" w:type="dxa"/>
            <w:vAlign w:val="bottom"/>
          </w:tcPr>
          <w:p>
            <w:pPr>
              <w:jc w:val="center"/>
              <w:ind w:left="1508"/>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480" w:type="dxa"/>
            <w:vAlign w:val="bottom"/>
          </w:tcPr>
          <w:p>
            <w:pPr>
              <w:spacing w:after="0"/>
              <w:rPr>
                <w:sz w:val="16"/>
                <w:szCs w:val="16"/>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6"/>
              </w:rPr>
              <w:t>life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480" w:type="dxa"/>
            <w:vAlign w:val="bottom"/>
          </w:tcPr>
          <w:p>
            <w:pPr>
              <w:spacing w:after="0"/>
              <w:rPr>
                <w:sz w:val="16"/>
                <w:szCs w:val="16"/>
                <w:color w:val="auto"/>
              </w:rPr>
            </w:pPr>
          </w:p>
        </w:tc>
        <w:tc>
          <w:tcPr>
            <w:tcW w:w="15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r>
      <w:tr>
        <w:trPr>
          <w:trHeight w:val="24"/>
        </w:trPr>
        <w:tc>
          <w:tcPr>
            <w:tcW w:w="2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7"/>
        </w:trPr>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5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4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7"/>
        </w:trPr>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5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4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57"/>
        </w:trPr>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$273.88</w:t>
            </w:r>
          </w:p>
        </w:tc>
        <w:tc>
          <w:tcPr>
            <w:tcW w:w="5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$273.88</w:t>
            </w:r>
          </w:p>
        </w:tc>
        <w:tc>
          <w:tcPr>
            <w:tcW w:w="4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57"/>
        </w:trPr>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5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57"/>
        </w:trPr>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$479.38</w:t>
            </w:r>
          </w:p>
        </w:tc>
        <w:tc>
          <w:tcPr>
            <w:tcW w:w="5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$479.38</w:t>
            </w:r>
          </w:p>
        </w:tc>
        <w:tc>
          <w:tcPr>
            <w:tcW w:w="4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57"/>
        </w:trPr>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5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4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-1148715</wp:posOffset>
            </wp:positionV>
            <wp:extent cx="30861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-1148715</wp:posOffset>
            </wp:positionV>
            <wp:extent cx="30861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-1148715</wp:posOffset>
            </wp:positionV>
            <wp:extent cx="30861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-1148715</wp:posOffset>
            </wp:positionV>
            <wp:extent cx="30861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-1148715</wp:posOffset>
            </wp:positionV>
            <wp:extent cx="30861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154305</wp:posOffset>
            </wp:positionV>
            <wp:extent cx="157797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260" w:hanging="352"/>
        <w:spacing w:after="0"/>
        <w:tabs>
          <w:tab w:leader="none" w:pos="12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 value</w:t>
      </w:r>
    </w:p>
    <w:p>
      <w:pPr>
        <w:spacing w:after="0" w:line="114" w:lineRule="exact"/>
        <w:rPr>
          <w:sz w:val="20"/>
          <w:szCs w:val="20"/>
          <w:color w:val="auto"/>
        </w:rPr>
      </w:pPr>
    </w:p>
    <w:p>
      <w:pPr>
        <w:ind w:left="1260" w:right="860" w:hanging="352"/>
        <w:spacing w:after="0" w:line="282" w:lineRule="auto"/>
        <w:tabs>
          <w:tab w:leader="none" w:pos="12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unrecognized compensation expense as of December 31, 2016 is $914 thousand. This amount will be expensed in full by August 2020.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TAXES ON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taxed according to Israeli tax laws:</w:t>
      </w:r>
    </w:p>
    <w:p>
      <w:pPr>
        <w:spacing w:after="0" w:line="221" w:lineRule="exact"/>
        <w:rPr>
          <w:sz w:val="20"/>
          <w:szCs w:val="20"/>
          <w:color w:val="auto"/>
        </w:rPr>
      </w:pPr>
    </w:p>
    <w:p>
      <w:pPr>
        <w:ind w:left="540" w:hanging="352"/>
        <w:spacing w:after="0"/>
        <w:tabs>
          <w:tab w:leader="none" w:pos="5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Measurement of results for tax purposes</w:t>
      </w:r>
    </w:p>
    <w:p>
      <w:pPr>
        <w:spacing w:after="0" w:line="107" w:lineRule="exact"/>
        <w:rPr>
          <w:rFonts w:ascii="Times New Roman" w:cs="Times New Roman" w:eastAsia="Times New Roman" w:hAnsi="Times New Roman"/>
          <w:sz w:val="18"/>
          <w:szCs w:val="18"/>
          <w:b w:val="1"/>
          <w:bCs w:val="1"/>
          <w:color w:val="auto"/>
        </w:rPr>
      </w:pPr>
    </w:p>
    <w:p>
      <w:pPr>
        <w:jc w:val="both"/>
        <w:ind w:left="54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its results for tax purposes in nominal terms in NIS based on financial reporting under Israeli accounting principles, while (as detailed in note 2) the functional currency of the Company is the U.S. dollar and the Company’s financial statements are measured in U.S. dollars and in accordance with IFRS. Therefore, there are differences between the Company’s taxable income (loss) and income (loss) reflected in these financial statements.</w:t>
      </w:r>
    </w:p>
    <w:p>
      <w:pPr>
        <w:spacing w:after="0" w:line="176" w:lineRule="exact"/>
        <w:rPr>
          <w:rFonts w:ascii="Times New Roman" w:cs="Times New Roman" w:eastAsia="Times New Roman" w:hAnsi="Times New Roman"/>
          <w:sz w:val="18"/>
          <w:szCs w:val="18"/>
          <w:b w:val="1"/>
          <w:bCs w:val="1"/>
          <w:color w:val="auto"/>
        </w:rPr>
      </w:pPr>
    </w:p>
    <w:p>
      <w:pPr>
        <w:ind w:left="540" w:hanging="352"/>
        <w:spacing w:after="0"/>
        <w:tabs>
          <w:tab w:leader="none" w:pos="5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rates</w:t>
      </w:r>
    </w:p>
    <w:p>
      <w:pPr>
        <w:spacing w:after="0" w:line="107"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income of the Company is subject to the Israel corporate tax rates which was 25% for 2016 and 26.5% for 2015.</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0" w:name="page201"/>
    <w:bookmarkEnd w:id="200"/>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TAXES ON INCOME: (Continued)</w:t>
      </w:r>
    </w:p>
    <w:p>
      <w:pPr>
        <w:spacing w:after="0" w:line="202"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8"/>
          <w:szCs w:val="18"/>
          <w:color w:val="auto"/>
        </w:rPr>
        <w:t>In January 2016, the Law for the Amendment of the Income Tax Ordinance (No.216) was published, which enacted a reduction of the corporate tax rate beginning in 2016 and thereafter, from 26.5% to 25%. There is no impact on the financial statements of the Company as a result of the changes in the Israeli corporate tax rate as the Israeli subsidiary is in a loss position for tax purposes.</w:t>
      </w:r>
    </w:p>
    <w:p>
      <w:pPr>
        <w:spacing w:after="0" w:line="68" w:lineRule="exact"/>
        <w:rPr>
          <w:sz w:val="20"/>
          <w:szCs w:val="20"/>
          <w:color w:val="auto"/>
        </w:rPr>
      </w:pPr>
    </w:p>
    <w:p>
      <w:pPr>
        <w:ind w:left="540" w:right="260"/>
        <w:spacing w:after="0" w:line="266" w:lineRule="auto"/>
        <w:rPr>
          <w:sz w:val="20"/>
          <w:szCs w:val="20"/>
          <w:color w:val="auto"/>
        </w:rPr>
      </w:pPr>
      <w:r>
        <w:rPr>
          <w:rFonts w:ascii="Times New Roman" w:cs="Times New Roman" w:eastAsia="Times New Roman" w:hAnsi="Times New Roman"/>
          <w:sz w:val="18"/>
          <w:szCs w:val="18"/>
          <w:color w:val="auto"/>
        </w:rPr>
        <w:t>In December 2016, the Economic Efficiency Law (Legislative Amendments for Implementing the Economic Policy for the 2017 and 2018 Budget Year), 2016 was published, introducing a gradual reduction in corporate tax rate from 25% to 23%. However, the law also included a temporary provision setting the corporate tax rate in 2017 at 24%. As a result, the corporate tax rate will be 24% in 2017 and 23% in 2018 and thereafter.</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Capital gains are subject to capital gain tax according to the corporate tax rate for the year during which the assets are sold.</w:t>
      </w:r>
    </w:p>
    <w:p>
      <w:pPr>
        <w:spacing w:after="0" w:line="221" w:lineRule="exact"/>
        <w:rPr>
          <w:sz w:val="20"/>
          <w:szCs w:val="20"/>
          <w:color w:val="auto"/>
        </w:rPr>
      </w:pPr>
    </w:p>
    <w:p>
      <w:pPr>
        <w:ind w:left="540" w:hanging="352"/>
        <w:spacing w:after="0"/>
        <w:tabs>
          <w:tab w:leader="none" w:pos="5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Losses for tax purposes carried forward to future years</w:t>
      </w:r>
    </w:p>
    <w:p>
      <w:pPr>
        <w:spacing w:after="0" w:line="107" w:lineRule="exact"/>
        <w:rPr>
          <w:rFonts w:ascii="Times New Roman" w:cs="Times New Roman" w:eastAsia="Times New Roman" w:hAnsi="Times New Roman"/>
          <w:sz w:val="18"/>
          <w:szCs w:val="18"/>
          <w:b w:val="1"/>
          <w:bCs w:val="1"/>
          <w:color w:val="auto"/>
        </w:rPr>
      </w:pPr>
    </w:p>
    <w:p>
      <w:pPr>
        <w:ind w:left="540" w:right="1220"/>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balance of carryforward losses as of December 31, 2016 and 2015 are approximately $9.9 million and $6.3 million, respectively. Under Israeli tax law, tax loss carry forwards have no expiration date.</w:t>
      </w:r>
    </w:p>
    <w:p>
      <w:pPr>
        <w:spacing w:after="0" w:line="1" w:lineRule="exact"/>
        <w:rPr>
          <w:rFonts w:ascii="Times New Roman" w:cs="Times New Roman" w:eastAsia="Times New Roman" w:hAnsi="Times New Roman"/>
          <w:sz w:val="18"/>
          <w:szCs w:val="18"/>
          <w:b w:val="1"/>
          <w:bCs w:val="1"/>
          <w:color w:val="auto"/>
        </w:rPr>
      </w:pPr>
    </w:p>
    <w:p>
      <w:pPr>
        <w:ind w:left="54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 assets on losses for tax purposes carried forward to subsequent years are recognized if utilization of the related tax benefit against a future taxable income is expected. The Company has not created deferred tax assets on its carry forward losses and other temporary assets since their utilization is not expected in the foreseeable future.</w:t>
      </w:r>
    </w:p>
    <w:p>
      <w:pPr>
        <w:spacing w:after="0" w:line="185" w:lineRule="exact"/>
        <w:rPr>
          <w:rFonts w:ascii="Times New Roman" w:cs="Times New Roman" w:eastAsia="Times New Roman" w:hAnsi="Times New Roman"/>
          <w:sz w:val="18"/>
          <w:szCs w:val="18"/>
          <w:b w:val="1"/>
          <w:bCs w:val="1"/>
          <w:color w:val="auto"/>
        </w:rPr>
      </w:pPr>
    </w:p>
    <w:p>
      <w:pPr>
        <w:ind w:left="540" w:hanging="352"/>
        <w:spacing w:after="0"/>
        <w:tabs>
          <w:tab w:leader="none" w:pos="5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assessments</w:t>
      </w:r>
    </w:p>
    <w:p>
      <w:pPr>
        <w:spacing w:after="0" w:line="107" w:lineRule="exact"/>
        <w:rPr>
          <w:rFonts w:ascii="Times New Roman" w:cs="Times New Roman" w:eastAsia="Times New Roman" w:hAnsi="Times New Roman"/>
          <w:sz w:val="18"/>
          <w:szCs w:val="18"/>
          <w:b w:val="1"/>
          <w:bCs w:val="1"/>
          <w:color w:val="auto"/>
        </w:rPr>
      </w:pPr>
    </w:p>
    <w:p>
      <w:pPr>
        <w:ind w:left="54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Income Tax Ordinance, as of December 31, 2016, all of the Company’s tax assessments through tax year 2012 are considered final.</w:t>
      </w:r>
    </w:p>
    <w:p>
      <w:pPr>
        <w:sectPr>
          <w:pgSz w:w="11900" w:h="16838" w:orient="portrait"/>
          <w:cols w:equalWidth="0" w:num="1">
            <w:col w:w="11360"/>
          </w:cols>
          <w:pgMar w:left="240" w:top="114" w:right="299" w:bottom="1440" w:gutter="0" w:footer="0" w:header="0"/>
        </w:sectPr>
      </w:pP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 SUPPLEMENTARY FINANCIAL INFORMATION:</w:t>
      </w:r>
    </w:p>
    <w:p>
      <w:pPr>
        <w:spacing w:after="0" w:line="115" w:lineRule="exact"/>
        <w:rPr>
          <w:sz w:val="20"/>
          <w:szCs w:val="20"/>
          <w:color w:val="auto"/>
        </w:rPr>
      </w:pPr>
    </w:p>
    <w:p>
      <w:pPr>
        <w:ind w:left="540" w:hanging="352"/>
        <w:spacing w:after="0"/>
        <w:tabs>
          <w:tab w:leader="none" w:pos="5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246620" cy="1631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40" w:hanging="352"/>
        <w:spacing w:after="0"/>
        <w:tabs>
          <w:tab w:leader="none" w:pos="5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Accounts payable — </w:t>
      </w: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246620" cy="1460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Employees and employees related</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Provision for vacation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803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Accrued expenses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33655</wp:posOffset>
            </wp:positionV>
            <wp:extent cx="148336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6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33655</wp:posOffset>
            </wp:positionV>
            <wp:extent cx="148336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U.S. dollars in thousands</w:t>
      </w:r>
    </w:p>
    <w:p>
      <w:pPr>
        <w:spacing w:after="0" w:line="32" w:lineRule="exact"/>
        <w:rPr>
          <w:sz w:val="20"/>
          <w:szCs w:val="20"/>
          <w:color w:val="auto"/>
        </w:rPr>
      </w:pPr>
    </w:p>
    <w:p>
      <w:pPr>
        <w:ind w:left="100"/>
        <w:spacing w:after="0"/>
        <w:tabs>
          <w:tab w:leader="none" w:pos="126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535</w:t>
      </w:r>
    </w:p>
    <w:p>
      <w:pPr>
        <w:spacing w:after="0" w:line="50"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8"/>
          <w:szCs w:val="18"/>
          <w:color w:val="auto"/>
        </w:rPr>
        <w:t>160</w:t>
      </w:r>
    </w:p>
    <w:p>
      <w:pPr>
        <w:spacing w:after="0" w:line="77"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195</w:t>
      </w:r>
      <w:r>
        <w:rPr>
          <w:sz w:val="20"/>
          <w:szCs w:val="20"/>
          <w:color w:val="auto"/>
        </w:rPr>
        <w:tab/>
      </w:r>
      <w:r>
        <w:rPr>
          <w:rFonts w:ascii="Times New Roman" w:cs="Times New Roman" w:eastAsia="Times New Roman" w:hAnsi="Times New Roman"/>
          <w:sz w:val="18"/>
          <w:szCs w:val="18"/>
          <w:u w:val="single" w:color="auto"/>
          <w:color w:val="auto"/>
        </w:rPr>
        <w:t>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34290</wp:posOffset>
            </wp:positionV>
            <wp:extent cx="17145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34290</wp:posOffset>
            </wp:positionV>
            <wp:extent cx="17145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33655</wp:posOffset>
            </wp:positionV>
            <wp:extent cx="148336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6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33655</wp:posOffset>
            </wp:positionV>
            <wp:extent cx="148336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U.S. dollars in thousands</w:t>
      </w:r>
    </w:p>
    <w:p>
      <w:pPr>
        <w:spacing w:after="0" w:line="32"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8"/>
          <w:szCs w:val="18"/>
          <w:color w:val="auto"/>
        </w:rPr>
        <w:t>103</w:t>
      </w:r>
    </w:p>
    <w:p>
      <w:pPr>
        <w:spacing w:after="0" w:line="27" w:lineRule="exact"/>
        <w:rPr>
          <w:sz w:val="20"/>
          <w:szCs w:val="20"/>
          <w:color w:val="auto"/>
        </w:rPr>
      </w:pPr>
    </w:p>
    <w:p>
      <w:pPr>
        <w:ind w:left="1280" w:hanging="1265"/>
        <w:spacing w:after="0"/>
        <w:tabs>
          <w:tab w:leader="none" w:pos="12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w:t>
      </w:r>
    </w:p>
    <w:p>
      <w:pPr>
        <w:spacing w:after="0" w:line="22" w:lineRule="exact"/>
        <w:rPr>
          <w:rFonts w:ascii="Times New Roman" w:cs="Times New Roman" w:eastAsia="Times New Roman" w:hAnsi="Times New Roman"/>
          <w:sz w:val="18"/>
          <w:szCs w:val="18"/>
          <w:color w:val="auto"/>
        </w:rPr>
      </w:pPr>
    </w:p>
    <w:p>
      <w:pPr>
        <w:ind w:left="1280" w:hanging="1265"/>
        <w:spacing w:after="0"/>
        <w:tabs>
          <w:tab w:leader="none" w:pos="12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w:t>
      </w:r>
    </w:p>
    <w:p>
      <w:pPr>
        <w:spacing w:after="0" w:line="71" w:lineRule="exact"/>
        <w:rPr>
          <w:rFonts w:ascii="Times New Roman" w:cs="Times New Roman" w:eastAsia="Times New Roman" w:hAnsi="Times New Roman"/>
          <w:sz w:val="18"/>
          <w:szCs w:val="18"/>
          <w:color w:val="auto"/>
        </w:rPr>
      </w:pPr>
    </w:p>
    <w:p>
      <w:pPr>
        <w:ind w:left="1280" w:hanging="1265"/>
        <w:spacing w:after="0"/>
        <w:tabs>
          <w:tab w:leader="none" w:pos="1280" w:val="left"/>
        </w:tabs>
        <w:numPr>
          <w:ilvl w:val="0"/>
          <w:numId w:val="13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34290</wp:posOffset>
            </wp:positionV>
            <wp:extent cx="17145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34290</wp:posOffset>
            </wp:positionV>
            <wp:extent cx="17145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40" w:space="720"/>
            <w:col w:w="1900"/>
          </w:cols>
          <w:pgMar w:left="240" w:top="114" w:right="299" w:bottom="1440" w:gutter="0" w:footer="0" w:header="0"/>
          <w:type w:val="continuous"/>
        </w:sectPr>
      </w:pP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2720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type w:val="continuous"/>
        </w:sectPr>
      </w:pPr>
    </w:p>
    <w:bookmarkStart w:id="201" w:name="page202"/>
    <w:bookmarkEnd w:id="201"/>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BASIC AND DILUTED LOSS PER SHARE: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Basic loss per share is calculated by dividing the result attributable to equity holders of the Company by the weighted average number of Ordinary Shares in issue during the year.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outstanding options, 2012 Convertible Loan, preferred shares and warrants to preferred shares have been excluded from the calculation of the diluted loss per share for the year ended December 31, 2015 since their effect was anti-dilutive. The total number of ordinary shares related to the 2012 Convertible Loan, preferred shares and warrants to issue preferred shares excluded from the calculation of diluted loss per share was 23,213 for the year ended December 31, 2015.</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All outstanding options have been excluded from the calculation of the diluted loss per share for the year ended December 31, 2016 since their effect was anti-dilutive. The total number of ordinary shares related to the outstanding options excluded from the calculation of diluted loss per share was 8,136 for the year ended December 31, 2016.</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2015 Convertible Loan, the 2016 Convertible Loan, warrants and liability to issue preferred shares and are not taken into account in the diluted loss per share calculation for the years ended December 31, 2016 and 2015, as the conversion terms depend on future events.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8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700" w:type="dxa"/>
            <w:vAlign w:val="bottom"/>
          </w:tcPr>
          <w:p>
            <w:pPr>
              <w:spacing w:after="0"/>
              <w:rPr>
                <w:sz w:val="17"/>
                <w:szCs w:val="17"/>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left="616"/>
              <w:spacing w:after="0"/>
              <w:rPr>
                <w:sz w:val="20"/>
                <w:szCs w:val="20"/>
                <w:color w:val="auto"/>
              </w:rPr>
            </w:pPr>
            <w:r>
              <w:rPr>
                <w:rFonts w:ascii="Times New Roman" w:cs="Times New Roman" w:eastAsia="Times New Roman" w:hAnsi="Times New Roman"/>
                <w:sz w:val="14"/>
                <w:szCs w:val="14"/>
                <w:color w:val="auto"/>
              </w:rPr>
              <w:t>U.S. dollars</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color w:val="auto"/>
              </w:rPr>
              <w:t>(except for share numbers)</w:t>
            </w:r>
          </w:p>
        </w:tc>
        <w:tc>
          <w:tcPr>
            <w:tcW w:w="0" w:type="dxa"/>
            <w:vAlign w:val="bottom"/>
          </w:tcPr>
          <w:p>
            <w:pPr>
              <w:spacing w:after="0"/>
              <w:rPr>
                <w:sz w:val="1"/>
                <w:szCs w:val="1"/>
                <w:color w:val="auto"/>
              </w:rPr>
            </w:pPr>
          </w:p>
        </w:tc>
      </w:tr>
      <w:tr>
        <w:trPr>
          <w:trHeight w:val="257"/>
        </w:trPr>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equity holders of the Company</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7"/>
              </w:rPr>
              <w:t>1,199,000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4,282,000</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change in fair value of financial liabilities at fair value</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7"/>
              </w:rPr>
              <w:t>4,125,000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used for the computation of diluted loss per share</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7"/>
              </w:rPr>
              <w:t>5,324,000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4,282,000</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used in the computation of basic loss per share</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020" w:type="dxa"/>
            <w:vAlign w:val="bottom"/>
            <w:gridSpan w:val="2"/>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34,409</w:t>
            </w:r>
          </w:p>
        </w:tc>
        <w:tc>
          <w:tcPr>
            <w:tcW w:w="7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7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additional shares issuable upon the assumed conversion of 2012 convertible loan,</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shares and the assumed exercise of warrants to issue preferred shares</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17,563</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used in the computation of diluted loss per share</w:t>
            </w:r>
          </w:p>
        </w:tc>
        <w:tc>
          <w:tcPr>
            <w:tcW w:w="14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51,972</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34,396</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loss per Ordinary Share</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35</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Ordinary Share</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102</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F-27</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90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-1174115</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-2005965</wp:posOffset>
            </wp:positionV>
            <wp:extent cx="72466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-2580640</wp:posOffset>
            </wp:positionV>
            <wp:extent cx="13716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2" w:name="page203"/>
    <w:bookmarkEnd w:id="202"/>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PARTIES — TRANSACTIONS AND BALANCES:</w:t>
      </w:r>
    </w:p>
    <w:p>
      <w:pPr>
        <w:spacing w:after="0" w:line="198" w:lineRule="exact"/>
        <w:rPr>
          <w:sz w:val="20"/>
          <w:szCs w:val="20"/>
          <w:color w:val="auto"/>
        </w:rPr>
      </w:pPr>
    </w:p>
    <w:p>
      <w:pPr>
        <w:ind w:left="540" w:hanging="352"/>
        <w:spacing w:after="0"/>
        <w:tabs>
          <w:tab w:leader="none" w:pos="5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related parties:</w:t>
      </w:r>
    </w:p>
    <w:p>
      <w:pPr>
        <w:spacing w:after="0" w:line="107" w:lineRule="exact"/>
        <w:rPr>
          <w:rFonts w:ascii="Times New Roman" w:cs="Times New Roman" w:eastAsia="Times New Roman" w:hAnsi="Times New Roman"/>
          <w:sz w:val="18"/>
          <w:szCs w:val="18"/>
          <w:b w:val="1"/>
          <w:bCs w:val="1"/>
          <w:color w:val="auto"/>
        </w:rPr>
      </w:pPr>
    </w:p>
    <w:p>
      <w:pPr>
        <w:ind w:left="900" w:right="720" w:hanging="352"/>
        <w:spacing w:after="0" w:line="282" w:lineRule="auto"/>
        <w:tabs>
          <w:tab w:leader="none" w:pos="9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management personnel include members of the Board of Directors, the Chief Executive Officer, Chief Operating Officer and Chief Financial Officer.</w:t>
      </w:r>
    </w:p>
    <w:p>
      <w:pPr>
        <w:spacing w:after="0" w:line="80" w:lineRule="exact"/>
        <w:rPr>
          <w:rFonts w:ascii="Times New Roman" w:cs="Times New Roman" w:eastAsia="Times New Roman" w:hAnsi="Times New Roman"/>
          <w:sz w:val="18"/>
          <w:szCs w:val="18"/>
          <w:color w:val="auto"/>
        </w:rPr>
      </w:pPr>
    </w:p>
    <w:p>
      <w:pPr>
        <w:ind w:left="900" w:hanging="352"/>
        <w:spacing w:after="0"/>
        <w:tabs>
          <w:tab w:leader="none" w:pos="9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2016 and 2015, the Company granted stock options to certain key management personnel and directors, see note 10b.</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9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9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840" w:type="dxa"/>
            <w:vAlign w:val="bottom"/>
          </w:tcPr>
          <w:p>
            <w:pPr>
              <w:spacing w:after="0"/>
              <w:rPr>
                <w:sz w:val="17"/>
                <w:szCs w:val="17"/>
                <w:color w:val="auto"/>
              </w:rPr>
            </w:pPr>
          </w:p>
        </w:tc>
        <w:tc>
          <w:tcPr>
            <w:tcW w:w="7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
        </w:trPr>
        <w:tc>
          <w:tcPr>
            <w:tcW w:w="9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color w:val="auto"/>
              </w:rPr>
              <w:t>U.S. dollars in thousands</w:t>
            </w:r>
          </w:p>
        </w:tc>
        <w:tc>
          <w:tcPr>
            <w:tcW w:w="0" w:type="dxa"/>
            <w:vAlign w:val="bottom"/>
          </w:tcPr>
          <w:p>
            <w:pPr>
              <w:spacing w:after="0"/>
              <w:rPr>
                <w:sz w:val="1"/>
                <w:szCs w:val="1"/>
                <w:color w:val="auto"/>
              </w:rPr>
            </w:pPr>
          </w:p>
        </w:tc>
      </w:tr>
      <w:tr>
        <w:trPr>
          <w:trHeight w:val="257"/>
        </w:trPr>
        <w:tc>
          <w:tcPr>
            <w:tcW w:w="94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   Key management compensation:</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4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Labor cost and related expenses</w:t>
            </w:r>
          </w:p>
        </w:tc>
        <w:tc>
          <w:tcPr>
            <w:tcW w:w="12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830</w:t>
            </w:r>
          </w:p>
        </w:tc>
        <w:tc>
          <w:tcPr>
            <w:tcW w:w="7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57"/>
        </w:trPr>
        <w:tc>
          <w:tcPr>
            <w:tcW w:w="94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w w:val="93"/>
              </w:rPr>
              <w:t>1,351</w:t>
            </w:r>
          </w:p>
        </w:tc>
        <w:tc>
          <w:tcPr>
            <w:tcW w:w="7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63"/>
        </w:trPr>
        <w:tc>
          <w:tcPr>
            <w:tcW w:w="94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Others</w:t>
            </w:r>
          </w:p>
        </w:tc>
        <w:tc>
          <w:tcPr>
            <w:tcW w:w="12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98</w:t>
            </w:r>
          </w:p>
        </w:tc>
        <w:tc>
          <w:tcPr>
            <w:tcW w:w="7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9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w w:val="93"/>
              </w:rPr>
              <w:t>2,279</w:t>
            </w:r>
          </w:p>
        </w:tc>
        <w:tc>
          <w:tcPr>
            <w:tcW w:w="7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b.  Balances with related parties: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4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9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9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9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840" w:type="dxa"/>
            <w:vAlign w:val="bottom"/>
          </w:tcPr>
          <w:p>
            <w:pPr>
              <w:spacing w:after="0"/>
              <w:rPr>
                <w:sz w:val="17"/>
                <w:szCs w:val="17"/>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9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color w:val="auto"/>
              </w:rPr>
              <w:t>U.S. dollars in thousands</w:t>
            </w:r>
          </w:p>
        </w:tc>
        <w:tc>
          <w:tcPr>
            <w:tcW w:w="0" w:type="dxa"/>
            <w:vAlign w:val="bottom"/>
          </w:tcPr>
          <w:p>
            <w:pPr>
              <w:spacing w:after="0"/>
              <w:rPr>
                <w:sz w:val="1"/>
                <w:szCs w:val="1"/>
                <w:color w:val="auto"/>
              </w:rPr>
            </w:pPr>
          </w:p>
        </w:tc>
      </w:tr>
      <w:tr>
        <w:trPr>
          <w:trHeight w:val="257"/>
        </w:trPr>
        <w:tc>
          <w:tcPr>
            <w:tcW w:w="94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Key management:</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9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Payables and accrued expenses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gridSpan w:val="2"/>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Severance pay obligations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Provision for vacation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138</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gridSpan w:val="2"/>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4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Directors fee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-1911985</wp:posOffset>
            </wp:positionV>
            <wp:extent cx="72466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-2700655</wp:posOffset>
            </wp:positionV>
            <wp:extent cx="13716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-1045845</wp:posOffset>
            </wp:positionV>
            <wp:extent cx="13716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08" w:lineRule="exact"/>
        <w:rPr>
          <w:sz w:val="20"/>
          <w:szCs w:val="20"/>
          <w:color w:val="auto"/>
        </w:rPr>
      </w:pPr>
    </w:p>
    <w:p>
      <w:pPr>
        <w:ind w:left="540" w:hanging="352"/>
        <w:spacing w:after="0"/>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2017, the Company repaid the amount of 1.053 million of the 2015 convertible loan (See Note 7(a)(2)).</w:t>
      </w:r>
    </w:p>
    <w:p>
      <w:pPr>
        <w:spacing w:after="0" w:line="144" w:lineRule="exact"/>
        <w:rPr>
          <w:rFonts w:ascii="Times New Roman" w:cs="Times New Roman" w:eastAsia="Times New Roman" w:hAnsi="Times New Roman"/>
          <w:sz w:val="18"/>
          <w:szCs w:val="18"/>
          <w:color w:val="auto"/>
        </w:rPr>
      </w:pPr>
    </w:p>
    <w:p>
      <w:pPr>
        <w:ind w:left="540" w:right="620" w:hanging="352"/>
        <w:spacing w:after="0" w:line="266" w:lineRule="auto"/>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2017, the Company entered into a new lease agreement for the building it uses in consideration of approximately $61 thousand per year. The lease agreement expired on June 30, 2023 with a onetime option for the Company to early terminate the agreement on June 30, 2020 subject to a notice period of 6 months.</w:t>
      </w:r>
    </w:p>
    <w:p>
      <w:pPr>
        <w:spacing w:after="0" w:line="95" w:lineRule="exact"/>
        <w:rPr>
          <w:rFonts w:ascii="Times New Roman" w:cs="Times New Roman" w:eastAsia="Times New Roman" w:hAnsi="Times New Roman"/>
          <w:sz w:val="18"/>
          <w:szCs w:val="18"/>
          <w:color w:val="auto"/>
        </w:rPr>
      </w:pPr>
    </w:p>
    <w:p>
      <w:pPr>
        <w:jc w:val="both"/>
        <w:ind w:left="540" w:right="880" w:hanging="352"/>
        <w:spacing w:after="0" w:line="266" w:lineRule="auto"/>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27, 2017, the board of directors approved the nomination of Mr. Luke Beshar as Executive chairman of the board and Dr. Roger Graceau as Chief Development Advisor. The nominations and the compensation were subject to shareholder approval that was received on April 6, 2017.</w:t>
      </w:r>
    </w:p>
    <w:p>
      <w:pPr>
        <w:spacing w:after="0" w:line="68"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agreements with Mr. Luke Beshar, and Dr. Graceau, Mr. Beshar and Dr. Graceau will receive a monthly fees in the amount of</w:t>
      </w:r>
    </w:p>
    <w:p>
      <w:pPr>
        <w:spacing w:after="0" w:line="27" w:lineRule="exact"/>
        <w:rPr>
          <w:rFonts w:ascii="Times New Roman" w:cs="Times New Roman" w:eastAsia="Times New Roman" w:hAnsi="Times New Roman"/>
          <w:sz w:val="18"/>
          <w:szCs w:val="18"/>
          <w:color w:val="auto"/>
        </w:rPr>
      </w:pPr>
    </w:p>
    <w:p>
      <w:pPr>
        <w:jc w:val="both"/>
        <w:ind w:left="540" w:right="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$21,500 and $6,500, respectively. In addition upon the occurrence of a private placement or IPO, which are defined as a Triggering Event as described in Note 7(a)(3) (“the Qualified Event”), Mr. Beshar and Dr. Graceau will be granted options to purchase ordinary shares of the Company representing 6.5% and 1.5%, respectively, of the Company’s share capital on a “fully diluted basis” as determined immediately following the Qualified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3" w:name="page204"/>
    <w:bookmarkEnd w:id="203"/>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NOTES TO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 (Continued)</w:t>
      </w:r>
    </w:p>
    <w:p>
      <w:pPr>
        <w:spacing w:after="0" w:line="202"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Event, provided however, that if the amount of new funds actually received by the Company in a Qualified Event exceeds $10 million, then it shall be deemed for the purpose of calculating the “fully diluted basis” under this Agreement as if such amount is equal to $10 million. The exercise price of the Options shall be equal to the per share fair market value of ordinary shares immediately following the Qualified Event. The Options will vest in 36 equal monthly installments over a period of 36 months, commencing as of the Commencement Date, and are subject to acceleration under certain circumstances as described in the service agreement. If a Change of Control that constitutes a “change in control event” described in Treas. Reg. §1.409A-3(i)(5) occurs before a Qualified Event, then in lieu of the issuance of Options as described above, the Company will pay to each of</w:t>
      </w:r>
    </w:p>
    <w:p>
      <w:pPr>
        <w:ind w:left="540" w:right="360"/>
        <w:spacing w:after="0" w:line="261" w:lineRule="auto"/>
        <w:rPr>
          <w:sz w:val="20"/>
          <w:szCs w:val="20"/>
          <w:color w:val="auto"/>
        </w:rPr>
      </w:pPr>
      <w:r>
        <w:rPr>
          <w:rFonts w:ascii="Times New Roman" w:cs="Times New Roman" w:eastAsia="Times New Roman" w:hAnsi="Times New Roman"/>
          <w:sz w:val="18"/>
          <w:szCs w:val="18"/>
          <w:color w:val="auto"/>
        </w:rPr>
        <w:t>Mr. Beshar and Dr. Graceau an amount that, taking into account all federal, state, local and foreign taxes (including excise taxes) arising from the payment of such amount, will yield net after-tax proceeds to each of Mr. Beshar and Dr. Graceau of $1,000,000; or (ii) $3,619,254.</w:t>
      </w:r>
    </w:p>
    <w:p>
      <w:pPr>
        <w:spacing w:after="0" w:line="126" w:lineRule="exact"/>
        <w:rPr>
          <w:sz w:val="20"/>
          <w:szCs w:val="20"/>
          <w:color w:val="auto"/>
        </w:rPr>
      </w:pPr>
    </w:p>
    <w:p>
      <w:pPr>
        <w:jc w:val="both"/>
        <w:ind w:left="540" w:right="420" w:hanging="352"/>
        <w:spacing w:after="0" w:line="212" w:lineRule="auto"/>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6, 2017, the Company granted options to purchase 1,133 ordinary shares to a certain director, with an exercise price of $980.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of the options are vested on the grant date,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of the options shall vest on September 21, 2017 and the remaining shall vest on September 21, 2018. The fair value of the options at the date of grant is $574 thousand.</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204" w:name="page205"/>
    <w:bookmarkEnd w:id="204"/>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21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CONDENSED INTERIM STATEMENTS OF FINANCIAL POSITION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bottom w:val="single" w:sz="8" w:color="auto"/>
            </w:tcBorders>
            <w:gridSpan w:val="2"/>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174"/>
        </w:trPr>
        <w:tc>
          <w:tcPr>
            <w:tcW w:w="27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8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color w:val="auto"/>
              </w:rPr>
              <w:t>U.S. dollars in thousands</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19"/>
                <w:szCs w:val="19"/>
                <w:color w:val="auto"/>
              </w:rPr>
            </w:pPr>
          </w:p>
        </w:tc>
        <w:tc>
          <w:tcPr>
            <w:tcW w:w="5640" w:type="dxa"/>
            <w:vAlign w:val="bottom"/>
            <w:shd w:val="clear" w:color="auto" w:fill="CCEEFF"/>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2,899</w:t>
            </w: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30"/>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deposits</w:t>
            </w:r>
          </w:p>
        </w:tc>
        <w:tc>
          <w:tcPr>
            <w:tcW w:w="15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600" w:type="dxa"/>
            <w:vAlign w:val="bottom"/>
            <w:tcBorders>
              <w:bottom w:val="single" w:sz="8" w:color="CCEEFF"/>
            </w:tcBorders>
            <w:gridSpan w:val="2"/>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5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3,351</w:t>
            </w:r>
          </w:p>
        </w:tc>
        <w:tc>
          <w:tcPr>
            <w:tcW w:w="220" w:type="dxa"/>
            <w:vAlign w:val="bottom"/>
          </w:tcPr>
          <w:p>
            <w:pPr>
              <w:spacing w:after="0"/>
              <w:rPr>
                <w:sz w:val="20"/>
                <w:szCs w:val="20"/>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5,433</w:t>
            </w:r>
          </w:p>
        </w:tc>
        <w:tc>
          <w:tcPr>
            <w:tcW w:w="0" w:type="dxa"/>
            <w:vAlign w:val="bottom"/>
          </w:tcPr>
          <w:p>
            <w:pPr>
              <w:spacing w:after="0"/>
              <w:rPr>
                <w:sz w:val="1"/>
                <w:szCs w:val="1"/>
                <w:color w:val="auto"/>
              </w:rPr>
            </w:pPr>
          </w:p>
        </w:tc>
      </w:tr>
      <w:tr>
        <w:trPr>
          <w:trHeight w:val="331"/>
        </w:trPr>
        <w:tc>
          <w:tcPr>
            <w:tcW w:w="8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600" w:type="dxa"/>
            <w:vAlign w:val="bottom"/>
            <w:tcBorders>
              <w:bottom w:val="single" w:sz="8" w:color="CCEEFF"/>
            </w:tcBorders>
            <w:gridSpan w:val="2"/>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600" w:type="dxa"/>
            <w:vAlign w:val="bottom"/>
            <w:tcBorders>
              <w:bottom w:val="single" w:sz="8" w:color="CCEEFF"/>
            </w:tcBorders>
            <w:gridSpan w:val="2"/>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3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3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4,220</w:t>
            </w:r>
          </w:p>
        </w:tc>
        <w:tc>
          <w:tcPr>
            <w:tcW w:w="2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6,286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bottom w:val="single" w:sz="8" w:color="CCEEFF"/>
            </w:tcBorders>
            <w:vMerge w:val="restart"/>
          </w:tcPr>
          <w:p>
            <w:pPr>
              <w:jc w:val="center"/>
              <w:ind w:right="2610"/>
              <w:spacing w:after="0"/>
              <w:rPr>
                <w:sz w:val="20"/>
                <w:szCs w:val="20"/>
                <w:color w:val="auto"/>
              </w:rPr>
            </w:pPr>
            <w:r>
              <w:rPr>
                <w:rFonts w:ascii="Times New Roman" w:cs="Times New Roman" w:eastAsia="Times New Roman" w:hAnsi="Times New Roman"/>
                <w:sz w:val="18"/>
                <w:szCs w:val="18"/>
                <w:b w:val="1"/>
                <w:bCs w:val="1"/>
                <w:color w:val="auto"/>
                <w:w w:val="99"/>
              </w:rPr>
              <w:t>Liabilities net of capital deficiency</w:t>
            </w: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0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w:t>
            </w:r>
          </w:p>
        </w:tc>
        <w:tc>
          <w:tcPr>
            <w:tcW w:w="15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849</w:t>
            </w:r>
          </w:p>
        </w:tc>
        <w:tc>
          <w:tcPr>
            <w:tcW w:w="22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Receipts on account of sale of Preferred B shares</w:t>
            </w:r>
          </w:p>
        </w:tc>
        <w:tc>
          <w:tcPr>
            <w:tcW w:w="15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1,575</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loans</w:t>
            </w:r>
          </w:p>
        </w:tc>
        <w:tc>
          <w:tcPr>
            <w:tcW w:w="600" w:type="dxa"/>
            <w:vAlign w:val="bottom"/>
            <w:tcBorders>
              <w:bottom w:val="single" w:sz="8" w:color="CCEEFF"/>
            </w:tcBorders>
            <w:gridSpan w:val="2"/>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3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3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5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14,273</w:t>
            </w:r>
          </w:p>
        </w:tc>
        <w:tc>
          <w:tcPr>
            <w:tcW w:w="2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10,542</w:t>
            </w:r>
          </w:p>
        </w:tc>
        <w:tc>
          <w:tcPr>
            <w:tcW w:w="0" w:type="dxa"/>
            <w:vAlign w:val="bottom"/>
          </w:tcPr>
          <w:p>
            <w:pPr>
              <w:spacing w:after="0"/>
              <w:rPr>
                <w:sz w:val="1"/>
                <w:szCs w:val="1"/>
                <w:color w:val="auto"/>
              </w:rPr>
            </w:pPr>
          </w:p>
        </w:tc>
      </w:tr>
      <w:tr>
        <w:trPr>
          <w:trHeight w:val="331"/>
        </w:trPr>
        <w:tc>
          <w:tcPr>
            <w:tcW w:w="83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loans</w:t>
            </w:r>
          </w:p>
        </w:tc>
        <w:tc>
          <w:tcPr>
            <w:tcW w:w="15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3,919</w:t>
            </w: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4,835</w:t>
            </w:r>
          </w:p>
        </w:tc>
        <w:tc>
          <w:tcPr>
            <w:tcW w:w="0" w:type="dxa"/>
            <w:vAlign w:val="bottom"/>
          </w:tcPr>
          <w:p>
            <w:pPr>
              <w:spacing w:after="0"/>
              <w:rPr>
                <w:sz w:val="1"/>
                <w:szCs w:val="1"/>
                <w:color w:val="auto"/>
              </w:rPr>
            </w:pPr>
          </w:p>
        </w:tc>
      </w:tr>
      <w:tr>
        <w:trPr>
          <w:trHeight w:val="230"/>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shares A</w:t>
            </w:r>
          </w:p>
        </w:tc>
        <w:tc>
          <w:tcPr>
            <w:tcW w:w="15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8,841</w:t>
            </w:r>
          </w:p>
        </w:tc>
        <w:tc>
          <w:tcPr>
            <w:tcW w:w="22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11,031</w:t>
            </w: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to purchase preferred shares A and shares</w:t>
            </w:r>
          </w:p>
        </w:tc>
        <w:tc>
          <w:tcPr>
            <w:tcW w:w="15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4,723</w:t>
            </w: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30"/>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Liability to issue preferred shares A and warrants</w:t>
            </w:r>
          </w:p>
        </w:tc>
        <w:tc>
          <w:tcPr>
            <w:tcW w:w="15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1,044</w:t>
            </w:r>
          </w:p>
        </w:tc>
        <w:tc>
          <w:tcPr>
            <w:tcW w:w="22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pay obligations, net</w:t>
            </w:r>
          </w:p>
        </w:tc>
        <w:tc>
          <w:tcPr>
            <w:tcW w:w="600" w:type="dxa"/>
            <w:vAlign w:val="bottom"/>
            <w:tcBorders>
              <w:bottom w:val="single" w:sz="8" w:color="CCEEFF"/>
            </w:tcBorders>
            <w:gridSpan w:val="2"/>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00" w:type="dxa"/>
            <w:vAlign w:val="bottom"/>
            <w:tcBorders>
              <w:bottom w:val="single" w:sz="8" w:color="CCEEFF"/>
            </w:tcBorders>
            <w:gridSpan w:val="2"/>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18,583</w:t>
            </w:r>
          </w:p>
        </w:tc>
        <w:tc>
          <w:tcPr>
            <w:tcW w:w="3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20,990</w:t>
            </w:r>
          </w:p>
        </w:tc>
        <w:tc>
          <w:tcPr>
            <w:tcW w:w="3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5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32,856</w:t>
            </w:r>
          </w:p>
        </w:tc>
        <w:tc>
          <w:tcPr>
            <w:tcW w:w="2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31,532</w:t>
            </w:r>
          </w:p>
        </w:tc>
        <w:tc>
          <w:tcPr>
            <w:tcW w:w="0" w:type="dxa"/>
            <w:vAlign w:val="bottom"/>
          </w:tcPr>
          <w:p>
            <w:pPr>
              <w:spacing w:after="0"/>
              <w:rPr>
                <w:sz w:val="1"/>
                <w:szCs w:val="1"/>
                <w:color w:val="auto"/>
              </w:rPr>
            </w:pPr>
          </w:p>
        </w:tc>
      </w:tr>
      <w:tr>
        <w:trPr>
          <w:trHeight w:val="331"/>
        </w:trPr>
        <w:tc>
          <w:tcPr>
            <w:tcW w:w="83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DEFICIENCY:</w:t>
            </w:r>
          </w:p>
        </w:tc>
        <w:tc>
          <w:tcPr>
            <w:tcW w:w="2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15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5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reserves</w:t>
            </w:r>
          </w:p>
        </w:tc>
        <w:tc>
          <w:tcPr>
            <w:tcW w:w="15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6,876</w:t>
            </w: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30"/>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5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2,485</w:t>
            </w:r>
          </w:p>
        </w:tc>
        <w:tc>
          <w:tcPr>
            <w:tcW w:w="22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43"/>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600" w:type="dxa"/>
            <w:vAlign w:val="bottom"/>
            <w:gridSpan w:val="2"/>
            <w:shd w:val="clear" w:color="auto" w:fill="CCEEFF"/>
          </w:tcPr>
          <w:p>
            <w:pPr>
              <w:spacing w:after="0"/>
              <w:rPr>
                <w:sz w:val="21"/>
                <w:szCs w:val="21"/>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(38,038)</w:t>
            </w:r>
          </w:p>
        </w:tc>
        <w:tc>
          <w:tcPr>
            <w:tcW w:w="22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(30,616)</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CAPITAL DEFICIENCY</w:t>
            </w:r>
          </w:p>
        </w:tc>
        <w:tc>
          <w:tcPr>
            <w:tcW w:w="600" w:type="dxa"/>
            <w:vAlign w:val="bottom"/>
            <w:gridSpan w:val="2"/>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(28,636)</w:t>
            </w:r>
          </w:p>
        </w:tc>
        <w:tc>
          <w:tcPr>
            <w:tcW w:w="220" w:type="dxa"/>
            <w:vAlign w:val="bottom"/>
          </w:tcPr>
          <w:p>
            <w:pPr>
              <w:spacing w:after="0"/>
              <w:rPr>
                <w:sz w:val="20"/>
                <w:szCs w:val="20"/>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(25,246)</w:t>
            </w:r>
          </w:p>
        </w:tc>
        <w:tc>
          <w:tcPr>
            <w:tcW w:w="0" w:type="dxa"/>
            <w:vAlign w:val="bottom"/>
          </w:tcPr>
          <w:p>
            <w:pPr>
              <w:spacing w:after="0"/>
              <w:rPr>
                <w:sz w:val="1"/>
                <w:szCs w:val="1"/>
                <w:color w:val="auto"/>
              </w:rPr>
            </w:pPr>
          </w:p>
        </w:tc>
      </w:tr>
      <w:tr>
        <w:trPr>
          <w:trHeight w:val="237"/>
        </w:trPr>
        <w:tc>
          <w:tcPr>
            <w:tcW w:w="8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NET OF CAPITAL DEFICIENCY</w:t>
            </w:r>
          </w:p>
        </w:tc>
        <w:tc>
          <w:tcPr>
            <w:tcW w:w="6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5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2466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-1654810</wp:posOffset>
            </wp:positionV>
            <wp:extent cx="72466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-2940685</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-4270375</wp:posOffset>
            </wp:positionV>
            <wp:extent cx="72466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-4956175</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-5976620</wp:posOffset>
            </wp:positionV>
            <wp:extent cx="13716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7" w:lineRule="exact"/>
        <w:rPr>
          <w:sz w:val="20"/>
          <w:szCs w:val="20"/>
          <w:color w:val="auto"/>
        </w:rPr>
      </w:pPr>
    </w:p>
    <w:p>
      <w:pPr>
        <w:ind w:left="360" w:hanging="352"/>
        <w:spacing w:after="0"/>
        <w:tabs>
          <w:tab w:leader="none" w:pos="3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amount less than one thousand.</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5" w:name="page206"/>
    <w:bookmarkEnd w:id="205"/>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21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CONDENSED INTERIM STATEMENTS OF COMPREHENSIVE LOSS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6"/>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9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5"/>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gridSpan w:val="2"/>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8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6"/>
          </w:tcPr>
          <w:p>
            <w:pPr>
              <w:jc w:val="center"/>
              <w:ind w:right="800"/>
              <w:spacing w:after="0"/>
              <w:rPr>
                <w:sz w:val="20"/>
                <w:szCs w:val="20"/>
                <w:color w:val="auto"/>
              </w:rPr>
            </w:pPr>
            <w:r>
              <w:rPr>
                <w:rFonts w:ascii="Times New Roman" w:cs="Times New Roman" w:eastAsia="Times New Roman" w:hAnsi="Times New Roman"/>
                <w:sz w:val="14"/>
                <w:szCs w:val="14"/>
                <w:color w:val="auto"/>
              </w:rPr>
              <w:t>U.S. dollars in thousands</w:t>
            </w:r>
          </w:p>
        </w:tc>
        <w:tc>
          <w:tcPr>
            <w:tcW w:w="19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color w:val="auto"/>
              </w:rPr>
              <w:t>U.S. dollars in thousands</w:t>
            </w: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1,686</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1,851</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406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5,267</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2,296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w w:val="93"/>
              </w:rPr>
              <w:t>2,373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4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6,953</w:t>
            </w:r>
          </w:p>
        </w:tc>
        <w:tc>
          <w:tcPr>
            <w:tcW w:w="1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4,147</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w w:val="93"/>
              </w:rPr>
              <w:t>2,779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1,434</w:t>
            </w: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694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EXPENSES (INCOME):</w:t>
            </w:r>
          </w:p>
        </w:tc>
        <w:tc>
          <w:tcPr>
            <w:tcW w:w="420" w:type="dxa"/>
            <w:vAlign w:val="bottom"/>
            <w:tcBorders>
              <w:top w:val="single" w:sz="8" w:color="auto"/>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(income) from change in fair value of financial liabilities at fair value</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5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(3,917)</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882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financial expenses (income), net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LOSS (INCOME)</w:t>
            </w:r>
            <w:r>
              <w:rPr>
                <w:rFonts w:ascii="Times New Roman" w:cs="Times New Roman" w:eastAsia="Times New Roman" w:hAnsi="Times New Roman"/>
                <w:sz w:val="18"/>
                <w:szCs w:val="18"/>
                <w:color w:val="auto"/>
              </w:rPr>
              <w:t>, net</w:t>
            </w: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4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5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(3,805)</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877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 and NET COMPREHENSIVE LOSS FOR THE PERIOD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7,422</w:t>
            </w: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w w:val="93"/>
              </w:rPr>
              <w:t>3,656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1,738</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7054215</wp:posOffset>
            </wp:positionH>
            <wp:positionV relativeFrom="paragraph">
              <wp:posOffset>-385445</wp:posOffset>
            </wp:positionV>
            <wp:extent cx="19748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679196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-1139825</wp:posOffset>
            </wp:positionV>
            <wp:extent cx="19748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679196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-1602740</wp:posOffset>
            </wp:positionV>
            <wp:extent cx="13716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-1602740</wp:posOffset>
            </wp:positionV>
            <wp:extent cx="13716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6"/>
          </w:tcPr>
          <w:p>
            <w:pPr>
              <w:ind w:left="420"/>
              <w:spacing w:after="0"/>
              <w:rPr>
                <w:sz w:val="20"/>
                <w:szCs w:val="20"/>
                <w:color w:val="auto"/>
              </w:rPr>
            </w:pPr>
            <w:r>
              <w:rPr>
                <w:rFonts w:ascii="Times New Roman" w:cs="Times New Roman" w:eastAsia="Times New Roman" w:hAnsi="Times New Roman"/>
                <w:sz w:val="14"/>
                <w:szCs w:val="14"/>
                <w:color w:val="auto"/>
              </w:rPr>
              <w:t>U.S. dollars</w:t>
            </w:r>
          </w:p>
        </w:tc>
        <w:tc>
          <w:tcPr>
            <w:tcW w:w="170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rPr>
              <w:t>U.S. dollars</w:t>
            </w:r>
          </w:p>
        </w:tc>
        <w:tc>
          <w:tcPr>
            <w:tcW w:w="0" w:type="dxa"/>
            <w:vAlign w:val="bottom"/>
          </w:tcPr>
          <w:p>
            <w:pPr>
              <w:spacing w:after="0"/>
              <w:rPr>
                <w:sz w:val="1"/>
                <w:szCs w:val="1"/>
                <w:color w:val="auto"/>
              </w:rPr>
            </w:pPr>
          </w:p>
        </w:tc>
      </w:tr>
      <w:tr>
        <w:trPr>
          <w:trHeight w:val="24"/>
        </w:trPr>
        <w:tc>
          <w:tcPr>
            <w:tcW w:w="7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ORDINARY SHARE –</w:t>
            </w: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6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214.86</w:t>
            </w:r>
          </w:p>
        </w:tc>
        <w:tc>
          <w:tcPr>
            <w:tcW w:w="54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105.84</w:t>
            </w:r>
          </w:p>
        </w:tc>
        <w:tc>
          <w:tcPr>
            <w:tcW w:w="54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219.69</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90.67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111.02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OUTSTANDING –</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6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7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34,544</w:t>
            </w:r>
          </w:p>
        </w:tc>
        <w:tc>
          <w:tcPr>
            <w:tcW w:w="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34,396</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34,544</w:t>
            </w:r>
          </w:p>
        </w:tc>
        <w:tc>
          <w:tcPr>
            <w:tcW w:w="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34,396</w:t>
            </w: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37,098</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51,958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41,884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34,396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-1071245</wp:posOffset>
            </wp:positionV>
            <wp:extent cx="60629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062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6" w:name="page207"/>
    <w:bookmarkEnd w:id="206"/>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21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CONDENSED INTERIM STATEMENTS OF</w:t>
      </w:r>
    </w:p>
    <w:p>
      <w:pPr>
        <w:jc w:val="center"/>
        <w:ind w:right="40"/>
        <w:spacing w:after="0" w:line="218" w:lineRule="auto"/>
        <w:rPr>
          <w:sz w:val="20"/>
          <w:szCs w:val="20"/>
          <w:color w:val="auto"/>
        </w:rPr>
      </w:pPr>
      <w:r>
        <w:rPr>
          <w:rFonts w:ascii="Times New Roman" w:cs="Times New Roman" w:eastAsia="Times New Roman" w:hAnsi="Times New Roman"/>
          <w:sz w:val="22"/>
          <w:szCs w:val="22"/>
          <w:color w:val="auto"/>
        </w:rPr>
        <w:t>CHANGES IN CAPITAL DEFICIENCY</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5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80" w:type="dxa"/>
            <w:vAlign w:val="bottom"/>
          </w:tcPr>
          <w:p>
            <w:pPr>
              <w:spacing w:after="0"/>
              <w:rPr>
                <w:sz w:val="16"/>
                <w:szCs w:val="16"/>
                <w:color w:val="auto"/>
              </w:rPr>
            </w:pPr>
          </w:p>
        </w:tc>
        <w:tc>
          <w:tcPr>
            <w:tcW w:w="11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7"/>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7"/>
          </w:tcPr>
          <w:p>
            <w:pPr>
              <w:ind w:left="300"/>
              <w:spacing w:after="0"/>
              <w:rPr>
                <w:sz w:val="20"/>
                <w:szCs w:val="20"/>
                <w:color w:val="auto"/>
              </w:rPr>
            </w:pPr>
            <w:r>
              <w:rPr>
                <w:rFonts w:ascii="Times New Roman" w:cs="Times New Roman" w:eastAsia="Times New Roman" w:hAnsi="Times New Roman"/>
                <w:sz w:val="14"/>
                <w:szCs w:val="14"/>
                <w:color w:val="auto"/>
              </w:rPr>
              <w:t>U.S. dollars in thousands</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2016</w:t>
            </w:r>
          </w:p>
        </w:tc>
        <w:tc>
          <w:tcPr>
            <w:tcW w:w="11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34,396</w:t>
            </w:r>
          </w:p>
        </w:tc>
        <w:tc>
          <w:tcPr>
            <w:tcW w:w="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center"/>
              <w:ind w:left="479"/>
              <w:spacing w:after="0"/>
              <w:rPr>
                <w:sz w:val="20"/>
                <w:szCs w:val="20"/>
                <w:color w:val="auto"/>
              </w:rPr>
            </w:pPr>
            <w:r>
              <w:rPr>
                <w:rFonts w:ascii="Times New Roman" w:cs="Times New Roman" w:eastAsia="Times New Roman" w:hAnsi="Times New Roman"/>
                <w:sz w:val="18"/>
                <w:szCs w:val="18"/>
                <w:color w:val="auto"/>
                <w:w w:val="99"/>
              </w:rPr>
              <w:t>41</w:t>
            </w:r>
          </w:p>
        </w:tc>
        <w:tc>
          <w:tcPr>
            <w:tcW w:w="54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1,354</w:t>
            </w:r>
          </w:p>
        </w:tc>
        <w:tc>
          <w:tcPr>
            <w:tcW w:w="10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2,335</w:t>
            </w:r>
          </w:p>
        </w:tc>
        <w:tc>
          <w:tcPr>
            <w:tcW w:w="15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(29,417)</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(25,687)</w:t>
            </w:r>
          </w:p>
        </w:tc>
        <w:tc>
          <w:tcPr>
            <w:tcW w:w="0" w:type="dxa"/>
            <w:vAlign w:val="bottom"/>
          </w:tcPr>
          <w:p>
            <w:pPr>
              <w:spacing w:after="0"/>
              <w:rPr>
                <w:sz w:val="1"/>
                <w:szCs w:val="1"/>
                <w:color w:val="auto"/>
              </w:rPr>
            </w:pPr>
          </w:p>
        </w:tc>
      </w:tr>
      <w:tr>
        <w:trPr>
          <w:trHeight w:val="32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FOR NINE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period</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center"/>
              <w:ind w:right="468"/>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(342)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63"/>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2"/>
                <w:szCs w:val="22"/>
                <w:color w:val="auto"/>
              </w:rPr>
            </w:pPr>
          </w:p>
        </w:tc>
        <w:tc>
          <w:tcPr>
            <w:tcW w:w="720" w:type="dxa"/>
            <w:vAlign w:val="bottom"/>
            <w:gridSpan w:val="2"/>
          </w:tcPr>
          <w:p>
            <w:pPr>
              <w:jc w:val="center"/>
              <w:ind w:right="468"/>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1,211</w:t>
            </w:r>
          </w:p>
        </w:tc>
        <w:tc>
          <w:tcPr>
            <w:tcW w:w="320" w:type="dxa"/>
            <w:vAlign w:val="bottom"/>
          </w:tcPr>
          <w:p>
            <w:pPr>
              <w:spacing w:after="0"/>
              <w:rPr>
                <w:sz w:val="22"/>
                <w:szCs w:val="22"/>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0"/>
        </w:trPr>
        <w:tc>
          <w:tcPr>
            <w:tcW w:w="39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2016</w:t>
            </w: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vMerge w:val="continue"/>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34,396</w:t>
            </w:r>
          </w:p>
        </w:tc>
        <w:tc>
          <w:tcPr>
            <w:tcW w:w="9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center"/>
              <w:ind w:left="479"/>
              <w:spacing w:after="0"/>
              <w:rPr>
                <w:sz w:val="20"/>
                <w:szCs w:val="20"/>
                <w:color w:val="auto"/>
              </w:rPr>
            </w:pPr>
            <w:r>
              <w:rPr>
                <w:rFonts w:ascii="Times New Roman" w:cs="Times New Roman" w:eastAsia="Times New Roman" w:hAnsi="Times New Roman"/>
                <w:sz w:val="18"/>
                <w:szCs w:val="18"/>
                <w:color w:val="auto"/>
                <w:w w:val="99"/>
              </w:rPr>
              <w:t>41</w:t>
            </w:r>
          </w:p>
        </w:tc>
        <w:tc>
          <w:tcPr>
            <w:tcW w:w="5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2,565</w:t>
            </w:r>
          </w:p>
        </w:tc>
        <w:tc>
          <w:tcPr>
            <w:tcW w:w="10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2,335</w:t>
            </w:r>
          </w:p>
        </w:tc>
        <w:tc>
          <w:tcPr>
            <w:tcW w:w="156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(29,759)</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(24,818)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2017</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00" w:type="dxa"/>
            <w:vAlign w:val="bottom"/>
            <w:gridSpan w:val="2"/>
            <w:vMerge w:val="continue"/>
          </w:tcPr>
          <w:p>
            <w:pPr>
              <w:spacing w:after="0"/>
              <w:rPr>
                <w:sz w:val="19"/>
                <w:szCs w:val="19"/>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34,544</w:t>
            </w: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center"/>
              <w:ind w:left="479"/>
              <w:spacing w:after="0"/>
              <w:rPr>
                <w:sz w:val="20"/>
                <w:szCs w:val="20"/>
                <w:color w:val="auto"/>
              </w:rPr>
            </w:pPr>
            <w:r>
              <w:rPr>
                <w:rFonts w:ascii="Times New Roman" w:cs="Times New Roman" w:eastAsia="Times New Roman" w:hAnsi="Times New Roman"/>
                <w:sz w:val="18"/>
                <w:szCs w:val="18"/>
                <w:color w:val="auto"/>
                <w:w w:val="99"/>
              </w:rPr>
              <w:t>41</w:t>
            </w:r>
          </w:p>
        </w:tc>
        <w:tc>
          <w:tcPr>
            <w:tcW w:w="54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2,844</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2,485</w:t>
            </w:r>
          </w:p>
        </w:tc>
        <w:tc>
          <w:tcPr>
            <w:tcW w:w="15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(30,616)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(25,246)</w:t>
            </w:r>
          </w:p>
        </w:tc>
        <w:tc>
          <w:tcPr>
            <w:tcW w:w="0" w:type="dxa"/>
            <w:vAlign w:val="bottom"/>
          </w:tcPr>
          <w:p>
            <w:pPr>
              <w:spacing w:after="0"/>
              <w:rPr>
                <w:sz w:val="1"/>
                <w:szCs w:val="1"/>
                <w:color w:val="auto"/>
              </w:rPr>
            </w:pPr>
          </w:p>
        </w:tc>
      </w:tr>
      <w:tr>
        <w:trPr>
          <w:trHeight w:val="32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FOR NINE MONTHS ENDED</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for the period</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2"/>
                <w:szCs w:val="22"/>
                <w:color w:val="auto"/>
              </w:rPr>
            </w:pPr>
          </w:p>
        </w:tc>
        <w:tc>
          <w:tcPr>
            <w:tcW w:w="720" w:type="dxa"/>
            <w:vAlign w:val="bottom"/>
            <w:gridSpan w:val="2"/>
          </w:tcPr>
          <w:p>
            <w:pPr>
              <w:jc w:val="center"/>
              <w:ind w:right="468"/>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(7,422)</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(7,422)</w:t>
            </w:r>
          </w:p>
        </w:tc>
        <w:tc>
          <w:tcPr>
            <w:tcW w:w="0" w:type="dxa"/>
            <w:vAlign w:val="bottom"/>
          </w:tcPr>
          <w:p>
            <w:pPr>
              <w:spacing w:after="0"/>
              <w:rPr>
                <w:sz w:val="1"/>
                <w:szCs w:val="1"/>
                <w:color w:val="auto"/>
              </w:rPr>
            </w:pPr>
          </w:p>
        </w:tc>
      </w:tr>
      <w:tr>
        <w:trPr>
          <w:trHeight w:val="263"/>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center"/>
              <w:ind w:right="468"/>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4,032</w:t>
            </w: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2017</w:t>
            </w:r>
          </w:p>
        </w:tc>
        <w:tc>
          <w:tcPr>
            <w:tcW w:w="360" w:type="dxa"/>
            <w:vAlign w:val="bottom"/>
            <w:gridSpan w:val="2"/>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34,544</w:t>
            </w: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center"/>
              <w:ind w:left="479"/>
              <w:spacing w:after="0"/>
              <w:rPr>
                <w:sz w:val="20"/>
                <w:szCs w:val="20"/>
                <w:color w:val="auto"/>
              </w:rPr>
            </w:pPr>
            <w:r>
              <w:rPr>
                <w:rFonts w:ascii="Times New Roman" w:cs="Times New Roman" w:eastAsia="Times New Roman" w:hAnsi="Times New Roman"/>
                <w:sz w:val="18"/>
                <w:szCs w:val="18"/>
                <w:color w:val="auto"/>
                <w:w w:val="99"/>
              </w:rPr>
              <w:t>41</w:t>
            </w:r>
          </w:p>
        </w:tc>
        <w:tc>
          <w:tcPr>
            <w:tcW w:w="540" w:type="dxa"/>
            <w:vAlign w:val="bottom"/>
          </w:tcPr>
          <w:p>
            <w:pPr>
              <w:spacing w:after="0"/>
              <w:rPr>
                <w:sz w:val="21"/>
                <w:szCs w:val="21"/>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6,876</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2,485</w:t>
            </w:r>
          </w:p>
        </w:tc>
        <w:tc>
          <w:tcPr>
            <w:tcW w:w="15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(38,038)</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(28,636)</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-1448435</wp:posOffset>
            </wp:positionV>
            <wp:extent cx="12001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-1448435</wp:posOffset>
            </wp:positionV>
            <wp:extent cx="39433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601154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-2443480</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-2443480</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-2443480</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-2443480</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-2443480</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-2443480</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Represents less than one thousand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7" w:name="page208"/>
    <w:bookmarkEnd w:id="207"/>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21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CONDENSED INTERIM CASH FLOW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90"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22225</wp:posOffset>
            </wp:positionV>
            <wp:extent cx="145796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780" w:type="dxa"/>
            <w:vAlign w:val="bottom"/>
          </w:tcPr>
          <w:p>
            <w:pPr>
              <w:spacing w:after="0"/>
              <w:rPr>
                <w:sz w:val="16"/>
                <w:szCs w:val="16"/>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0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color w:val="auto"/>
              </w:rPr>
              <w:t>U.S. dollars in thousands</w:t>
            </w:r>
          </w:p>
        </w:tc>
        <w:tc>
          <w:tcPr>
            <w:tcW w:w="0" w:type="dxa"/>
            <w:vAlign w:val="bottom"/>
          </w:tcPr>
          <w:p>
            <w:pPr>
              <w:spacing w:after="0"/>
              <w:rPr>
                <w:sz w:val="1"/>
                <w:szCs w:val="1"/>
                <w:color w:val="auto"/>
              </w:rPr>
            </w:pPr>
          </w:p>
        </w:tc>
      </w:tr>
      <w:tr>
        <w:trPr>
          <w:trHeight w:val="257"/>
        </w:trPr>
        <w:tc>
          <w:tcPr>
            <w:tcW w:w="9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4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loss for the period</w:t>
            </w:r>
          </w:p>
        </w:tc>
        <w:tc>
          <w:tcPr>
            <w:tcW w:w="126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w w:val="98"/>
              </w:rPr>
              <w:t>(7,422)</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50"/>
        </w:trPr>
        <w:tc>
          <w:tcPr>
            <w:tcW w:w="9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required to reflect net cash used in operating activities (see appendix A)</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4,557</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(1,882)</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6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w w:val="98"/>
              </w:rPr>
              <w:t>(2,865)</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(2,224)</w:t>
            </w:r>
          </w:p>
        </w:tc>
        <w:tc>
          <w:tcPr>
            <w:tcW w:w="0" w:type="dxa"/>
            <w:vAlign w:val="bottom"/>
          </w:tcPr>
          <w:p>
            <w:pPr>
              <w:spacing w:after="0"/>
              <w:rPr>
                <w:sz w:val="1"/>
                <w:szCs w:val="1"/>
                <w:color w:val="auto"/>
              </w:rPr>
            </w:pPr>
          </w:p>
        </w:tc>
      </w:tr>
      <w:tr>
        <w:trPr>
          <w:trHeight w:val="365"/>
        </w:trPr>
        <w:tc>
          <w:tcPr>
            <w:tcW w:w="94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tc>
        <w:tc>
          <w:tcPr>
            <w:tcW w:w="48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right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Decrease (increase) in restricted deposits</w:t>
            </w:r>
          </w:p>
        </w:tc>
        <w:tc>
          <w:tcPr>
            <w:tcW w:w="12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1,053</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(1,074)</w:t>
            </w:r>
          </w:p>
        </w:tc>
        <w:tc>
          <w:tcPr>
            <w:tcW w:w="0" w:type="dxa"/>
            <w:vAlign w:val="bottom"/>
          </w:tcPr>
          <w:p>
            <w:pPr>
              <w:spacing w:after="0"/>
              <w:rPr>
                <w:sz w:val="1"/>
                <w:szCs w:val="1"/>
                <w:color w:val="auto"/>
              </w:rPr>
            </w:pPr>
          </w:p>
        </w:tc>
      </w:tr>
      <w:tr>
        <w:trPr>
          <w:trHeight w:val="263"/>
        </w:trPr>
        <w:tc>
          <w:tcPr>
            <w:tcW w:w="9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(47)</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1,006</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(1,102)</w:t>
            </w:r>
          </w:p>
        </w:tc>
        <w:tc>
          <w:tcPr>
            <w:tcW w:w="0" w:type="dxa"/>
            <w:vAlign w:val="bottom"/>
          </w:tcPr>
          <w:p>
            <w:pPr>
              <w:spacing w:after="0"/>
              <w:rPr>
                <w:sz w:val="1"/>
                <w:szCs w:val="1"/>
                <w:color w:val="auto"/>
              </w:rPr>
            </w:pPr>
          </w:p>
        </w:tc>
      </w:tr>
      <w:tr>
        <w:trPr>
          <w:trHeight w:val="365"/>
        </w:trPr>
        <w:tc>
          <w:tcPr>
            <w:tcW w:w="94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PROVIDED BY FINANCING ACTIVITIES:</w:t>
            </w:r>
          </w:p>
        </w:tc>
        <w:tc>
          <w:tcPr>
            <w:tcW w:w="48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right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Receipts on account of sale of Preferred B shares</w:t>
            </w:r>
          </w:p>
        </w:tc>
        <w:tc>
          <w:tcPr>
            <w:tcW w:w="12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1,575</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9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for maturity of Convertible loans</w:t>
            </w: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(980)</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595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400" w:type="dxa"/>
            <w:vAlign w:val="bottom"/>
            <w:gridSpan w:val="3"/>
            <w:vMerge w:val="continue"/>
            <w:shd w:val="clear" w:color="auto" w:fill="CCEEFF"/>
          </w:tcPr>
          <w:p>
            <w:pPr>
              <w:spacing w:after="0"/>
              <w:rPr>
                <w:sz w:val="22"/>
                <w:szCs w:val="22"/>
                <w:color w:val="auto"/>
              </w:rPr>
            </w:pPr>
          </w:p>
        </w:tc>
        <w:tc>
          <w:tcPr>
            <w:tcW w:w="126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w w:val="98"/>
              </w:rPr>
              <w:t>(1,264)</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YEAR</w:t>
            </w:r>
          </w:p>
        </w:tc>
        <w:tc>
          <w:tcPr>
            <w:tcW w:w="12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4,163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EXCHANGE DIFFERENCES ON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12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2,899</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6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-882650</wp:posOffset>
            </wp:positionV>
            <wp:extent cx="724662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-1637030</wp:posOffset>
            </wp:positionV>
            <wp:extent cx="72466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-2392045</wp:posOffset>
            </wp:positionV>
            <wp:extent cx="72466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-3352800</wp:posOffset>
            </wp:positionV>
            <wp:extent cx="13716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Represents less than one thousand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8" w:name="page209"/>
    <w:bookmarkEnd w:id="208"/>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21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CONDENSED INTERIM CASH FLOW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90"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22225</wp:posOffset>
            </wp:positionV>
            <wp:extent cx="144907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6"/>
                <w:szCs w:val="16"/>
                <w:color w:val="auto"/>
              </w:rPr>
            </w:pPr>
          </w:p>
        </w:tc>
      </w:tr>
      <w:tr>
        <w:trPr>
          <w:trHeight w:val="24"/>
        </w:trPr>
        <w:tc>
          <w:tcPr>
            <w:tcW w:w="9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r>
      <w:tr>
        <w:trPr>
          <w:trHeight w:val="200"/>
        </w:trPr>
        <w:tc>
          <w:tcPr>
            <w:tcW w:w="9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4"/>
        </w:trPr>
        <w:tc>
          <w:tcPr>
            <w:tcW w:w="9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r>
      <w:tr>
        <w:trPr>
          <w:trHeight w:val="183"/>
        </w:trPr>
        <w:tc>
          <w:tcPr>
            <w:tcW w:w="9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U.S. dollars in thousands</w:t>
            </w:r>
          </w:p>
        </w:tc>
      </w:tr>
      <w:tr>
        <w:trPr>
          <w:trHeight w:val="257"/>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APPENDIX A:</w:t>
            </w: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r>
      <w:tr>
        <w:trPr>
          <w:trHeight w:val="257"/>
        </w:trPr>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required to reflect net cash used in operating activities:</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9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r>
      <w:tr>
        <w:trPr>
          <w:trHeight w:val="257"/>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(Gain) from change in fair value of financial liabilities at fair value</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403</w:t>
            </w:r>
          </w:p>
        </w:tc>
        <w:tc>
          <w:tcPr>
            <w:tcW w:w="1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(3,917)</w:t>
            </w:r>
          </w:p>
        </w:tc>
      </w:tr>
      <w:tr>
        <w:trPr>
          <w:trHeight w:val="257"/>
        </w:trPr>
        <w:tc>
          <w:tcPr>
            <w:tcW w:w="9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costs related to convertible loans and warrants</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363</w:t>
            </w:r>
          </w:p>
        </w:tc>
      </w:tr>
      <w:tr>
        <w:trPr>
          <w:trHeight w:val="257"/>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Financial expenses</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87</w:t>
            </w:r>
          </w:p>
        </w:tc>
      </w:tr>
      <w:tr>
        <w:trPr>
          <w:trHeight w:val="257"/>
        </w:trPr>
        <w:tc>
          <w:tcPr>
            <w:tcW w:w="9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changes in severance pay</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w:t>
            </w:r>
          </w:p>
        </w:tc>
      </w:tr>
      <w:tr>
        <w:trPr>
          <w:trHeight w:val="263"/>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4,032</w:t>
            </w: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1,211</w:t>
            </w:r>
          </w:p>
        </w:tc>
      </w:tr>
      <w:tr>
        <w:trPr>
          <w:trHeight w:val="20"/>
        </w:trPr>
        <w:tc>
          <w:tcPr>
            <w:tcW w:w="9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64"/>
        </w:trPr>
        <w:tc>
          <w:tcPr>
            <w:tcW w:w="9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4,520</w:t>
            </w:r>
          </w:p>
        </w:tc>
        <w:tc>
          <w:tcPr>
            <w:tcW w:w="15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(2,207)</w:t>
            </w:r>
          </w:p>
        </w:tc>
      </w:tr>
      <w:tr>
        <w:trPr>
          <w:trHeight w:val="365"/>
        </w:trPr>
        <w:tc>
          <w:tcPr>
            <w:tcW w:w="94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257"/>
        </w:trPr>
        <w:tc>
          <w:tcPr>
            <w:tcW w:w="9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decrease in other current assets</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433</w:t>
            </w:r>
          </w:p>
        </w:tc>
      </w:tr>
      <w:tr>
        <w:trPr>
          <w:trHeight w:val="257"/>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Increase (decrease) in accounts payable and accruals:</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94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Trade</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15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w:t>
            </w:r>
          </w:p>
        </w:tc>
      </w:tr>
      <w:tr>
        <w:trPr>
          <w:trHeight w:val="263"/>
        </w:trPr>
        <w:tc>
          <w:tcPr>
            <w:tcW w:w="94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9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64"/>
        </w:trPr>
        <w:tc>
          <w:tcPr>
            <w:tcW w:w="9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325</w:t>
            </w:r>
          </w:p>
        </w:tc>
      </w:tr>
      <w:tr>
        <w:trPr>
          <w:trHeight w:val="365"/>
        </w:trPr>
        <w:tc>
          <w:tcPr>
            <w:tcW w:w="94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Cash used for operating activities –</w:t>
            </w: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263"/>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7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r>
      <w:tr>
        <w:trPr>
          <w:trHeight w:val="20"/>
        </w:trPr>
        <w:tc>
          <w:tcPr>
            <w:tcW w:w="9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304"/>
        </w:trPr>
        <w:tc>
          <w:tcPr>
            <w:tcW w:w="9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4,557</w:t>
            </w:r>
          </w:p>
        </w:tc>
        <w:tc>
          <w:tcPr>
            <w:tcW w:w="1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(1,882)</w:t>
            </w:r>
          </w:p>
        </w:tc>
      </w:tr>
      <w:tr>
        <w:trPr>
          <w:trHeight w:val="311"/>
        </w:trPr>
        <w:tc>
          <w:tcPr>
            <w:tcW w:w="94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APPENDIX B:</w:t>
            </w:r>
          </w:p>
        </w:tc>
        <w:tc>
          <w:tcPr>
            <w:tcW w:w="4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74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r>
      <w:tr>
        <w:trPr>
          <w:trHeight w:val="304"/>
        </w:trPr>
        <w:tc>
          <w:tcPr>
            <w:tcW w:w="94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Supplementary information on financing activities not involving cash flows:</w:t>
            </w:r>
          </w:p>
        </w:tc>
        <w:tc>
          <w:tcPr>
            <w:tcW w:w="4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r>
      <w:tr>
        <w:trPr>
          <w:trHeight w:val="230"/>
        </w:trPr>
        <w:tc>
          <w:tcPr>
            <w:tcW w:w="94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Issuance costs regarding convertible loan and warrants</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-1379855</wp:posOffset>
            </wp:positionV>
            <wp:extent cx="72466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-2460625</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-4055745</wp:posOffset>
            </wp:positionV>
            <wp:extent cx="13716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9" w:name="page210"/>
    <w:bookmarkEnd w:id="209"/>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7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NOTES TO CONDENSED INTERIM FINANCIAL STATEMENTS</w:t>
      </w:r>
    </w:p>
    <w:p>
      <w:pPr>
        <w:jc w:val="center"/>
        <w:ind w:right="-39"/>
        <w:spacing w:after="0"/>
        <w:rPr>
          <w:sz w:val="20"/>
          <w:szCs w:val="20"/>
          <w:color w:val="auto"/>
        </w:rPr>
      </w:pPr>
      <w:r>
        <w:rPr>
          <w:rFonts w:ascii="Times New Roman" w:cs="Times New Roman" w:eastAsia="Times New Roman" w:hAnsi="Times New Roman"/>
          <w:sz w:val="22"/>
          <w:szCs w:val="22"/>
          <w:color w:val="auto"/>
        </w:rPr>
        <w:t>(UNAUDITED)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 INFORMATION:</w:t>
      </w:r>
    </w:p>
    <w:p>
      <w:pPr>
        <w:spacing w:after="0" w:line="148" w:lineRule="exact"/>
        <w:rPr>
          <w:sz w:val="20"/>
          <w:szCs w:val="20"/>
          <w:color w:val="auto"/>
        </w:rPr>
      </w:pPr>
    </w:p>
    <w:p>
      <w:pPr>
        <w:ind w:left="540" w:right="340" w:hanging="352"/>
        <w:spacing w:after="0" w:line="261"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Entera Bio Ltd. (the “Company”) was incorporated in September 2009, and commenced operations as a joint venture of D.N.A Biomedical and Oramed in June 2010. The Company is a clinical-stage biopharmaceutical company, focused on the development and commercialization of orally delivered large molecule therapeutics in areas with significant unmet medical needs. Currently the Company is focused on the development of oral capsules for the treatment of hypoparathyroidism and osteoporosis.</w:t>
      </w:r>
    </w:p>
    <w:p>
      <w:pPr>
        <w:spacing w:after="0" w:line="126" w:lineRule="exact"/>
        <w:rPr>
          <w:rFonts w:ascii="Times New Roman" w:cs="Times New Roman" w:eastAsia="Times New Roman" w:hAnsi="Times New Roman"/>
          <w:sz w:val="18"/>
          <w:szCs w:val="18"/>
          <w:color w:val="auto"/>
        </w:rPr>
      </w:pPr>
    </w:p>
    <w:p>
      <w:pPr>
        <w:ind w:left="540" w:right="340" w:hanging="352"/>
        <w:spacing w:after="0" w:line="258"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Company is engaged in research and development activities, it has not yet derived income from its activity and has incurred through September 30, 2017, accumulated losses in the amount of $38,038 thousand. The Company also has negative working capital and has cash outflows from operating activities. The Company’s management is of the opinion that its available funds as of September 30, 2017 will not allow the Company to execute its development plans in the upcoming year. These factors raise substantial doubt as to the Company’s ability to continue as a going concern. In October 2017, the Company raised $12.4 million in the Preferred B Financing (See also Note 9(a)).</w:t>
      </w:r>
    </w:p>
    <w:p>
      <w:pPr>
        <w:spacing w:after="0" w:line="75" w:lineRule="exact"/>
        <w:rPr>
          <w:rFonts w:ascii="Times New Roman" w:cs="Times New Roman" w:eastAsia="Times New Roman" w:hAnsi="Times New Roman"/>
          <w:sz w:val="18"/>
          <w:szCs w:val="18"/>
          <w:color w:val="auto"/>
        </w:rPr>
      </w:pPr>
    </w:p>
    <w:p>
      <w:pPr>
        <w:ind w:left="54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is in the process of evaluating various financing alternatives in the public or private equity markets, as the Company will need to finance future research and development activities and general and administrative expenses through fund raising. However, there is no certainty about the Company’s ability to obtain such funding.</w:t>
      </w:r>
    </w:p>
    <w:p>
      <w:pPr>
        <w:spacing w:after="0" w:line="68" w:lineRule="exact"/>
        <w:rPr>
          <w:rFonts w:ascii="Times New Roman" w:cs="Times New Roman" w:eastAsia="Times New Roman" w:hAnsi="Times New Roman"/>
          <w:sz w:val="18"/>
          <w:szCs w:val="18"/>
          <w:color w:val="auto"/>
        </w:rPr>
      </w:pPr>
    </w:p>
    <w:p>
      <w:pPr>
        <w:jc w:val="both"/>
        <w:ind w:left="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has been prepared on a going concern basis, which assumes the Company will continue to realize its assets and discharge its liabilities in the normal course of business. If the Company does not raise the requisite funds, it will need to curtail or cease operation. These financial statements do not include any adjustments that may be necessary should the Company be unable to continue as a going concern.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PREPARATION</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Company’s condensed interim financial statements as of September 30, 2017 and for the nine months then ended (the “interim financial statements”) have been prepared in accordance with International Accounting Standard No. 34, “Interim Financial Reporting” (“IAS 34”). These interim financial statements, which are unaudited, do not include all disclosures necessary for a complete presentation of financial position, comprehensive loss, changes in capital deficiency and cash flows in conformity with generally accepted accounting principles. The condensed interim financial statements should be read in conjunction with the Company’s annual financial statements as of December 31, 2016 and for the year then ended and their accompanying notes, which have been prepared in accordance with International Financial Reporting Standards (“IFRS”) as issued by the IASB. The results of operations for the nine months ended September 30, 2017 are not necessarily indicative of the results that may be expected for the entire fiscal year or for any other interim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SIGNIFICANT ACCOUNTING POLICIES</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accounting policies and calculation methods applied in the preparation of the interim financial statements are consistent with those applied in the preparation of the annual financial statements as of December 31, 2016 and for the year then ended.</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210" w:name="page211"/>
    <w:bookmarkEnd w:id="210"/>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7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NOTES TO CONDENSED INTERIM FINANCIAL STATEMENTS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FINANCIAL RISK MANAGEMENTAND FINANCIAL INSTRUMENTS:</w:t>
      </w:r>
    </w:p>
    <w:p>
      <w:pPr>
        <w:spacing w:after="0" w:line="131" w:lineRule="exact"/>
        <w:rPr>
          <w:sz w:val="20"/>
          <w:szCs w:val="20"/>
          <w:color w:val="auto"/>
        </w:rPr>
      </w:pPr>
    </w:p>
    <w:p>
      <w:pPr>
        <w:ind w:left="540" w:hanging="352"/>
        <w:spacing w:after="0"/>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risk factors</w:t>
      </w:r>
    </w:p>
    <w:p>
      <w:pPr>
        <w:spacing w:after="0" w:line="12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activities expose it to a variety of financial risks.</w:t>
      </w:r>
    </w:p>
    <w:p>
      <w:pPr>
        <w:spacing w:after="0" w:line="117" w:lineRule="exact"/>
        <w:rPr>
          <w:rFonts w:ascii="Times New Roman" w:cs="Times New Roman" w:eastAsia="Times New Roman" w:hAnsi="Times New Roman"/>
          <w:sz w:val="18"/>
          <w:szCs w:val="18"/>
          <w:color w:val="auto"/>
        </w:rPr>
      </w:pPr>
    </w:p>
    <w:p>
      <w:pPr>
        <w:ind w:left="540"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interim financial statements do not include all financial risk information and disclosures required in the annual financial statements; they should be read in conjunction with the Company’s annual financial statements as of December 31, 2016.</w:t>
      </w:r>
    </w:p>
    <w:p>
      <w:pPr>
        <w:spacing w:after="0" w:line="53"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changes in the risk management policies since the year end.</w:t>
      </w:r>
    </w:p>
    <w:p>
      <w:pPr>
        <w:spacing w:after="0" w:line="167" w:lineRule="exact"/>
        <w:rPr>
          <w:rFonts w:ascii="Times New Roman" w:cs="Times New Roman" w:eastAsia="Times New Roman" w:hAnsi="Times New Roman"/>
          <w:sz w:val="18"/>
          <w:szCs w:val="18"/>
          <w:color w:val="auto"/>
        </w:rPr>
      </w:pPr>
    </w:p>
    <w:p>
      <w:pPr>
        <w:ind w:left="540" w:hanging="352"/>
        <w:spacing w:after="0"/>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Classification of financial instruments by groups: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1320" w:type="dxa"/>
            <w:vAlign w:val="bottom"/>
            <w:gridSpan w:val="3"/>
          </w:tcPr>
          <w:p>
            <w:pPr>
              <w:jc w:val="center"/>
              <w:ind w:left="98"/>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7200" w:type="dxa"/>
            <w:vAlign w:val="bottom"/>
          </w:tcPr>
          <w:p>
            <w:pPr>
              <w:spacing w:after="0"/>
              <w:rPr>
                <w:sz w:val="14"/>
                <w:szCs w:val="14"/>
                <w:color w:val="auto"/>
              </w:rPr>
            </w:pPr>
          </w:p>
        </w:tc>
        <w:tc>
          <w:tcPr>
            <w:tcW w:w="1320" w:type="dxa"/>
            <w:vAlign w:val="bottom"/>
            <w:gridSpan w:val="3"/>
          </w:tcPr>
          <w:p>
            <w:pPr>
              <w:jc w:val="center"/>
              <w:ind w:left="98"/>
              <w:spacing w:after="0"/>
              <w:rPr>
                <w:sz w:val="20"/>
                <w:szCs w:val="20"/>
                <w:color w:val="auto"/>
              </w:rPr>
            </w:pPr>
            <w:r>
              <w:rPr>
                <w:rFonts w:ascii="Times New Roman" w:cs="Times New Roman" w:eastAsia="Times New Roman" w:hAnsi="Times New Roman"/>
                <w:sz w:val="14"/>
                <w:szCs w:val="14"/>
                <w:b w:val="1"/>
                <w:bCs w:val="1"/>
                <w:color w:val="auto"/>
              </w:rPr>
              <w:t>liabilities at fair</w:t>
            </w: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7200" w:type="dxa"/>
            <w:vAlign w:val="bottom"/>
          </w:tcPr>
          <w:p>
            <w:pPr>
              <w:spacing w:after="0"/>
              <w:rPr>
                <w:sz w:val="14"/>
                <w:szCs w:val="14"/>
                <w:color w:val="auto"/>
              </w:rPr>
            </w:pPr>
          </w:p>
        </w:tc>
        <w:tc>
          <w:tcPr>
            <w:tcW w:w="1320" w:type="dxa"/>
            <w:vAlign w:val="bottom"/>
            <w:gridSpan w:val="3"/>
          </w:tcPr>
          <w:p>
            <w:pPr>
              <w:jc w:val="center"/>
              <w:ind w:left="98"/>
              <w:spacing w:after="0"/>
              <w:rPr>
                <w:sz w:val="20"/>
                <w:szCs w:val="20"/>
                <w:color w:val="auto"/>
              </w:rPr>
            </w:pPr>
            <w:r>
              <w:rPr>
                <w:rFonts w:ascii="Times New Roman" w:cs="Times New Roman" w:eastAsia="Times New Roman" w:hAnsi="Times New Roman"/>
                <w:sz w:val="14"/>
                <w:szCs w:val="14"/>
                <w:b w:val="1"/>
                <w:bCs w:val="1"/>
                <w:color w:val="auto"/>
              </w:rPr>
              <w:t>value through</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7200" w:type="dxa"/>
            <w:vAlign w:val="bottom"/>
          </w:tcPr>
          <w:p>
            <w:pPr>
              <w:spacing w:after="0"/>
              <w:rPr>
                <w:sz w:val="14"/>
                <w:szCs w:val="14"/>
                <w:color w:val="auto"/>
              </w:rPr>
            </w:pPr>
          </w:p>
        </w:tc>
        <w:tc>
          <w:tcPr>
            <w:tcW w:w="1320" w:type="dxa"/>
            <w:vAlign w:val="bottom"/>
            <w:gridSpan w:val="3"/>
          </w:tcPr>
          <w:p>
            <w:pPr>
              <w:jc w:val="center"/>
              <w:ind w:left="98"/>
              <w:spacing w:after="0"/>
              <w:rPr>
                <w:sz w:val="20"/>
                <w:szCs w:val="20"/>
                <w:color w:val="auto"/>
              </w:rPr>
            </w:pPr>
            <w:r>
              <w:rPr>
                <w:rFonts w:ascii="Times New Roman" w:cs="Times New Roman" w:eastAsia="Times New Roman" w:hAnsi="Times New Roman"/>
                <w:sz w:val="14"/>
                <w:szCs w:val="14"/>
                <w:b w:val="1"/>
                <w:bCs w:val="1"/>
                <w:color w:val="auto"/>
              </w:rPr>
              <w:t>profit or loss</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 at</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0"/>
        </w:trPr>
        <w:tc>
          <w:tcPr>
            <w:tcW w:w="7200" w:type="dxa"/>
            <w:vAlign w:val="bottom"/>
          </w:tcPr>
          <w:p>
            <w:pPr>
              <w:spacing w:after="0"/>
              <w:rPr>
                <w:sz w:val="16"/>
                <w:szCs w:val="16"/>
                <w:color w:val="auto"/>
              </w:rPr>
            </w:pPr>
          </w:p>
        </w:tc>
        <w:tc>
          <w:tcPr>
            <w:tcW w:w="1320" w:type="dxa"/>
            <w:vAlign w:val="bottom"/>
            <w:gridSpan w:val="3"/>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7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7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U.S. dollars in thousands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57"/>
        </w:trPr>
        <w:tc>
          <w:tcPr>
            <w:tcW w:w="72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As of September 30, 2017:</w:t>
            </w:r>
          </w:p>
        </w:tc>
        <w:tc>
          <w:tcPr>
            <w:tcW w:w="5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57"/>
        </w:trPr>
        <w:tc>
          <w:tcPr>
            <w:tcW w:w="72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Trade and other payable</w:t>
            </w:r>
          </w:p>
        </w:tc>
        <w:tc>
          <w:tcPr>
            <w:tcW w:w="520" w:type="dxa"/>
            <w:vAlign w:val="bottom"/>
          </w:tcPr>
          <w:p>
            <w:pPr>
              <w:spacing w:after="0"/>
              <w:rPr>
                <w:sz w:val="22"/>
                <w:szCs w:val="22"/>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1,003</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1,003</w:t>
            </w:r>
          </w:p>
        </w:tc>
      </w:tr>
      <w:tr>
        <w:trPr>
          <w:trHeight w:val="257"/>
        </w:trPr>
        <w:tc>
          <w:tcPr>
            <w:tcW w:w="7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Receipts on account of sale of Preferred B shares</w:t>
            </w:r>
          </w:p>
        </w:tc>
        <w:tc>
          <w:tcPr>
            <w:tcW w:w="5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1,575</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1,575</w:t>
            </w:r>
          </w:p>
        </w:tc>
      </w:tr>
      <w:tr>
        <w:trPr>
          <w:trHeight w:val="257"/>
        </w:trPr>
        <w:tc>
          <w:tcPr>
            <w:tcW w:w="72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Convertible loans</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15,614</w:t>
            </w:r>
          </w:p>
        </w:tc>
        <w:tc>
          <w:tcPr>
            <w:tcW w:w="920" w:type="dxa"/>
            <w:vAlign w:val="bottom"/>
          </w:tcPr>
          <w:p>
            <w:pPr>
              <w:spacing w:after="0"/>
              <w:rPr>
                <w:sz w:val="22"/>
                <w:szCs w:val="22"/>
                <w:color w:val="auto"/>
              </w:rPr>
            </w:pPr>
          </w:p>
        </w:tc>
        <w:tc>
          <w:tcPr>
            <w:tcW w:w="13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15,614</w:t>
            </w:r>
          </w:p>
        </w:tc>
      </w:tr>
      <w:tr>
        <w:trPr>
          <w:trHeight w:val="257"/>
        </w:trPr>
        <w:tc>
          <w:tcPr>
            <w:tcW w:w="7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Preferred shares A</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8,841</w:t>
            </w:r>
          </w:p>
        </w:tc>
      </w:tr>
      <w:tr>
        <w:trPr>
          <w:trHeight w:val="250"/>
        </w:trPr>
        <w:tc>
          <w:tcPr>
            <w:tcW w:w="72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Warrants to purchase preferred shares A and shares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4,723</w:t>
            </w:r>
          </w:p>
        </w:tc>
      </w:tr>
      <w:tr>
        <w:trPr>
          <w:trHeight w:val="270"/>
        </w:trPr>
        <w:tc>
          <w:tcPr>
            <w:tcW w:w="7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Liability to issue preferred shares A and warrants</w:t>
            </w:r>
          </w:p>
        </w:tc>
        <w:tc>
          <w:tcPr>
            <w:tcW w:w="5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1,044</w:t>
            </w:r>
          </w:p>
        </w:tc>
      </w:tr>
      <w:tr>
        <w:trPr>
          <w:trHeight w:val="20"/>
        </w:trPr>
        <w:tc>
          <w:tcPr>
            <w:tcW w:w="7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304"/>
        </w:trPr>
        <w:tc>
          <w:tcPr>
            <w:tcW w:w="7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30,222</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2,578</w:t>
            </w:r>
          </w:p>
        </w:tc>
        <w:tc>
          <w:tcPr>
            <w:tcW w:w="8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32,800</w:t>
            </w:r>
          </w:p>
        </w:tc>
      </w:tr>
      <w:tr>
        <w:trPr>
          <w:trHeight w:val="311"/>
        </w:trPr>
        <w:tc>
          <w:tcPr>
            <w:tcW w:w="7200" w:type="dxa"/>
            <w:vAlign w:val="bottom"/>
            <w:tcBorders>
              <w:top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52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r>
      <w:tr>
        <w:trPr>
          <w:trHeight w:val="257"/>
        </w:trPr>
        <w:tc>
          <w:tcPr>
            <w:tcW w:w="72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Trade and other payable</w:t>
            </w:r>
          </w:p>
        </w:tc>
        <w:tc>
          <w:tcPr>
            <w:tcW w:w="520" w:type="dxa"/>
            <w:vAlign w:val="bottom"/>
          </w:tcPr>
          <w:p>
            <w:pPr>
              <w:spacing w:after="0"/>
              <w:rPr>
                <w:sz w:val="22"/>
                <w:szCs w:val="22"/>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657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657</w:t>
            </w:r>
          </w:p>
        </w:tc>
      </w:tr>
      <w:tr>
        <w:trPr>
          <w:trHeight w:val="257"/>
        </w:trPr>
        <w:tc>
          <w:tcPr>
            <w:tcW w:w="7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Convertible loans</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13,715</w:t>
            </w:r>
          </w:p>
        </w:tc>
        <w:tc>
          <w:tcPr>
            <w:tcW w:w="222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1,005</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14,720</w:t>
            </w:r>
          </w:p>
        </w:tc>
      </w:tr>
      <w:tr>
        <w:trPr>
          <w:trHeight w:val="257"/>
        </w:trPr>
        <w:tc>
          <w:tcPr>
            <w:tcW w:w="72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Preferred shares A</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11,031</w:t>
            </w:r>
          </w:p>
        </w:tc>
      </w:tr>
      <w:tr>
        <w:trPr>
          <w:trHeight w:val="257"/>
        </w:trPr>
        <w:tc>
          <w:tcPr>
            <w:tcW w:w="7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Warrants to purchase preferred shares A and shares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4,800</w:t>
            </w:r>
          </w:p>
        </w:tc>
      </w:tr>
      <w:tr>
        <w:trPr>
          <w:trHeight w:val="263"/>
        </w:trPr>
        <w:tc>
          <w:tcPr>
            <w:tcW w:w="72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Liability to issue preferred shares A and warrants</w:t>
            </w:r>
          </w:p>
        </w:tc>
        <w:tc>
          <w:tcPr>
            <w:tcW w:w="5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7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7"/>
        </w:trPr>
        <w:tc>
          <w:tcPr>
            <w:tcW w:w="72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29,819</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1,662</w:t>
            </w:r>
          </w:p>
        </w:tc>
        <w:tc>
          <w:tcPr>
            <w:tcW w:w="8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31,481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-196850</wp:posOffset>
            </wp:positionV>
            <wp:extent cx="11176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681799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-2709545</wp:posOffset>
            </wp:positionV>
            <wp:extent cx="13716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-2709545</wp:posOffset>
            </wp:positionV>
            <wp:extent cx="13716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2" w:lineRule="exact"/>
        <w:rPr>
          <w:sz w:val="20"/>
          <w:szCs w:val="20"/>
          <w:color w:val="auto"/>
        </w:rPr>
      </w:pPr>
    </w:p>
    <w:p>
      <w:pPr>
        <w:ind w:left="540" w:right="120"/>
        <w:spacing w:after="0" w:line="282" w:lineRule="auto"/>
        <w:rPr>
          <w:sz w:val="20"/>
          <w:szCs w:val="20"/>
          <w:color w:val="auto"/>
        </w:rPr>
      </w:pPr>
      <w:r>
        <w:rPr>
          <w:rFonts w:ascii="Times New Roman" w:cs="Times New Roman" w:eastAsia="Times New Roman" w:hAnsi="Times New Roman"/>
          <w:sz w:val="18"/>
          <w:szCs w:val="18"/>
          <w:color w:val="auto"/>
        </w:rPr>
        <w:t>All of the Company’s financial assets are measured at amortized costs. The fair value of the financial assets and financial liabilities that are measured at amortized costs is close or identical to their book value.</w:t>
      </w:r>
    </w:p>
    <w:p>
      <w:pPr>
        <w:spacing w:after="0" w:line="54" w:lineRule="exact"/>
        <w:rPr>
          <w:sz w:val="20"/>
          <w:szCs w:val="20"/>
          <w:color w:val="auto"/>
        </w:rPr>
      </w:pPr>
    </w:p>
    <w:p>
      <w:pPr>
        <w:ind w:left="540" w:right="100"/>
        <w:spacing w:after="0" w:line="266" w:lineRule="auto"/>
        <w:rPr>
          <w:sz w:val="20"/>
          <w:szCs w:val="20"/>
          <w:color w:val="auto"/>
        </w:rPr>
      </w:pPr>
      <w:r>
        <w:rPr>
          <w:rFonts w:ascii="Times New Roman" w:cs="Times New Roman" w:eastAsia="Times New Roman" w:hAnsi="Times New Roman"/>
          <w:sz w:val="18"/>
          <w:szCs w:val="18"/>
          <w:color w:val="auto"/>
        </w:rPr>
        <w:t>The Company prepared a valuation of the financial liabilities presented above (a Level 3 valuation). The debt component of the convertible loans was valued based on the discounting of future payments of the debt. The convertible components (conversion option to the Company’s ordinary shares) were valued based on a combination of the Probability-Weighted Expected Return Method and Back Solve option pricing method model.</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2720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1" w:name="page212"/>
    <w:bookmarkEnd w:id="211"/>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7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NOTES TO CONDENSED INTERIM FINANCIAL STATEMENTS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FINANCIAL RISK MANAGEMENTAND FINANCIAL INSTRUMENTS: (Continued)</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 of September 30, 2017, the valuation of the Company’s financial liabilities was based on the market approach and used a price per share of</w:t>
      </w:r>
    </w:p>
    <w:p>
      <w:pPr>
        <w:spacing w:after="0" w:line="27" w:lineRule="exact"/>
        <w:rPr>
          <w:sz w:val="20"/>
          <w:szCs w:val="20"/>
          <w:color w:val="auto"/>
        </w:rPr>
      </w:pPr>
    </w:p>
    <w:p>
      <w:pPr>
        <w:ind w:left="540" w:right="380"/>
        <w:spacing w:after="0" w:line="261" w:lineRule="auto"/>
        <w:rPr>
          <w:sz w:val="20"/>
          <w:szCs w:val="20"/>
          <w:color w:val="auto"/>
        </w:rPr>
      </w:pPr>
      <w:r>
        <w:rPr>
          <w:rFonts w:ascii="Times New Roman" w:cs="Times New Roman" w:eastAsia="Times New Roman" w:hAnsi="Times New Roman"/>
          <w:sz w:val="18"/>
          <w:szCs w:val="18"/>
          <w:color w:val="auto"/>
        </w:rPr>
        <w:t>$908.78 per preferred B shares from the Company’s preferred share issuance in October 2017 (see Note 9(a)) as a basis for fair market value. The following parameters were used: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0" w:type="dxa"/>
            <w:vAlign w:val="bottom"/>
          </w:tcPr>
          <w:p>
            <w:pPr>
              <w:spacing w:after="0"/>
              <w:rPr>
                <w:sz w:val="14"/>
                <w:szCs w:val="14"/>
                <w:color w:val="auto"/>
              </w:rPr>
            </w:pPr>
          </w:p>
        </w:tc>
        <w:tc>
          <w:tcPr>
            <w:tcW w:w="14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1000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
        </w:trPr>
        <w:tc>
          <w:tcPr>
            <w:tcW w:w="100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10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Preferred B price per share</w:t>
            </w:r>
          </w:p>
        </w:tc>
        <w:tc>
          <w:tcPr>
            <w:tcW w:w="14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$908.78</w:t>
            </w:r>
          </w:p>
        </w:tc>
      </w:tr>
      <w:tr>
        <w:trPr>
          <w:trHeight w:val="257"/>
        </w:trPr>
        <w:tc>
          <w:tcPr>
            <w:tcW w:w="10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Volatility</w:t>
            </w:r>
          </w:p>
        </w:tc>
        <w:tc>
          <w:tcPr>
            <w:tcW w:w="14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65%</w:t>
            </w:r>
          </w:p>
        </w:tc>
      </w:tr>
      <w:tr>
        <w:trPr>
          <w:trHeight w:val="257"/>
        </w:trPr>
        <w:tc>
          <w:tcPr>
            <w:tcW w:w="10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Probability of entering Phase 2b/3 for Hypo</w:t>
            </w:r>
          </w:p>
        </w:tc>
        <w:tc>
          <w:tcPr>
            <w:tcW w:w="14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70%</w:t>
            </w:r>
          </w:p>
        </w:tc>
      </w:tr>
      <w:tr>
        <w:trPr>
          <w:trHeight w:val="257"/>
        </w:trPr>
        <w:tc>
          <w:tcPr>
            <w:tcW w:w="10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Probability for IPO/shares registration</w:t>
            </w:r>
          </w:p>
        </w:tc>
        <w:tc>
          <w:tcPr>
            <w:tcW w:w="14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63461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259" w:lineRule="exact"/>
        <w:rPr>
          <w:sz w:val="20"/>
          <w:szCs w:val="20"/>
          <w:color w:val="auto"/>
        </w:rPr>
      </w:pPr>
    </w:p>
    <w:p>
      <w:pPr>
        <w:ind w:left="540" w:right="100"/>
        <w:spacing w:after="0" w:line="282" w:lineRule="auto"/>
        <w:rPr>
          <w:sz w:val="20"/>
          <w:szCs w:val="20"/>
          <w:color w:val="auto"/>
        </w:rPr>
      </w:pPr>
      <w:r>
        <w:rPr>
          <w:rFonts w:ascii="Times New Roman" w:cs="Times New Roman" w:eastAsia="Times New Roman" w:hAnsi="Times New Roman"/>
          <w:sz w:val="18"/>
          <w:szCs w:val="18"/>
          <w:color w:val="auto"/>
        </w:rPr>
        <w:t>For the purpose of calculating fair value of the Company’s equity and financial liabilities as of December 31, 2016 the Company prepared a valuation of the cash generating unit based on discounted cash flows (DCF). The following parameters were used: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40" w:type="dxa"/>
            <w:vAlign w:val="bottom"/>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10040" w:type="dxa"/>
            <w:vAlign w:val="bottom"/>
          </w:tcPr>
          <w:p>
            <w:pPr>
              <w:spacing w:after="0"/>
              <w:rPr>
                <w:sz w:val="16"/>
                <w:szCs w:val="16"/>
                <w:color w:val="auto"/>
              </w:rPr>
            </w:pPr>
          </w:p>
        </w:tc>
        <w:tc>
          <w:tcPr>
            <w:tcW w:w="13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6"/>
                <w:szCs w:val="16"/>
                <w:color w:val="auto"/>
              </w:rPr>
            </w:pPr>
          </w:p>
        </w:tc>
      </w:tr>
      <w:tr>
        <w:trPr>
          <w:trHeight w:val="24"/>
        </w:trPr>
        <w:tc>
          <w:tcPr>
            <w:tcW w:w="100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50"/>
        </w:trPr>
        <w:tc>
          <w:tcPr>
            <w:tcW w:w="10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WACC</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21"/>
                <w:szCs w:val="21"/>
                <w:color w:val="auto"/>
              </w:rPr>
            </w:pPr>
          </w:p>
        </w:tc>
      </w:tr>
      <w:tr>
        <w:trPr>
          <w:trHeight w:val="257"/>
        </w:trPr>
        <w:tc>
          <w:tcPr>
            <w:tcW w:w="10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Value of equity</w:t>
            </w:r>
          </w:p>
        </w:tc>
        <w:tc>
          <w:tcPr>
            <w:tcW w:w="13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$71 million</w:t>
            </w:r>
          </w:p>
        </w:tc>
      </w:tr>
      <w:tr>
        <w:trPr>
          <w:trHeight w:val="257"/>
        </w:trPr>
        <w:tc>
          <w:tcPr>
            <w:tcW w:w="10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Volatility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shd w:val="clear" w:color="auto" w:fill="CCEEFF"/>
          </w:tcPr>
          <w:p>
            <w:pPr>
              <w:spacing w:after="0"/>
              <w:rPr>
                <w:sz w:val="22"/>
                <w:szCs w:val="22"/>
                <w:color w:val="auto"/>
              </w:rPr>
            </w:pPr>
          </w:p>
        </w:tc>
      </w:tr>
      <w:tr>
        <w:trPr>
          <w:trHeight w:val="257"/>
        </w:trPr>
        <w:tc>
          <w:tcPr>
            <w:tcW w:w="10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Commencement of sales</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2021 – 2025</w:t>
            </w:r>
          </w:p>
        </w:tc>
      </w:tr>
      <w:tr>
        <w:trPr>
          <w:trHeight w:val="257"/>
        </w:trPr>
        <w:tc>
          <w:tcPr>
            <w:tcW w:w="10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Probability of entering Phase 2b/3 for Hypo</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shd w:val="clear" w:color="auto" w:fill="CCEEFF"/>
          </w:tcPr>
          <w:p>
            <w:pPr>
              <w:spacing w:after="0"/>
              <w:rPr>
                <w:sz w:val="22"/>
                <w:szCs w:val="22"/>
                <w:color w:val="auto"/>
              </w:rPr>
            </w:pPr>
          </w:p>
        </w:tc>
      </w:tr>
      <w:tr>
        <w:trPr>
          <w:trHeight w:val="257"/>
        </w:trPr>
        <w:tc>
          <w:tcPr>
            <w:tcW w:w="10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Probability for IPO/shares registration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-985520</wp:posOffset>
            </wp:positionV>
            <wp:extent cx="724662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table below presents the movements in the financial liabilities during the nine months ended September 30, 2017 and 2016.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Liability to</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 purchase</w:t>
            </w:r>
          </w:p>
        </w:tc>
        <w:tc>
          <w:tcPr>
            <w:tcW w:w="320" w:type="dxa"/>
            <w:vAlign w:val="bottom"/>
          </w:tcPr>
          <w:p>
            <w:pPr>
              <w:spacing w:after="0"/>
              <w:rPr>
                <w:sz w:val="14"/>
                <w:szCs w:val="14"/>
                <w:color w:val="auto"/>
              </w:rPr>
            </w:pPr>
          </w:p>
        </w:tc>
        <w:tc>
          <w:tcPr>
            <w:tcW w:w="116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7"/>
              </w:rPr>
              <w:t>issue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6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 A</w:t>
            </w: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shares A and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 A</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and shares</w:t>
            </w:r>
          </w:p>
        </w:tc>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U.S. dollars in thousands</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2016</w:t>
            </w:r>
          </w:p>
        </w:tc>
        <w:tc>
          <w:tcPr>
            <w:tcW w:w="13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14,720</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11,031</w:t>
            </w:r>
          </w:p>
        </w:tc>
        <w:tc>
          <w:tcPr>
            <w:tcW w:w="16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4,800</w:t>
            </w:r>
          </w:p>
        </w:tc>
        <w:tc>
          <w:tcPr>
            <w:tcW w:w="148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273</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30,824</w:t>
            </w: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Maturity during period</w:t>
            </w:r>
          </w:p>
        </w:tc>
        <w:tc>
          <w:tcPr>
            <w:tcW w:w="13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(1,054)</w:t>
            </w: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13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6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w:t>
            </w:r>
          </w:p>
        </w:tc>
        <w:tc>
          <w:tcPr>
            <w:tcW w:w="500" w:type="dxa"/>
            <w:vAlign w:val="bottom"/>
            <w:gridSpan w:val="2"/>
          </w:tcPr>
          <w:p>
            <w:pPr>
              <w:spacing w:after="0"/>
              <w:rPr>
                <w:sz w:val="22"/>
                <w:szCs w:val="22"/>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1,899</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(2,190)</w:t>
            </w:r>
          </w:p>
        </w:tc>
        <w:tc>
          <w:tcPr>
            <w:tcW w:w="16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(77)</w:t>
            </w:r>
          </w:p>
        </w:tc>
        <w:tc>
          <w:tcPr>
            <w:tcW w:w="148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771</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0"/>
        </w:trPr>
        <w:tc>
          <w:tcPr>
            <w:tcW w:w="5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2017</w:t>
            </w: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vMerge w:val="continue"/>
            <w:shd w:val="clear" w:color="auto" w:fill="CCEEFF"/>
          </w:tcPr>
          <w:p>
            <w:pPr>
              <w:spacing w:after="0"/>
              <w:rPr>
                <w:sz w:val="22"/>
                <w:szCs w:val="22"/>
                <w:color w:val="auto"/>
              </w:rPr>
            </w:pPr>
          </w:p>
        </w:tc>
        <w:tc>
          <w:tcPr>
            <w:tcW w:w="500" w:type="dxa"/>
            <w:vAlign w:val="bottom"/>
            <w:gridSpan w:val="2"/>
            <w:shd w:val="clear" w:color="auto" w:fill="CCEEFF"/>
          </w:tcPr>
          <w:p>
            <w:pPr>
              <w:spacing w:after="0"/>
              <w:rPr>
                <w:sz w:val="22"/>
                <w:szCs w:val="22"/>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15,614</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8,841</w:t>
            </w:r>
          </w:p>
        </w:tc>
        <w:tc>
          <w:tcPr>
            <w:tcW w:w="16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4,723</w:t>
            </w:r>
          </w:p>
        </w:tc>
        <w:tc>
          <w:tcPr>
            <w:tcW w:w="148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1,044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30,222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2015</w:t>
            </w: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280" w:type="dxa"/>
            <w:vAlign w:val="bottom"/>
            <w:vMerge w:val="continue"/>
          </w:tcPr>
          <w:p>
            <w:pPr>
              <w:spacing w:after="0"/>
              <w:rPr>
                <w:sz w:val="24"/>
                <w:szCs w:val="24"/>
                <w:color w:val="auto"/>
              </w:rPr>
            </w:pPr>
          </w:p>
        </w:tc>
        <w:tc>
          <w:tcPr>
            <w:tcW w:w="13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8,053</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13,062</w:t>
            </w:r>
          </w:p>
        </w:tc>
        <w:tc>
          <w:tcPr>
            <w:tcW w:w="16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4,332</w:t>
            </w:r>
          </w:p>
        </w:tc>
        <w:tc>
          <w:tcPr>
            <w:tcW w:w="148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2,154</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27,601</w:t>
            </w: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during period</w:t>
            </w:r>
          </w:p>
        </w:tc>
        <w:tc>
          <w:tcPr>
            <w:tcW w:w="13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6,110</w:t>
            </w:r>
          </w:p>
        </w:tc>
        <w:tc>
          <w:tcPr>
            <w:tcW w:w="3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1,319</w:t>
            </w:r>
          </w:p>
        </w:tc>
        <w:tc>
          <w:tcPr>
            <w:tcW w:w="3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7,429</w:t>
            </w: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13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6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w:t>
            </w:r>
          </w:p>
        </w:tc>
        <w:tc>
          <w:tcPr>
            <w:tcW w:w="500" w:type="dxa"/>
            <w:vAlign w:val="bottom"/>
            <w:gridSpan w:val="2"/>
            <w:shd w:val="clear" w:color="auto" w:fill="CCEEFF"/>
          </w:tcPr>
          <w:p>
            <w:pPr>
              <w:spacing w:after="0"/>
              <w:rPr>
                <w:sz w:val="22"/>
                <w:szCs w:val="22"/>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(2,522)</w:t>
            </w:r>
          </w:p>
        </w:tc>
        <w:tc>
          <w:tcPr>
            <w:tcW w:w="16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(796)</w:t>
            </w:r>
          </w:p>
        </w:tc>
        <w:tc>
          <w:tcPr>
            <w:tcW w:w="14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(521)</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(3,917)</w:t>
            </w: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2016</w:t>
            </w:r>
          </w:p>
        </w:tc>
        <w:tc>
          <w:tcPr>
            <w:tcW w:w="500" w:type="dxa"/>
            <w:vAlign w:val="bottom"/>
            <w:gridSpan w:val="2"/>
          </w:tcPr>
          <w:p>
            <w:pPr>
              <w:spacing w:after="0"/>
              <w:rPr>
                <w:sz w:val="22"/>
                <w:szCs w:val="22"/>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14,172</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10,540</w:t>
            </w:r>
          </w:p>
        </w:tc>
        <w:tc>
          <w:tcPr>
            <w:tcW w:w="16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4,855</w:t>
            </w:r>
          </w:p>
        </w:tc>
        <w:tc>
          <w:tcPr>
            <w:tcW w:w="148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1,633</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31,200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F-37</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-1714500</wp:posOffset>
            </wp:positionV>
            <wp:extent cx="1028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-1714500</wp:posOffset>
            </wp:positionV>
            <wp:extent cx="682625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-2503805</wp:posOffset>
            </wp:positionV>
            <wp:extent cx="13716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-2503805</wp:posOffset>
            </wp:positionV>
            <wp:extent cx="13716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-2503805</wp:posOffset>
            </wp:positionV>
            <wp:extent cx="13716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-2503805</wp:posOffset>
            </wp:positionV>
            <wp:extent cx="13716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2" w:name="page213"/>
    <w:bookmarkEnd w:id="212"/>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7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NOTES TO CONDENSED INTERIM FINANCIAL STATEMENTS</w:t>
      </w:r>
    </w:p>
    <w:p>
      <w:pPr>
        <w:jc w:val="center"/>
        <w:ind w:right="-339"/>
        <w:spacing w:after="0"/>
        <w:rPr>
          <w:sz w:val="20"/>
          <w:szCs w:val="20"/>
          <w:color w:val="auto"/>
        </w:rPr>
      </w:pPr>
      <w:r>
        <w:rPr>
          <w:rFonts w:ascii="Times New Roman" w:cs="Times New Roman" w:eastAsia="Times New Roman" w:hAnsi="Times New Roman"/>
          <w:sz w:val="22"/>
          <w:szCs w:val="22"/>
          <w:color w:val="auto"/>
        </w:rPr>
        <w:t>(UNAUDITED)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SHARE BASED COMPENSATION:</w:t>
      </w:r>
    </w:p>
    <w:p>
      <w:pPr>
        <w:spacing w:after="0" w:line="135" w:lineRule="exact"/>
        <w:rPr>
          <w:sz w:val="20"/>
          <w:szCs w:val="20"/>
          <w:color w:val="auto"/>
        </w:rPr>
      </w:pPr>
    </w:p>
    <w:p>
      <w:pPr>
        <w:ind w:left="540" w:right="380" w:hanging="352"/>
        <w:spacing w:after="0" w:line="282"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2017, the Company granted options to purchase 12 ordinary shares to a certain consultant, with an exercise price of par value (0.01 NIS). The options shall vest immediately. The fair value of the options at the date of grant was $12 thousand.</w:t>
      </w:r>
    </w:p>
    <w:p>
      <w:pPr>
        <w:spacing w:after="0" w:line="107" w:lineRule="exact"/>
        <w:rPr>
          <w:rFonts w:ascii="Times New Roman" w:cs="Times New Roman" w:eastAsia="Times New Roman" w:hAnsi="Times New Roman"/>
          <w:sz w:val="18"/>
          <w:szCs w:val="18"/>
          <w:color w:val="auto"/>
        </w:rPr>
      </w:pPr>
    </w:p>
    <w:p>
      <w:pPr>
        <w:jc w:val="both"/>
        <w:ind w:left="540" w:right="40" w:hanging="352"/>
        <w:spacing w:after="0" w:line="266"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6, 2017, the Company granted options to purchase 1,133 ordinary shares to a certain director, with an exercise price of $980. 1/3 of the options are vested on the grant date, 1/3 of the options shall vest on September 21, 2017 and the remaining shall vest on September 21, 2018. The fair value of the options at the date of grant is $574 thousand.</w:t>
      </w:r>
    </w:p>
    <w:p>
      <w:pPr>
        <w:spacing w:after="0" w:line="122" w:lineRule="exact"/>
        <w:rPr>
          <w:rFonts w:ascii="Times New Roman" w:cs="Times New Roman" w:eastAsia="Times New Roman" w:hAnsi="Times New Roman"/>
          <w:sz w:val="18"/>
          <w:szCs w:val="18"/>
          <w:color w:val="auto"/>
        </w:rPr>
      </w:pPr>
    </w:p>
    <w:p>
      <w:pPr>
        <w:ind w:left="540" w:right="40" w:hanging="352"/>
        <w:spacing w:after="0" w:line="253"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27, 2017, the board of directors approved the nomination of Mr. Luke Beshar as Executive chairman of the board and Dr. Roger Garceau as Chief Development Advisor. The nominations and the compensation were subject to shareholder approval that was received on April 6, 2017. According to the agreements with Mr. Luke Beshar, and Dr. Garceau, Mr. Beshar and Dr. Garceau will receive a monthly fees in the amount of $21,500 and $6,500, respectively. In addition upon the occurrence of a private placement or IPO, which are defined as a Triggering Event (“the Qualified Event”), Mr. Beshar and Dr. Garceau will be granted options to purchase ordinary shares of the Company representing 6.5% and 1.5%, respectively, of the Company’s share capital on a “fully diluted basis” as determined immediately following the Qualified Event, provided however, that if the amount of new funds actually received by the Company in a Qualified Event exceeds $10 million, then it shall be deemed for the purpose of calculating the “fully diluted basis” under this Agreement as if such amount is equal to $10 million (the “Contingent options”). The exercise price of the Options shall be equal to the per share fair market value of ordinary shares immediately following the Qualified Event. The Options will vest in 36 equal monthly installments over a period of 36 months, commencing as of the Commencement Date, and are subject to acceleration under certain circumstances as described in the service agreement. Following the completion of the Preferred B Financing the Company determined the amount of options to purchase ordinary shares of the Company to be granted to Mr. Beshar and Dr. Garceau of 6,970 and 1,608, respectively. See also Note 9(b)</w:t>
      </w:r>
    </w:p>
    <w:p>
      <w:pPr>
        <w:spacing w:after="0" w:line="80" w:lineRule="exact"/>
        <w:rPr>
          <w:rFonts w:ascii="Times New Roman" w:cs="Times New Roman" w:eastAsia="Times New Roman" w:hAnsi="Times New Roman"/>
          <w:sz w:val="18"/>
          <w:szCs w:val="18"/>
          <w:color w:val="auto"/>
        </w:rPr>
      </w:pPr>
    </w:p>
    <w:p>
      <w:pPr>
        <w:ind w:left="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treated the awards as performance-based awards. Given that the performance condition was probable as of September 30, 2017, the Company recognized expenses with respect to this grant.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CONVERTIBLE LOANS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February 2017, the Company repaid the amount of 1,054 thousand (including interest) with respect to the maturity of the 2015 convertible loan. With respect to the automatic conversion of the 2016 convertible loan see note 9(a).</w:t>
      </w: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0"/>
          </w:cols>
          <w:pgMar w:left="240" w:top="114" w:right="579" w:bottom="1440" w:gutter="0" w:footer="0" w:header="0"/>
        </w:sectPr>
      </w:pPr>
    </w:p>
    <w:bookmarkStart w:id="213" w:name="page214"/>
    <w:bookmarkEnd w:id="213"/>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7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NOTES TO CONDENSED INTERIM FINANCIAL STATEMENTS</w:t>
      </w:r>
    </w:p>
    <w:p>
      <w:pPr>
        <w:ind w:left="5000"/>
        <w:spacing w:after="0"/>
        <w:rPr>
          <w:sz w:val="20"/>
          <w:szCs w:val="20"/>
          <w:color w:val="auto"/>
        </w:rPr>
      </w:pPr>
      <w:r>
        <w:rPr>
          <w:rFonts w:ascii="Times New Roman" w:cs="Times New Roman" w:eastAsia="Times New Roman" w:hAnsi="Times New Roman"/>
          <w:sz w:val="22"/>
          <w:szCs w:val="22"/>
          <w:color w:val="auto"/>
        </w:rPr>
        <w:t>(UNAUDITED)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PREFERRED SHARES AND WARRANTS TO PREFERRED SHARES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20, 2017, the Centillion Series A preferred share purchase agreement was amended such that (i) the second milestone was extended to July 20, 2019,</w:t>
      </w:r>
    </w:p>
    <w:p>
      <w:pPr>
        <w:spacing w:after="0" w:line="27" w:lineRule="exact"/>
        <w:rPr>
          <w:sz w:val="20"/>
          <w:szCs w:val="20"/>
          <w:color w:val="auto"/>
        </w:rPr>
      </w:pPr>
    </w:p>
    <w:p>
      <w:pPr>
        <w:ind w:right="100" w:firstLine="8"/>
        <w:spacing w:after="0" w:line="261" w:lineRule="auto"/>
        <w:tabs>
          <w:tab w:leader="none" w:pos="26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milestone was deemed to include any transaction pursuant to which our shares will be listed for trading on NASDAQ, and (iii) the investment following the occurrence of the second milestone is optional to the holders of Series A preferred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BASIC AND DILUTED LOSS PER SHARE: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Basic loss (earnings) per share is calculated by dividing the result attributable to equity holders of the Company by the weighted average number of Ordinary Shares in issue during the period.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outstanding options, 2012 Convertible Loan and preferred shares A have been excluded from the calculation of the diluted loss per share for the</w:t>
      </w:r>
    </w:p>
    <w:p>
      <w:pPr>
        <w:spacing w:after="0" w:line="27" w:lineRule="exact"/>
        <w:rPr>
          <w:sz w:val="20"/>
          <w:szCs w:val="20"/>
          <w:color w:val="auto"/>
        </w:rPr>
      </w:pPr>
    </w:p>
    <w:p>
      <w:pPr>
        <w:jc w:val="both"/>
        <w:ind w:right="180"/>
        <w:spacing w:after="0" w:line="290" w:lineRule="auto"/>
        <w:rPr>
          <w:sz w:val="20"/>
          <w:szCs w:val="20"/>
          <w:color w:val="auto"/>
        </w:rPr>
      </w:pPr>
      <w:r>
        <w:rPr>
          <w:rFonts w:ascii="Times New Roman" w:cs="Times New Roman" w:eastAsia="Times New Roman" w:hAnsi="Times New Roman"/>
          <w:sz w:val="17"/>
          <w:szCs w:val="17"/>
          <w:color w:val="auto"/>
        </w:rPr>
        <w:t>nine months ended September 30, 2017 since their effect was anti-dilutive. The total number of ordinary shares related to the outstanding options, the 2012 Convertible Loan and preferred shares A excluded from the calculation of diluted loss per share was 24,495 for the nine months ended September 30, 2017.</w:t>
      </w:r>
    </w:p>
    <w:p>
      <w:pPr>
        <w:spacing w:after="0" w:line="49"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All outstanding options and preferred shares A have been excluded from the calculation of the diluted loss per share for the three months ended September 30, 2017 since their effect was anti-dilutive. The total number of ordinary shares related to the outstanding options and preferred shares A excluded from the calculation of diluted loss per share was 20,110 for the three months ended September 30, 2017.</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All outstanding options have been excluded from the calculation of the diluted loss per share for the nine months ended September 30, 2016 since their effect was anti-dilutive. The total number of ordinary shares related to the outstanding options excluded from the calculation of diluted loss per share was 7,930 for the nine months ended September 30, 2016.</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outstanding options, 2012 Convertible Loan, preferred shares A and warrants to preferred shares A have been excluded from the calculation of the diluted loss per share for the three months ended September 30, 2016 since their effect was anti-dilutive. The total number of ordinary shares related to the outstanding options, 2012 Convertible Loan, preferred shares A and warrants to preferred shares A excluded from the calculation of diluted loss per share was 26,002 for the nine months ended September 30, 2016.</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14" w:name="page215"/>
    <w:bookmarkEnd w:id="214"/>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7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NOTES TO CONDENSED INTERIM FINANCIAL STATEMENTS</w:t>
      </w:r>
    </w:p>
    <w:p>
      <w:pPr>
        <w:ind w:left="5000"/>
        <w:spacing w:after="0"/>
        <w:rPr>
          <w:sz w:val="20"/>
          <w:szCs w:val="20"/>
          <w:color w:val="auto"/>
        </w:rPr>
      </w:pPr>
      <w:r>
        <w:rPr>
          <w:rFonts w:ascii="Times New Roman" w:cs="Times New Roman" w:eastAsia="Times New Roman" w:hAnsi="Times New Roman"/>
          <w:sz w:val="22"/>
          <w:szCs w:val="22"/>
          <w:color w:val="auto"/>
        </w:rPr>
        <w:t>(UNAUDITED)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BASIC AND DILUTED LOSS PER SHARE: (Continued)</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2015 Convertible Loan, the 2016 Convertible Loan, warrants, liability to issue preferred shares A and contingent options are not taken into account in the diluted loss per share calculation for the nine months and the three months ended September 30, 2017 and September 30, 2016 as the conversion terms depend on future events.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3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6"/>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3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4"/>
        </w:trPr>
        <w:tc>
          <w:tcPr>
            <w:tcW w:w="6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3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6"/>
          </w:tcPr>
          <w:p>
            <w:pPr>
              <w:jc w:val="center"/>
              <w:ind w:right="660"/>
              <w:spacing w:after="0"/>
              <w:rPr>
                <w:sz w:val="20"/>
                <w:szCs w:val="20"/>
                <w:color w:val="auto"/>
              </w:rPr>
            </w:pPr>
            <w:r>
              <w:rPr>
                <w:rFonts w:ascii="Times New Roman" w:cs="Times New Roman" w:eastAsia="Times New Roman" w:hAnsi="Times New Roman"/>
                <w:sz w:val="14"/>
                <w:szCs w:val="14"/>
                <w:color w:val="auto"/>
              </w:rPr>
              <w:t>U.S. dollars</w:t>
            </w:r>
          </w:p>
        </w:tc>
        <w:tc>
          <w:tcPr>
            <w:tcW w:w="23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color w:val="auto"/>
              </w:rPr>
              <w:t>U.S. dollars</w:t>
            </w:r>
          </w:p>
        </w:tc>
        <w:tc>
          <w:tcPr>
            <w:tcW w:w="0" w:type="dxa"/>
            <w:vAlign w:val="bottom"/>
          </w:tcPr>
          <w:p>
            <w:pPr>
              <w:spacing w:after="0"/>
              <w:rPr>
                <w:sz w:val="1"/>
                <w:szCs w:val="1"/>
                <w:color w:val="auto"/>
              </w:rPr>
            </w:pPr>
          </w:p>
        </w:tc>
      </w:tr>
      <w:tr>
        <w:trPr>
          <w:trHeight w:val="162"/>
        </w:trPr>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jc w:val="center"/>
              <w:ind w:right="660"/>
              <w:spacing w:after="0"/>
              <w:rPr>
                <w:sz w:val="20"/>
                <w:szCs w:val="20"/>
                <w:color w:val="auto"/>
              </w:rPr>
            </w:pPr>
            <w:r>
              <w:rPr>
                <w:rFonts w:ascii="Times New Roman" w:cs="Times New Roman" w:eastAsia="Times New Roman" w:hAnsi="Times New Roman"/>
                <w:sz w:val="14"/>
                <w:szCs w:val="14"/>
                <w:color w:val="auto"/>
              </w:rPr>
              <w:t>(except for share</w:t>
            </w:r>
          </w:p>
        </w:tc>
        <w:tc>
          <w:tcPr>
            <w:tcW w:w="23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(except for share</w:t>
            </w:r>
          </w:p>
        </w:tc>
        <w:tc>
          <w:tcPr>
            <w:tcW w:w="0" w:type="dxa"/>
            <w:vAlign w:val="bottom"/>
          </w:tcPr>
          <w:p>
            <w:pPr>
              <w:spacing w:after="0"/>
              <w:rPr>
                <w:sz w:val="1"/>
                <w:szCs w:val="1"/>
                <w:color w:val="auto"/>
              </w:rPr>
            </w:pPr>
          </w:p>
        </w:tc>
      </w:tr>
      <w:tr>
        <w:trPr>
          <w:trHeight w:val="185"/>
        </w:trPr>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60" w:type="dxa"/>
            <w:vAlign w:val="bottom"/>
            <w:gridSpan w:val="5"/>
          </w:tcPr>
          <w:p>
            <w:pPr>
              <w:jc w:val="center"/>
              <w:ind w:right="1380"/>
              <w:spacing w:after="0"/>
              <w:rPr>
                <w:sz w:val="20"/>
                <w:szCs w:val="20"/>
                <w:color w:val="auto"/>
              </w:rPr>
            </w:pPr>
            <w:r>
              <w:rPr>
                <w:rFonts w:ascii="Times New Roman" w:cs="Times New Roman" w:eastAsia="Times New Roman" w:hAnsi="Times New Roman"/>
                <w:sz w:val="14"/>
                <w:szCs w:val="14"/>
                <w:color w:val="auto"/>
              </w:rPr>
              <w:t>numbers)</w:t>
            </w:r>
          </w:p>
        </w:tc>
        <w:tc>
          <w:tcPr>
            <w:tcW w:w="740" w:type="dxa"/>
            <w:vAlign w:val="bottom"/>
          </w:tcPr>
          <w:p>
            <w:pPr>
              <w:spacing w:after="0"/>
              <w:rPr>
                <w:sz w:val="16"/>
                <w:szCs w:val="16"/>
                <w:color w:val="auto"/>
              </w:rPr>
            </w:pPr>
          </w:p>
        </w:tc>
        <w:tc>
          <w:tcPr>
            <w:tcW w:w="1560" w:type="dxa"/>
            <w:vAlign w:val="bottom"/>
            <w:gridSpan w:val="4"/>
          </w:tcPr>
          <w:p>
            <w:pPr>
              <w:jc w:val="center"/>
              <w:ind w:right="980"/>
              <w:spacing w:after="0"/>
              <w:rPr>
                <w:sz w:val="20"/>
                <w:szCs w:val="20"/>
                <w:color w:val="auto"/>
              </w:rPr>
            </w:pPr>
            <w:r>
              <w:rPr>
                <w:rFonts w:ascii="Times New Roman" w:cs="Times New Roman" w:eastAsia="Times New Roman" w:hAnsi="Times New Roman"/>
                <w:sz w:val="14"/>
                <w:szCs w:val="14"/>
                <w:color w:val="auto"/>
              </w:rPr>
              <w:t>numbers)</w:t>
            </w:r>
          </w:p>
        </w:tc>
        <w:tc>
          <w:tcPr>
            <w:tcW w:w="0" w:type="dxa"/>
            <w:vAlign w:val="bottom"/>
          </w:tcPr>
          <w:p>
            <w:pPr>
              <w:spacing w:after="0"/>
              <w:rPr>
                <w:sz w:val="1"/>
                <w:szCs w:val="1"/>
                <w:color w:val="auto"/>
              </w:rPr>
            </w:pPr>
          </w:p>
        </w:tc>
      </w:tr>
      <w:tr>
        <w:trPr>
          <w:trHeight w:val="257"/>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equity holders of the Company</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7,422,000</w:t>
            </w:r>
          </w:p>
        </w:tc>
        <w:tc>
          <w:tcPr>
            <w:tcW w:w="1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342,000</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3,656,000</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1,738,000</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change in fair value of financial liabilities at fair value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728,000</w:t>
            </w: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4,369,000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994,000</w:t>
            </w:r>
          </w:p>
        </w:tc>
        <w:tc>
          <w:tcPr>
            <w:tcW w:w="600" w:type="dxa"/>
            <w:vAlign w:val="bottom"/>
          </w:tcPr>
          <w:p>
            <w:pPr>
              <w:spacing w:after="0"/>
              <w:rPr>
                <w:sz w:val="21"/>
                <w:szCs w:val="21"/>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used for the computation of diluted loss per share</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8,150,000</w:t>
            </w:r>
          </w:p>
        </w:tc>
        <w:tc>
          <w:tcPr>
            <w:tcW w:w="1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4,711,000</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4,650,000</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1,738,000</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used in the computation of basic loss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34,544</w:t>
            </w: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34,396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34,544</w:t>
            </w:r>
          </w:p>
        </w:tc>
        <w:tc>
          <w:tcPr>
            <w:tcW w:w="15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34,396</w:t>
            </w:r>
          </w:p>
        </w:tc>
        <w:tc>
          <w:tcPr>
            <w:tcW w:w="0" w:type="dxa"/>
            <w:vAlign w:val="bottom"/>
          </w:tcPr>
          <w:p>
            <w:pPr>
              <w:spacing w:after="0"/>
              <w:rPr>
                <w:sz w:val="1"/>
                <w:szCs w:val="1"/>
                <w:color w:val="auto"/>
              </w:rPr>
            </w:pPr>
          </w:p>
        </w:tc>
      </w:tr>
      <w:tr>
        <w:trPr>
          <w:trHeight w:val="371"/>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760" w:type="dxa"/>
            <w:vAlign w:val="bottom"/>
            <w:tcBorders>
              <w:right w:val="single" w:sz="8" w:color="CCEEFF"/>
            </w:tcBorders>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additional shares issuable upon the assumed</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conversion of: 2012 convertible loan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4,786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60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 A</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10,222</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Warrants to issue preferred shares 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6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2,554</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600" w:type="dxa"/>
            <w:vAlign w:val="bottom"/>
          </w:tcPr>
          <w:p>
            <w:pPr>
              <w:spacing w:after="0"/>
              <w:rPr>
                <w:sz w:val="22"/>
                <w:szCs w:val="22"/>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6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17,562</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6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4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used in the computation of diluted</w:t>
            </w:r>
          </w:p>
        </w:tc>
        <w:tc>
          <w:tcPr>
            <w:tcW w:w="760" w:type="dxa"/>
            <w:vAlign w:val="bottom"/>
            <w:tcBorders>
              <w:top w:val="single" w:sz="8" w:color="auto"/>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per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37,098</w:t>
            </w: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51,958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41,884</w:t>
            </w:r>
          </w:p>
        </w:tc>
        <w:tc>
          <w:tcPr>
            <w:tcW w:w="15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34,396</w:t>
            </w:r>
          </w:p>
        </w:tc>
        <w:tc>
          <w:tcPr>
            <w:tcW w:w="0" w:type="dxa"/>
            <w:vAlign w:val="bottom"/>
          </w:tcPr>
          <w:p>
            <w:pPr>
              <w:spacing w:after="0"/>
              <w:rPr>
                <w:sz w:val="1"/>
                <w:szCs w:val="1"/>
                <w:color w:val="auto"/>
              </w:rPr>
            </w:pPr>
          </w:p>
        </w:tc>
      </w:tr>
      <w:tr>
        <w:trPr>
          <w:trHeight w:val="67"/>
        </w:trPr>
        <w:tc>
          <w:tcPr>
            <w:tcW w:w="618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Ordinary Share</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214.86</w:t>
            </w:r>
          </w:p>
        </w:tc>
        <w:tc>
          <w:tcPr>
            <w:tcW w:w="6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loss per Ordinary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219.69</w:t>
            </w: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90.67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50.53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7105650</wp:posOffset>
            </wp:positionH>
            <wp:positionV relativeFrom="paragraph">
              <wp:posOffset>-891540</wp:posOffset>
            </wp:positionV>
            <wp:extent cx="14605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-891540</wp:posOffset>
            </wp:positionV>
            <wp:extent cx="3943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578040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780405"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-2237740</wp:posOffset>
            </wp:positionV>
            <wp:extent cx="14605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-2237740</wp:posOffset>
            </wp:positionV>
            <wp:extent cx="39433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-2237740</wp:posOffset>
            </wp:positionV>
            <wp:extent cx="578040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780405"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-2915285</wp:posOffset>
            </wp:positionV>
            <wp:extent cx="10287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-2915285</wp:posOffset>
            </wp:positionV>
            <wp:extent cx="10287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148" w:lineRule="exact"/>
        <w:rPr>
          <w:sz w:val="20"/>
          <w:szCs w:val="20"/>
          <w:color w:val="auto"/>
        </w:rPr>
      </w:pPr>
    </w:p>
    <w:p>
      <w:pPr>
        <w:ind w:left="540" w:right="440" w:hanging="352"/>
        <w:spacing w:after="0" w:line="258" w:lineRule="auto"/>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2017, the Company entered into a Series B preferred share purchase agreement (the “Preferred B Financing ”), with certain investors, including D.N.A and Centillion (together, the “Investors”), at a price per share of $908.78, for an aggregate purchase price of $12.4 million (a total amount of $1.575 million on account of Series B preferred share was received by September 30, 2017). Pursuant to the terms of the Series B preferred share purchase agreement, the Company issued and sold to the Investors 13,621 Series B Preferred shares. Three other related parties participated in the Preferred B Financing and purchased 130 Series B preferred shares in an aggregate amount of $118,268.</w:t>
      </w:r>
    </w:p>
    <w:p>
      <w:pPr>
        <w:spacing w:after="0" w:line="75" w:lineRule="exact"/>
        <w:rPr>
          <w:rFonts w:ascii="Times New Roman" w:cs="Times New Roman" w:eastAsia="Times New Roman" w:hAnsi="Times New Roman"/>
          <w:sz w:val="18"/>
          <w:szCs w:val="18"/>
          <w:color w:val="auto"/>
        </w:rPr>
      </w:pPr>
    </w:p>
    <w:p>
      <w:pPr>
        <w:ind w:left="5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issued to a broker dealer that served as placement agent, a warrant to purchase up to 460 Series B preferred shares, at a price of $908.78 per share.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5" w:name="page216"/>
    <w:bookmarkEnd w:id="215"/>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17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NOTES TO CONDENSED INTERIM FINANCIAL STATEMENTS</w:t>
      </w:r>
    </w:p>
    <w:p>
      <w:pPr>
        <w:jc w:val="center"/>
        <w:ind w:right="-119"/>
        <w:spacing w:after="0"/>
        <w:rPr>
          <w:sz w:val="20"/>
          <w:szCs w:val="20"/>
          <w:color w:val="auto"/>
        </w:rPr>
      </w:pPr>
      <w:r>
        <w:rPr>
          <w:rFonts w:ascii="Times New Roman" w:cs="Times New Roman" w:eastAsia="Times New Roman" w:hAnsi="Times New Roman"/>
          <w:sz w:val="22"/>
          <w:szCs w:val="22"/>
          <w:color w:val="auto"/>
        </w:rPr>
        <w:t>(UNAUDITED)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SUBSEQUENT EVENTS: (Continued)</w:t>
      </w:r>
    </w:p>
    <w:p>
      <w:pPr>
        <w:spacing w:after="0" w:line="202"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8"/>
          <w:szCs w:val="18"/>
          <w:color w:val="auto"/>
        </w:rPr>
        <w:t>The Preferred B Financing constitutes a Triggering Event as defined in the 2016 Convertible Loan and as a result, the entire loan amount under the 2016 Convertible Loan, together with accrued interest in the amount of $9.0 million, was automatically converted into 13,229 Series B-1 preferred shares at a price per share of $681.585. The rights of the Series B-1 preferred shares are identical in all respects (other than the price per share) to the Series B preferred shares. As part of the automatic conversion of the 2016 Convertible Loans, four related parties were issued 1,834 Series B-1 preferred shares, and their 2016 warrants now relate to 733 shares.</w:t>
      </w:r>
    </w:p>
    <w:p>
      <w:pPr>
        <w:spacing w:after="0" w:line="76" w:lineRule="exact"/>
        <w:rPr>
          <w:sz w:val="20"/>
          <w:szCs w:val="20"/>
          <w:color w:val="auto"/>
        </w:rPr>
      </w:pPr>
    </w:p>
    <w:p>
      <w:pPr>
        <w:ind w:left="540" w:right="80"/>
        <w:spacing w:after="0" w:line="266" w:lineRule="auto"/>
        <w:rPr>
          <w:sz w:val="20"/>
          <w:szCs w:val="20"/>
          <w:color w:val="auto"/>
        </w:rPr>
      </w:pPr>
      <w:r>
        <w:rPr>
          <w:rFonts w:ascii="Times New Roman" w:cs="Times New Roman" w:eastAsia="Times New Roman" w:hAnsi="Times New Roman"/>
          <w:sz w:val="18"/>
          <w:szCs w:val="18"/>
          <w:color w:val="auto"/>
        </w:rPr>
        <w:t>In addition, additional warrants that the Company previously issued in connection with the second amendment to the Centillion preferred share purchase agreement and the first amendment to the additional preferred share purchase agreements with certain other preferred shareholders became warrants to purchase Series B-1 preferred shares at an exercise price of $681.585.</w:t>
      </w:r>
    </w:p>
    <w:p>
      <w:pPr>
        <w:spacing w:after="0" w:line="122" w:lineRule="exact"/>
        <w:rPr>
          <w:sz w:val="20"/>
          <w:szCs w:val="20"/>
          <w:color w:val="auto"/>
        </w:rPr>
      </w:pPr>
    </w:p>
    <w:p>
      <w:pPr>
        <w:ind w:left="540" w:right="620" w:hanging="352"/>
        <w:spacing w:after="0" w:line="289" w:lineRule="auto"/>
        <w:tabs>
          <w:tab w:leader="none" w:pos="54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completion of the Preferred B Financing the Company determined the amount of options to purchase ordinary shares of the Company to be granted to Mr. Beshar and Dr. Garceau of 6,970 and 1,608, respectively. The exercise price of the options is $820 determined based on an external valuation and approved by the board of directors of the company on November 10, 2017. See also note 5(c).</w:t>
      </w:r>
    </w:p>
    <w:p>
      <w:pPr>
        <w:spacing w:after="0" w:line="104" w:lineRule="exact"/>
        <w:rPr>
          <w:rFonts w:ascii="Times New Roman" w:cs="Times New Roman" w:eastAsia="Times New Roman" w:hAnsi="Times New Roman"/>
          <w:sz w:val="17"/>
          <w:szCs w:val="17"/>
          <w:color w:val="auto"/>
        </w:rPr>
      </w:pPr>
    </w:p>
    <w:p>
      <w:pPr>
        <w:ind w:left="540" w:right="400" w:hanging="352"/>
        <w:spacing w:after="0" w:line="261" w:lineRule="auto"/>
        <w:tabs>
          <w:tab w:leader="none" w:pos="5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Emisphere Technologies, Inc., or Emisphere, has notified the Company that it believes that it is the exclusive owner of certain U.S. and related foreign patents and patent applications the Company acquired from Oramed Ltd. Emisphere has not initiated a legal proceeding as of the date of this filing. The matter is still in its early stages. If Emisphere were to initiate a legal proceeding, the Company would vigorously defend against such claim.</w:t>
      </w:r>
    </w:p>
    <w:p>
      <w:pPr>
        <w:spacing w:after="0" w:line="126" w:lineRule="exact"/>
        <w:rPr>
          <w:rFonts w:ascii="Times New Roman" w:cs="Times New Roman" w:eastAsia="Times New Roman" w:hAnsi="Times New Roman"/>
          <w:sz w:val="18"/>
          <w:szCs w:val="18"/>
          <w:b w:val="1"/>
          <w:bCs w:val="1"/>
          <w:color w:val="auto"/>
        </w:rPr>
      </w:pPr>
    </w:p>
    <w:p>
      <w:pPr>
        <w:ind w:left="540" w:right="360" w:hanging="352"/>
        <w:spacing w:after="0" w:line="261" w:lineRule="auto"/>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15, 2017, the Company granted 2,750, 1,100, 700 and 100 options to purchase ordinary shares to its CEO, COO, CFO and a certain director, respectively, with an exercise price of $820 per ordinary share. The options to the CEO, COO and CFO shall vest over a 4-year period, in sixteen equal quarterly installments. The options granted to a certain director are fully exercisable at the date of grant. The options can be exercised for six years from the date of grant.</w:t>
      </w: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14" w:right="339" w:bottom="1440" w:gutter="0" w:footer="0" w:header="0"/>
        </w:sectPr>
      </w:pPr>
    </w:p>
    <w:bookmarkStart w:id="216" w:name="page217"/>
    <w:bookmarkEnd w:id="216"/>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1457960</wp:posOffset>
            </wp:positionV>
            <wp:extent cx="2160905" cy="13379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60905" cy="13379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260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2466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3962400</wp:posOffset>
            </wp:positionV>
            <wp:extent cx="247840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125095</wp:posOffset>
            </wp:positionV>
            <wp:extent cx="247840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Oppenheimer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871220</wp:posOffset>
            </wp:positionV>
            <wp:extent cx="72466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b w:val="1"/>
          <w:bCs w:val="1"/>
          <w:color w:val="auto"/>
        </w:rPr>
        <w:t>Until , 2018 (the 25</w:t>
      </w:r>
      <w:r>
        <w:rPr>
          <w:rFonts w:ascii="Times New Roman" w:cs="Times New Roman" w:eastAsia="Times New Roman" w:hAnsi="Times New Roman"/>
          <w:sz w:val="27"/>
          <w:szCs w:val="27"/>
          <w:b w:val="1"/>
          <w:bCs w:val="1"/>
          <w:color w:val="auto"/>
          <w:vertAlign w:val="superscript"/>
        </w:rPr>
        <w:t>th</w:t>
      </w:r>
      <w:r>
        <w:rPr>
          <w:rFonts w:ascii="Times New Roman" w:cs="Times New Roman" w:eastAsia="Times New Roman" w:hAnsi="Times New Roman"/>
          <w:sz w:val="18"/>
          <w:szCs w:val="18"/>
          <w:b w:val="1"/>
          <w:bCs w:val="1"/>
          <w:color w:val="auto"/>
        </w:rPr>
        <w:t xml:space="preserve">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260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494665</wp:posOffset>
            </wp:positionV>
            <wp:extent cx="72720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80"/>
          </w:cols>
          <w:pgMar w:left="240" w:top="114" w:right="679" w:bottom="1440" w:gutter="0" w:footer="0" w:header="0"/>
        </w:sectPr>
      </w:pPr>
    </w:p>
    <w:bookmarkStart w:id="217" w:name="page218"/>
    <w:bookmarkEnd w:id="217"/>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FC0014"/>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[Alternate Page for Selling Stockholder Resale Prospectus]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C0014"/>
        </w:rPr>
        <w:t>PROSPECTUS (Subject to Completion)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C0014"/>
        </w:rPr>
        <w:t>Dated January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64770</wp:posOffset>
            </wp:positionV>
            <wp:extent cx="2160905" cy="13379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6090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116840</wp:posOffset>
            </wp:positionV>
            <wp:extent cx="172402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6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prospectus relates to the offer for sale of 984,500 ordinary shares by the existing holders of the securities named in this prospectus, referred to as selling shareholders throughout this prospectus. We will not receive any of the proceeds from the sale of ordinary shares by the selling shareholders named in this prospectus.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distribution of securities offered hereby may be effected in one or more transactions that may take place on the NASDAQ Capital Market, including ordinary brokers’ transactions, privately negotiated transactions or through sales to one or more dealers for resale of such securities as principals, at market prices prevailing at the time of sale, at prices related to such prevailing market prices or at negotiated prices. Usual and customary or specifically negotiated brokerage fees or commissions may be paid by the selling shareholders. No sales of the shares covered by this prospectus shall occur until the ordinary shares sold in our initial public offering begin trading on the NASDAQ Capital Market. Currently, there is no public market for our ordinary shares. We have applied to list our ordinary shares on the NASDAQ Capital Market under the symbol “ENTX”.</w:t>
      </w:r>
    </w:p>
    <w:p>
      <w:pPr>
        <w:spacing w:after="0" w:line="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selling shareholders and intermediaries through whom such securities are sold may be deemed “underwriters” within the meaning of the Securities Act of 1933, as amended (the Securities Act), with respect to the securities offered hereby, and any profits realized or commissions received may be deemed underwriting compensation.</w:t>
      </w:r>
    </w:p>
    <w:p>
      <w:pPr>
        <w:spacing w:after="0" w:line="68"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On , 2018, a registration statement under the Securities Act with respect to our initial public offering underwritten by Oppenheimer &amp; Co. Inc., as the underwriter of ordinary shares at a $ per share initial public offering price was declared effective by the Securities and Exchange Commission. We received approximately $ million in net proceeds from the offering (assuming no exercise of the underwriters’ over-allotment option)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payment of underwriting discounts and commissions and estimated expenses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117475</wp:posOffset>
            </wp:positionV>
            <wp:extent cx="172402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6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in the Jumpstart Our Business Startups Act and will therefore be subject to reduced reporting requirements.</w:t>
      </w:r>
    </w:p>
    <w:p>
      <w:pPr>
        <w:spacing w:after="0" w:line="51"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Investing in our ordinary shares involves risks. See “Risk Factors” beginning on page </w:t>
      </w:r>
      <w:hyperlink w:anchor="page17">
        <w:r>
          <w:rPr>
            <w:rFonts w:ascii="Times New Roman" w:cs="Times New Roman" w:eastAsia="Times New Roman" w:hAnsi="Times New Roman"/>
            <w:sz w:val="18"/>
            <w:szCs w:val="18"/>
            <w:u w:val="single" w:color="auto"/>
            <w:color w:val="0000EE"/>
          </w:rPr>
          <w:t>13</w:t>
        </w:r>
      </w:hyperlink>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95250</wp:posOffset>
            </wp:positionV>
            <wp:extent cx="172402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 2018</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2720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8" w:name="page219"/>
    <w:bookmarkEnd w:id="218"/>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[Alternate Page for Selling Stockholder Resale Prospectus]</w:t>
      </w:r>
    </w:p>
    <w:p>
      <w:pPr>
        <w:spacing w:after="0" w:line="2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SHARES REGISTERED FOR RESALE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Holders of 6,384,304 ordinary shares are entitled to various rights with respect to the registration of these shares under the Securities Act. Registration of these shares would result in these shares becoming freely tradable without restriction under the Securities Act immediately upon the registered sale of such securities.</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Demand Registration Rights</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the investors’ rights agreement, at any time beginning 180 days after the closing of the primary offering of our ordinary shares and for so long as we are eligible to file a registration statement on Form F-3, any shareholder or group of shareholders holding an aggregate of at least 10% of the registrable securities under the investors’ rights agreement that are held by shareholders other than D.N.A Biomedical, may request in writing that we effect the registration under the Securities Act of the sale or other transfer of such shareholder or shareholders’ ordinary shares, provided that we are not required to effect more than three such registrations.</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Form F-3 Registration Statement</w:t>
      </w:r>
    </w:p>
    <w:p>
      <w:pPr>
        <w:spacing w:after="0" w:line="1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After we become eligible to file a registration statement on Form F-3, which will not be until at least 12 months after the date of this prospectus, any shareholder or group of shareholders holding an aggregate of at least 10% of the registrable securities under the investors’ rights agreement that are held by shareholders other than D.N.A Biomedical may request in writing that we effect a registration of the sale or other transfer of such shares, provided that the aggregate anticipated proceeds from the sale of such shares equals at least $1.0 million and that we are not required to effect more than three such registrations.</w:t>
      </w:r>
    </w:p>
    <w:p>
      <w:pPr>
        <w:spacing w:after="0" w:line="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will not be obligated to file a registration statement on Form F-3 in certain cases including if in the good faith judgment of our board of directors (as reflected in a certificate delivered by our chief executive officer), such registration would be seriously detrimental to our company or its shareholders, provided that we do not use this exemption more than once in any 12-month period. We also have the right not to effect a Form F-3 registration statement during the period from 60 days prior to the filing of, to six months following the effective date of, a previous registration.</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investors’ rights agreement also provides our shareholders with “piggy back” registration rights in the event that we determine to register the sale of any of our securities following a primary offering of our ordinary shares.</w:t>
      </w:r>
    </w:p>
    <w:p>
      <w:pPr>
        <w:spacing w:after="0" w:line="1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our ordinary shares by the selling shareholders named in this prospectus. All proceeds from the sale of the conversion shares will be paid directly to the selling shareholders.</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ALT-2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 w:right="359" w:bottom="1440" w:gutter="0" w:footer="0" w:header="0"/>
        </w:sectPr>
      </w:pPr>
    </w:p>
    <w:bookmarkStart w:id="219" w:name="page220"/>
    <w:bookmarkEnd w:id="219"/>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[Alternate Page for Selling Stockholder Resale Prospectus]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SELLING SHAREHOLDERS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aggregate of up to 984,500 ordinary shares are currently being offered under this prospectus by certain shareholders.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each selling shareholder for whom we are registering ordinary shares for resale to the public. The selling shareholders have not had a material relationship with us within the past three years other than as described in the footnotes to the table below. To our knowledge, each person named in the table has sole voting and investment power with respect to the ordinary shares set forth opposite such person’s name. None of the selling shareholders are broker-dealers or affiliates of broker-dealers, unless otherwise noted.</w:t>
      </w:r>
    </w:p>
    <w:p>
      <w:pPr>
        <w:spacing w:after="0" w:line="7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Securities and Exchange Commission. The percentage of shares beneficially owned after the offering is based on ordinary shares 11,897,252 to be outstanding after our initial public offering, including 5,000,000 ordinary shares sold in our initial public offering.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3"/>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Owned Prior to Offering(1)</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Owned After Offering(1)</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 Being</w:t>
            </w: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5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27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Point Ltd.(2)</w:t>
            </w:r>
          </w:p>
        </w:tc>
        <w:tc>
          <w:tcPr>
            <w:tcW w:w="12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813,913</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495,293</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318,620</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7"/>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D.N.A Biomedical Solutions Ltd(3)</w:t>
            </w: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2,803,498</w:t>
            </w:r>
          </w:p>
        </w:tc>
        <w:tc>
          <w:tcPr>
            <w:tcW w:w="220" w:type="dxa"/>
            <w:vAlign w:val="bottom"/>
          </w:tcPr>
          <w:p>
            <w:pPr>
              <w:spacing w:after="0"/>
              <w:rPr>
                <w:sz w:val="22"/>
                <w:szCs w:val="22"/>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Pr>
          <w:p>
            <w:pPr>
              <w:spacing w:after="0"/>
              <w:rPr>
                <w:sz w:val="22"/>
                <w:szCs w:val="22"/>
                <w:color w:val="auto"/>
              </w:rPr>
            </w:pPr>
          </w:p>
        </w:tc>
        <w:tc>
          <w:tcPr>
            <w:tcW w:w="126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406,688</w:t>
            </w:r>
          </w:p>
        </w:tc>
        <w:tc>
          <w:tcPr>
            <w:tcW w:w="220" w:type="dxa"/>
            <w:vAlign w:val="bottom"/>
          </w:tcPr>
          <w:p>
            <w:pPr>
              <w:spacing w:after="0"/>
              <w:rPr>
                <w:sz w:val="22"/>
                <w:szCs w:val="22"/>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2,396,810</w:t>
            </w:r>
          </w:p>
        </w:tc>
        <w:tc>
          <w:tcPr>
            <w:tcW w:w="220" w:type="dxa"/>
            <w:vAlign w:val="bottom"/>
          </w:tcPr>
          <w:p>
            <w:pPr>
              <w:spacing w:after="0"/>
              <w:rPr>
                <w:sz w:val="22"/>
                <w:szCs w:val="22"/>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57"/>
        </w:trPr>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Menachem Raphael(4)</w:t>
            </w:r>
          </w:p>
        </w:tc>
        <w:tc>
          <w:tcPr>
            <w:tcW w:w="12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416,189</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82,519</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333,670</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2700" w:type="dxa"/>
            <w:vAlign w:val="bottom"/>
            <w:tcBorders>
              <w:bottom w:val="single" w:sz="8" w:color="auto"/>
            </w:tcBorders>
          </w:tcPr>
          <w:p>
            <w:pPr>
              <w:spacing w:after="0"/>
              <w:rPr>
                <w:sz w:val="23"/>
                <w:szCs w:val="23"/>
                <w:color w:val="auto"/>
              </w:rPr>
            </w:pPr>
          </w:p>
        </w:tc>
        <w:tc>
          <w:tcPr>
            <w:tcW w:w="1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6479540</wp:posOffset>
            </wp:positionH>
            <wp:positionV relativeFrom="paragraph">
              <wp:posOffset>-676910</wp:posOffset>
            </wp:positionV>
            <wp:extent cx="13716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-676910</wp:posOffset>
            </wp:positionV>
            <wp:extent cx="13716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-676910</wp:posOffset>
            </wp:positionV>
            <wp:extent cx="13716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-676910</wp:posOffset>
            </wp:positionV>
            <wp:extent cx="13716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-676910</wp:posOffset>
            </wp:positionV>
            <wp:extent cx="13716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7" w:lineRule="exact"/>
        <w:rPr>
          <w:sz w:val="20"/>
          <w:szCs w:val="20"/>
          <w:color w:val="auto"/>
        </w:rPr>
      </w:pPr>
    </w:p>
    <w:p>
      <w:pPr>
        <w:ind w:left="360" w:hanging="352"/>
        <w:spacing w:after="0"/>
        <w:tabs>
          <w:tab w:leader="none" w:pos="3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selling shareholder is a broker dealer or an affiliate of a broker-dealer.</w:t>
      </w:r>
    </w:p>
    <w:p>
      <w:pPr>
        <w:spacing w:after="0" w:line="190" w:lineRule="exact"/>
        <w:rPr>
          <w:sz w:val="20"/>
          <w:szCs w:val="20"/>
          <w:color w:val="auto"/>
        </w:rPr>
      </w:pPr>
    </w:p>
    <w:p>
      <w:pPr>
        <w:ind w:left="360" w:hanging="352"/>
        <w:spacing w:after="0"/>
        <w:tabs>
          <w:tab w:leader="none" w:pos="3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 based on an assumed initial public offering price of $11.00 per share</w:t>
      </w:r>
    </w:p>
    <w:p>
      <w:pPr>
        <w:spacing w:after="0" w:line="190" w:lineRule="exact"/>
        <w:rPr>
          <w:rFonts w:ascii="Times New Roman" w:cs="Times New Roman" w:eastAsia="Times New Roman" w:hAnsi="Times New Roman"/>
          <w:sz w:val="14"/>
          <w:szCs w:val="14"/>
          <w:color w:val="auto"/>
        </w:rPr>
      </w:pPr>
    </w:p>
    <w:p>
      <w:pPr>
        <w:ind w:left="360" w:right="620" w:hanging="352"/>
        <w:spacing w:after="0" w:line="282" w:lineRule="auto"/>
        <w:tabs>
          <w:tab w:leader="none" w:pos="3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5,534 Series B preferred shares transferred by D.N.A Biomedical to Capital Point that will be converted to 495,293 ordinary shares following the closing of our initial public offering and (ii) 318,620 ordinary shares that Capital Point has the right to acquire pursuant to an option granted by D.N.A Biomedical. Capital Point’s address is at Derech Menachem Begin 132 (Azrieli Center) Tel Aviv, Israel.</w:t>
      </w:r>
    </w:p>
    <w:p>
      <w:pPr>
        <w:spacing w:after="0" w:line="134" w:lineRule="exact"/>
        <w:rPr>
          <w:rFonts w:ascii="Times New Roman" w:cs="Times New Roman" w:eastAsia="Times New Roman" w:hAnsi="Times New Roman"/>
          <w:sz w:val="14"/>
          <w:szCs w:val="14"/>
          <w:color w:val="auto"/>
        </w:rPr>
      </w:pPr>
    </w:p>
    <w:p>
      <w:pPr>
        <w:ind w:left="360" w:right="340" w:hanging="352"/>
        <w:spacing w:after="0" w:line="279" w:lineRule="auto"/>
        <w:tabs>
          <w:tab w:leader="none" w:pos="3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2,790,431 ordinary shares and (ii) 146 Series B preferred shares that will be converted to 13,067 ordinary shares following the closing of our initial public offering. D.N.A Biomedical, whose address is at Shimon Hatarsi 43 St., Tel Aviv, Israel, is controlled by Zeev Bronfeld. 2,402,998 ordinary shares, or approximately 85.7% of the ordinary shares currently held by D.N.A Biomedical have been pledged to Capital Point, while the remaining 400,500 ordinary shares, or approximately 14.3%, have been pledged to Menachem Raphael.</w:t>
      </w:r>
    </w:p>
    <w:p>
      <w:pPr>
        <w:spacing w:after="0" w:line="329" w:lineRule="exact"/>
        <w:rPr>
          <w:rFonts w:ascii="Times New Roman" w:cs="Times New Roman" w:eastAsia="Times New Roman" w:hAnsi="Times New Roman"/>
          <w:sz w:val="14"/>
          <w:szCs w:val="14"/>
          <w:color w:val="auto"/>
        </w:rPr>
      </w:pPr>
    </w:p>
    <w:p>
      <w:pPr>
        <w:ind w:left="360" w:right="340" w:hanging="352"/>
        <w:spacing w:after="0" w:line="266" w:lineRule="auto"/>
        <w:tabs>
          <w:tab w:leader="none" w:pos="3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834 Series A preferred shares that will be converted to 74,643 ordinary shares following the closing of our initial public offering, (ii) warrants to purchase 208 Series A preferred shares that will be converted to warrants to purchase 18,616 ordinary shares, which had been issued to White Car Group, Ltd., who later transferred its shares to Menachem Raphael, as of December 31, 2017, (iii) 208 Series A preferred shares that will be converted to 18,616 ordinary shares following the closing of our initial public offering and warrants to purchase 53 Series A preferred shares that will be converted to warrants to purchase 4,744 ordinary shares following the closing of our initial public offering, which shares can be acquired by Menachem Raphael until July 20, 2019 pursuant to the terms of our Series A preferred shares purchase agreement, (iv) 1,099 Series B-1 preferred shares that will be converted to 98,361 ordinary shares following the closing of our initial public offering (v) warrants to purchase 440 Series B preferred shares that will be converted to warrants to purchase 39,380 ordinary shares following the closing of our initial public offering (vi) warrants to purchase 293 Series B-1 preferred shares that will be converted to warrants to purchase 26,224 ordinary shares following the closing of our initial public offering, (vii) 53,074 ordinary shares that Menachem Raphael has the right to acquire pursuant to an option granted by D.N.A Biomedical and (viii) 922 Series B preferred shares that will be converted to 82,519 ordinary shares following the closing of our initial public offering, issued to D.N.A Biomedical, who later transferred them to Menachem Raphael, whose address is at Ha’seora 12, Tel Aviv Israel.</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20" w:name="page221"/>
    <w:bookmarkEnd w:id="220"/>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[Alternate Page for Selling Stockholder Resale Prospectus]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9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Each selling shareholder of the securities and any of their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99" w:lineRule="exact"/>
        <w:rPr>
          <w:sz w:val="20"/>
          <w:szCs w:val="20"/>
          <w:color w:val="auto"/>
        </w:rPr>
      </w:pPr>
    </w:p>
    <w:p>
      <w:pPr>
        <w:ind w:left="360" w:hanging="172"/>
        <w:spacing w:after="0"/>
        <w:tabs>
          <w:tab w:leader="none" w:pos="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dealer solicits purchasers;</w:t>
      </w:r>
    </w:p>
    <w:p>
      <w:pPr>
        <w:spacing w:after="0" w:line="130" w:lineRule="exact"/>
        <w:rPr>
          <w:rFonts w:ascii="Times New Roman" w:cs="Times New Roman" w:eastAsia="Times New Roman" w:hAnsi="Times New Roman"/>
          <w:sz w:val="18"/>
          <w:szCs w:val="18"/>
          <w:color w:val="auto"/>
        </w:rPr>
      </w:pPr>
    </w:p>
    <w:p>
      <w:pPr>
        <w:ind w:left="360" w:right="560" w:hanging="172"/>
        <w:spacing w:after="0" w:line="282" w:lineRule="auto"/>
        <w:tabs>
          <w:tab w:leader="none" w:pos="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 dealer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 dealer for its account;</w:t>
      </w:r>
    </w:p>
    <w:p>
      <w:pPr>
        <w:spacing w:after="0" w:line="14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144" w:lineRule="exact"/>
        <w:rPr>
          <w:rFonts w:ascii="Times New Roman" w:cs="Times New Roman" w:eastAsia="Times New Roman" w:hAnsi="Times New Roman"/>
          <w:sz w:val="18"/>
          <w:szCs w:val="18"/>
          <w:color w:val="auto"/>
        </w:rPr>
      </w:pPr>
    </w:p>
    <w:p>
      <w:pPr>
        <w:ind w:left="360" w:right="540" w:hanging="172"/>
        <w:spacing w:after="0" w:line="282" w:lineRule="auto"/>
        <w:tabs>
          <w:tab w:leader="none" w:pos="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 dealers that agree with the selling shareholders to sell a specified number of such securities at a stipulated price per security;</w:t>
      </w:r>
    </w:p>
    <w:p>
      <w:pPr>
        <w:spacing w:after="0" w:line="6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4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shareholders may also sell securities under Rule 144 under the Securities Act, if available, rather than under this prospectus.</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Broker dealers engaged by the selling shareholders may arrange for other broker dealers to participate in sales. Broker dealers may receive commissions or discounts from the selling shareholders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7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us that it does not have any written or oral agreement or understanding, directly or indirectly, with any person to distribute the securities. In no event shall any broker-dealer receive fees, commissions and markups which, in the aggregate, would exceed eight percent (8%).</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21" w:name="page222"/>
    <w:bookmarkEnd w:id="221"/>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[Alternate Page for Selling Stockholder Resale Prospectus]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authorized to list our ordinary shares on the NASDAQ Capital Market under the symbol “ENTX”.</w:t>
      </w:r>
    </w:p>
    <w:p>
      <w:pPr>
        <w:spacing w:after="0" w:line="10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 We have agreed to indemnify the selling shareholders against certain losses, claims, damages and liabilities, including liabilities under the Securities Act.</w:t>
      </w:r>
    </w:p>
    <w:p>
      <w:pPr>
        <w:spacing w:after="0" w:line="5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To the extent required, the number of our securities to be sold, the names of the selling security holders, the respective purchase prices and public offering prices, the names of any agent, dealer or underwriter and any applicable commissions or discounts with respect to a particular offer will be set forth in an accompanying prospectus supplement or a post-effective amendment to the registration statement that includes this prospectus.</w:t>
      </w:r>
    </w:p>
    <w:p>
      <w:pPr>
        <w:spacing w:after="0" w:line="68"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Because selling shareholders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 selling shareholders have advised us that there is no underwriter or coordinating broker acting in connection with the proposed sale of the resale securities by the selling shareholders.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agreed to keep this Registration Statement effective until the date on which all of the securities have been sold pursuant to this prospectus or</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ordinary shares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securities of the ordinary shares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22" w:name="page223"/>
    <w:bookmarkEnd w:id="222"/>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[Alternate Page for Selling Stockholder Resale Prospectus]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validity of the ordinary shares being offered by this prospectus and other legal matters concerning this offering relating to Israeli law will be passed upon for us by Herzog Fox &amp; Neeman, Tel Aviv, Israel. Certain legal matters in connection with this offering relating to U.S. law will be passed upon for us by Davis Polk &amp; Wardwell LLP, New York, New York.</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EXPERTS</w:t>
      </w:r>
    </w:p>
    <w:p>
      <w:pPr>
        <w:spacing w:after="0" w:line="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financial statements as of December 31, 2016 and 2015 and for each of the two years in the period ended December 31, 2016 included in this Prospectus have been so included in reliance on the report (which contains an explanatory paragraph relating to the Company’s ability to continue as a going concern as described in Note 1 to the financial statements) of Kesselman &amp; Kesselman, Certified Public Accountants (Israel), a member firm of PricewaterhouseCoopers International Limited, an independent registered public accounting firm, given on the authority of said firm as experts in auditing and accounting. The current address of Kesselman &amp; Kesselman, Certified Public Accountants (Israel) is 25 Hamered Street, Tel Aviv, Israel 6812508.</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WHERE YOU CAN FIND MORE INFORMATION</w:t>
      </w:r>
    </w:p>
    <w:p>
      <w:pPr>
        <w:spacing w:after="0" w:line="9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filed with the U.S. Securities and Exchange Commission a registration statement on Form F-1 under the Securities Act with respect to the shares of ordinary offered hereby. This prospectus, which constitutes a part of the registration statement, does not contain all of the information set forth in the registration statement or the exhibits and schedules filed therewith. For further information about us and the ordinary shares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the closing of this offering, we will be required to file periodic reports, proxy statements, and other information with the U.S. Securities and Exchange Commission pursuant to the Exchange Act. You may read and copy this information at the Public Reference Room of the U.S. Securities and Exchange Commission, 100 F Street, N.E., Room 1580, Washington, D.C. 20549. You may obtain information on the operation of the public reference rooms by calling the U.S. Securities and Exchange Commission at 1 800 SEC 0330. The U.S. Securities and Exchange Commission also maintains an Internet website that contains reports, proxy statements and other information about registrants, like us, that file electronically with the U.S. Securities and Exchange Commission. The address of that site is www.sec.gov.</w:t>
      </w: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223" w:name="page224"/>
    <w:bookmarkEnd w:id="223"/>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260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2466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[Alternate Page for Selling Stockholder Resale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977900</wp:posOffset>
            </wp:positionV>
            <wp:extent cx="2160905" cy="13379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60905" cy="133794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3216275</wp:posOffset>
            </wp:positionV>
            <wp:extent cx="247840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116840</wp:posOffset>
            </wp:positionV>
            <wp:extent cx="247840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1975485</wp:posOffset>
            </wp:positionV>
            <wp:extent cx="724662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b w:val="1"/>
          <w:bCs w:val="1"/>
          <w:color w:val="auto"/>
        </w:rPr>
        <w:t>Until , 2018 (the 25</w:t>
      </w:r>
      <w:r>
        <w:rPr>
          <w:rFonts w:ascii="Times New Roman" w:cs="Times New Roman" w:eastAsia="Times New Roman" w:hAnsi="Times New Roman"/>
          <w:sz w:val="27"/>
          <w:szCs w:val="27"/>
          <w:b w:val="1"/>
          <w:bCs w:val="1"/>
          <w:color w:val="auto"/>
          <w:vertAlign w:val="superscript"/>
        </w:rPr>
        <w:t>th</w:t>
      </w:r>
      <w:r>
        <w:rPr>
          <w:rFonts w:ascii="Times New Roman" w:cs="Times New Roman" w:eastAsia="Times New Roman" w:hAnsi="Times New Roman"/>
          <w:sz w:val="18"/>
          <w:szCs w:val="18"/>
          <w:b w:val="1"/>
          <w:bCs w:val="1"/>
          <w:color w:val="auto"/>
        </w:rPr>
        <w:t xml:space="preserve">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260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476250</wp:posOffset>
            </wp:positionV>
            <wp:extent cx="72720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80"/>
          </w:cols>
          <w:pgMar w:left="240" w:top="114" w:right="679" w:bottom="1440" w:gutter="0" w:footer="0" w:header="0"/>
        </w:sectPr>
      </w:pPr>
    </w:p>
    <w:bookmarkStart w:id="224" w:name="page225"/>
    <w:bookmarkEnd w:id="224"/>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INFORMATION NOT REQUIRED IN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0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Our amended Articles set forth the following provisions regarding the grant of insurance coverage, indemnification and an exemption from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of our directors or officers, all subject to the provisions of applicable law. In accordance with such provisions and pursuant to the requisite corporate approvals, we have obtained liability insurance covering our directors and officers, have granted indemnification undertakings to our directors and officers and have agreed to exempt our directors and officers from liability in each case, to the fullest extent permitted by our amended Articles and applicable law, including with respect to liabilities resulting from this offering to the extent that these liabilities are not covered by insurance.</w:t>
      </w:r>
    </w:p>
    <w:p>
      <w:pPr>
        <w:spacing w:after="0" w:line="72"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We are entitled to insure the liability of any director or officer to the fullest extent permitted by law. Without derogating from the aforesaid,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enter into a contract to insure the liability of a director or officer for an obligation imposed on him or her in consequence of an act done in his or her capacity as such, in any of the following cases:</w:t>
      </w:r>
    </w:p>
    <w:p>
      <w:pPr>
        <w:spacing w:after="0" w:line="94" w:lineRule="exact"/>
        <w:rPr>
          <w:sz w:val="20"/>
          <w:szCs w:val="20"/>
          <w:color w:val="auto"/>
        </w:rPr>
      </w:pPr>
    </w:p>
    <w:p>
      <w:pPr>
        <w:ind w:left="360" w:hanging="172"/>
        <w:spacing w:after="0"/>
        <w:tabs>
          <w:tab w:leader="none" w:pos="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care toward us or a third party, to the extent such a breach arises out of the negligent conduct of the office holder;</w:t>
      </w:r>
    </w:p>
    <w:p>
      <w:pPr>
        <w:spacing w:after="0" w:line="144" w:lineRule="exact"/>
        <w:rPr>
          <w:rFonts w:ascii="Times New Roman" w:cs="Times New Roman" w:eastAsia="Times New Roman" w:hAnsi="Times New Roman"/>
          <w:sz w:val="18"/>
          <w:szCs w:val="18"/>
          <w:color w:val="auto"/>
        </w:rPr>
      </w:pPr>
    </w:p>
    <w:p>
      <w:pPr>
        <w:ind w:left="360" w:right="680" w:hanging="172"/>
        <w:spacing w:after="0" w:line="282" w:lineRule="auto"/>
        <w:tabs>
          <w:tab w:leader="none" w:pos="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toward us, provided that the director or officer acted in good faith and had reasonable basis to believe that the act would not harm us;</w:t>
      </w:r>
    </w:p>
    <w:p>
      <w:pPr>
        <w:spacing w:after="0" w:line="67"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monetary obligation imposed on him or her in favor of a third party;</w:t>
      </w:r>
    </w:p>
    <w:p>
      <w:pPr>
        <w:spacing w:after="0" w:line="14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imposed on him or her in favor of an injured party as set forth in Section 52(54)(a)(1)(a) of the Israeli Securities Law; or</w:t>
      </w:r>
    </w:p>
    <w:p>
      <w:pPr>
        <w:spacing w:after="0" w:line="130" w:lineRule="exact"/>
        <w:rPr>
          <w:rFonts w:ascii="Times New Roman" w:cs="Times New Roman" w:eastAsia="Times New Roman" w:hAnsi="Times New Roman"/>
          <w:sz w:val="18"/>
          <w:szCs w:val="18"/>
          <w:color w:val="auto"/>
        </w:rPr>
      </w:pPr>
    </w:p>
    <w:p>
      <w:pPr>
        <w:ind w:left="360" w:right="360" w:hanging="172"/>
        <w:spacing w:after="0" w:line="266" w:lineRule="auto"/>
        <w:tabs>
          <w:tab w:leader="none" w:pos="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 fees, incurred by him or her in connection with a proceeding under Chapters H’3, H’4 or I’l of the Israeli Securities Law or under Article D of the Fourth Chapter, Ninth Part of the Companies Law, if applicable, including reasonable legal expenses, which term includes attorney fees.</w:t>
      </w:r>
    </w:p>
    <w:p>
      <w:pPr>
        <w:spacing w:after="0" w:line="66"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Indemnification. </w:t>
      </w:r>
      <w:r>
        <w:rPr>
          <w:rFonts w:ascii="Times New Roman" w:cs="Times New Roman" w:eastAsia="Times New Roman" w:hAnsi="Times New Roman"/>
          <w:sz w:val="18"/>
          <w:szCs w:val="18"/>
          <w:color w:val="auto"/>
        </w:rPr>
        <w:t>We are entitled to indemnify a director or officer to the fullest extent permitted by law, either retroactively or pursuant to an undertaking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given in advance. Without derogating from the aforesaid, we may indemnify our directors or officers for liability or expense imposed on him or her in consequence of an action taken by him in his capacity as such, as follows:</w:t>
      </w:r>
    </w:p>
    <w:p>
      <w:pPr>
        <w:spacing w:after="0" w:line="94" w:lineRule="exact"/>
        <w:rPr>
          <w:sz w:val="20"/>
          <w:szCs w:val="20"/>
          <w:color w:val="auto"/>
        </w:rPr>
      </w:pPr>
    </w:p>
    <w:p>
      <w:pPr>
        <w:ind w:left="360" w:right="660" w:hanging="172"/>
        <w:spacing w:after="0" w:line="266" w:lineRule="auto"/>
        <w:tabs>
          <w:tab w:leader="none" w:pos="3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obligation or liability imposed on or incurred in favor of another person and/or legal entity, including by any government office, or expended as a result of a court judgment, including in a settlement or an arbitrator’s decision approved by a court of law, in respect of any act or omission taken or made by him or her in his or her capacity as a director or an officer of the Company of any of its subsidiaries;</w:t>
      </w:r>
    </w:p>
    <w:p>
      <w:pPr>
        <w:spacing w:after="0" w:line="95" w:lineRule="exact"/>
        <w:rPr>
          <w:rFonts w:ascii="Times New Roman" w:cs="Times New Roman" w:eastAsia="Times New Roman" w:hAnsi="Times New Roman"/>
          <w:sz w:val="18"/>
          <w:szCs w:val="18"/>
          <w:color w:val="auto"/>
        </w:rPr>
      </w:pPr>
    </w:p>
    <w:p>
      <w:pPr>
        <w:ind w:left="360" w:right="420" w:hanging="172"/>
        <w:spacing w:after="0" w:line="258" w:lineRule="auto"/>
        <w:tabs>
          <w:tab w:leader="none" w:pos="3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legal expenses, including attorney’s fees, expended by him or her as a result of an investigation or proceeding instituted against him or her by a competent authority, provided that such investigation or proceeding concluded without the filing of an indictment against him or her and without any financial liability imposed on him or her in lieu of criminal proceedings, or that is concluded with the imposition of a financial liability in lieu of criminal proceedings but relates to a criminal offense that does not require proof of criminal intent or in connection with a financial sanction imposed on him or her in his or her capacity as a director or an officer of the Company or of any of its subsidiaries;</w:t>
      </w:r>
    </w:p>
    <w:p>
      <w:pPr>
        <w:spacing w:after="0" w:line="102" w:lineRule="exact"/>
        <w:rPr>
          <w:rFonts w:ascii="Times New Roman" w:cs="Times New Roman" w:eastAsia="Times New Roman" w:hAnsi="Times New Roman"/>
          <w:sz w:val="18"/>
          <w:szCs w:val="18"/>
          <w:color w:val="auto"/>
        </w:rPr>
      </w:pPr>
    </w:p>
    <w:p>
      <w:pPr>
        <w:ind w:left="360" w:right="340" w:hanging="172"/>
        <w:spacing w:after="0" w:line="261" w:lineRule="auto"/>
        <w:tabs>
          <w:tab w:leader="none" w:pos="3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legal expenses, including attorney’s fees, and all other costs, expenses and obligations incurred in connection with investigating, defending, being a witness in or participating in (including on appeal), or preparing to defend in or participate, in any action, suit, proceeding, alternative dispute resolution mechanism, hearing, inquiry or investigation brought against him or her by the Company or on its behalf or by another person or in any criminal prosecution in which he or she was acquitted, or</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25" w:name="page226"/>
    <w:bookmarkEnd w:id="225"/>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60" w:right="100"/>
        <w:spacing w:after="0" w:line="282" w:lineRule="auto"/>
        <w:rPr>
          <w:sz w:val="20"/>
          <w:szCs w:val="20"/>
          <w:color w:val="auto"/>
        </w:rPr>
      </w:pPr>
      <w:r>
        <w:rPr>
          <w:rFonts w:ascii="Times New Roman" w:cs="Times New Roman" w:eastAsia="Times New Roman" w:hAnsi="Times New Roman"/>
          <w:sz w:val="18"/>
          <w:szCs w:val="18"/>
          <w:color w:val="auto"/>
        </w:rPr>
        <w:t>in a criminal prosecution of a crime which does not require proof of criminal intent, in which he or she was convicted, all in respect of actions taken by him or her in his or her capacity as a director or an officer of the Company or of any of its subsidiaries;</w:t>
      </w:r>
    </w:p>
    <w:p>
      <w:pPr>
        <w:spacing w:after="0" w:line="108" w:lineRule="exact"/>
        <w:rPr>
          <w:sz w:val="20"/>
          <w:szCs w:val="20"/>
          <w:color w:val="auto"/>
        </w:rPr>
      </w:pPr>
    </w:p>
    <w:p>
      <w:pPr>
        <w:ind w:left="360" w:hanging="172"/>
        <w:spacing w:after="0"/>
        <w:tabs>
          <w:tab w:leader="none" w:pos="3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he or she was obligated to make to an injured party as set forth in Section 52(54)(a)(1)(a) of the Israeli Securities Law;</w:t>
      </w:r>
    </w:p>
    <w:p>
      <w:pPr>
        <w:spacing w:after="0" w:line="171" w:lineRule="exact"/>
        <w:rPr>
          <w:rFonts w:ascii="Times New Roman" w:cs="Times New Roman" w:eastAsia="Times New Roman" w:hAnsi="Times New Roman"/>
          <w:sz w:val="18"/>
          <w:szCs w:val="18"/>
          <w:color w:val="auto"/>
        </w:rPr>
      </w:pPr>
    </w:p>
    <w:p>
      <w:pPr>
        <w:ind w:left="360" w:right="400" w:hanging="172"/>
        <w:spacing w:after="0" w:line="282" w:lineRule="auto"/>
        <w:tabs>
          <w:tab w:leader="none" w:pos="3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 fees, incurred by the director or officer in connection with a proceeding under Chapters H’3, H’4 or I’1 of the Israeli Securities Law; or</w:t>
      </w:r>
    </w:p>
    <w:p>
      <w:pPr>
        <w:spacing w:after="0" w:line="107" w:lineRule="exact"/>
        <w:rPr>
          <w:rFonts w:ascii="Times New Roman" w:cs="Times New Roman" w:eastAsia="Times New Roman" w:hAnsi="Times New Roman"/>
          <w:sz w:val="18"/>
          <w:szCs w:val="18"/>
          <w:color w:val="auto"/>
        </w:rPr>
      </w:pPr>
    </w:p>
    <w:p>
      <w:pPr>
        <w:ind w:left="360" w:right="420" w:hanging="172"/>
        <w:spacing w:after="0" w:line="282" w:lineRule="auto"/>
        <w:tabs>
          <w:tab w:leader="none" w:pos="3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circumstances arising under the law in respect of which the Company may indemnify a director or an officer of the Company (including, without limitation, Section 50P(b)(2) of the Israeli Restrictive Trade Practices Law, 5758-1988).</w:t>
      </w:r>
    </w:p>
    <w:p>
      <w:pPr>
        <w:spacing w:after="0" w:line="5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Exemption. </w:t>
      </w:r>
      <w:r>
        <w:rPr>
          <w:rFonts w:ascii="Times New Roman" w:cs="Times New Roman" w:eastAsia="Times New Roman" w:hAnsi="Times New Roman"/>
          <w:sz w:val="18"/>
          <w:szCs w:val="18"/>
          <w:color w:val="auto"/>
        </w:rPr>
        <w:t>We are entitled to exempt a director or officer in advance from any or all of his or her liability for damage caused by a breach of his or her duty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care toward us, to the fullest extent permitted by law.</w:t>
      </w:r>
    </w:p>
    <w:p>
      <w:pPr>
        <w:spacing w:after="0" w:line="5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Limitations. </w:t>
      </w:r>
      <w:r>
        <w:rPr>
          <w:rFonts w:ascii="Times New Roman" w:cs="Times New Roman" w:eastAsia="Times New Roman" w:hAnsi="Times New Roman"/>
          <w:sz w:val="18"/>
          <w:szCs w:val="18"/>
          <w:color w:val="auto"/>
        </w:rPr>
        <w:t>The Companies Law provides that a company may not provide its directors or officers with insurance or indemnification or exempt its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officers from liability with respect to the following:</w:t>
      </w:r>
    </w:p>
    <w:p>
      <w:pPr>
        <w:spacing w:after="0" w:line="106" w:lineRule="exact"/>
        <w:rPr>
          <w:sz w:val="20"/>
          <w:szCs w:val="20"/>
          <w:color w:val="auto"/>
        </w:rPr>
      </w:pPr>
    </w:p>
    <w:p>
      <w:pPr>
        <w:ind w:left="360" w:right="560" w:hanging="172"/>
        <w:spacing w:after="0" w:line="266" w:lineRule="auto"/>
        <w:tabs>
          <w:tab w:leader="none" w:pos="3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to the Company or any of its subsidiaries, except to the extent permitted by the Companies Law, with respect to insurance coverage or indemnification for a breach of the duty of loyalty to the Company or any of its subsidiaries while acting in good faith and having reasonable cause to assume that such act would not prejudice the interest of the Company or any of its subsidiaries, as applicable;</w:t>
      </w:r>
    </w:p>
    <w:p>
      <w:pPr>
        <w:spacing w:after="0" w:line="122"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willful or reckless breach of the duty of care, other than a breach committed solely by negligence;</w:t>
      </w:r>
    </w:p>
    <w:p>
      <w:pPr>
        <w:spacing w:after="0" w:line="17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action taken or not taken with the intent of unlawfully realizing personal gain; or</w:t>
      </w:r>
    </w:p>
    <w:p>
      <w:pPr>
        <w:spacing w:after="0" w:line="171"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fine or penalty imposed upon the director or the officer for an offense.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10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During the past three years, we issued securities that were not registered under the Securities Act of 1933, as amended, or the Securities Act, as set forth below. We believe that each of such issuances was exempt from registration under the Securities Act in reliance on Section 4(a)(2) of the Securities Act, Rule 701 and/or Regulation S under the Securities 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transactions during the preceding three fiscal years involving sales of our securities that were not registered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w:t>
      </w:r>
    </w:p>
    <w:p>
      <w:pPr>
        <w:spacing w:after="0" w:line="153" w:lineRule="exact"/>
        <w:rPr>
          <w:sz w:val="20"/>
          <w:szCs w:val="20"/>
          <w:color w:val="auto"/>
        </w:rPr>
      </w:pPr>
    </w:p>
    <w:p>
      <w:pPr>
        <w:ind w:left="360" w:right="440" w:hanging="172"/>
        <w:spacing w:after="0" w:line="258" w:lineRule="auto"/>
        <w:tabs>
          <w:tab w:leader="none" w:pos="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Convertible Financing Agreements entered into between us, the lenders thereto, or the lenders, and D.N.A Biomedical, between November 2012 and January 2013, the lenders loaned to us an aggregate amount of $1.15 million. Each of the investors has the right during the term to convert its respective loan amount (subject to adjustment) into our ordinary shares at a conversion price of $240.26 per ordinary share, and the outstanding loan amounts will be automatically converted into our ordinary shares immediately prior to the closing of this offering. The total number of our ordinary shares that can be acquired upon conversion of the current outstanding loan amounts is 4,786 ordinary shares;</w:t>
      </w:r>
    </w:p>
    <w:p>
      <w:pPr>
        <w:spacing w:after="0" w:line="129" w:lineRule="exact"/>
        <w:rPr>
          <w:rFonts w:ascii="Times New Roman" w:cs="Times New Roman" w:eastAsia="Times New Roman" w:hAnsi="Times New Roman"/>
          <w:sz w:val="18"/>
          <w:szCs w:val="18"/>
          <w:color w:val="auto"/>
        </w:rPr>
      </w:pPr>
    </w:p>
    <w:p>
      <w:pPr>
        <w:ind w:left="360" w:right="280" w:hanging="172"/>
        <w:spacing w:after="0" w:line="282" w:lineRule="auto"/>
        <w:tabs>
          <w:tab w:leader="none" w:pos="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share purchase agreements entered into between us and the other parties identified therein in September and October 2013, we issued an aggregate of 2,318 of our ordinary shares for an aggregate purchase price of $635,000;</w:t>
      </w:r>
    </w:p>
    <w:p>
      <w:pPr>
        <w:spacing w:after="0" w:line="107" w:lineRule="exact"/>
        <w:rPr>
          <w:rFonts w:ascii="Times New Roman" w:cs="Times New Roman" w:eastAsia="Times New Roman" w:hAnsi="Times New Roman"/>
          <w:sz w:val="18"/>
          <w:szCs w:val="18"/>
          <w:color w:val="auto"/>
        </w:rPr>
      </w:pPr>
    </w:p>
    <w:p>
      <w:pPr>
        <w:ind w:left="360" w:right="300" w:hanging="172"/>
        <w:spacing w:after="0" w:line="261" w:lineRule="auto"/>
        <w:tabs>
          <w:tab w:leader="none" w:pos="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Series A Preferred Share Purchase Agreement with Centillion on January 29, 2014, Centillion purchased 4,172 of our Series A preferred shares (which can be converted into 4,172 of our ordinary shares at the current conversion rate of one ordinary share for one Series A preferred share and will be automatically converted into our ordinary shares at the then-current conversion rate upon the closing of this offering), for a purchase price of $2.0 million, and we issued to Centillion a warrant</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226" w:name="page227"/>
    <w:bookmarkEnd w:id="226"/>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spacing w:after="0" w:line="266" w:lineRule="auto"/>
        <w:rPr>
          <w:sz w:val="20"/>
          <w:szCs w:val="20"/>
          <w:color w:val="auto"/>
        </w:rPr>
      </w:pPr>
      <w:r>
        <w:rPr>
          <w:rFonts w:ascii="Times New Roman" w:cs="Times New Roman" w:eastAsia="Times New Roman" w:hAnsi="Times New Roman"/>
          <w:sz w:val="18"/>
          <w:szCs w:val="18"/>
          <w:color w:val="auto"/>
        </w:rPr>
        <w:t>to purchase up to 1,043 of our (i) Series A preferred shares prior to the consummation of this offering and (ii) ordinary shares upon the closing of this offering and otherwise after the conversion of all of our Series A preferred shares into our ordinary shares (the shares described in (i) and (ii), the “applicable shares”).</w:t>
      </w:r>
    </w:p>
    <w:p>
      <w:pPr>
        <w:spacing w:after="0" w:line="41" w:lineRule="exact"/>
        <w:rPr>
          <w:sz w:val="20"/>
          <w:szCs w:val="20"/>
          <w:color w:val="auto"/>
        </w:rPr>
      </w:pPr>
    </w:p>
    <w:p>
      <w:pPr>
        <w:ind w:left="360" w:right="160" w:hanging="172"/>
        <w:spacing w:after="0" w:line="258" w:lineRule="auto"/>
        <w:tabs>
          <w:tab w:leader="none" w:pos="3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Series A Preferred Share Purchase Agreements we entered into during the course of 2014 and January 2015 with the other parties identified therein, such parties purchased from us an aggregate of 939 of our Series A preferred shares (which can be converted into 939 of our ordinary shares at the current conversion rate of one ordinary share for one Series A preferred share and will be automatically converted into our ordinary shares at the then-current conversion rate upon the closing of this offering), for an aggregate purchase price of $450,000, and we issued to such parties warrant to purchase up to 234 of the applicable shares.</w:t>
      </w:r>
    </w:p>
    <w:p>
      <w:pPr>
        <w:spacing w:after="0" w:line="48" w:lineRule="exact"/>
        <w:rPr>
          <w:rFonts w:ascii="Times New Roman" w:cs="Times New Roman" w:eastAsia="Times New Roman" w:hAnsi="Times New Roman"/>
          <w:sz w:val="18"/>
          <w:szCs w:val="18"/>
          <w:color w:val="auto"/>
        </w:rPr>
      </w:pPr>
    </w:p>
    <w:p>
      <w:pPr>
        <w:ind w:left="360" w:right="140" w:hanging="172"/>
        <w:spacing w:after="0" w:line="254" w:lineRule="auto"/>
        <w:tabs>
          <w:tab w:leader="none" w:pos="3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second Amendment to the Series A Preferred Share Purchase Agreement with Centillion that we entered into on January 21, 2015, Centillion purchased 4,172 of our Series A preferred shares (which can be converted into 4,172 of our ordinary shares at the current conversion rate of one ordinary share for one Series A preferred share and will be automatically converted into our ordinary shares at the then-current conversion rate upon the closing of this offering), for a purchase price of $2.0 million, and we issued to Centillion a warrant to purchase up to 1,043 of our applicable shares. In addition, we issued to Centillion an additional warrant that is exercisable upon (and for a period of two years following) the first to occur of a significant financing round, an M&amp;A event (as defined in the warrant), or our initial public offering, or a triggering event, to purchase up to $2.0 million of the type of shares issued in such triggering event at a 25% discount to the applicable price per share. The Series B preferred shares purchase agreement has set the price in which, and the amounts for which, the holders of the additional warrants are entitled to exercise their additional warrants.</w:t>
      </w:r>
    </w:p>
    <w:p>
      <w:pPr>
        <w:spacing w:after="0" w:line="40" w:lineRule="exact"/>
        <w:rPr>
          <w:rFonts w:ascii="Times New Roman" w:cs="Times New Roman" w:eastAsia="Times New Roman" w:hAnsi="Times New Roman"/>
          <w:sz w:val="18"/>
          <w:szCs w:val="18"/>
          <w:color w:val="auto"/>
        </w:rPr>
      </w:pPr>
    </w:p>
    <w:p>
      <w:pPr>
        <w:ind w:left="360" w:right="160" w:hanging="172"/>
        <w:spacing w:after="0" w:line="254" w:lineRule="auto"/>
        <w:tabs>
          <w:tab w:leader="none" w:pos="3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first Amendment to the Series A Preferred Share Purchase Agreements with other purchasers of our Series A Preferred Shares that we entered into in March 2015, such other purchasers purchased 939 of our Series A preferred shares (which can be converted into 939 of our ordinary shares at the current conversion rate of one ordinary share for one Series A preferred share and will be automatically converted into our ordinary shares at the then-current conversion rate upon the closing of this offering), for an aggregate purchase price of $450,000, and we issued to such other purchasers of our Series A Preferred Shares warrants to purchase up to 234 of our applicable shares. In addition, we issued to such other purchasers of our Series A Preferred Shares additional warrants that are exercisable (and for a period of two years thereafter) upon the first to occur of a significant financing round, an M&amp;A event (as defined in the warrant), or our initial public offering, or a triggering event to purchase up to $450,000 of the type of shares issued in such triggering event at a 25% discount to the applicable price per share. The Series B preferred shares purchase agreement has set the price in which, and the amounts for which, the holders of the additional warrants are entitled to exercise their additional warrants.</w:t>
      </w:r>
    </w:p>
    <w:p>
      <w:pPr>
        <w:spacing w:after="0" w:line="51" w:lineRule="exact"/>
        <w:rPr>
          <w:rFonts w:ascii="Times New Roman" w:cs="Times New Roman" w:eastAsia="Times New Roman" w:hAnsi="Times New Roman"/>
          <w:sz w:val="18"/>
          <w:szCs w:val="18"/>
          <w:color w:val="auto"/>
        </w:rPr>
      </w:pPr>
    </w:p>
    <w:p>
      <w:pPr>
        <w:ind w:left="360" w:right="120" w:hanging="172"/>
        <w:spacing w:after="0" w:line="253" w:lineRule="auto"/>
        <w:tabs>
          <w:tab w:leader="none" w:pos="3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5, 2015, the Company entered into the 2015 Convertible Loan with certain lenders. Pursuant to the loan agreement for the 2015 Convertible Loan, the lenders loaned us an aggregate amount of $2.005 million. The 2015 Convertible Loan bore interest at a rate of 5% per year. The loan would also be automatically converted upon occurrence of the a 2015 Triggering Event into the equity securities and/or securities convertible into equity securities of the Company that were issued in such a transaction, at a 25% discount. In addition, the Company issued to each lender under the 2015 Convertible Loan the 2015 Warrants to purchase an additional 40% of the amount of our securities that would have been issued to such lender as a result of the automatic conversion following a 2015 Triggering Event at an exercise price of 125% of the applicable price per share. The 2015 Warrants were exercisable for the earlier of two years from the warrant issuance date or one year from consummation of an initial public offering. As part of the 2016 Convertible Loan, we granted the lenders a right to roll-over the 2015 Convertible Loan into the 2016 Convertible Loan. The lenders elected to roll-over an amount of $1.057 million into the 2016 Convertible Loan and the reminder, in an amount of $1.053 million (including interest and principal), was repaid by the Company in February 2017. There remain no amounts outstanding under the 2015 Convertible Loans, and no 2015 Warrants remain outstanding.</w:t>
      </w:r>
    </w:p>
    <w:p>
      <w:pPr>
        <w:spacing w:after="0" w:line="2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14" w:right="519" w:bottom="1440" w:gutter="0" w:footer="0" w:header="0"/>
        </w:sectPr>
      </w:pPr>
    </w:p>
    <w:bookmarkStart w:id="227" w:name="page228"/>
    <w:bookmarkEnd w:id="227"/>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hanging="172"/>
        <w:spacing w:after="0"/>
        <w:tabs>
          <w:tab w:leader="none" w:pos="3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14, 2016, the Company entered into the 2016 Convertible Loan with certain lenders for an aggregate amount of approximately</w:t>
      </w:r>
    </w:p>
    <w:p>
      <w:pPr>
        <w:spacing w:after="0" w:line="27" w:lineRule="exact"/>
        <w:rPr>
          <w:rFonts w:ascii="Times New Roman" w:cs="Times New Roman" w:eastAsia="Times New Roman" w:hAnsi="Times New Roman"/>
          <w:sz w:val="18"/>
          <w:szCs w:val="18"/>
          <w:color w:val="auto"/>
        </w:rPr>
      </w:pPr>
    </w:p>
    <w:p>
      <w:pPr>
        <w:ind w:left="360"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$7.44 million. In addition, an amount of $1.057 million of the 2015 Convertible Loan rolled over to the 2016 Convertible Loan. The 2016 Convertible Loan was given for a term of 18 months and bore interest at a rate of 5% per year. The 2016 Convertible Loan also granted each lender the right to invest in the next share issuance by the Company, an amount not to exceed the amount such lender invested in the 2016 Convertible Loan, at a price per share of the shares issued. The 2016 Convertible Loan was to be automatically converted upon the occurrence of a 2016 Triggering Event. Following the completion of the Series B Private Placement, which constituted a 2016 Triggering Event, the loan amount, together with all accrued interest was converted into Series B-1 preferred shares, under the terms and conditions of the 2016 Convertible Loan. In addition, the Series B preferred shares purchase agreement has set the price in which, and the amounts for which, the holders of the 2016 Warrants are entitled to exercise their 2016 Warrants.</w:t>
      </w:r>
    </w:p>
    <w:p>
      <w:pPr>
        <w:spacing w:after="0" w:line="147" w:lineRule="exact"/>
        <w:rPr>
          <w:rFonts w:ascii="Times New Roman" w:cs="Times New Roman" w:eastAsia="Times New Roman" w:hAnsi="Times New Roman"/>
          <w:sz w:val="18"/>
          <w:szCs w:val="18"/>
          <w:color w:val="auto"/>
        </w:rPr>
      </w:pPr>
    </w:p>
    <w:p>
      <w:pPr>
        <w:ind w:left="360" w:right="120" w:hanging="172"/>
        <w:spacing w:after="0" w:line="258" w:lineRule="auto"/>
        <w:tabs>
          <w:tab w:leader="none" w:pos="3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Series B Preferred Share Purchase Agreements the company entered into from October to December 2017 with the other parties identified therein, such parties purchased from us an aggregate of 14,283 Series B preferred shares (which can be converted into 14,283 of our ordinary shares at the current conversion rate of one ordinary share for one Series B preferred share and will be automatically converted into our ordinary shares at the then-current conversion rate upon the closing of this offering) for an aggregate purchase price of $13 million, and we issued to GP Nurmenkari Inc. representatives warrants to purchase up to 526 of the applicable shares.</w:t>
      </w:r>
    </w:p>
    <w:p>
      <w:pPr>
        <w:spacing w:after="0" w:line="143" w:lineRule="exact"/>
        <w:rPr>
          <w:rFonts w:ascii="Times New Roman" w:cs="Times New Roman" w:eastAsia="Times New Roman" w:hAnsi="Times New Roman"/>
          <w:sz w:val="18"/>
          <w:szCs w:val="18"/>
          <w:color w:val="auto"/>
        </w:rPr>
      </w:pPr>
    </w:p>
    <w:p>
      <w:pPr>
        <w:ind w:left="360" w:hanging="172"/>
        <w:spacing w:after="0" w:line="266" w:lineRule="auto"/>
        <w:tabs>
          <w:tab w:leader="none" w:pos="3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applicable Service Agreements entered into in April 2017, our directors Luke Beshar and Roger Garceau received options to acquire 6,970 and 1,608 ordinary shares, respectively, of which 2,904 and 670 ordinary shares, respectively, were exercisable within 60 days of December 31, 2017, with an exercise price of $820 per share and expiring on December 1, 2026.</w:t>
      </w:r>
    </w:p>
    <w:p>
      <w:pPr>
        <w:spacing w:after="0" w:line="149" w:lineRule="exact"/>
        <w:rPr>
          <w:rFonts w:ascii="Times New Roman" w:cs="Times New Roman" w:eastAsia="Times New Roman" w:hAnsi="Times New Roman"/>
          <w:sz w:val="18"/>
          <w:szCs w:val="18"/>
          <w:color w:val="auto"/>
        </w:rPr>
      </w:pPr>
    </w:p>
    <w:p>
      <w:pPr>
        <w:ind w:left="360" w:right="300" w:hanging="172"/>
        <w:spacing w:after="0" w:line="282" w:lineRule="auto"/>
        <w:tabs>
          <w:tab w:leader="none" w:pos="3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and December 2017, certain directors and officers received options to acquire 4,650 ordinary shares, of which 385 ordinary shares were exercisable within 60 days of December 31, 2017 at an exercise price of $820 per share and expiring on November 15,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underwriter or underwriting discount or commission was involved in any of the transactions set forth in Item 7.</w:t>
      </w:r>
    </w:p>
    <w:p>
      <w:pPr>
        <w:spacing w:after="0" w:line="27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40" w:top="114" w:right="619" w:bottom="1440" w:gutter="0" w:footer="0" w:header="0"/>
        </w:sectPr>
      </w:pPr>
    </w:p>
    <w:bookmarkStart w:id="228" w:name="page229"/>
    <w:bookmarkEnd w:id="228"/>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 Schedules.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registration statement: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60" w:type="dxa"/>
            <w:vAlign w:val="bottom"/>
            <w:gridSpan w:val="19"/>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3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23"/>
        </w:trPr>
        <w:tc>
          <w:tcPr>
            <w:tcW w:w="320" w:type="dxa"/>
            <w:vAlign w:val="bottom"/>
          </w:tcPr>
          <w:p>
            <w:pPr>
              <w:spacing w:after="0"/>
              <w:rPr>
                <w:sz w:val="19"/>
                <w:szCs w:val="19"/>
                <w:color w:val="auto"/>
              </w:rPr>
            </w:pPr>
          </w:p>
        </w:tc>
        <w:tc>
          <w:tcPr>
            <w:tcW w:w="4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r:id="rId537">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537">
              <w:r>
                <w:rPr>
                  <w:rFonts w:ascii="Times New Roman" w:cs="Times New Roman" w:eastAsia="Times New Roman" w:hAnsi="Times New Roman"/>
                  <w:sz w:val="18"/>
                  <w:szCs w:val="18"/>
                  <w:color w:val="0000EE"/>
                  <w:w w:val="99"/>
                </w:rPr>
                <w:t>Form of Underwriting Agreement.</w:t>
              </w:r>
            </w:hyperlink>
          </w:p>
        </w:tc>
        <w:tc>
          <w:tcPr>
            <w:tcW w:w="7640" w:type="dxa"/>
            <w:vAlign w:val="bottom"/>
            <w:gridSpan w:val="24"/>
          </w:tcPr>
          <w:p>
            <w:pPr>
              <w:spacing w:after="0"/>
              <w:rPr>
                <w:sz w:val="19"/>
                <w:szCs w:val="19"/>
                <w:color w:val="auto"/>
              </w:rPr>
            </w:pPr>
          </w:p>
        </w:tc>
      </w:tr>
      <w:tr>
        <w:trPr>
          <w:trHeight w:val="250"/>
        </w:trPr>
        <w:tc>
          <w:tcPr>
            <w:tcW w:w="320" w:type="dxa"/>
            <w:vAlign w:val="bottom"/>
          </w:tcPr>
          <w:p>
            <w:pPr>
              <w:spacing w:after="0"/>
              <w:rPr>
                <w:sz w:val="21"/>
                <w:szCs w:val="21"/>
                <w:color w:val="auto"/>
              </w:rPr>
            </w:pPr>
          </w:p>
        </w:tc>
        <w:tc>
          <w:tcPr>
            <w:tcW w:w="4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r:id="rId53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538">
              <w:r>
                <w:rPr>
                  <w:rFonts w:ascii="Times New Roman" w:cs="Times New Roman" w:eastAsia="Times New Roman" w:hAnsi="Times New Roman"/>
                  <w:sz w:val="18"/>
                  <w:szCs w:val="18"/>
                  <w:color w:val="0000EE"/>
                  <w:w w:val="99"/>
                </w:rPr>
                <w:t>Fifth Amended and Restated Articles of Association of the Registrant (currently in effect).</w:t>
              </w:r>
            </w:hyperlink>
          </w:p>
        </w:tc>
        <w:tc>
          <w:tcPr>
            <w:tcW w:w="3620" w:type="dxa"/>
            <w:vAlign w:val="bottom"/>
            <w:gridSpan w:val="15"/>
          </w:tcPr>
          <w:p>
            <w:pPr>
              <w:spacing w:after="0"/>
              <w:rPr>
                <w:sz w:val="21"/>
                <w:szCs w:val="21"/>
                <w:color w:val="auto"/>
              </w:rPr>
            </w:pPr>
          </w:p>
        </w:tc>
      </w:tr>
      <w:tr>
        <w:trPr>
          <w:trHeight w:val="210"/>
        </w:trPr>
        <w:tc>
          <w:tcPr>
            <w:tcW w:w="320" w:type="dxa"/>
            <w:vAlign w:val="bottom"/>
          </w:tcPr>
          <w:p>
            <w:pPr>
              <w:spacing w:after="0"/>
              <w:rPr>
                <w:sz w:val="18"/>
                <w:szCs w:val="18"/>
                <w:color w:val="auto"/>
              </w:rPr>
            </w:pPr>
          </w:p>
        </w:tc>
        <w:tc>
          <w:tcPr>
            <w:tcW w:w="4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r:id="rId53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539">
              <w:r>
                <w:rPr>
                  <w:rFonts w:ascii="Times New Roman" w:cs="Times New Roman" w:eastAsia="Times New Roman" w:hAnsi="Times New Roman"/>
                  <w:sz w:val="18"/>
                  <w:szCs w:val="18"/>
                  <w:color w:val="0000EE"/>
                  <w:w w:val="99"/>
                </w:rPr>
                <w:t>Form of Sixth Amended and Restated Articles of Association of the Registrant (to be effective upon the closing of this offering).</w:t>
              </w:r>
            </w:hyperlink>
          </w:p>
        </w:tc>
        <w:tc>
          <w:tcPr>
            <w:tcW w:w="860" w:type="dxa"/>
            <w:vAlign w:val="bottom"/>
            <w:gridSpan w:val="8"/>
          </w:tcPr>
          <w:p>
            <w:pPr>
              <w:spacing w:after="0"/>
              <w:rPr>
                <w:sz w:val="18"/>
                <w:szCs w:val="18"/>
                <w:color w:val="auto"/>
              </w:rPr>
            </w:pPr>
          </w:p>
        </w:tc>
      </w:tr>
      <w:tr>
        <w:trPr>
          <w:trHeight w:val="250"/>
        </w:trPr>
        <w:tc>
          <w:tcPr>
            <w:tcW w:w="320" w:type="dxa"/>
            <w:vAlign w:val="bottom"/>
          </w:tcPr>
          <w:p>
            <w:pPr>
              <w:spacing w:after="0"/>
              <w:rPr>
                <w:sz w:val="21"/>
                <w:szCs w:val="21"/>
                <w:color w:val="auto"/>
              </w:rPr>
            </w:pPr>
          </w:p>
        </w:tc>
        <w:tc>
          <w:tcPr>
            <w:tcW w:w="420" w:type="dxa"/>
            <w:vAlign w:val="bottom"/>
          </w:tcPr>
          <w:p>
            <w:pPr>
              <w:jc w:val="center"/>
              <w:spacing w:after="0"/>
              <w:rPr>
                <w:rFonts w:ascii="Times New Roman" w:cs="Times New Roman" w:eastAsia="Times New Roman" w:hAnsi="Times New Roman"/>
                <w:sz w:val="18"/>
                <w:szCs w:val="18"/>
                <w:color w:val="0000EE"/>
              </w:rPr>
            </w:pPr>
            <w:hyperlink r:id="rId54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7"/>
          </w:tcPr>
          <w:p>
            <w:pPr>
              <w:spacing w:after="0"/>
              <w:rPr>
                <w:rFonts w:ascii="Times New Roman" w:cs="Times New Roman" w:eastAsia="Times New Roman" w:hAnsi="Times New Roman"/>
                <w:sz w:val="18"/>
                <w:szCs w:val="18"/>
                <w:color w:val="0000EE"/>
              </w:rPr>
            </w:pPr>
            <w:hyperlink r:id="rId540">
              <w:r>
                <w:rPr>
                  <w:rFonts w:ascii="Times New Roman" w:cs="Times New Roman" w:eastAsia="Times New Roman" w:hAnsi="Times New Roman"/>
                  <w:sz w:val="18"/>
                  <w:szCs w:val="18"/>
                  <w:color w:val="0000EE"/>
                </w:rPr>
                <w:t>Specimen Form of Ordinary Share Certificate.</w:t>
              </w:r>
            </w:hyperlink>
          </w:p>
        </w:tc>
      </w:tr>
      <w:tr>
        <w:trPr>
          <w:trHeight w:val="20"/>
        </w:trPr>
        <w:tc>
          <w:tcPr>
            <w:tcW w:w="3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420" w:type="dxa"/>
            <w:vAlign w:val="bottom"/>
          </w:tcPr>
          <w:p>
            <w:pPr>
              <w:jc w:val="center"/>
              <w:spacing w:after="0"/>
              <w:rPr>
                <w:rFonts w:ascii="Times New Roman" w:cs="Times New Roman" w:eastAsia="Times New Roman" w:hAnsi="Times New Roman"/>
                <w:sz w:val="18"/>
                <w:szCs w:val="18"/>
                <w:color w:val="0000EE"/>
              </w:rPr>
            </w:pPr>
            <w:hyperlink r:id="rId54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40" w:type="dxa"/>
            <w:vAlign w:val="bottom"/>
            <w:gridSpan w:val="27"/>
          </w:tcPr>
          <w:p>
            <w:pPr>
              <w:spacing w:after="0"/>
              <w:rPr>
                <w:rFonts w:ascii="Times New Roman" w:cs="Times New Roman" w:eastAsia="Times New Roman" w:hAnsi="Times New Roman"/>
                <w:sz w:val="18"/>
                <w:szCs w:val="18"/>
                <w:color w:val="0000EE"/>
              </w:rPr>
            </w:pPr>
            <w:hyperlink r:id="rId541">
              <w:r>
                <w:rPr>
                  <w:rFonts w:ascii="Times New Roman" w:cs="Times New Roman" w:eastAsia="Times New Roman" w:hAnsi="Times New Roman"/>
                  <w:sz w:val="18"/>
                  <w:szCs w:val="18"/>
                  <w:color w:val="0000EE"/>
                </w:rPr>
                <w:t>Form of Warrant issued by the Registrant to Centillion Fund on each of January 29, 2014 and January 21, 2015.</w:t>
              </w:r>
            </w:hyperlink>
          </w:p>
        </w:tc>
      </w:tr>
      <w:tr>
        <w:trPr>
          <w:trHeight w:val="250"/>
        </w:trPr>
        <w:tc>
          <w:tcPr>
            <w:tcW w:w="320" w:type="dxa"/>
            <w:vAlign w:val="bottom"/>
          </w:tcPr>
          <w:p>
            <w:pPr>
              <w:spacing w:after="0"/>
              <w:rPr>
                <w:sz w:val="21"/>
                <w:szCs w:val="21"/>
                <w:color w:val="auto"/>
              </w:rPr>
            </w:pPr>
          </w:p>
        </w:tc>
        <w:tc>
          <w:tcPr>
            <w:tcW w:w="420" w:type="dxa"/>
            <w:vAlign w:val="bottom"/>
            <w:tcBorders>
              <w:top w:val="single" w:sz="8" w:color="0000EE"/>
              <w:bottom w:val="single" w:sz="8" w:color="0000EE"/>
            </w:tcBorders>
          </w:tcPr>
          <w:p>
            <w:pPr>
              <w:jc w:val="center"/>
              <w:spacing w:after="0"/>
              <w:rPr>
                <w:rFonts w:ascii="Times New Roman" w:cs="Times New Roman" w:eastAsia="Times New Roman" w:hAnsi="Times New Roman"/>
                <w:sz w:val="18"/>
                <w:szCs w:val="18"/>
                <w:color w:val="0000EE"/>
              </w:rPr>
            </w:pPr>
            <w:hyperlink r:id="rId54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6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r:id="rId542">
              <w:r>
                <w:rPr>
                  <w:rFonts w:ascii="Times New Roman" w:cs="Times New Roman" w:eastAsia="Times New Roman" w:hAnsi="Times New Roman"/>
                  <w:sz w:val="18"/>
                  <w:szCs w:val="18"/>
                  <w:color w:val="0000EE"/>
                  <w:w w:val="99"/>
                </w:rPr>
                <w:t>Form of additional Warrant issued by the Registrant to Centillion Fund on January 21, 2015.</w:t>
              </w:r>
            </w:hyperlink>
          </w:p>
        </w:tc>
        <w:tc>
          <w:tcPr>
            <w:tcW w:w="1380" w:type="dxa"/>
            <w:vAlign w:val="bottom"/>
            <w:tcBorders>
              <w:top w:val="single" w:sz="8" w:color="0000EE"/>
            </w:tcBorders>
            <w:gridSpan w:val="3"/>
          </w:tcPr>
          <w:p>
            <w:pPr>
              <w:spacing w:after="0"/>
              <w:rPr>
                <w:sz w:val="21"/>
                <w:szCs w:val="21"/>
                <w:color w:val="auto"/>
              </w:rPr>
            </w:pPr>
          </w:p>
        </w:tc>
        <w:tc>
          <w:tcPr>
            <w:tcW w:w="2100" w:type="dxa"/>
            <w:vAlign w:val="bottom"/>
            <w:gridSpan w:val="11"/>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4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r:id="rId54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3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43">
              <w:r>
                <w:rPr>
                  <w:rFonts w:ascii="Times New Roman" w:cs="Times New Roman" w:eastAsia="Times New Roman" w:hAnsi="Times New Roman"/>
                  <w:sz w:val="18"/>
                  <w:szCs w:val="18"/>
                  <w:color w:val="0000EE"/>
                  <w:w w:val="99"/>
                </w:rPr>
                <w:t>Form of Warrant issued by the Registrant to the lenders on June 24, 2016.</w:t>
              </w:r>
            </w:hyperlink>
          </w:p>
        </w:tc>
        <w:tc>
          <w:tcPr>
            <w:tcW w:w="4820" w:type="dxa"/>
            <w:vAlign w:val="bottom"/>
            <w:gridSpan w:val="18"/>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4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r:id="rId54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544">
              <w:r>
                <w:rPr>
                  <w:rFonts w:ascii="Times New Roman" w:cs="Times New Roman" w:eastAsia="Times New Roman" w:hAnsi="Times New Roman"/>
                  <w:sz w:val="18"/>
                  <w:szCs w:val="18"/>
                  <w:color w:val="0000EE"/>
                  <w:w w:val="99"/>
                </w:rPr>
                <w:t>Form of Warrant issued by the Registrant to GP Nurmenkari Inc.</w:t>
              </w:r>
            </w:hyperlink>
          </w:p>
        </w:tc>
        <w:tc>
          <w:tcPr>
            <w:tcW w:w="5460" w:type="dxa"/>
            <w:vAlign w:val="bottom"/>
            <w:gridSpan w:val="19"/>
          </w:tcPr>
          <w:p>
            <w:pPr>
              <w:spacing w:after="0"/>
              <w:rPr>
                <w:sz w:val="21"/>
                <w:szCs w:val="21"/>
                <w:color w:val="auto"/>
              </w:rPr>
            </w:pPr>
          </w:p>
        </w:tc>
      </w:tr>
      <w:tr>
        <w:trPr>
          <w:trHeight w:val="237"/>
        </w:trPr>
        <w:tc>
          <w:tcPr>
            <w:tcW w:w="320" w:type="dxa"/>
            <w:vAlign w:val="bottom"/>
          </w:tcPr>
          <w:p>
            <w:pPr>
              <w:spacing w:after="0"/>
              <w:rPr>
                <w:sz w:val="20"/>
                <w:szCs w:val="20"/>
                <w:color w:val="auto"/>
              </w:rPr>
            </w:pPr>
          </w:p>
        </w:tc>
        <w:tc>
          <w:tcPr>
            <w:tcW w:w="4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0000EE"/>
              </w:rPr>
              <w:t>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Opinion of Herzog Fox &amp; Neeman, Israeli counsel to the Registrant, as to the validity of the ordinary shares.</w:t>
            </w:r>
          </w:p>
        </w:tc>
      </w:tr>
      <w:tr>
        <w:trPr>
          <w:trHeight w:val="250"/>
        </w:trPr>
        <w:tc>
          <w:tcPr>
            <w:tcW w:w="320" w:type="dxa"/>
            <w:vAlign w:val="bottom"/>
          </w:tcPr>
          <w:p>
            <w:pPr>
              <w:spacing w:after="0"/>
              <w:rPr>
                <w:sz w:val="21"/>
                <w:szCs w:val="21"/>
                <w:color w:val="auto"/>
              </w:rPr>
            </w:pPr>
          </w:p>
        </w:tc>
        <w:tc>
          <w:tcPr>
            <w:tcW w:w="420" w:type="dxa"/>
            <w:vAlign w:val="bottom"/>
            <w:tcBorders>
              <w:top w:val="single" w:sz="8" w:color="0000EE"/>
            </w:tcBorders>
          </w:tcPr>
          <w:p>
            <w:pPr>
              <w:jc w:val="center"/>
              <w:ind w:right="90"/>
              <w:spacing w:after="0"/>
              <w:rPr>
                <w:sz w:val="20"/>
                <w:szCs w:val="20"/>
                <w:color w:val="auto"/>
              </w:rPr>
            </w:pPr>
            <w:r>
              <w:rPr>
                <w:rFonts w:ascii="Times New Roman" w:cs="Times New Roman" w:eastAsia="Times New Roman" w:hAnsi="Times New Roman"/>
                <w:sz w:val="18"/>
                <w:szCs w:val="18"/>
                <w:color w:val="0000EE"/>
              </w:rPr>
              <w:t>8.1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2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Opinion of Davis Polk &amp; Wardwell LLP as to U.S. tax matters.</w:t>
            </w:r>
          </w:p>
        </w:tc>
        <w:tc>
          <w:tcPr>
            <w:tcW w:w="2320" w:type="dxa"/>
            <w:vAlign w:val="bottom"/>
            <w:gridSpan w:val="12"/>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20" w:type="dxa"/>
            <w:vAlign w:val="bottom"/>
          </w:tcPr>
          <w:p>
            <w:pPr>
              <w:jc w:val="center"/>
              <w:spacing w:after="0"/>
              <w:rPr>
                <w:rFonts w:ascii="Times New Roman" w:cs="Times New Roman" w:eastAsia="Times New Roman" w:hAnsi="Times New Roman"/>
                <w:sz w:val="18"/>
                <w:szCs w:val="18"/>
                <w:color w:val="0000EE"/>
                <w:w w:val="88"/>
              </w:rPr>
            </w:pPr>
            <w:hyperlink r:id="rId545">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w:t>
              </w:r>
            </w:hyperlink>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Times New Roman" w:cs="Times New Roman" w:eastAsia="Times New Roman" w:hAnsi="Times New Roman"/>
                <w:sz w:val="18"/>
                <w:szCs w:val="18"/>
                <w:color w:val="0000EE"/>
              </w:rPr>
            </w:pPr>
            <w:hyperlink r:id="rId545">
              <w:r>
                <w:rPr>
                  <w:rFonts w:ascii="Times New Roman" w:cs="Times New Roman" w:eastAsia="Times New Roman" w:hAnsi="Times New Roman"/>
                  <w:sz w:val="18"/>
                  <w:szCs w:val="18"/>
                  <w:color w:val="0000EE"/>
                </w:rPr>
                <w:t>Patent Transfer Agreement, dated as of February 22, 2011, between the Registrant and Oramed Ltd.</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20" w:type="dxa"/>
            <w:vAlign w:val="bottom"/>
          </w:tcPr>
          <w:p>
            <w:pPr>
              <w:jc w:val="center"/>
              <w:spacing w:after="0"/>
              <w:rPr>
                <w:rFonts w:ascii="Times New Roman" w:cs="Times New Roman" w:eastAsia="Times New Roman" w:hAnsi="Times New Roman"/>
                <w:sz w:val="18"/>
                <w:szCs w:val="18"/>
                <w:color w:val="0000EE"/>
                <w:w w:val="88"/>
              </w:rPr>
            </w:pPr>
            <w:hyperlink r:id="rId546">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2**</w:t>
              </w:r>
            </w:hyperlink>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Times New Roman" w:cs="Times New Roman" w:eastAsia="Times New Roman" w:hAnsi="Times New Roman"/>
                <w:sz w:val="18"/>
                <w:szCs w:val="18"/>
                <w:color w:val="0000EE"/>
              </w:rPr>
            </w:pPr>
            <w:hyperlink r:id="rId546">
              <w:r>
                <w:rPr>
                  <w:rFonts w:ascii="Times New Roman" w:cs="Times New Roman" w:eastAsia="Times New Roman" w:hAnsi="Times New Roman"/>
                  <w:sz w:val="18"/>
                  <w:szCs w:val="18"/>
                  <w:color w:val="0000EE"/>
                </w:rPr>
                <w:t>Convertible Financing Agreement, dated as of November 8, 2012, among the Registrant, D.N.A Biomedical Solutions, Ltd. and the lenders</w:t>
              </w:r>
            </w:hyperlink>
          </w:p>
        </w:tc>
      </w:tr>
      <w:tr>
        <w:trPr>
          <w:trHeight w:val="196"/>
        </w:trPr>
        <w:tc>
          <w:tcPr>
            <w:tcW w:w="32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546">
              <w:r>
                <w:rPr>
                  <w:rFonts w:ascii="Times New Roman" w:cs="Times New Roman" w:eastAsia="Times New Roman" w:hAnsi="Times New Roman"/>
                  <w:sz w:val="18"/>
                  <w:szCs w:val="18"/>
                  <w:color w:val="0000EE"/>
                </w:rPr>
                <w:t>thereto.</w:t>
              </w:r>
            </w:hyperlink>
          </w:p>
        </w:tc>
        <w:tc>
          <w:tcPr>
            <w:tcW w:w="100" w:type="dxa"/>
            <w:vAlign w:val="bottom"/>
            <w:gridSpan w:val="2"/>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88"/>
              </w:rPr>
            </w:pPr>
            <w:hyperlink r:id="rId547">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3**</w:t>
              </w:r>
            </w:hyperlink>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547">
              <w:r>
                <w:rPr>
                  <w:rFonts w:ascii="Times New Roman" w:cs="Times New Roman" w:eastAsia="Times New Roman" w:hAnsi="Times New Roman"/>
                  <w:sz w:val="18"/>
                  <w:szCs w:val="18"/>
                  <w:color w:val="0000EE"/>
                  <w:w w:val="99"/>
                </w:rPr>
                <w:t>Convertible Financing Agreement, dated as of December 31, 2012, among the Registrant, D.N.A Biomedical Solutions, Ltd. and the lenders</w:t>
              </w:r>
            </w:hyperlink>
          </w:p>
        </w:tc>
        <w:tc>
          <w:tcPr>
            <w:tcW w:w="20" w:type="dxa"/>
            <w:vAlign w:val="bottom"/>
          </w:tcPr>
          <w:p>
            <w:pPr>
              <w:spacing w:after="0"/>
              <w:rPr>
                <w:sz w:val="20"/>
                <w:szCs w:val="20"/>
                <w:color w:val="auto"/>
              </w:rPr>
            </w:pPr>
          </w:p>
        </w:tc>
      </w:tr>
      <w:tr>
        <w:trPr>
          <w:trHeight w:val="196"/>
        </w:trPr>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gridSpan w:val="27"/>
          </w:tcPr>
          <w:p>
            <w:pPr>
              <w:spacing w:after="0" w:line="196" w:lineRule="exact"/>
              <w:rPr>
                <w:rFonts w:ascii="Times New Roman" w:cs="Times New Roman" w:eastAsia="Times New Roman" w:hAnsi="Times New Roman"/>
                <w:sz w:val="18"/>
                <w:szCs w:val="18"/>
                <w:color w:val="0000EE"/>
              </w:rPr>
            </w:pPr>
            <w:hyperlink r:id="rId547">
              <w:r>
                <w:rPr>
                  <w:rFonts w:ascii="Times New Roman" w:cs="Times New Roman" w:eastAsia="Times New Roman" w:hAnsi="Times New Roman"/>
                  <w:sz w:val="18"/>
                  <w:szCs w:val="18"/>
                  <w:color w:val="0000EE"/>
                </w:rPr>
                <w:t>thereto.</w:t>
              </w:r>
            </w:hyperlink>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420" w:type="dxa"/>
            <w:vAlign w:val="bottom"/>
          </w:tcPr>
          <w:p>
            <w:pPr>
              <w:jc w:val="center"/>
              <w:spacing w:after="0"/>
              <w:rPr>
                <w:rFonts w:ascii="Times New Roman" w:cs="Times New Roman" w:eastAsia="Times New Roman" w:hAnsi="Times New Roman"/>
                <w:sz w:val="18"/>
                <w:szCs w:val="18"/>
                <w:color w:val="0000EE"/>
                <w:w w:val="88"/>
              </w:rPr>
            </w:pPr>
            <w:hyperlink r:id="rId548">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4**</w:t>
              </w:r>
            </w:hyperlink>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7"/>
          </w:tcPr>
          <w:p>
            <w:pPr>
              <w:spacing w:after="0"/>
              <w:rPr>
                <w:rFonts w:ascii="Times New Roman" w:cs="Times New Roman" w:eastAsia="Times New Roman" w:hAnsi="Times New Roman"/>
                <w:sz w:val="18"/>
                <w:szCs w:val="18"/>
                <w:color w:val="0000EE"/>
              </w:rPr>
            </w:pPr>
            <w:hyperlink r:id="rId548">
              <w:r>
                <w:rPr>
                  <w:rFonts w:ascii="Times New Roman" w:cs="Times New Roman" w:eastAsia="Times New Roman" w:hAnsi="Times New Roman"/>
                  <w:sz w:val="18"/>
                  <w:szCs w:val="18"/>
                  <w:color w:val="0000EE"/>
                </w:rPr>
                <w:t>The Entera Bio Ltd. Share Incentive Plan.</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88"/>
              </w:rPr>
            </w:pPr>
            <w:hyperlink r:id="rId549">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5**</w:t>
              </w:r>
            </w:hyperlink>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549">
              <w:r>
                <w:rPr>
                  <w:rFonts w:ascii="Times New Roman" w:cs="Times New Roman" w:eastAsia="Times New Roman" w:hAnsi="Times New Roman"/>
                  <w:sz w:val="18"/>
                  <w:szCs w:val="18"/>
                  <w:color w:val="0000EE"/>
                  <w:w w:val="99"/>
                </w:rPr>
                <w:t>Series A Preferred Share Purchase Agreement, dated as of January 29, 2014, between the Registrant and Centillion Fund.</w:t>
              </w:r>
            </w:hyperlink>
          </w:p>
        </w:tc>
        <w:tc>
          <w:tcPr>
            <w:tcW w:w="1400" w:type="dxa"/>
            <w:vAlign w:val="bottom"/>
            <w:gridSpan w:val="9"/>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420" w:type="dxa"/>
            <w:vAlign w:val="bottom"/>
          </w:tcPr>
          <w:p>
            <w:pPr>
              <w:jc w:val="center"/>
              <w:spacing w:after="0"/>
              <w:rPr>
                <w:rFonts w:ascii="Times New Roman" w:cs="Times New Roman" w:eastAsia="Times New Roman" w:hAnsi="Times New Roman"/>
                <w:sz w:val="18"/>
                <w:szCs w:val="18"/>
                <w:color w:val="0000EE"/>
                <w:w w:val="88"/>
              </w:rPr>
            </w:pPr>
            <w:hyperlink r:id="rId550">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6**</w:t>
              </w:r>
            </w:hyperlink>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Times New Roman" w:cs="Times New Roman" w:eastAsia="Times New Roman" w:hAnsi="Times New Roman"/>
                <w:sz w:val="18"/>
                <w:szCs w:val="18"/>
                <w:color w:val="0000EE"/>
              </w:rPr>
            </w:pPr>
            <w:hyperlink r:id="rId550">
              <w:r>
                <w:rPr>
                  <w:rFonts w:ascii="Times New Roman" w:cs="Times New Roman" w:eastAsia="Times New Roman" w:hAnsi="Times New Roman"/>
                  <w:sz w:val="18"/>
                  <w:szCs w:val="18"/>
                  <w:color w:val="0000EE"/>
                </w:rPr>
                <w:t>First Amendment to Series A Preferred Share Purchase Agreement, dated as of June 18, 2014, between the Registrant and Centillion Fund.</w:t>
              </w:r>
            </w:hyperlink>
          </w:p>
        </w:tc>
      </w:tr>
      <w:tr>
        <w:trPr>
          <w:trHeight w:val="237"/>
        </w:trPr>
        <w:tc>
          <w:tcPr>
            <w:tcW w:w="320" w:type="dxa"/>
            <w:vAlign w:val="bottom"/>
          </w:tcPr>
          <w:p>
            <w:pPr>
              <w:spacing w:after="0"/>
              <w:rPr>
                <w:sz w:val="20"/>
                <w:szCs w:val="20"/>
                <w:color w:val="auto"/>
              </w:rPr>
            </w:pPr>
          </w:p>
        </w:tc>
        <w:tc>
          <w:tcPr>
            <w:tcW w:w="420" w:type="dxa"/>
            <w:vAlign w:val="bottom"/>
            <w:tcBorders>
              <w:top w:val="single" w:sz="8" w:color="0000EE"/>
              <w:bottom w:val="single" w:sz="8" w:color="0000EE"/>
            </w:tcBorders>
          </w:tcPr>
          <w:p>
            <w:pPr>
              <w:jc w:val="center"/>
              <w:spacing w:after="0"/>
              <w:rPr>
                <w:rFonts w:ascii="Times New Roman" w:cs="Times New Roman" w:eastAsia="Times New Roman" w:hAnsi="Times New Roman"/>
                <w:sz w:val="18"/>
                <w:szCs w:val="18"/>
                <w:color w:val="0000EE"/>
                <w:w w:val="88"/>
              </w:rPr>
            </w:pPr>
            <w:hyperlink r:id="rId551">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7**</w:t>
              </w:r>
            </w:hyperlink>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80" w:type="dxa"/>
            <w:vAlign w:val="bottom"/>
            <w:tcBorders>
              <w:top w:val="single" w:sz="8" w:color="0000EE"/>
              <w:bottom w:val="single" w:sz="8" w:color="0000EE"/>
            </w:tcBorders>
            <w:gridSpan w:val="23"/>
          </w:tcPr>
          <w:p>
            <w:pPr>
              <w:spacing w:after="0"/>
              <w:rPr>
                <w:rFonts w:ascii="Times New Roman" w:cs="Times New Roman" w:eastAsia="Times New Roman" w:hAnsi="Times New Roman"/>
                <w:sz w:val="18"/>
                <w:szCs w:val="18"/>
                <w:color w:val="0000EE"/>
                <w:w w:val="99"/>
              </w:rPr>
            </w:pPr>
            <w:hyperlink r:id="rId551">
              <w:r>
                <w:rPr>
                  <w:rFonts w:ascii="Times New Roman" w:cs="Times New Roman" w:eastAsia="Times New Roman" w:hAnsi="Times New Roman"/>
                  <w:sz w:val="18"/>
                  <w:szCs w:val="18"/>
                  <w:color w:val="0000EE"/>
                  <w:w w:val="99"/>
                </w:rPr>
                <w:t>Second Amendment to Series A Preferred Share Purchase Agreement, dated as of January 21, 2015, between the Registrant and Centillion</w:t>
              </w:r>
            </w:hyperlink>
          </w:p>
        </w:tc>
        <w:tc>
          <w:tcPr>
            <w:tcW w:w="20" w:type="dxa"/>
            <w:vAlign w:val="bottom"/>
            <w:tcBorders>
              <w:top w:val="single" w:sz="8" w:color="0000EE"/>
            </w:tcBorders>
          </w:tcPr>
          <w:p>
            <w:pPr>
              <w:spacing w:after="0"/>
              <w:rPr>
                <w:sz w:val="20"/>
                <w:szCs w:val="20"/>
                <w:color w:val="auto"/>
              </w:rPr>
            </w:pPr>
          </w:p>
        </w:tc>
        <w:tc>
          <w:tcPr>
            <w:tcW w:w="140" w:type="dxa"/>
            <w:vAlign w:val="bottom"/>
            <w:gridSpan w:val="3"/>
          </w:tcPr>
          <w:p>
            <w:pPr>
              <w:spacing w:after="0"/>
              <w:rPr>
                <w:sz w:val="20"/>
                <w:szCs w:val="20"/>
                <w:color w:val="auto"/>
              </w:rPr>
            </w:pPr>
          </w:p>
        </w:tc>
      </w:tr>
      <w:tr>
        <w:trPr>
          <w:trHeight w:val="196"/>
        </w:trPr>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551">
              <w:r>
                <w:rPr>
                  <w:rFonts w:ascii="Times New Roman" w:cs="Times New Roman" w:eastAsia="Times New Roman" w:hAnsi="Times New Roman"/>
                  <w:sz w:val="18"/>
                  <w:szCs w:val="18"/>
                  <w:color w:val="0000EE"/>
                  <w:w w:val="96"/>
                </w:rPr>
                <w:t>Fund.</w:t>
              </w:r>
            </w:hyperlink>
          </w:p>
        </w:tc>
        <w:tc>
          <w:tcPr>
            <w:tcW w:w="9720" w:type="dxa"/>
            <w:vAlign w:val="bottom"/>
            <w:gridSpan w:val="26"/>
          </w:tcPr>
          <w:p>
            <w:pPr>
              <w:spacing w:after="0"/>
              <w:rPr>
                <w:sz w:val="17"/>
                <w:szCs w:val="17"/>
                <w:color w:val="auto"/>
              </w:rPr>
            </w:pPr>
          </w:p>
        </w:tc>
      </w:tr>
      <w:tr>
        <w:trPr>
          <w:trHeight w:val="237"/>
        </w:trPr>
        <w:tc>
          <w:tcPr>
            <w:tcW w:w="320" w:type="dxa"/>
            <w:vAlign w:val="bottom"/>
          </w:tcPr>
          <w:p>
            <w:pPr>
              <w:spacing w:after="0"/>
              <w:rPr>
                <w:sz w:val="20"/>
                <w:szCs w:val="20"/>
                <w:color w:val="auto"/>
              </w:rPr>
            </w:pPr>
          </w:p>
        </w:tc>
        <w:tc>
          <w:tcPr>
            <w:tcW w:w="4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88"/>
              </w:rPr>
            </w:pPr>
            <w:hyperlink r:id="rId552">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8**</w:t>
              </w:r>
            </w:hyperlink>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552">
              <w:r>
                <w:rPr>
                  <w:rFonts w:ascii="Times New Roman" w:cs="Times New Roman" w:eastAsia="Times New Roman" w:hAnsi="Times New Roman"/>
                  <w:sz w:val="18"/>
                  <w:szCs w:val="18"/>
                  <w:color w:val="0000EE"/>
                  <w:w w:val="99"/>
                </w:rPr>
                <w:t>Third Amendment to Series A Preferred Share Purchase Agreement, dated as of November 2015, between the Registrant and Centillion</w:t>
              </w:r>
            </w:hyperlink>
          </w:p>
        </w:tc>
        <w:tc>
          <w:tcPr>
            <w:tcW w:w="360" w:type="dxa"/>
            <w:vAlign w:val="bottom"/>
            <w:gridSpan w:val="5"/>
          </w:tcPr>
          <w:p>
            <w:pPr>
              <w:spacing w:after="0"/>
              <w:rPr>
                <w:sz w:val="20"/>
                <w:szCs w:val="20"/>
                <w:color w:val="auto"/>
              </w:rPr>
            </w:pPr>
          </w:p>
        </w:tc>
      </w:tr>
      <w:tr>
        <w:trPr>
          <w:trHeight w:val="196"/>
        </w:trPr>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552">
              <w:r>
                <w:rPr>
                  <w:rFonts w:ascii="Times New Roman" w:cs="Times New Roman" w:eastAsia="Times New Roman" w:hAnsi="Times New Roman"/>
                  <w:sz w:val="18"/>
                  <w:szCs w:val="18"/>
                  <w:color w:val="0000EE"/>
                  <w:w w:val="96"/>
                </w:rPr>
                <w:t>Fund.</w:t>
              </w:r>
            </w:hyperlink>
          </w:p>
        </w:tc>
        <w:tc>
          <w:tcPr>
            <w:tcW w:w="9720" w:type="dxa"/>
            <w:vAlign w:val="bottom"/>
            <w:gridSpan w:val="26"/>
          </w:tcPr>
          <w:p>
            <w:pPr>
              <w:spacing w:after="0"/>
              <w:rPr>
                <w:sz w:val="17"/>
                <w:szCs w:val="17"/>
                <w:color w:val="auto"/>
              </w:rPr>
            </w:pPr>
          </w:p>
        </w:tc>
      </w:tr>
      <w:tr>
        <w:trPr>
          <w:trHeight w:val="237"/>
        </w:trPr>
        <w:tc>
          <w:tcPr>
            <w:tcW w:w="320" w:type="dxa"/>
            <w:vAlign w:val="bottom"/>
          </w:tcPr>
          <w:p>
            <w:pPr>
              <w:spacing w:after="0"/>
              <w:rPr>
                <w:sz w:val="20"/>
                <w:szCs w:val="20"/>
                <w:color w:val="auto"/>
              </w:rPr>
            </w:pPr>
          </w:p>
        </w:tc>
        <w:tc>
          <w:tcPr>
            <w:tcW w:w="420" w:type="dxa"/>
            <w:vAlign w:val="bottom"/>
          </w:tcPr>
          <w:p>
            <w:pPr>
              <w:jc w:val="center"/>
              <w:spacing w:after="0"/>
              <w:rPr>
                <w:rFonts w:ascii="Times New Roman" w:cs="Times New Roman" w:eastAsia="Times New Roman" w:hAnsi="Times New Roman"/>
                <w:sz w:val="18"/>
                <w:szCs w:val="18"/>
                <w:color w:val="0000EE"/>
                <w:w w:val="88"/>
              </w:rPr>
            </w:pPr>
            <w:hyperlink r:id="rId553">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9**</w:t>
              </w:r>
            </w:hyperlink>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Times New Roman" w:cs="Times New Roman" w:eastAsia="Times New Roman" w:hAnsi="Times New Roman"/>
                <w:sz w:val="18"/>
                <w:szCs w:val="18"/>
                <w:color w:val="0000EE"/>
                <w:w w:val="99"/>
              </w:rPr>
            </w:pPr>
            <w:hyperlink r:id="rId553">
              <w:r>
                <w:rPr>
                  <w:rFonts w:ascii="Times New Roman" w:cs="Times New Roman" w:eastAsia="Times New Roman" w:hAnsi="Times New Roman"/>
                  <w:sz w:val="18"/>
                  <w:szCs w:val="18"/>
                  <w:color w:val="0000EE"/>
                  <w:w w:val="99"/>
                </w:rPr>
                <w:t>Fourth Amendment to Series A Preferred Share Purchase Agreement, dated as of July 20, 2017, between the Registrant and Centillion Fund.</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30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3"/>
            <w:shd w:val="clear" w:color="auto" w:fill="0000EE"/>
          </w:tcPr>
          <w:p>
            <w:pPr>
              <w:spacing w:after="0" w:line="20" w:lineRule="exact"/>
              <w:rPr>
                <w:sz w:val="1"/>
                <w:szCs w:val="1"/>
                <w:color w:val="auto"/>
              </w:rPr>
            </w:pPr>
          </w:p>
        </w:tc>
        <w:tc>
          <w:tcPr>
            <w:tcW w:w="110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40" w:type="dxa"/>
            <w:vAlign w:val="bottom"/>
            <w:gridSpan w:val="2"/>
          </w:tcPr>
          <w:p>
            <w:pPr>
              <w:jc w:val="center"/>
              <w:ind w:left="52"/>
              <w:spacing w:after="0"/>
              <w:rPr>
                <w:rFonts w:ascii="Times New Roman" w:cs="Times New Roman" w:eastAsia="Times New Roman" w:hAnsi="Times New Roman"/>
                <w:sz w:val="18"/>
                <w:szCs w:val="18"/>
                <w:color w:val="0000EE"/>
                <w:w w:val="98"/>
              </w:rPr>
            </w:pPr>
            <w:hyperlink r:id="rId554">
              <w:r>
                <w:rPr>
                  <w:rFonts w:ascii="Times New Roman" w:cs="Times New Roman" w:eastAsia="Times New Roman" w:hAnsi="Times New Roman"/>
                  <w:sz w:val="18"/>
                  <w:szCs w:val="18"/>
                  <w:color w:val="0000EE"/>
                  <w:w w:val="98"/>
                </w:rPr>
                <w:t>10.10</w:t>
              </w:r>
            </w:hyperlink>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Times New Roman" w:cs="Times New Roman" w:eastAsia="Times New Roman" w:hAnsi="Times New Roman"/>
                <w:sz w:val="18"/>
                <w:szCs w:val="18"/>
                <w:color w:val="0000EE"/>
              </w:rPr>
            </w:pPr>
            <w:hyperlink r:id="rId554">
              <w:r>
                <w:rPr>
                  <w:rFonts w:ascii="Times New Roman" w:cs="Times New Roman" w:eastAsia="Times New Roman" w:hAnsi="Times New Roman"/>
                  <w:sz w:val="18"/>
                  <w:szCs w:val="18"/>
                  <w:color w:val="0000EE"/>
                </w:rPr>
                <w:t>Series B Preferred Share Purchase Agreement, dated as of October 4, 2017, October 25, 2017 and December 18, 2017, between the</w:t>
              </w:r>
            </w:hyperlink>
          </w:p>
        </w:tc>
      </w:tr>
      <w:tr>
        <w:trPr>
          <w:trHeight w:val="196"/>
        </w:trPr>
        <w:tc>
          <w:tcPr>
            <w:tcW w:w="32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54">
              <w:r>
                <w:rPr>
                  <w:rFonts w:ascii="Times New Roman" w:cs="Times New Roman" w:eastAsia="Times New Roman" w:hAnsi="Times New Roman"/>
                  <w:sz w:val="18"/>
                  <w:szCs w:val="18"/>
                  <w:color w:val="0000EE"/>
                </w:rPr>
                <w:t>Registrant and the other parties thereto.</w:t>
              </w:r>
            </w:hyperlink>
          </w:p>
        </w:tc>
        <w:tc>
          <w:tcPr>
            <w:tcW w:w="680" w:type="dxa"/>
            <w:vAlign w:val="bottom"/>
            <w:gridSpan w:val="7"/>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237"/>
        </w:trPr>
        <w:tc>
          <w:tcPr>
            <w:tcW w:w="820" w:type="dxa"/>
            <w:vAlign w:val="bottom"/>
            <w:gridSpan w:val="3"/>
          </w:tcPr>
          <w:p>
            <w:pPr>
              <w:jc w:val="center"/>
              <w:ind w:left="152"/>
              <w:spacing w:after="0"/>
              <w:rPr>
                <w:rFonts w:ascii="Times New Roman" w:cs="Times New Roman" w:eastAsia="Times New Roman" w:hAnsi="Times New Roman"/>
                <w:sz w:val="18"/>
                <w:szCs w:val="18"/>
                <w:color w:val="0000EE"/>
                <w:w w:val="99"/>
              </w:rPr>
            </w:pPr>
            <w:hyperlink r:id="rId555">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11**</w:t>
              </w:r>
            </w:hyperlink>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Times New Roman" w:cs="Times New Roman" w:eastAsia="Times New Roman" w:hAnsi="Times New Roman"/>
                <w:sz w:val="18"/>
                <w:szCs w:val="18"/>
                <w:color w:val="0000EE"/>
              </w:rPr>
            </w:pPr>
            <w:hyperlink r:id="rId555">
              <w:r>
                <w:rPr>
                  <w:rFonts w:ascii="Times New Roman" w:cs="Times New Roman" w:eastAsia="Times New Roman" w:hAnsi="Times New Roman"/>
                  <w:sz w:val="18"/>
                  <w:szCs w:val="18"/>
                  <w:color w:val="0000EE"/>
                </w:rPr>
                <w:t>Amended and Restated Investors’ Rights Agreement, dated as of October 4, 2017, between the Registrant and the other parties thereto.</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tcBorders>
              <w:left w:val="single" w:sz="8" w:color="0000EE"/>
            </w:tcBorders>
            <w:gridSpan w:val="4"/>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237"/>
        </w:trPr>
        <w:tc>
          <w:tcPr>
            <w:tcW w:w="820" w:type="dxa"/>
            <w:vAlign w:val="bottom"/>
            <w:gridSpan w:val="3"/>
          </w:tcPr>
          <w:p>
            <w:pPr>
              <w:jc w:val="center"/>
              <w:ind w:left="152"/>
              <w:spacing w:after="0"/>
              <w:rPr>
                <w:rFonts w:ascii="Times New Roman" w:cs="Times New Roman" w:eastAsia="Times New Roman" w:hAnsi="Times New Roman"/>
                <w:sz w:val="18"/>
                <w:szCs w:val="18"/>
                <w:color w:val="0000EE"/>
                <w:w w:val="99"/>
              </w:rPr>
            </w:pPr>
            <w:hyperlink r:id="rId556">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12**</w:t>
              </w:r>
            </w:hyperlink>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Times New Roman" w:cs="Times New Roman" w:eastAsia="Times New Roman" w:hAnsi="Times New Roman"/>
                <w:sz w:val="18"/>
                <w:szCs w:val="18"/>
                <w:color w:val="0000EE"/>
              </w:rPr>
            </w:pPr>
            <w:hyperlink r:id="rId556">
              <w:r>
                <w:rPr>
                  <w:rFonts w:ascii="Times New Roman" w:cs="Times New Roman" w:eastAsia="Times New Roman" w:hAnsi="Times New Roman"/>
                  <w:sz w:val="18"/>
                  <w:szCs w:val="18"/>
                  <w:color w:val="0000EE"/>
                </w:rPr>
                <w:t>Form of indemnification agreement between the Registrant and its directors and executive officers.</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r>
      <w:tr>
        <w:trPr>
          <w:trHeight w:val="237"/>
        </w:trPr>
        <w:tc>
          <w:tcPr>
            <w:tcW w:w="820" w:type="dxa"/>
            <w:vAlign w:val="bottom"/>
            <w:gridSpan w:val="3"/>
          </w:tcPr>
          <w:p>
            <w:pPr>
              <w:jc w:val="center"/>
              <w:ind w:left="152"/>
              <w:spacing w:after="0"/>
              <w:rPr>
                <w:rFonts w:ascii="Times New Roman" w:cs="Times New Roman" w:eastAsia="Times New Roman" w:hAnsi="Times New Roman"/>
                <w:sz w:val="18"/>
                <w:szCs w:val="18"/>
                <w:color w:val="0000EE"/>
                <w:w w:val="99"/>
              </w:rPr>
            </w:pPr>
            <w:hyperlink r:id="rId557">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13**</w:t>
              </w:r>
            </w:hyperlink>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Times New Roman" w:cs="Times New Roman" w:eastAsia="Times New Roman" w:hAnsi="Times New Roman"/>
                <w:sz w:val="18"/>
                <w:szCs w:val="18"/>
                <w:color w:val="0000EE"/>
              </w:rPr>
            </w:pPr>
            <w:hyperlink r:id="rId557">
              <w:r>
                <w:rPr>
                  <w:rFonts w:ascii="Times New Roman" w:cs="Times New Roman" w:eastAsia="Times New Roman" w:hAnsi="Times New Roman"/>
                  <w:sz w:val="18"/>
                  <w:szCs w:val="18"/>
                  <w:color w:val="0000EE"/>
                </w:rPr>
                <w:t>Form of Convertible Financing Agreement, dated as of June 14, 2016, among the Registrant and the lenders thereto.</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r>
      <w:tr>
        <w:trPr>
          <w:trHeight w:val="250"/>
        </w:trPr>
        <w:tc>
          <w:tcPr>
            <w:tcW w:w="820" w:type="dxa"/>
            <w:vAlign w:val="bottom"/>
            <w:gridSpan w:val="3"/>
          </w:tcPr>
          <w:p>
            <w:pPr>
              <w:jc w:val="center"/>
              <w:ind w:left="152"/>
              <w:spacing w:after="0"/>
              <w:rPr>
                <w:rFonts w:ascii="Times New Roman" w:cs="Times New Roman" w:eastAsia="Times New Roman" w:hAnsi="Times New Roman"/>
                <w:sz w:val="18"/>
                <w:szCs w:val="18"/>
                <w:color w:val="0000EE"/>
                <w:w w:val="99"/>
              </w:rPr>
            </w:pPr>
            <w:hyperlink r:id="rId558">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14**</w:t>
              </w:r>
            </w:hyperlink>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7"/>
          </w:tcPr>
          <w:p>
            <w:pPr>
              <w:spacing w:after="0"/>
              <w:rPr>
                <w:rFonts w:ascii="Times New Roman" w:cs="Times New Roman" w:eastAsia="Times New Roman" w:hAnsi="Times New Roman"/>
                <w:sz w:val="18"/>
                <w:szCs w:val="18"/>
                <w:color w:val="0000EE"/>
              </w:rPr>
            </w:pPr>
            <w:hyperlink r:id="rId558">
              <w:r>
                <w:rPr>
                  <w:rFonts w:ascii="Times New Roman" w:cs="Times New Roman" w:eastAsia="Times New Roman" w:hAnsi="Times New Roman"/>
                  <w:sz w:val="18"/>
                  <w:szCs w:val="18"/>
                  <w:color w:val="0000EE"/>
                </w:rPr>
                <w:t>Service Agreement, dated April 6, 2017, between Roger Garceau and the Company.</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r>
      <w:tr>
        <w:trPr>
          <w:trHeight w:val="250"/>
        </w:trPr>
        <w:tc>
          <w:tcPr>
            <w:tcW w:w="820" w:type="dxa"/>
            <w:vAlign w:val="bottom"/>
            <w:gridSpan w:val="3"/>
          </w:tcPr>
          <w:p>
            <w:pPr>
              <w:jc w:val="center"/>
              <w:ind w:left="152"/>
              <w:spacing w:after="0"/>
              <w:rPr>
                <w:rFonts w:ascii="Times New Roman" w:cs="Times New Roman" w:eastAsia="Times New Roman" w:hAnsi="Times New Roman"/>
                <w:sz w:val="18"/>
                <w:szCs w:val="18"/>
                <w:color w:val="0000EE"/>
                <w:w w:val="99"/>
              </w:rPr>
            </w:pPr>
            <w:hyperlink r:id="rId559">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15**</w:t>
              </w:r>
            </w:hyperlink>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7"/>
          </w:tcPr>
          <w:p>
            <w:pPr>
              <w:spacing w:after="0"/>
              <w:rPr>
                <w:rFonts w:ascii="Times New Roman" w:cs="Times New Roman" w:eastAsia="Times New Roman" w:hAnsi="Times New Roman"/>
                <w:sz w:val="18"/>
                <w:szCs w:val="18"/>
                <w:color w:val="0000EE"/>
              </w:rPr>
            </w:pPr>
            <w:hyperlink r:id="rId559">
              <w:r>
                <w:rPr>
                  <w:rFonts w:ascii="Times New Roman" w:cs="Times New Roman" w:eastAsia="Times New Roman" w:hAnsi="Times New Roman"/>
                  <w:sz w:val="18"/>
                  <w:szCs w:val="18"/>
                  <w:color w:val="0000EE"/>
                </w:rPr>
                <w:t>Service Agreement, dated April 6, 2017, between Luke Beshar and the Company.</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r>
      <w:tr>
        <w:trPr>
          <w:trHeight w:val="237"/>
        </w:trPr>
        <w:tc>
          <w:tcPr>
            <w:tcW w:w="820" w:type="dxa"/>
            <w:vAlign w:val="bottom"/>
            <w:gridSpan w:val="3"/>
          </w:tcPr>
          <w:p>
            <w:pPr>
              <w:jc w:val="center"/>
              <w:ind w:left="152"/>
              <w:spacing w:after="0"/>
              <w:rPr>
                <w:rFonts w:ascii="Times New Roman" w:cs="Times New Roman" w:eastAsia="Times New Roman" w:hAnsi="Times New Roman"/>
                <w:sz w:val="18"/>
                <w:szCs w:val="18"/>
                <w:color w:val="0000EE"/>
                <w:w w:val="99"/>
              </w:rPr>
            </w:pPr>
            <w:hyperlink r:id="rId560">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16**</w:t>
              </w:r>
            </w:hyperlink>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Times New Roman" w:cs="Times New Roman" w:eastAsia="Times New Roman" w:hAnsi="Times New Roman"/>
                <w:sz w:val="18"/>
                <w:szCs w:val="18"/>
                <w:color w:val="0000EE"/>
              </w:rPr>
            </w:pPr>
            <w:hyperlink r:id="rId560">
              <w:r>
                <w:rPr>
                  <w:rFonts w:ascii="Times New Roman" w:cs="Times New Roman" w:eastAsia="Times New Roman" w:hAnsi="Times New Roman"/>
                  <w:sz w:val="18"/>
                  <w:szCs w:val="18"/>
                  <w:color w:val="0000EE"/>
                </w:rPr>
                <w:t>2018 Equity Incentive Plan and forms of agreements thereunder (to be in effective upon the closing of this offering).</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29" w:name="page230"/>
    <w:bookmarkEnd w:id="229"/>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7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210"/>
        </w:trPr>
        <w:tc>
          <w:tcPr>
            <w:tcW w:w="320" w:type="dxa"/>
            <w:vAlign w:val="bottom"/>
          </w:tcPr>
          <w:p>
            <w:pPr>
              <w:spacing w:after="0"/>
              <w:rPr>
                <w:sz w:val="18"/>
                <w:szCs w:val="18"/>
                <w:color w:val="auto"/>
              </w:rPr>
            </w:pPr>
          </w:p>
        </w:tc>
        <w:tc>
          <w:tcPr>
            <w:tcW w:w="42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Amendment No. 1 to the Series B Preferred Share Purchase Agreement, dated December 18, 2017, between the Registrant and the other</w:t>
            </w:r>
          </w:p>
        </w:tc>
        <w:tc>
          <w:tcPr>
            <w:tcW w:w="320" w:type="dxa"/>
            <w:vAlign w:val="bottom"/>
            <w:gridSpan w:val="2"/>
          </w:tcPr>
          <w:p>
            <w:pPr>
              <w:spacing w:after="0"/>
              <w:rPr>
                <w:sz w:val="18"/>
                <w:szCs w:val="18"/>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parties thereto.</w:t>
            </w:r>
          </w:p>
        </w:tc>
        <w:tc>
          <w:tcPr>
            <w:tcW w:w="9060" w:type="dxa"/>
            <w:vAlign w:val="bottom"/>
            <w:gridSpan w:val="8"/>
          </w:tcPr>
          <w:p>
            <w:pPr>
              <w:spacing w:after="0"/>
              <w:rPr>
                <w:sz w:val="17"/>
                <w:szCs w:val="17"/>
                <w:color w:val="auto"/>
              </w:rPr>
            </w:pPr>
          </w:p>
        </w:tc>
      </w:tr>
      <w:tr>
        <w:trPr>
          <w:trHeight w:val="250"/>
        </w:trPr>
        <w:tc>
          <w:tcPr>
            <w:tcW w:w="700" w:type="dxa"/>
            <w:vAlign w:val="bottom"/>
            <w:gridSpan w:val="3"/>
          </w:tcPr>
          <w:p>
            <w:pPr>
              <w:jc w:val="center"/>
              <w:ind w:left="233"/>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 of Kesselman &amp; Kesselman, Certified Public Accountants, a member firm of PricewaterhouseCoopers International Limited, an</w:t>
            </w: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28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64"/>
        </w:trPr>
        <w:tc>
          <w:tcPr>
            <w:tcW w:w="700" w:type="dxa"/>
            <w:vAlign w:val="bottom"/>
            <w:gridSpan w:val="3"/>
          </w:tcPr>
          <w:p>
            <w:pPr>
              <w:jc w:val="center"/>
              <w:ind w:left="233"/>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 of Herzog Fox &amp; Neeman (included in Exhibits 5.1).</w:t>
            </w:r>
          </w:p>
        </w:tc>
      </w:tr>
      <w:tr>
        <w:trPr>
          <w:trHeight w:val="20"/>
        </w:trPr>
        <w:tc>
          <w:tcPr>
            <w:tcW w:w="3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50"/>
        </w:trPr>
        <w:tc>
          <w:tcPr>
            <w:tcW w:w="700" w:type="dxa"/>
            <w:vAlign w:val="bottom"/>
            <w:gridSpan w:val="3"/>
          </w:tcPr>
          <w:p>
            <w:pPr>
              <w:jc w:val="center"/>
              <w:ind w:left="233"/>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3</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 of Davis Polk &amp; Wardwell LLP (included in Exhibit 8.1)</w:t>
            </w:r>
          </w:p>
        </w:tc>
      </w:tr>
      <w:tr>
        <w:trPr>
          <w:trHeight w:val="20"/>
        </w:trPr>
        <w:tc>
          <w:tcPr>
            <w:tcW w:w="3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50"/>
        </w:trPr>
        <w:tc>
          <w:tcPr>
            <w:tcW w:w="700" w:type="dxa"/>
            <w:vAlign w:val="bottom"/>
            <w:gridSpan w:val="3"/>
          </w:tcPr>
          <w:p>
            <w:pPr>
              <w:jc w:val="center"/>
              <w:ind w:left="233"/>
              <w:spacing w:after="0"/>
              <w:rPr>
                <w:rFonts w:ascii="Times New Roman" w:cs="Times New Roman" w:eastAsia="Times New Roman" w:hAnsi="Times New Roman"/>
                <w:sz w:val="18"/>
                <w:szCs w:val="18"/>
                <w:color w:val="0000EE"/>
                <w:w w:val="95"/>
              </w:rPr>
            </w:pPr>
            <w:hyperlink w:anchor="page234">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hyperlink>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9"/>
          </w:tcPr>
          <w:p>
            <w:pPr>
              <w:spacing w:after="0"/>
              <w:rPr>
                <w:rFonts w:ascii="Times New Roman" w:cs="Times New Roman" w:eastAsia="Times New Roman" w:hAnsi="Times New Roman"/>
                <w:sz w:val="18"/>
                <w:szCs w:val="18"/>
                <w:color w:val="0000EE"/>
              </w:rPr>
            </w:pPr>
            <w:hyperlink w:anchor="page234">
              <w:r>
                <w:rPr>
                  <w:rFonts w:ascii="Times New Roman" w:cs="Times New Roman" w:eastAsia="Times New Roman" w:hAnsi="Times New Roman"/>
                  <w:sz w:val="18"/>
                  <w:szCs w:val="18"/>
                  <w:color w:val="0000EE"/>
                </w:rPr>
                <w:t>Powers of Attorney (included on signature page).</w:t>
              </w:r>
            </w:hyperlink>
          </w:p>
        </w:tc>
      </w:tr>
      <w:tr>
        <w:trPr>
          <w:trHeight w:val="20"/>
        </w:trPr>
        <w:tc>
          <w:tcPr>
            <w:tcW w:w="3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50"/>
        </w:trPr>
        <w:tc>
          <w:tcPr>
            <w:tcW w:w="700" w:type="dxa"/>
            <w:vAlign w:val="bottom"/>
            <w:gridSpan w:val="3"/>
          </w:tcPr>
          <w:p>
            <w:pPr>
              <w:jc w:val="center"/>
              <w:ind w:left="233"/>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Registrant’s Waiver Request and Representation under Item 8.A.4 of Form F-1.</w:t>
            </w: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1513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60" w:hanging="352"/>
        <w:spacing w:after="0"/>
        <w:tabs>
          <w:tab w:leader="none" w:pos="36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190" w:lineRule="exact"/>
        <w:rPr>
          <w:sz w:val="20"/>
          <w:szCs w:val="20"/>
          <w:color w:val="auto"/>
        </w:rPr>
      </w:pPr>
    </w:p>
    <w:p>
      <w:pPr>
        <w:ind w:left="360" w:hanging="352"/>
        <w:spacing w:after="0"/>
        <w:tabs>
          <w:tab w:leader="none" w:pos="36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are not applicable or the information is otherwise set forth in the Financial Statements and related notes thereto.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provisions referenced in Item 6 hereof,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sz w:val="20"/>
          <w:szCs w:val="20"/>
          <w:color w:val="auto"/>
        </w:rPr>
      </w:pPr>
    </w:p>
    <w:p>
      <w:pPr>
        <w:ind w:left="540" w:hanging="352"/>
        <w:spacing w:after="0"/>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71" w:lineRule="exact"/>
        <w:rPr>
          <w:rFonts w:ascii="Times New Roman" w:cs="Times New Roman" w:eastAsia="Times New Roman" w:hAnsi="Times New Roman"/>
          <w:sz w:val="18"/>
          <w:szCs w:val="18"/>
          <w:color w:val="auto"/>
        </w:rPr>
      </w:pPr>
    </w:p>
    <w:p>
      <w:pPr>
        <w:ind w:left="720" w:right="640" w:hanging="352"/>
        <w:spacing w:after="0" w:line="255" w:lineRule="auto"/>
        <w:tabs>
          <w:tab w:leader="none" w:pos="7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35" w:lineRule="exact"/>
        <w:rPr>
          <w:rFonts w:ascii="Times New Roman" w:cs="Times New Roman" w:eastAsia="Times New Roman" w:hAnsi="Times New Roman"/>
          <w:sz w:val="18"/>
          <w:szCs w:val="18"/>
          <w:color w:val="auto"/>
        </w:rPr>
      </w:pPr>
    </w:p>
    <w:p>
      <w:pPr>
        <w:ind w:left="720" w:right="940" w:hanging="352"/>
        <w:spacing w:after="0" w:line="282" w:lineRule="auto"/>
        <w:tabs>
          <w:tab w:leader="none" w:pos="7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30" w:name="page231"/>
    <w:bookmarkEnd w:id="230"/>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0" w:hanging="352"/>
        <w:spacing w:after="0" w:line="266"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2" w:lineRule="exact"/>
        <w:rPr>
          <w:rFonts w:ascii="Times New Roman" w:cs="Times New Roman" w:eastAsia="Times New Roman" w:hAnsi="Times New Roman"/>
          <w:sz w:val="18"/>
          <w:szCs w:val="18"/>
          <w:color w:val="auto"/>
        </w:rPr>
      </w:pPr>
    </w:p>
    <w:p>
      <w:pPr>
        <w:ind w:left="540" w:right="820" w:hanging="352"/>
        <w:spacing w:after="0" w:line="282"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7" w:lineRule="exact"/>
        <w:rPr>
          <w:rFonts w:ascii="Times New Roman" w:cs="Times New Roman" w:eastAsia="Times New Roman" w:hAnsi="Times New Roman"/>
          <w:sz w:val="18"/>
          <w:szCs w:val="18"/>
          <w:color w:val="auto"/>
        </w:rPr>
      </w:pPr>
    </w:p>
    <w:p>
      <w:pPr>
        <w:ind w:left="540" w:right="60" w:hanging="352"/>
        <w:spacing w:after="0" w:line="254"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a foreign private issuer, to file a post-effective amendment to the registration statement to include any financial statements required by “Item 8.A. of Form 20-F (17 CFR 249.220f)”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(§239.33 of this chapter), a post-effective amendment need not be filed to include financial statements and information required by Section 10(a)(3) of the Act or §210.3-19 of this chapter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35" w:lineRule="exact"/>
        <w:rPr>
          <w:rFonts w:ascii="Times New Roman" w:cs="Times New Roman" w:eastAsia="Times New Roman" w:hAnsi="Times New Roman"/>
          <w:sz w:val="18"/>
          <w:szCs w:val="18"/>
          <w:color w:val="auto"/>
        </w:rPr>
      </w:pPr>
    </w:p>
    <w:p>
      <w:pPr>
        <w:ind w:left="540" w:right="160" w:hanging="352"/>
        <w:spacing w:after="0" w:line="282"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to the underwriter specified in the Underwriting Agreement, at the closing, certificates in such denominations and registered in such names as required by the underwriter to permit prompt delivery to each purchaser.</w:t>
      </w:r>
    </w:p>
    <w:p>
      <w:pPr>
        <w:spacing w:after="0" w:line="107" w:lineRule="exact"/>
        <w:rPr>
          <w:rFonts w:ascii="Times New Roman" w:cs="Times New Roman" w:eastAsia="Times New Roman" w:hAnsi="Times New Roman"/>
          <w:sz w:val="18"/>
          <w:szCs w:val="18"/>
          <w:color w:val="auto"/>
        </w:rPr>
      </w:pPr>
    </w:p>
    <w:p>
      <w:pPr>
        <w:ind w:left="540" w:right="200" w:hanging="352"/>
        <w:spacing w:after="0" w:line="261"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6" w:lineRule="exact"/>
        <w:rPr>
          <w:rFonts w:ascii="Times New Roman" w:cs="Times New Roman" w:eastAsia="Times New Roman" w:hAnsi="Times New Roman"/>
          <w:sz w:val="18"/>
          <w:szCs w:val="18"/>
          <w:color w:val="auto"/>
        </w:rPr>
      </w:pPr>
    </w:p>
    <w:p>
      <w:pPr>
        <w:ind w:left="540" w:right="60" w:hanging="352"/>
        <w:spacing w:after="0" w:line="266"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40" w:top="114" w:right="619" w:bottom="1440" w:gutter="0" w:footer="0" w:header="0"/>
        </w:sectPr>
      </w:pPr>
    </w:p>
    <w:bookmarkStart w:id="231" w:name="page232"/>
    <w:bookmarkEnd w:id="231"/>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0" w:type="dxa"/>
            <w:vAlign w:val="bottom"/>
            <w:gridSpan w:val="22"/>
          </w:tcPr>
          <w:p>
            <w:pPr>
              <w:ind w:left="280"/>
              <w:spacing w:after="0"/>
              <w:rPr>
                <w:sz w:val="20"/>
                <w:szCs w:val="20"/>
                <w:color w:val="auto"/>
              </w:rPr>
            </w:pPr>
            <w:r>
              <w:rPr>
                <w:rFonts w:ascii="Times New Roman" w:cs="Times New Roman" w:eastAsia="Times New Roman" w:hAnsi="Times New Roman"/>
                <w:sz w:val="22"/>
                <w:szCs w:val="22"/>
                <w:b w:val="1"/>
                <w:bCs w:val="1"/>
                <w:color w:val="auto"/>
              </w:rPr>
              <w:t>EXHIBIT INDEX</w:t>
            </w:r>
          </w:p>
        </w:tc>
        <w:tc>
          <w:tcPr>
            <w:tcW w:w="20" w:type="dxa"/>
            <w:vAlign w:val="bottom"/>
          </w:tcPr>
          <w:p>
            <w:pPr>
              <w:spacing w:after="0"/>
              <w:rPr>
                <w:sz w:val="24"/>
                <w:szCs w:val="24"/>
                <w:color w:val="auto"/>
              </w:rPr>
            </w:pPr>
          </w:p>
        </w:tc>
      </w:tr>
      <w:tr>
        <w:trPr>
          <w:trHeight w:val="262"/>
        </w:trPr>
        <w:tc>
          <w:tcPr>
            <w:tcW w:w="10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60" w:type="dxa"/>
            <w:vAlign w:val="bottom"/>
            <w:gridSpan w:val="20"/>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22"/>
                <w:szCs w:val="22"/>
                <w:color w:val="auto"/>
              </w:rPr>
            </w:pPr>
          </w:p>
        </w:tc>
      </w:tr>
      <w:tr>
        <w:trPr>
          <w:trHeight w:val="37"/>
        </w:trPr>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320" w:type="dxa"/>
            <w:vAlign w:val="bottom"/>
            <w:gridSpan w:val="3"/>
          </w:tcPr>
          <w:p>
            <w:pPr>
              <w:spacing w:after="0"/>
              <w:rPr>
                <w:sz w:val="19"/>
                <w:szCs w:val="19"/>
                <w:color w:val="auto"/>
              </w:rPr>
            </w:pPr>
          </w:p>
        </w:tc>
        <w:tc>
          <w:tcPr>
            <w:tcW w:w="4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r:id="rId537">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537">
              <w:r>
                <w:rPr>
                  <w:rFonts w:ascii="Times New Roman" w:cs="Times New Roman" w:eastAsia="Times New Roman" w:hAnsi="Times New Roman"/>
                  <w:sz w:val="18"/>
                  <w:szCs w:val="18"/>
                  <w:color w:val="0000EE"/>
                  <w:w w:val="99"/>
                </w:rPr>
                <w:t>Form of Underwriting Agreement.</w:t>
              </w:r>
            </w:hyperlink>
          </w:p>
        </w:tc>
        <w:tc>
          <w:tcPr>
            <w:tcW w:w="7640" w:type="dxa"/>
            <w:vAlign w:val="bottom"/>
            <w:gridSpan w:val="25"/>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320" w:type="dxa"/>
            <w:vAlign w:val="bottom"/>
            <w:gridSpan w:val="3"/>
          </w:tcPr>
          <w:p>
            <w:pPr>
              <w:spacing w:after="0"/>
              <w:rPr>
                <w:sz w:val="21"/>
                <w:szCs w:val="21"/>
                <w:color w:val="auto"/>
              </w:rPr>
            </w:pPr>
          </w:p>
        </w:tc>
        <w:tc>
          <w:tcPr>
            <w:tcW w:w="4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r:id="rId53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538">
              <w:r>
                <w:rPr>
                  <w:rFonts w:ascii="Times New Roman" w:cs="Times New Roman" w:eastAsia="Times New Roman" w:hAnsi="Times New Roman"/>
                  <w:sz w:val="18"/>
                  <w:szCs w:val="18"/>
                  <w:color w:val="0000EE"/>
                  <w:w w:val="99"/>
                </w:rPr>
                <w:t>Fifth Amended and Restated Articles of Association of the Registrant (currently in effect).</w:t>
              </w:r>
            </w:hyperlink>
          </w:p>
        </w:tc>
        <w:tc>
          <w:tcPr>
            <w:tcW w:w="3620" w:type="dxa"/>
            <w:vAlign w:val="bottom"/>
            <w:gridSpan w:val="16"/>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20" w:type="dxa"/>
            <w:vAlign w:val="bottom"/>
            <w:gridSpan w:val="3"/>
          </w:tcPr>
          <w:p>
            <w:pPr>
              <w:spacing w:after="0"/>
              <w:rPr>
                <w:sz w:val="20"/>
                <w:szCs w:val="20"/>
                <w:color w:val="auto"/>
              </w:rPr>
            </w:pPr>
          </w:p>
        </w:tc>
        <w:tc>
          <w:tcPr>
            <w:tcW w:w="4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r:id="rId53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539">
              <w:r>
                <w:rPr>
                  <w:rFonts w:ascii="Times New Roman" w:cs="Times New Roman" w:eastAsia="Times New Roman" w:hAnsi="Times New Roman"/>
                  <w:sz w:val="18"/>
                  <w:szCs w:val="18"/>
                  <w:color w:val="0000EE"/>
                  <w:w w:val="99"/>
                </w:rPr>
                <w:t>Form of Sixth Amended and Restated Articles of Association of the Registrant (to be effective upon the closing of this offering).</w:t>
              </w:r>
            </w:hyperlink>
          </w:p>
        </w:tc>
        <w:tc>
          <w:tcPr>
            <w:tcW w:w="860" w:type="dxa"/>
            <w:vAlign w:val="bottom"/>
            <w:gridSpan w:val="8"/>
          </w:tcPr>
          <w:p>
            <w:pPr>
              <w:spacing w:after="0"/>
              <w:rPr>
                <w:sz w:val="20"/>
                <w:szCs w:val="20"/>
                <w:color w:val="auto"/>
              </w:rPr>
            </w:pPr>
          </w:p>
        </w:tc>
        <w:tc>
          <w:tcPr>
            <w:tcW w:w="20" w:type="dxa"/>
            <w:vAlign w:val="bottom"/>
          </w:tcPr>
          <w:p>
            <w:pPr>
              <w:spacing w:after="0"/>
              <w:rPr>
                <w:sz w:val="20"/>
                <w:szCs w:val="20"/>
                <w:color w:val="auto"/>
              </w:rPr>
            </w:pPr>
          </w:p>
        </w:tc>
      </w:tr>
      <w:tr>
        <w:trPr>
          <w:trHeight w:val="264"/>
        </w:trPr>
        <w:tc>
          <w:tcPr>
            <w:tcW w:w="320" w:type="dxa"/>
            <w:vAlign w:val="bottom"/>
            <w:gridSpan w:val="3"/>
          </w:tcPr>
          <w:p>
            <w:pPr>
              <w:spacing w:after="0"/>
              <w:rPr>
                <w:sz w:val="22"/>
                <w:szCs w:val="22"/>
                <w:color w:val="auto"/>
              </w:rPr>
            </w:pPr>
          </w:p>
        </w:tc>
        <w:tc>
          <w:tcPr>
            <w:tcW w:w="420" w:type="dxa"/>
            <w:vAlign w:val="bottom"/>
          </w:tcPr>
          <w:p>
            <w:pPr>
              <w:jc w:val="center"/>
              <w:spacing w:after="0"/>
              <w:rPr>
                <w:rFonts w:ascii="Times New Roman" w:cs="Times New Roman" w:eastAsia="Times New Roman" w:hAnsi="Times New Roman"/>
                <w:sz w:val="18"/>
                <w:szCs w:val="18"/>
                <w:color w:val="0000EE"/>
              </w:rPr>
            </w:pPr>
            <w:hyperlink r:id="rId54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140" w:type="dxa"/>
            <w:vAlign w:val="bottom"/>
            <w:gridSpan w:val="28"/>
          </w:tcPr>
          <w:p>
            <w:pPr>
              <w:spacing w:after="0"/>
              <w:rPr>
                <w:rFonts w:ascii="Times New Roman" w:cs="Times New Roman" w:eastAsia="Times New Roman" w:hAnsi="Times New Roman"/>
                <w:sz w:val="18"/>
                <w:szCs w:val="18"/>
                <w:color w:val="0000EE"/>
              </w:rPr>
            </w:pPr>
            <w:hyperlink r:id="rId540">
              <w:r>
                <w:rPr>
                  <w:rFonts w:ascii="Times New Roman" w:cs="Times New Roman" w:eastAsia="Times New Roman" w:hAnsi="Times New Roman"/>
                  <w:sz w:val="18"/>
                  <w:szCs w:val="18"/>
                  <w:color w:val="0000EE"/>
                </w:rPr>
                <w:t>Specimen Form of Ordinary Share Certificate.</w:t>
              </w:r>
            </w:hyperlink>
          </w:p>
        </w:tc>
        <w:tc>
          <w:tcPr>
            <w:tcW w:w="20" w:type="dxa"/>
            <w:vAlign w:val="bottom"/>
          </w:tcPr>
          <w:p>
            <w:pPr>
              <w:spacing w:after="0"/>
              <w:rPr>
                <w:sz w:val="22"/>
                <w:szCs w:val="22"/>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0" w:type="dxa"/>
            <w:vAlign w:val="bottom"/>
            <w:gridSpan w:val="3"/>
          </w:tcPr>
          <w:p>
            <w:pPr>
              <w:spacing w:after="0"/>
              <w:rPr>
                <w:sz w:val="20"/>
                <w:szCs w:val="20"/>
                <w:color w:val="auto"/>
              </w:rPr>
            </w:pPr>
          </w:p>
        </w:tc>
        <w:tc>
          <w:tcPr>
            <w:tcW w:w="420" w:type="dxa"/>
            <w:vAlign w:val="bottom"/>
          </w:tcPr>
          <w:p>
            <w:pPr>
              <w:jc w:val="center"/>
              <w:spacing w:after="0"/>
              <w:rPr>
                <w:rFonts w:ascii="Times New Roman" w:cs="Times New Roman" w:eastAsia="Times New Roman" w:hAnsi="Times New Roman"/>
                <w:sz w:val="18"/>
                <w:szCs w:val="18"/>
                <w:color w:val="0000EE"/>
              </w:rPr>
            </w:pPr>
            <w:hyperlink r:id="rId54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8"/>
          </w:tcPr>
          <w:p>
            <w:pPr>
              <w:spacing w:after="0"/>
              <w:rPr>
                <w:rFonts w:ascii="Times New Roman" w:cs="Times New Roman" w:eastAsia="Times New Roman" w:hAnsi="Times New Roman"/>
                <w:sz w:val="18"/>
                <w:szCs w:val="18"/>
                <w:color w:val="0000EE"/>
              </w:rPr>
            </w:pPr>
            <w:hyperlink r:id="rId541">
              <w:r>
                <w:rPr>
                  <w:rFonts w:ascii="Times New Roman" w:cs="Times New Roman" w:eastAsia="Times New Roman" w:hAnsi="Times New Roman"/>
                  <w:sz w:val="18"/>
                  <w:szCs w:val="18"/>
                  <w:color w:val="0000EE"/>
                </w:rPr>
                <w:t>Form of Warrant issued by the Registrant to Centillion Fund on each of January 29, 2014 and January 21, 2015.</w:t>
              </w:r>
            </w:hyperlink>
          </w:p>
        </w:tc>
        <w:tc>
          <w:tcPr>
            <w:tcW w:w="20" w:type="dxa"/>
            <w:vAlign w:val="bottom"/>
          </w:tcPr>
          <w:p>
            <w:pPr>
              <w:spacing w:after="0"/>
              <w:rPr>
                <w:sz w:val="20"/>
                <w:szCs w:val="20"/>
                <w:color w:val="auto"/>
              </w:rPr>
            </w:pPr>
          </w:p>
        </w:tc>
      </w:tr>
      <w:tr>
        <w:trPr>
          <w:trHeight w:val="264"/>
        </w:trPr>
        <w:tc>
          <w:tcPr>
            <w:tcW w:w="320" w:type="dxa"/>
            <w:vAlign w:val="bottom"/>
            <w:gridSpan w:val="3"/>
          </w:tcPr>
          <w:p>
            <w:pPr>
              <w:spacing w:after="0"/>
              <w:rPr>
                <w:sz w:val="22"/>
                <w:szCs w:val="22"/>
                <w:color w:val="auto"/>
              </w:rPr>
            </w:pPr>
          </w:p>
        </w:tc>
        <w:tc>
          <w:tcPr>
            <w:tcW w:w="420" w:type="dxa"/>
            <w:vAlign w:val="bottom"/>
            <w:tcBorders>
              <w:top w:val="single" w:sz="8" w:color="0000EE"/>
              <w:bottom w:val="single" w:sz="8" w:color="0000EE"/>
            </w:tcBorders>
          </w:tcPr>
          <w:p>
            <w:pPr>
              <w:jc w:val="center"/>
              <w:spacing w:after="0"/>
              <w:rPr>
                <w:rFonts w:ascii="Times New Roman" w:cs="Times New Roman" w:eastAsia="Times New Roman" w:hAnsi="Times New Roman"/>
                <w:sz w:val="18"/>
                <w:szCs w:val="18"/>
                <w:color w:val="0000EE"/>
              </w:rPr>
            </w:pPr>
            <w:hyperlink r:id="rId54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6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r:id="rId542">
              <w:r>
                <w:rPr>
                  <w:rFonts w:ascii="Times New Roman" w:cs="Times New Roman" w:eastAsia="Times New Roman" w:hAnsi="Times New Roman"/>
                  <w:sz w:val="18"/>
                  <w:szCs w:val="18"/>
                  <w:color w:val="0000EE"/>
                  <w:w w:val="99"/>
                </w:rPr>
                <w:t>Form of additional Warrant issued by the Registrant to Centillion Fund on January 21, 2015.</w:t>
              </w:r>
            </w:hyperlink>
          </w:p>
        </w:tc>
        <w:tc>
          <w:tcPr>
            <w:tcW w:w="1380" w:type="dxa"/>
            <w:vAlign w:val="bottom"/>
            <w:tcBorders>
              <w:top w:val="single" w:sz="8" w:color="0000EE"/>
            </w:tcBorders>
            <w:gridSpan w:val="3"/>
          </w:tcPr>
          <w:p>
            <w:pPr>
              <w:spacing w:after="0"/>
              <w:rPr>
                <w:sz w:val="22"/>
                <w:szCs w:val="22"/>
                <w:color w:val="auto"/>
              </w:rPr>
            </w:pPr>
          </w:p>
        </w:tc>
        <w:tc>
          <w:tcPr>
            <w:tcW w:w="2100" w:type="dxa"/>
            <w:vAlign w:val="bottom"/>
            <w:gridSpan w:val="12"/>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320" w:type="dxa"/>
            <w:vAlign w:val="bottom"/>
            <w:gridSpan w:val="3"/>
          </w:tcPr>
          <w:p>
            <w:pPr>
              <w:spacing w:after="0"/>
              <w:rPr>
                <w:sz w:val="21"/>
                <w:szCs w:val="21"/>
                <w:color w:val="auto"/>
              </w:rPr>
            </w:pPr>
          </w:p>
        </w:tc>
        <w:tc>
          <w:tcPr>
            <w:tcW w:w="4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r:id="rId54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3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43">
              <w:r>
                <w:rPr>
                  <w:rFonts w:ascii="Times New Roman" w:cs="Times New Roman" w:eastAsia="Times New Roman" w:hAnsi="Times New Roman"/>
                  <w:sz w:val="18"/>
                  <w:szCs w:val="18"/>
                  <w:color w:val="0000EE"/>
                  <w:w w:val="99"/>
                </w:rPr>
                <w:t>Form of Warrant issued by the Registrant to the lenders on June 24, 2016.</w:t>
              </w:r>
            </w:hyperlink>
          </w:p>
        </w:tc>
        <w:tc>
          <w:tcPr>
            <w:tcW w:w="4820" w:type="dxa"/>
            <w:vAlign w:val="bottom"/>
            <w:gridSpan w:val="19"/>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20" w:type="dxa"/>
            <w:vAlign w:val="bottom"/>
            <w:gridSpan w:val="3"/>
          </w:tcPr>
          <w:p>
            <w:pPr>
              <w:spacing w:after="0"/>
              <w:rPr>
                <w:sz w:val="21"/>
                <w:szCs w:val="21"/>
                <w:color w:val="auto"/>
              </w:rPr>
            </w:pPr>
          </w:p>
        </w:tc>
        <w:tc>
          <w:tcPr>
            <w:tcW w:w="4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r:id="rId54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544">
              <w:r>
                <w:rPr>
                  <w:rFonts w:ascii="Times New Roman" w:cs="Times New Roman" w:eastAsia="Times New Roman" w:hAnsi="Times New Roman"/>
                  <w:sz w:val="18"/>
                  <w:szCs w:val="18"/>
                  <w:color w:val="0000EE"/>
                  <w:w w:val="99"/>
                </w:rPr>
                <w:t>Form of Warrant issued by the Registrant to GP Nurmenkari Inc.</w:t>
              </w:r>
            </w:hyperlink>
          </w:p>
        </w:tc>
        <w:tc>
          <w:tcPr>
            <w:tcW w:w="5460" w:type="dxa"/>
            <w:vAlign w:val="bottom"/>
            <w:gridSpan w:val="20"/>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20" w:type="dxa"/>
            <w:vAlign w:val="bottom"/>
            <w:gridSpan w:val="3"/>
          </w:tcPr>
          <w:p>
            <w:pPr>
              <w:spacing w:after="0"/>
              <w:rPr>
                <w:sz w:val="20"/>
                <w:szCs w:val="20"/>
                <w:color w:val="auto"/>
              </w:rPr>
            </w:pPr>
          </w:p>
        </w:tc>
        <w:tc>
          <w:tcPr>
            <w:tcW w:w="4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0000EE"/>
              </w:rPr>
              <w:t>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Opinion of Herzog Fox &amp; Neeman, Israeli counsel to the Registrant, as to the validity of the ordinary shares.</w:t>
            </w:r>
          </w:p>
        </w:tc>
        <w:tc>
          <w:tcPr>
            <w:tcW w:w="20" w:type="dxa"/>
            <w:vAlign w:val="bottom"/>
          </w:tcPr>
          <w:p>
            <w:pPr>
              <w:spacing w:after="0"/>
              <w:rPr>
                <w:sz w:val="20"/>
                <w:szCs w:val="20"/>
                <w:color w:val="auto"/>
              </w:rPr>
            </w:pPr>
          </w:p>
        </w:tc>
      </w:tr>
      <w:tr>
        <w:trPr>
          <w:trHeight w:val="264"/>
        </w:trPr>
        <w:tc>
          <w:tcPr>
            <w:tcW w:w="320" w:type="dxa"/>
            <w:vAlign w:val="bottom"/>
            <w:gridSpan w:val="3"/>
          </w:tcPr>
          <w:p>
            <w:pPr>
              <w:spacing w:after="0"/>
              <w:rPr>
                <w:sz w:val="22"/>
                <w:szCs w:val="22"/>
                <w:color w:val="auto"/>
              </w:rPr>
            </w:pPr>
          </w:p>
        </w:tc>
        <w:tc>
          <w:tcPr>
            <w:tcW w:w="420" w:type="dxa"/>
            <w:vAlign w:val="bottom"/>
            <w:tcBorders>
              <w:top w:val="single" w:sz="8" w:color="0000EE"/>
            </w:tcBorders>
          </w:tcPr>
          <w:p>
            <w:pPr>
              <w:jc w:val="center"/>
              <w:ind w:right="90"/>
              <w:spacing w:after="0"/>
              <w:rPr>
                <w:sz w:val="20"/>
                <w:szCs w:val="20"/>
                <w:color w:val="auto"/>
              </w:rPr>
            </w:pPr>
            <w:r>
              <w:rPr>
                <w:rFonts w:ascii="Times New Roman" w:cs="Times New Roman" w:eastAsia="Times New Roman" w:hAnsi="Times New Roman"/>
                <w:sz w:val="18"/>
                <w:szCs w:val="18"/>
                <w:color w:val="0000EE"/>
              </w:rPr>
              <w:t>8.1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2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Opinion of Davis Polk &amp; Wardwell LLP as to U.S. tax matters.</w:t>
            </w:r>
          </w:p>
        </w:tc>
        <w:tc>
          <w:tcPr>
            <w:tcW w:w="2320" w:type="dxa"/>
            <w:vAlign w:val="bottom"/>
            <w:gridSpan w:val="13"/>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60" w:type="dxa"/>
            <w:vAlign w:val="bottom"/>
            <w:gridSpan w:val="2"/>
          </w:tcPr>
          <w:p>
            <w:pPr>
              <w:spacing w:after="0"/>
              <w:rPr>
                <w:sz w:val="20"/>
                <w:szCs w:val="20"/>
                <w:color w:val="auto"/>
              </w:rPr>
            </w:pPr>
          </w:p>
        </w:tc>
        <w:tc>
          <w:tcPr>
            <w:tcW w:w="480" w:type="dxa"/>
            <w:vAlign w:val="bottom"/>
            <w:gridSpan w:val="2"/>
          </w:tcPr>
          <w:p>
            <w:pPr>
              <w:jc w:val="center"/>
              <w:spacing w:after="0"/>
              <w:rPr>
                <w:rFonts w:ascii="Times New Roman" w:cs="Times New Roman" w:eastAsia="Times New Roman" w:hAnsi="Times New Roman"/>
                <w:sz w:val="18"/>
                <w:szCs w:val="18"/>
                <w:color w:val="0000EE"/>
              </w:rPr>
            </w:pPr>
            <w:hyperlink r:id="rId54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8"/>
          </w:tcPr>
          <w:p>
            <w:pPr>
              <w:spacing w:after="0"/>
              <w:rPr>
                <w:rFonts w:ascii="Times New Roman" w:cs="Times New Roman" w:eastAsia="Times New Roman" w:hAnsi="Times New Roman"/>
                <w:sz w:val="18"/>
                <w:szCs w:val="18"/>
                <w:color w:val="0000EE"/>
              </w:rPr>
            </w:pPr>
            <w:hyperlink r:id="rId545">
              <w:r>
                <w:rPr>
                  <w:rFonts w:ascii="Times New Roman" w:cs="Times New Roman" w:eastAsia="Times New Roman" w:hAnsi="Times New Roman"/>
                  <w:sz w:val="18"/>
                  <w:szCs w:val="18"/>
                  <w:color w:val="0000EE"/>
                </w:rPr>
                <w:t>Patent Transfer Agreement, dated as of February 22, 2011, between the Registrant and Oramed Ltd.</w:t>
              </w:r>
            </w:hyperlink>
          </w:p>
        </w:tc>
        <w:tc>
          <w:tcPr>
            <w:tcW w:w="20" w:type="dxa"/>
            <w:vAlign w:val="bottom"/>
          </w:tcPr>
          <w:p>
            <w:pPr>
              <w:spacing w:after="0"/>
              <w:rPr>
                <w:sz w:val="20"/>
                <w:szCs w:val="20"/>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60" w:type="dxa"/>
            <w:vAlign w:val="bottom"/>
            <w:gridSpan w:val="2"/>
          </w:tcPr>
          <w:p>
            <w:pPr>
              <w:spacing w:after="0"/>
              <w:rPr>
                <w:sz w:val="21"/>
                <w:szCs w:val="21"/>
                <w:color w:val="auto"/>
              </w:rPr>
            </w:pPr>
          </w:p>
        </w:tc>
        <w:tc>
          <w:tcPr>
            <w:tcW w:w="480" w:type="dxa"/>
            <w:vAlign w:val="bottom"/>
            <w:gridSpan w:val="2"/>
          </w:tcPr>
          <w:p>
            <w:pPr>
              <w:jc w:val="center"/>
              <w:spacing w:after="0"/>
              <w:rPr>
                <w:rFonts w:ascii="Times New Roman" w:cs="Times New Roman" w:eastAsia="Times New Roman" w:hAnsi="Times New Roman"/>
                <w:sz w:val="18"/>
                <w:szCs w:val="18"/>
                <w:color w:val="0000EE"/>
              </w:rPr>
            </w:pPr>
            <w:hyperlink r:id="rId54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8"/>
          </w:tcPr>
          <w:p>
            <w:pPr>
              <w:spacing w:after="0"/>
              <w:rPr>
                <w:rFonts w:ascii="Times New Roman" w:cs="Times New Roman" w:eastAsia="Times New Roman" w:hAnsi="Times New Roman"/>
                <w:sz w:val="18"/>
                <w:szCs w:val="18"/>
                <w:color w:val="0000EE"/>
              </w:rPr>
            </w:pPr>
            <w:hyperlink r:id="rId546">
              <w:r>
                <w:rPr>
                  <w:rFonts w:ascii="Times New Roman" w:cs="Times New Roman" w:eastAsia="Times New Roman" w:hAnsi="Times New Roman"/>
                  <w:sz w:val="18"/>
                  <w:szCs w:val="18"/>
                  <w:color w:val="0000EE"/>
                </w:rPr>
                <w:t>Convertible Financing Agreement, dated as of November 8, 2012, among the Registrant, D.N.A Biomedical Solutions, Ltd. and the lenders</w:t>
              </w:r>
            </w:hyperlink>
          </w:p>
        </w:tc>
        <w:tc>
          <w:tcPr>
            <w:tcW w:w="2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546">
              <w:r>
                <w:rPr>
                  <w:rFonts w:ascii="Times New Roman" w:cs="Times New Roman" w:eastAsia="Times New Roman" w:hAnsi="Times New Roman"/>
                  <w:sz w:val="18"/>
                  <w:szCs w:val="18"/>
                  <w:color w:val="0000EE"/>
                </w:rPr>
                <w:t>thereto.</w:t>
              </w:r>
            </w:hyperlink>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60" w:type="dxa"/>
            <w:vAlign w:val="bottom"/>
            <w:gridSpan w:val="2"/>
          </w:tcPr>
          <w:p>
            <w:pPr>
              <w:spacing w:after="0"/>
              <w:rPr>
                <w:sz w:val="21"/>
                <w:szCs w:val="21"/>
                <w:color w:val="auto"/>
              </w:rPr>
            </w:pPr>
          </w:p>
        </w:tc>
        <w:tc>
          <w:tcPr>
            <w:tcW w:w="480" w:type="dxa"/>
            <w:vAlign w:val="bottom"/>
            <w:tcBorders>
              <w:bottom w:val="single" w:sz="8" w:color="0000EE"/>
            </w:tcBorders>
            <w:gridSpan w:val="2"/>
          </w:tcPr>
          <w:p>
            <w:pPr>
              <w:jc w:val="center"/>
              <w:spacing w:after="0"/>
              <w:rPr>
                <w:rFonts w:ascii="Times New Roman" w:cs="Times New Roman" w:eastAsia="Times New Roman" w:hAnsi="Times New Roman"/>
                <w:sz w:val="18"/>
                <w:szCs w:val="18"/>
                <w:color w:val="0000EE"/>
              </w:rPr>
            </w:pPr>
            <w:hyperlink r:id="rId54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547">
              <w:r>
                <w:rPr>
                  <w:rFonts w:ascii="Times New Roman" w:cs="Times New Roman" w:eastAsia="Times New Roman" w:hAnsi="Times New Roman"/>
                  <w:sz w:val="18"/>
                  <w:szCs w:val="18"/>
                  <w:color w:val="0000EE"/>
                  <w:w w:val="99"/>
                </w:rPr>
                <w:t>Convertible Financing Agreement, dated as of December 31, 2012, among the Registrant, D.N.A Biomedical Solutions, Ltd. and the lenders</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EE"/>
              </w:rPr>
            </w:pPr>
            <w:hyperlink r:id="rId547">
              <w:r>
                <w:rPr>
                  <w:rFonts w:ascii="Times New Roman" w:cs="Times New Roman" w:eastAsia="Times New Roman" w:hAnsi="Times New Roman"/>
                  <w:sz w:val="18"/>
                  <w:szCs w:val="18"/>
                  <w:color w:val="0000EE"/>
                </w:rPr>
                <w:t>thereto.</w:t>
              </w:r>
            </w:hyperlink>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60" w:type="dxa"/>
            <w:vAlign w:val="bottom"/>
            <w:gridSpan w:val="2"/>
          </w:tcPr>
          <w:p>
            <w:pPr>
              <w:spacing w:after="0"/>
              <w:rPr>
                <w:sz w:val="22"/>
                <w:szCs w:val="22"/>
                <w:color w:val="auto"/>
              </w:rPr>
            </w:pPr>
          </w:p>
        </w:tc>
        <w:tc>
          <w:tcPr>
            <w:tcW w:w="480" w:type="dxa"/>
            <w:vAlign w:val="bottom"/>
            <w:gridSpan w:val="2"/>
          </w:tcPr>
          <w:p>
            <w:pPr>
              <w:jc w:val="center"/>
              <w:spacing w:after="0"/>
              <w:rPr>
                <w:rFonts w:ascii="Times New Roman" w:cs="Times New Roman" w:eastAsia="Times New Roman" w:hAnsi="Times New Roman"/>
                <w:sz w:val="18"/>
                <w:szCs w:val="18"/>
                <w:color w:val="0000EE"/>
              </w:rPr>
            </w:pPr>
            <w:hyperlink r:id="rId54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140" w:type="dxa"/>
            <w:vAlign w:val="bottom"/>
            <w:gridSpan w:val="28"/>
          </w:tcPr>
          <w:p>
            <w:pPr>
              <w:spacing w:after="0"/>
              <w:rPr>
                <w:rFonts w:ascii="Times New Roman" w:cs="Times New Roman" w:eastAsia="Times New Roman" w:hAnsi="Times New Roman"/>
                <w:sz w:val="18"/>
                <w:szCs w:val="18"/>
                <w:color w:val="0000EE"/>
              </w:rPr>
            </w:pPr>
            <w:hyperlink r:id="rId548">
              <w:r>
                <w:rPr>
                  <w:rFonts w:ascii="Times New Roman" w:cs="Times New Roman" w:eastAsia="Times New Roman" w:hAnsi="Times New Roman"/>
                  <w:sz w:val="18"/>
                  <w:szCs w:val="18"/>
                  <w:color w:val="0000EE"/>
                </w:rPr>
                <w:t>The Entera Bio Ltd. Share Incentive Plan.</w:t>
              </w:r>
            </w:hyperlink>
          </w:p>
        </w:tc>
        <w:tc>
          <w:tcPr>
            <w:tcW w:w="20" w:type="dxa"/>
            <w:vAlign w:val="bottom"/>
          </w:tcPr>
          <w:p>
            <w:pPr>
              <w:spacing w:after="0"/>
              <w:rPr>
                <w:sz w:val="22"/>
                <w:szCs w:val="22"/>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60" w:type="dxa"/>
            <w:vAlign w:val="bottom"/>
            <w:gridSpan w:val="2"/>
          </w:tcPr>
          <w:p>
            <w:pPr>
              <w:spacing w:after="0"/>
              <w:rPr>
                <w:sz w:val="20"/>
                <w:szCs w:val="20"/>
                <w:color w:val="auto"/>
              </w:rPr>
            </w:pPr>
          </w:p>
        </w:tc>
        <w:tc>
          <w:tcPr>
            <w:tcW w:w="480" w:type="dxa"/>
            <w:vAlign w:val="bottom"/>
            <w:tcBorders>
              <w:bottom w:val="single" w:sz="8" w:color="0000EE"/>
            </w:tcBorders>
            <w:gridSpan w:val="2"/>
          </w:tcPr>
          <w:p>
            <w:pPr>
              <w:jc w:val="center"/>
              <w:spacing w:after="0"/>
              <w:rPr>
                <w:rFonts w:ascii="Times New Roman" w:cs="Times New Roman" w:eastAsia="Times New Roman" w:hAnsi="Times New Roman"/>
                <w:sz w:val="18"/>
                <w:szCs w:val="18"/>
                <w:color w:val="0000EE"/>
              </w:rPr>
            </w:pPr>
            <w:hyperlink r:id="rId54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549">
              <w:r>
                <w:rPr>
                  <w:rFonts w:ascii="Times New Roman" w:cs="Times New Roman" w:eastAsia="Times New Roman" w:hAnsi="Times New Roman"/>
                  <w:sz w:val="18"/>
                  <w:szCs w:val="18"/>
                  <w:color w:val="0000EE"/>
                  <w:w w:val="99"/>
                </w:rPr>
                <w:t>Series A Preferred Share Purchase Agreement, dated as of January 29, 2014, between the Registrant and Centillion Fund.</w:t>
              </w:r>
            </w:hyperlink>
          </w:p>
        </w:tc>
        <w:tc>
          <w:tcPr>
            <w:tcW w:w="1400" w:type="dxa"/>
            <w:vAlign w:val="bottom"/>
            <w:gridSpan w:val="9"/>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260" w:type="dxa"/>
            <w:vAlign w:val="bottom"/>
            <w:gridSpan w:val="2"/>
          </w:tcPr>
          <w:p>
            <w:pPr>
              <w:spacing w:after="0"/>
              <w:rPr>
                <w:sz w:val="21"/>
                <w:szCs w:val="21"/>
                <w:color w:val="auto"/>
              </w:rPr>
            </w:pPr>
          </w:p>
        </w:tc>
        <w:tc>
          <w:tcPr>
            <w:tcW w:w="480" w:type="dxa"/>
            <w:vAlign w:val="bottom"/>
            <w:gridSpan w:val="2"/>
          </w:tcPr>
          <w:p>
            <w:pPr>
              <w:jc w:val="center"/>
              <w:spacing w:after="0"/>
              <w:rPr>
                <w:rFonts w:ascii="Times New Roman" w:cs="Times New Roman" w:eastAsia="Times New Roman" w:hAnsi="Times New Roman"/>
                <w:sz w:val="18"/>
                <w:szCs w:val="18"/>
                <w:color w:val="0000EE"/>
              </w:rPr>
            </w:pPr>
            <w:hyperlink r:id="rId55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8"/>
          </w:tcPr>
          <w:p>
            <w:pPr>
              <w:spacing w:after="0"/>
              <w:rPr>
                <w:rFonts w:ascii="Times New Roman" w:cs="Times New Roman" w:eastAsia="Times New Roman" w:hAnsi="Times New Roman"/>
                <w:sz w:val="18"/>
                <w:szCs w:val="18"/>
                <w:color w:val="0000EE"/>
              </w:rPr>
            </w:pPr>
            <w:hyperlink r:id="rId550">
              <w:r>
                <w:rPr>
                  <w:rFonts w:ascii="Times New Roman" w:cs="Times New Roman" w:eastAsia="Times New Roman" w:hAnsi="Times New Roman"/>
                  <w:sz w:val="18"/>
                  <w:szCs w:val="18"/>
                  <w:color w:val="0000EE"/>
                </w:rPr>
                <w:t>First Amendment to Series A Preferred Share Purchase Agreement, dated as of June 18, 2014, between the Registrant and Centillion Fund.</w:t>
              </w:r>
            </w:hyperlink>
          </w:p>
        </w:tc>
        <w:tc>
          <w:tcPr>
            <w:tcW w:w="20" w:type="dxa"/>
            <w:vAlign w:val="bottom"/>
          </w:tcPr>
          <w:p>
            <w:pPr>
              <w:spacing w:after="0"/>
              <w:rPr>
                <w:sz w:val="21"/>
                <w:szCs w:val="21"/>
                <w:color w:val="auto"/>
              </w:rPr>
            </w:pPr>
          </w:p>
        </w:tc>
      </w:tr>
      <w:tr>
        <w:trPr>
          <w:trHeight w:val="250"/>
        </w:trPr>
        <w:tc>
          <w:tcPr>
            <w:tcW w:w="260" w:type="dxa"/>
            <w:vAlign w:val="bottom"/>
            <w:gridSpan w:val="2"/>
          </w:tcPr>
          <w:p>
            <w:pPr>
              <w:spacing w:after="0"/>
              <w:rPr>
                <w:sz w:val="21"/>
                <w:szCs w:val="21"/>
                <w:color w:val="auto"/>
              </w:rPr>
            </w:pPr>
          </w:p>
        </w:tc>
        <w:tc>
          <w:tcPr>
            <w:tcW w:w="480" w:type="dxa"/>
            <w:vAlign w:val="bottom"/>
            <w:tcBorders>
              <w:top w:val="single" w:sz="8" w:color="0000EE"/>
              <w:bottom w:val="single" w:sz="8" w:color="0000EE"/>
            </w:tcBorders>
            <w:gridSpan w:val="2"/>
          </w:tcPr>
          <w:p>
            <w:pPr>
              <w:jc w:val="center"/>
              <w:spacing w:after="0"/>
              <w:rPr>
                <w:rFonts w:ascii="Times New Roman" w:cs="Times New Roman" w:eastAsia="Times New Roman" w:hAnsi="Times New Roman"/>
                <w:sz w:val="18"/>
                <w:szCs w:val="18"/>
                <w:color w:val="0000EE"/>
              </w:rPr>
            </w:pPr>
            <w:hyperlink r:id="rId55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980" w:type="dxa"/>
            <w:vAlign w:val="bottom"/>
            <w:tcBorders>
              <w:top w:val="single" w:sz="8" w:color="0000EE"/>
              <w:bottom w:val="single" w:sz="8" w:color="0000EE"/>
            </w:tcBorders>
            <w:gridSpan w:val="24"/>
          </w:tcPr>
          <w:p>
            <w:pPr>
              <w:spacing w:after="0"/>
              <w:rPr>
                <w:rFonts w:ascii="Times New Roman" w:cs="Times New Roman" w:eastAsia="Times New Roman" w:hAnsi="Times New Roman"/>
                <w:sz w:val="18"/>
                <w:szCs w:val="18"/>
                <w:color w:val="0000EE"/>
                <w:w w:val="99"/>
              </w:rPr>
            </w:pPr>
            <w:hyperlink r:id="rId551">
              <w:r>
                <w:rPr>
                  <w:rFonts w:ascii="Times New Roman" w:cs="Times New Roman" w:eastAsia="Times New Roman" w:hAnsi="Times New Roman"/>
                  <w:sz w:val="18"/>
                  <w:szCs w:val="18"/>
                  <w:color w:val="0000EE"/>
                  <w:w w:val="99"/>
                </w:rPr>
                <w:t>Second Amendment to Series A Preferred Share Purchase Agreement, dated as of January 21, 2015, between the Registrant and Centillion</w:t>
              </w:r>
            </w:hyperlink>
          </w:p>
        </w:tc>
        <w:tc>
          <w:tcPr>
            <w:tcW w:w="20" w:type="dxa"/>
            <w:vAlign w:val="bottom"/>
            <w:tcBorders>
              <w:top w:val="single" w:sz="8" w:color="0000EE"/>
            </w:tcBorders>
          </w:tcPr>
          <w:p>
            <w:pPr>
              <w:spacing w:after="0"/>
              <w:rPr>
                <w:sz w:val="21"/>
                <w:szCs w:val="21"/>
                <w:color w:val="auto"/>
              </w:rPr>
            </w:pPr>
          </w:p>
        </w:tc>
        <w:tc>
          <w:tcPr>
            <w:tcW w:w="14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551">
              <w:r>
                <w:rPr>
                  <w:rFonts w:ascii="Times New Roman" w:cs="Times New Roman" w:eastAsia="Times New Roman" w:hAnsi="Times New Roman"/>
                  <w:sz w:val="18"/>
                  <w:szCs w:val="18"/>
                  <w:color w:val="0000EE"/>
                  <w:w w:val="96"/>
                </w:rPr>
                <w:t>Fund.</w:t>
              </w:r>
            </w:hyperlink>
          </w:p>
        </w:tc>
        <w:tc>
          <w:tcPr>
            <w:tcW w:w="972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60" w:type="dxa"/>
            <w:vAlign w:val="bottom"/>
            <w:gridSpan w:val="2"/>
          </w:tcPr>
          <w:p>
            <w:pPr>
              <w:spacing w:after="0"/>
              <w:rPr>
                <w:sz w:val="21"/>
                <w:szCs w:val="21"/>
                <w:color w:val="auto"/>
              </w:rPr>
            </w:pPr>
          </w:p>
        </w:tc>
        <w:tc>
          <w:tcPr>
            <w:tcW w:w="480" w:type="dxa"/>
            <w:vAlign w:val="bottom"/>
            <w:tcBorders>
              <w:bottom w:val="single" w:sz="8" w:color="0000EE"/>
            </w:tcBorders>
            <w:gridSpan w:val="2"/>
          </w:tcPr>
          <w:p>
            <w:pPr>
              <w:jc w:val="center"/>
              <w:spacing w:after="0"/>
              <w:rPr>
                <w:rFonts w:ascii="Times New Roman" w:cs="Times New Roman" w:eastAsia="Times New Roman" w:hAnsi="Times New Roman"/>
                <w:sz w:val="18"/>
                <w:szCs w:val="18"/>
                <w:color w:val="0000EE"/>
              </w:rPr>
            </w:pPr>
            <w:hyperlink r:id="rId55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7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552">
              <w:r>
                <w:rPr>
                  <w:rFonts w:ascii="Times New Roman" w:cs="Times New Roman" w:eastAsia="Times New Roman" w:hAnsi="Times New Roman"/>
                  <w:sz w:val="18"/>
                  <w:szCs w:val="18"/>
                  <w:color w:val="0000EE"/>
                  <w:w w:val="99"/>
                </w:rPr>
                <w:t>Third Amendment to Series A Preferred Share Purchase Agreement, dated as of November 2015, between the Registrant and Centillion</w:t>
              </w:r>
            </w:hyperlink>
          </w:p>
        </w:tc>
        <w:tc>
          <w:tcPr>
            <w:tcW w:w="360" w:type="dxa"/>
            <w:vAlign w:val="bottom"/>
            <w:gridSpan w:val="5"/>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552">
              <w:r>
                <w:rPr>
                  <w:rFonts w:ascii="Times New Roman" w:cs="Times New Roman" w:eastAsia="Times New Roman" w:hAnsi="Times New Roman"/>
                  <w:sz w:val="18"/>
                  <w:szCs w:val="18"/>
                  <w:color w:val="0000EE"/>
                  <w:w w:val="96"/>
                </w:rPr>
                <w:t>Fund.</w:t>
              </w:r>
            </w:hyperlink>
          </w:p>
        </w:tc>
        <w:tc>
          <w:tcPr>
            <w:tcW w:w="972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60" w:type="dxa"/>
            <w:vAlign w:val="bottom"/>
            <w:gridSpan w:val="2"/>
          </w:tcPr>
          <w:p>
            <w:pPr>
              <w:spacing w:after="0"/>
              <w:rPr>
                <w:sz w:val="21"/>
                <w:szCs w:val="21"/>
                <w:color w:val="auto"/>
              </w:rPr>
            </w:pPr>
          </w:p>
        </w:tc>
        <w:tc>
          <w:tcPr>
            <w:tcW w:w="480" w:type="dxa"/>
            <w:vAlign w:val="bottom"/>
            <w:gridSpan w:val="2"/>
          </w:tcPr>
          <w:p>
            <w:pPr>
              <w:jc w:val="center"/>
              <w:spacing w:after="0"/>
              <w:rPr>
                <w:rFonts w:ascii="Times New Roman" w:cs="Times New Roman" w:eastAsia="Times New Roman" w:hAnsi="Times New Roman"/>
                <w:sz w:val="18"/>
                <w:szCs w:val="18"/>
                <w:color w:val="0000EE"/>
              </w:rPr>
            </w:pPr>
            <w:hyperlink r:id="rId55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8"/>
          </w:tcPr>
          <w:p>
            <w:pPr>
              <w:spacing w:after="0"/>
              <w:rPr>
                <w:rFonts w:ascii="Times New Roman" w:cs="Times New Roman" w:eastAsia="Times New Roman" w:hAnsi="Times New Roman"/>
                <w:sz w:val="18"/>
                <w:szCs w:val="18"/>
                <w:color w:val="0000EE"/>
                <w:w w:val="99"/>
              </w:rPr>
            </w:pPr>
            <w:hyperlink r:id="rId553">
              <w:r>
                <w:rPr>
                  <w:rFonts w:ascii="Times New Roman" w:cs="Times New Roman" w:eastAsia="Times New Roman" w:hAnsi="Times New Roman"/>
                  <w:sz w:val="18"/>
                  <w:szCs w:val="18"/>
                  <w:color w:val="0000EE"/>
                  <w:w w:val="99"/>
                </w:rPr>
                <w:t>Fourth Amendment to Series A Preferred Share Purchase Agreement, dated as of July 20, 2017, between the Registrant and Centillion Fund.</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30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40" w:type="dxa"/>
            <w:vAlign w:val="bottom"/>
            <w:gridSpan w:val="4"/>
          </w:tcPr>
          <w:p>
            <w:pPr>
              <w:jc w:val="center"/>
              <w:ind w:left="52"/>
              <w:spacing w:after="0"/>
              <w:rPr>
                <w:rFonts w:ascii="Times New Roman" w:cs="Times New Roman" w:eastAsia="Times New Roman" w:hAnsi="Times New Roman"/>
                <w:sz w:val="18"/>
                <w:szCs w:val="18"/>
                <w:color w:val="0000EE"/>
                <w:w w:val="98"/>
              </w:rPr>
            </w:pPr>
            <w:hyperlink r:id="rId554">
              <w:r>
                <w:rPr>
                  <w:rFonts w:ascii="Times New Roman" w:cs="Times New Roman" w:eastAsia="Times New Roman" w:hAnsi="Times New Roman"/>
                  <w:sz w:val="18"/>
                  <w:szCs w:val="18"/>
                  <w:color w:val="0000EE"/>
                  <w:w w:val="98"/>
                </w:rPr>
                <w:t>10.10</w:t>
              </w:r>
            </w:hyperlink>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8"/>
          </w:tcPr>
          <w:p>
            <w:pPr>
              <w:spacing w:after="0"/>
              <w:rPr>
                <w:rFonts w:ascii="Times New Roman" w:cs="Times New Roman" w:eastAsia="Times New Roman" w:hAnsi="Times New Roman"/>
                <w:sz w:val="18"/>
                <w:szCs w:val="18"/>
                <w:color w:val="0000EE"/>
              </w:rPr>
            </w:pPr>
            <w:hyperlink r:id="rId554">
              <w:r>
                <w:rPr>
                  <w:rFonts w:ascii="Times New Roman" w:cs="Times New Roman" w:eastAsia="Times New Roman" w:hAnsi="Times New Roman"/>
                  <w:sz w:val="18"/>
                  <w:szCs w:val="18"/>
                  <w:color w:val="0000EE"/>
                </w:rPr>
                <w:t>Series B Preferred Share Purchase Agreement, dated as of October 4, 2017, October 25, 2017 and December 18, 2017, between the</w:t>
              </w:r>
            </w:hyperlink>
          </w:p>
        </w:tc>
        <w:tc>
          <w:tcPr>
            <w:tcW w:w="2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554">
              <w:r>
                <w:rPr>
                  <w:rFonts w:ascii="Times New Roman" w:cs="Times New Roman" w:eastAsia="Times New Roman" w:hAnsi="Times New Roman"/>
                  <w:sz w:val="18"/>
                  <w:szCs w:val="18"/>
                  <w:color w:val="0000EE"/>
                </w:rPr>
                <w:t>Registrant and the other parties thereto.</w:t>
              </w:r>
            </w:hyperlink>
          </w:p>
        </w:tc>
        <w:tc>
          <w:tcPr>
            <w:tcW w:w="6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gridSpan w:val="5"/>
          </w:tcPr>
          <w:p>
            <w:pPr>
              <w:jc w:val="center"/>
              <w:ind w:left="152"/>
              <w:spacing w:after="0"/>
              <w:rPr>
                <w:rFonts w:ascii="Times New Roman" w:cs="Times New Roman" w:eastAsia="Times New Roman" w:hAnsi="Times New Roman"/>
                <w:sz w:val="18"/>
                <w:szCs w:val="18"/>
                <w:color w:val="0000EE"/>
                <w:w w:val="99"/>
              </w:rPr>
            </w:pPr>
            <w:hyperlink r:id="rId555">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11**</w:t>
              </w:r>
            </w:hyperlink>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8"/>
          </w:tcPr>
          <w:p>
            <w:pPr>
              <w:spacing w:after="0"/>
              <w:rPr>
                <w:rFonts w:ascii="Times New Roman" w:cs="Times New Roman" w:eastAsia="Times New Roman" w:hAnsi="Times New Roman"/>
                <w:sz w:val="18"/>
                <w:szCs w:val="18"/>
                <w:color w:val="0000EE"/>
              </w:rPr>
            </w:pPr>
            <w:hyperlink r:id="rId555">
              <w:r>
                <w:rPr>
                  <w:rFonts w:ascii="Times New Roman" w:cs="Times New Roman" w:eastAsia="Times New Roman" w:hAnsi="Times New Roman"/>
                  <w:sz w:val="18"/>
                  <w:szCs w:val="18"/>
                  <w:color w:val="0000EE"/>
                </w:rPr>
                <w:t>Amended and Restated Investors’ Rights Agreement, dated as of October 4, 2017, between the Registrant and the other parties thereto.</w:t>
              </w:r>
            </w:hyperlink>
          </w:p>
        </w:tc>
        <w:tc>
          <w:tcPr>
            <w:tcW w:w="20" w:type="dxa"/>
            <w:vAlign w:val="bottom"/>
          </w:tcPr>
          <w:p>
            <w:pPr>
              <w:spacing w:after="0"/>
              <w:rPr>
                <w:sz w:val="21"/>
                <w:szCs w:val="21"/>
                <w:color w:val="auto"/>
              </w:rPr>
            </w:pPr>
          </w:p>
        </w:tc>
      </w:tr>
      <w:tr>
        <w:trPr>
          <w:trHeight w:val="20"/>
        </w:trPr>
        <w:tc>
          <w:tcPr>
            <w:tcW w:w="260" w:type="dxa"/>
            <w:vAlign w:val="bottom"/>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gridSpan w:val="5"/>
          </w:tcPr>
          <w:p>
            <w:pPr>
              <w:jc w:val="center"/>
              <w:ind w:left="152"/>
              <w:spacing w:after="0"/>
              <w:rPr>
                <w:rFonts w:ascii="Times New Roman" w:cs="Times New Roman" w:eastAsia="Times New Roman" w:hAnsi="Times New Roman"/>
                <w:sz w:val="18"/>
                <w:szCs w:val="18"/>
                <w:color w:val="0000EE"/>
                <w:w w:val="99"/>
              </w:rPr>
            </w:pPr>
            <w:hyperlink r:id="rId556">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12**</w:t>
              </w:r>
            </w:hyperlink>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8"/>
          </w:tcPr>
          <w:p>
            <w:pPr>
              <w:spacing w:after="0"/>
              <w:rPr>
                <w:rFonts w:ascii="Times New Roman" w:cs="Times New Roman" w:eastAsia="Times New Roman" w:hAnsi="Times New Roman"/>
                <w:sz w:val="18"/>
                <w:szCs w:val="18"/>
                <w:color w:val="0000EE"/>
              </w:rPr>
            </w:pPr>
            <w:hyperlink r:id="rId556">
              <w:r>
                <w:rPr>
                  <w:rFonts w:ascii="Times New Roman" w:cs="Times New Roman" w:eastAsia="Times New Roman" w:hAnsi="Times New Roman"/>
                  <w:sz w:val="18"/>
                  <w:szCs w:val="18"/>
                  <w:color w:val="0000EE"/>
                </w:rPr>
                <w:t>Form of indemnification agreement between the Registrant and its directors and executive officers.</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gridSpan w:val="5"/>
          </w:tcPr>
          <w:p>
            <w:pPr>
              <w:jc w:val="center"/>
              <w:ind w:left="152"/>
              <w:spacing w:after="0"/>
              <w:rPr>
                <w:rFonts w:ascii="Times New Roman" w:cs="Times New Roman" w:eastAsia="Times New Roman" w:hAnsi="Times New Roman"/>
                <w:sz w:val="18"/>
                <w:szCs w:val="18"/>
                <w:color w:val="0000EE"/>
                <w:w w:val="99"/>
              </w:rPr>
            </w:pPr>
            <w:hyperlink r:id="rId557">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13**</w:t>
              </w:r>
            </w:hyperlink>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8"/>
          </w:tcPr>
          <w:p>
            <w:pPr>
              <w:spacing w:after="0"/>
              <w:rPr>
                <w:rFonts w:ascii="Times New Roman" w:cs="Times New Roman" w:eastAsia="Times New Roman" w:hAnsi="Times New Roman"/>
                <w:sz w:val="18"/>
                <w:szCs w:val="18"/>
                <w:color w:val="0000EE"/>
              </w:rPr>
            </w:pPr>
            <w:hyperlink r:id="rId557">
              <w:r>
                <w:rPr>
                  <w:rFonts w:ascii="Times New Roman" w:cs="Times New Roman" w:eastAsia="Times New Roman" w:hAnsi="Times New Roman"/>
                  <w:sz w:val="18"/>
                  <w:szCs w:val="18"/>
                  <w:color w:val="0000EE"/>
                </w:rPr>
                <w:t>Form of Convertible Financing Agreement, dated as of June 14, 2016, among the Registrant and the lenders thereto.</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820" w:type="dxa"/>
            <w:vAlign w:val="bottom"/>
            <w:gridSpan w:val="5"/>
          </w:tcPr>
          <w:p>
            <w:pPr>
              <w:jc w:val="center"/>
              <w:ind w:left="152"/>
              <w:spacing w:after="0"/>
              <w:rPr>
                <w:rFonts w:ascii="Times New Roman" w:cs="Times New Roman" w:eastAsia="Times New Roman" w:hAnsi="Times New Roman"/>
                <w:sz w:val="18"/>
                <w:szCs w:val="18"/>
                <w:color w:val="0000EE"/>
                <w:w w:val="99"/>
              </w:rPr>
            </w:pPr>
            <w:hyperlink r:id="rId558">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14**</w:t>
              </w:r>
            </w:hyperlink>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140" w:type="dxa"/>
            <w:vAlign w:val="bottom"/>
            <w:gridSpan w:val="28"/>
          </w:tcPr>
          <w:p>
            <w:pPr>
              <w:spacing w:after="0"/>
              <w:rPr>
                <w:rFonts w:ascii="Times New Roman" w:cs="Times New Roman" w:eastAsia="Times New Roman" w:hAnsi="Times New Roman"/>
                <w:sz w:val="18"/>
                <w:szCs w:val="18"/>
                <w:color w:val="0000EE"/>
              </w:rPr>
            </w:pPr>
            <w:hyperlink r:id="rId558">
              <w:r>
                <w:rPr>
                  <w:rFonts w:ascii="Times New Roman" w:cs="Times New Roman" w:eastAsia="Times New Roman" w:hAnsi="Times New Roman"/>
                  <w:sz w:val="18"/>
                  <w:szCs w:val="18"/>
                  <w:color w:val="0000EE"/>
                </w:rPr>
                <w:t>Service Agreement, dated April 6, 2017, between Roger Garceau and the Company.</w:t>
              </w:r>
            </w:hyperlink>
          </w:p>
        </w:tc>
        <w:tc>
          <w:tcPr>
            <w:tcW w:w="20" w:type="dxa"/>
            <w:vAlign w:val="bottom"/>
          </w:tcPr>
          <w:p>
            <w:pPr>
              <w:spacing w:after="0"/>
              <w:rPr>
                <w:sz w:val="22"/>
                <w:szCs w:val="22"/>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gridSpan w:val="5"/>
          </w:tcPr>
          <w:p>
            <w:pPr>
              <w:jc w:val="center"/>
              <w:ind w:left="152"/>
              <w:spacing w:after="0"/>
              <w:rPr>
                <w:rFonts w:ascii="Times New Roman" w:cs="Times New Roman" w:eastAsia="Times New Roman" w:hAnsi="Times New Roman"/>
                <w:sz w:val="18"/>
                <w:szCs w:val="18"/>
                <w:color w:val="0000EE"/>
                <w:w w:val="99"/>
              </w:rPr>
            </w:pPr>
            <w:hyperlink r:id="rId559">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15**</w:t>
              </w:r>
            </w:hyperlink>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8"/>
          </w:tcPr>
          <w:p>
            <w:pPr>
              <w:spacing w:after="0"/>
              <w:rPr>
                <w:rFonts w:ascii="Times New Roman" w:cs="Times New Roman" w:eastAsia="Times New Roman" w:hAnsi="Times New Roman"/>
                <w:sz w:val="18"/>
                <w:szCs w:val="18"/>
                <w:color w:val="0000EE"/>
              </w:rPr>
            </w:pPr>
            <w:hyperlink r:id="rId559">
              <w:r>
                <w:rPr>
                  <w:rFonts w:ascii="Times New Roman" w:cs="Times New Roman" w:eastAsia="Times New Roman" w:hAnsi="Times New Roman"/>
                  <w:sz w:val="18"/>
                  <w:szCs w:val="18"/>
                  <w:color w:val="0000EE"/>
                </w:rPr>
                <w:t>Service Agreement, dated April 6, 2017, between Luke Beshar and the Company.</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20" w:type="dxa"/>
            <w:vAlign w:val="bottom"/>
            <w:gridSpan w:val="5"/>
          </w:tcPr>
          <w:p>
            <w:pPr>
              <w:jc w:val="center"/>
              <w:ind w:left="152"/>
              <w:spacing w:after="0"/>
              <w:rPr>
                <w:rFonts w:ascii="Times New Roman" w:cs="Times New Roman" w:eastAsia="Times New Roman" w:hAnsi="Times New Roman"/>
                <w:sz w:val="18"/>
                <w:szCs w:val="18"/>
                <w:color w:val="0000EE"/>
                <w:w w:val="99"/>
              </w:rPr>
            </w:pPr>
            <w:hyperlink r:id="rId560">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16**</w:t>
              </w:r>
            </w:hyperlink>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8"/>
          </w:tcPr>
          <w:p>
            <w:pPr>
              <w:spacing w:after="0"/>
              <w:rPr>
                <w:rFonts w:ascii="Times New Roman" w:cs="Times New Roman" w:eastAsia="Times New Roman" w:hAnsi="Times New Roman"/>
                <w:sz w:val="18"/>
                <w:szCs w:val="18"/>
                <w:color w:val="0000EE"/>
              </w:rPr>
            </w:pPr>
            <w:hyperlink r:id="rId560">
              <w:r>
                <w:rPr>
                  <w:rFonts w:ascii="Times New Roman" w:cs="Times New Roman" w:eastAsia="Times New Roman" w:hAnsi="Times New Roman"/>
                  <w:sz w:val="18"/>
                  <w:szCs w:val="18"/>
                  <w:color w:val="0000EE"/>
                </w:rPr>
                <w:t>2018 Equity Incentive Plan and forms of agreements thereunder (to be in effective upon the closing of this offering).</w:t>
              </w:r>
            </w:hyperlink>
          </w:p>
        </w:tc>
        <w:tc>
          <w:tcPr>
            <w:tcW w:w="20" w:type="dxa"/>
            <w:vAlign w:val="bottom"/>
          </w:tcPr>
          <w:p>
            <w:pPr>
              <w:spacing w:after="0"/>
              <w:rPr>
                <w:sz w:val="20"/>
                <w:szCs w:val="20"/>
                <w:color w:val="auto"/>
              </w:rPr>
            </w:pPr>
          </w:p>
        </w:tc>
      </w:tr>
      <w:tr>
        <w:trPr>
          <w:trHeight w:val="946"/>
        </w:trPr>
        <w:tc>
          <w:tcPr>
            <w:tcW w:w="240" w:type="dxa"/>
            <w:vAlign w:val="bottom"/>
            <w:tcBorders>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960" w:type="dxa"/>
            <w:vAlign w:val="bottom"/>
            <w:tcBorders>
              <w:top w:val="single" w:sz="8" w:color="0000EE"/>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120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5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68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32" w:name="page233"/>
    <w:bookmarkEnd w:id="232"/>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7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210"/>
        </w:trPr>
        <w:tc>
          <w:tcPr>
            <w:tcW w:w="320" w:type="dxa"/>
            <w:vAlign w:val="bottom"/>
          </w:tcPr>
          <w:p>
            <w:pPr>
              <w:spacing w:after="0"/>
              <w:rPr>
                <w:sz w:val="18"/>
                <w:szCs w:val="18"/>
                <w:color w:val="auto"/>
              </w:rPr>
            </w:pPr>
          </w:p>
        </w:tc>
        <w:tc>
          <w:tcPr>
            <w:tcW w:w="42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Amendment No. 1 to the Series B Preferred Share Purchase Agreement, dated December 18, 2017, between the Registrant and the other</w:t>
            </w:r>
          </w:p>
        </w:tc>
        <w:tc>
          <w:tcPr>
            <w:tcW w:w="320" w:type="dxa"/>
            <w:vAlign w:val="bottom"/>
            <w:gridSpan w:val="2"/>
          </w:tcPr>
          <w:p>
            <w:pPr>
              <w:spacing w:after="0"/>
              <w:rPr>
                <w:sz w:val="18"/>
                <w:szCs w:val="18"/>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parties thereto.</w:t>
            </w:r>
          </w:p>
        </w:tc>
        <w:tc>
          <w:tcPr>
            <w:tcW w:w="9060" w:type="dxa"/>
            <w:vAlign w:val="bottom"/>
            <w:gridSpan w:val="8"/>
          </w:tcPr>
          <w:p>
            <w:pPr>
              <w:spacing w:after="0"/>
              <w:rPr>
                <w:sz w:val="17"/>
                <w:szCs w:val="17"/>
                <w:color w:val="auto"/>
              </w:rPr>
            </w:pPr>
          </w:p>
        </w:tc>
      </w:tr>
      <w:tr>
        <w:trPr>
          <w:trHeight w:val="250"/>
        </w:trPr>
        <w:tc>
          <w:tcPr>
            <w:tcW w:w="700" w:type="dxa"/>
            <w:vAlign w:val="bottom"/>
            <w:gridSpan w:val="3"/>
          </w:tcPr>
          <w:p>
            <w:pPr>
              <w:jc w:val="center"/>
              <w:ind w:left="233"/>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 of Kesselman &amp; Kesselman, Certified Public Accountants, a member firm of PricewaterhouseCoopers International Limited, an</w:t>
            </w: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28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64"/>
        </w:trPr>
        <w:tc>
          <w:tcPr>
            <w:tcW w:w="700" w:type="dxa"/>
            <w:vAlign w:val="bottom"/>
            <w:gridSpan w:val="3"/>
          </w:tcPr>
          <w:p>
            <w:pPr>
              <w:jc w:val="center"/>
              <w:ind w:left="233"/>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 of Herzog Fox &amp; Neeman (included in Exhibits 5.1).</w:t>
            </w:r>
          </w:p>
        </w:tc>
      </w:tr>
      <w:tr>
        <w:trPr>
          <w:trHeight w:val="20"/>
        </w:trPr>
        <w:tc>
          <w:tcPr>
            <w:tcW w:w="3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50"/>
        </w:trPr>
        <w:tc>
          <w:tcPr>
            <w:tcW w:w="700" w:type="dxa"/>
            <w:vAlign w:val="bottom"/>
            <w:gridSpan w:val="3"/>
          </w:tcPr>
          <w:p>
            <w:pPr>
              <w:jc w:val="center"/>
              <w:ind w:left="233"/>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3</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 of Davis Polk &amp; Wardwell LLP (included in Exhibit 8.1)</w:t>
            </w:r>
          </w:p>
        </w:tc>
      </w:tr>
      <w:tr>
        <w:trPr>
          <w:trHeight w:val="20"/>
        </w:trPr>
        <w:tc>
          <w:tcPr>
            <w:tcW w:w="3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50"/>
        </w:trPr>
        <w:tc>
          <w:tcPr>
            <w:tcW w:w="700" w:type="dxa"/>
            <w:vAlign w:val="bottom"/>
            <w:gridSpan w:val="3"/>
          </w:tcPr>
          <w:p>
            <w:pPr>
              <w:jc w:val="center"/>
              <w:ind w:left="233"/>
              <w:spacing w:after="0"/>
              <w:rPr>
                <w:rFonts w:ascii="Times New Roman" w:cs="Times New Roman" w:eastAsia="Times New Roman" w:hAnsi="Times New Roman"/>
                <w:sz w:val="18"/>
                <w:szCs w:val="18"/>
                <w:color w:val="0000EE"/>
                <w:w w:val="95"/>
              </w:rPr>
            </w:pPr>
            <w:hyperlink w:anchor="page234">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hyperlink>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9"/>
          </w:tcPr>
          <w:p>
            <w:pPr>
              <w:spacing w:after="0"/>
              <w:rPr>
                <w:rFonts w:ascii="Times New Roman" w:cs="Times New Roman" w:eastAsia="Times New Roman" w:hAnsi="Times New Roman"/>
                <w:sz w:val="18"/>
                <w:szCs w:val="18"/>
                <w:color w:val="0000EE"/>
              </w:rPr>
            </w:pPr>
            <w:hyperlink w:anchor="page234">
              <w:r>
                <w:rPr>
                  <w:rFonts w:ascii="Times New Roman" w:cs="Times New Roman" w:eastAsia="Times New Roman" w:hAnsi="Times New Roman"/>
                  <w:sz w:val="18"/>
                  <w:szCs w:val="18"/>
                  <w:color w:val="0000EE"/>
                </w:rPr>
                <w:t>Powers of Attorney (included on signature page).</w:t>
              </w:r>
            </w:hyperlink>
          </w:p>
        </w:tc>
      </w:tr>
      <w:tr>
        <w:trPr>
          <w:trHeight w:val="20"/>
        </w:trPr>
        <w:tc>
          <w:tcPr>
            <w:tcW w:w="3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50"/>
        </w:trPr>
        <w:tc>
          <w:tcPr>
            <w:tcW w:w="700" w:type="dxa"/>
            <w:vAlign w:val="bottom"/>
            <w:gridSpan w:val="3"/>
          </w:tcPr>
          <w:p>
            <w:pPr>
              <w:jc w:val="center"/>
              <w:ind w:left="233"/>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Registrant’s Waiver Request and Representation under Item 8.A.4 of Form F-1.</w:t>
            </w: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1513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7">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9480" w:firstLine="8"/>
        <w:spacing w:after="0" w:line="564" w:lineRule="auto"/>
        <w:tabs>
          <w:tab w:leader="none" w:pos="36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2720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33" w:name="page234"/>
    <w:bookmarkEnd w:id="233"/>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Jerusalem, Israel, on January 5, 2018.</w:t>
      </w:r>
    </w:p>
    <w:p>
      <w:pPr>
        <w:spacing w:after="0" w:line="19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ENTERA BIO LTD.</w:t>
      </w:r>
    </w:p>
    <w:p>
      <w:pPr>
        <w:spacing w:after="0" w:line="243" w:lineRule="exact"/>
        <w:rPr>
          <w:sz w:val="20"/>
          <w:szCs w:val="20"/>
          <w:color w:val="auto"/>
        </w:rPr>
      </w:pPr>
    </w:p>
    <w:p>
      <w:pPr>
        <w:ind w:left="3700"/>
        <w:spacing w:after="0"/>
        <w:tabs>
          <w:tab w:leader="none" w:pos="4160" w:val="left"/>
        </w:tabs>
        <w:rPr>
          <w:sz w:val="20"/>
          <w:szCs w:val="20"/>
          <w:color w:val="auto"/>
        </w:rPr>
      </w:pPr>
      <w:r>
        <w:rPr>
          <w:rFonts w:ascii="Times New Roman" w:cs="Times New Roman" w:eastAsia="Times New Roman" w:hAnsi="Times New Roman"/>
          <w:sz w:val="18"/>
          <w:szCs w:val="18"/>
          <w:color w:val="auto"/>
        </w:rPr>
        <w:t>By:</w:t>
        <w:tab/>
        <w:t>/s/ Dr. 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51435</wp:posOffset>
            </wp:positionV>
            <wp:extent cx="458787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9">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pacing w:after="0" w:line="8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Name: Dr. Phillip Schwartz</w:t>
      </w:r>
    </w:p>
    <w:p>
      <w:pPr>
        <w:spacing w:after="0" w:line="2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114" w:right="419" w:bottom="1440" w:gutter="0" w:footer="0" w:header="0"/>
        </w:sectPr>
      </w:pPr>
    </w:p>
    <w:bookmarkStart w:id="234" w:name="page235"/>
    <w:bookmarkEnd w:id="234"/>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9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Phillip Schwartz and Mira Rosenzweig, and each of them, as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and any rules, regulations and requirements of the SEC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(the “Registration Statement”) to be filed with the SEC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7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w w:val="99"/>
              </w:rPr>
              <w:t>/s/ Dr. Phillip Schwartz</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5, 2018</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20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5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vMerge w:val="restart"/>
          </w:tcPr>
          <w:p>
            <w:pPr>
              <w:jc w:val="center"/>
              <w:ind w:right="251"/>
              <w:spacing w:after="0"/>
              <w:rPr>
                <w:sz w:val="20"/>
                <w:szCs w:val="20"/>
                <w:color w:val="auto"/>
              </w:rPr>
            </w:pPr>
            <w:r>
              <w:rPr>
                <w:rFonts w:ascii="Times New Roman" w:cs="Times New Roman" w:eastAsia="Times New Roman" w:hAnsi="Times New Roman"/>
                <w:sz w:val="18"/>
                <w:szCs w:val="18"/>
                <w:color w:val="auto"/>
                <w:w w:val="98"/>
              </w:rPr>
              <w:t>Dr. Phillip Schwartz</w:t>
            </w:r>
          </w:p>
        </w:tc>
        <w:tc>
          <w:tcPr>
            <w:tcW w:w="2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528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rPr>
              <w:t>/s/ Mira Rosenzweig</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5, 2018</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20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5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vMerge w:val="restart"/>
          </w:tcPr>
          <w:p>
            <w:pPr>
              <w:jc w:val="center"/>
              <w:ind w:right="271"/>
              <w:spacing w:after="0"/>
              <w:rPr>
                <w:sz w:val="20"/>
                <w:szCs w:val="20"/>
                <w:color w:val="auto"/>
              </w:rPr>
            </w:pPr>
            <w:r>
              <w:rPr>
                <w:rFonts w:ascii="Times New Roman" w:cs="Times New Roman" w:eastAsia="Times New Roman" w:hAnsi="Times New Roman"/>
                <w:sz w:val="18"/>
                <w:szCs w:val="18"/>
                <w:color w:val="auto"/>
              </w:rPr>
              <w:t>Mira Rosenzweig</w:t>
            </w:r>
          </w:p>
        </w:tc>
        <w:tc>
          <w:tcPr>
            <w:tcW w:w="2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528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6"/>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5, 2018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w w:val="99"/>
              </w:rPr>
              <w:t>Luke M. Beshar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5, 2018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99"/>
              </w:rPr>
              <w:t>David Ben Ami</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5, 2018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99"/>
              </w:rPr>
              <w:t>Chaim Davis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5, 2018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w w:val="99"/>
              </w:rPr>
              <w:t>Roger Garceau</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5, 2018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rPr>
              <w:t>Gerald Lieberman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5, 2018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w w:val="97"/>
              </w:rPr>
              <w:t>Yonatan Malca</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5, 2018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w w:val="99"/>
              </w:rPr>
              <w:t>Zeev Bronfeld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Phillip Schwartz</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Phillip Schwartz, </w:t>
            </w:r>
            <w:r>
              <w:rPr>
                <w:rFonts w:ascii="Times New Roman" w:cs="Times New Roman" w:eastAsia="Times New Roman" w:hAnsi="Times New Roman"/>
                <w:sz w:val="18"/>
                <w:szCs w:val="18"/>
                <w:i w:val="1"/>
                <w:iCs w:val="1"/>
                <w:color w:val="auto"/>
              </w:rPr>
              <w:t>Attorney-in-Fact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II-11</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35" w:name="page236"/>
    <w:bookmarkEnd w:id="235"/>
    <w:p>
      <w:pPr>
        <w:spacing w:after="0"/>
        <w:rPr>
          <w:rFonts w:ascii="Arial" w:cs="Arial" w:eastAsia="Arial" w:hAnsi="Arial"/>
          <w:sz w:val="14"/>
          <w:szCs w:val="14"/>
          <w:color w:val="003366"/>
        </w:rPr>
      </w:pPr>
      <w:hyperlink w:anchor="page17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b w:val="1"/>
          <w:bCs w:val="1"/>
          <w:color w:val="auto"/>
        </w:rPr>
        <w:t>SIGNATURE OF AUTHORIZED REPRESENTATIVE IN THE UNITED STATES</w:t>
      </w:r>
    </w:p>
    <w:p>
      <w:pPr>
        <w:spacing w:after="0" w:line="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has signed this registration statement, solely in its capacity as the duly authorized representative of the Registrant in the United States on January 5, 2018.</w:t>
      </w:r>
    </w:p>
    <w:p>
      <w:pPr>
        <w:spacing w:after="0" w:line="378" w:lineRule="exact"/>
        <w:rPr>
          <w:sz w:val="20"/>
          <w:szCs w:val="20"/>
          <w:color w:val="auto"/>
        </w:rPr>
      </w:pPr>
    </w:p>
    <w:p>
      <w:pPr>
        <w:ind w:left="3700"/>
        <w:spacing w:after="0"/>
        <w:tabs>
          <w:tab w:leader="none" w:pos="4160" w:val="left"/>
        </w:tabs>
        <w:rPr>
          <w:sz w:val="20"/>
          <w:szCs w:val="20"/>
          <w:color w:val="auto"/>
        </w:rPr>
      </w:pPr>
      <w:r>
        <w:rPr>
          <w:rFonts w:ascii="Times New Roman" w:cs="Times New Roman" w:eastAsia="Times New Roman" w:hAnsi="Times New Roman"/>
          <w:sz w:val="18"/>
          <w:szCs w:val="18"/>
          <w:color w:val="auto"/>
        </w:rPr>
        <w:t>By:</w:t>
        <w:tab/>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51435</wp:posOffset>
            </wp:positionV>
            <wp:extent cx="458787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3">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pacing w:after="0" w:line="8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Name: Colleen A. DeVries</w:t>
      </w:r>
    </w:p>
    <w:p>
      <w:pPr>
        <w:spacing w:after="0" w:line="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Title:  SVP on behalf of Cogency Global</w:t>
      </w: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00"/>
          </w:cols>
          <w:pgMar w:left="240" w:top="114" w:right="55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24662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60" w:type="dxa"/>
            <w:vAlign w:val="bottom"/>
            <w:gridSpan w:val="2"/>
          </w:tcPr>
          <w:p>
            <w:pPr>
              <w:spacing w:after="0"/>
              <w:rPr>
                <w:sz w:val="20"/>
                <w:szCs w:val="20"/>
                <w:color w:val="auto"/>
              </w:rPr>
            </w:pPr>
            <w:r>
              <w:rPr>
                <w:rFonts w:ascii="Arial" w:cs="Arial" w:eastAsia="Arial" w:hAnsi="Arial"/>
                <w:sz w:val="11"/>
                <w:szCs w:val="11"/>
                <w:color w:val="auto"/>
              </w:rPr>
              <w:t>Yaakov Neeman z"l*</w:t>
            </w:r>
          </w:p>
        </w:tc>
        <w:tc>
          <w:tcPr>
            <w:tcW w:w="1760" w:type="dxa"/>
            <w:vAlign w:val="bottom"/>
          </w:tcPr>
          <w:p>
            <w:pPr>
              <w:ind w:left="460"/>
              <w:spacing w:after="0"/>
              <w:rPr>
                <w:sz w:val="20"/>
                <w:szCs w:val="20"/>
                <w:color w:val="auto"/>
              </w:rPr>
            </w:pPr>
            <w:r>
              <w:rPr>
                <w:rFonts w:ascii="Arial" w:cs="Arial" w:eastAsia="Arial" w:hAnsi="Arial"/>
                <w:sz w:val="11"/>
                <w:szCs w:val="11"/>
                <w:color w:val="auto"/>
              </w:rPr>
              <w:t>Asher Dovev</w:t>
            </w:r>
          </w:p>
        </w:tc>
        <w:tc>
          <w:tcPr>
            <w:tcW w:w="1620" w:type="dxa"/>
            <w:vAlign w:val="bottom"/>
          </w:tcPr>
          <w:p>
            <w:pPr>
              <w:ind w:left="300"/>
              <w:spacing w:after="0"/>
              <w:rPr>
                <w:sz w:val="20"/>
                <w:szCs w:val="20"/>
                <w:color w:val="auto"/>
              </w:rPr>
            </w:pPr>
            <w:r>
              <w:rPr>
                <w:rFonts w:ascii="Arial" w:cs="Arial" w:eastAsia="Arial" w:hAnsi="Arial"/>
                <w:sz w:val="11"/>
                <w:szCs w:val="11"/>
                <w:color w:val="auto"/>
              </w:rPr>
              <w:t>Moshe Yaacov</w:t>
            </w:r>
          </w:p>
        </w:tc>
        <w:tc>
          <w:tcPr>
            <w:tcW w:w="1580" w:type="dxa"/>
            <w:vAlign w:val="bottom"/>
          </w:tcPr>
          <w:p>
            <w:pPr>
              <w:ind w:left="180"/>
              <w:spacing w:after="0"/>
              <w:rPr>
                <w:sz w:val="20"/>
                <w:szCs w:val="20"/>
                <w:color w:val="auto"/>
              </w:rPr>
            </w:pPr>
            <w:r>
              <w:rPr>
                <w:rFonts w:ascii="Arial" w:cs="Arial" w:eastAsia="Arial" w:hAnsi="Arial"/>
                <w:sz w:val="11"/>
                <w:szCs w:val="11"/>
                <w:color w:val="auto"/>
              </w:rPr>
              <w:t>Racheli Pry-Reichman</w:t>
            </w:r>
          </w:p>
        </w:tc>
        <w:tc>
          <w:tcPr>
            <w:tcW w:w="1700" w:type="dxa"/>
            <w:vAlign w:val="bottom"/>
          </w:tcPr>
          <w:p>
            <w:pPr>
              <w:ind w:left="320"/>
              <w:spacing w:after="0"/>
              <w:rPr>
                <w:sz w:val="20"/>
                <w:szCs w:val="20"/>
                <w:color w:val="auto"/>
              </w:rPr>
            </w:pPr>
            <w:r>
              <w:rPr>
                <w:rFonts w:ascii="Arial" w:cs="Arial" w:eastAsia="Arial" w:hAnsi="Arial"/>
                <w:sz w:val="11"/>
                <w:szCs w:val="11"/>
                <w:color w:val="auto"/>
              </w:rPr>
              <w:t>Orli Gal</w:t>
            </w:r>
          </w:p>
        </w:tc>
        <w:tc>
          <w:tcPr>
            <w:tcW w:w="1600" w:type="dxa"/>
            <w:vAlign w:val="bottom"/>
          </w:tcPr>
          <w:p>
            <w:pPr>
              <w:ind w:left="320"/>
              <w:spacing w:after="0"/>
              <w:rPr>
                <w:sz w:val="20"/>
                <w:szCs w:val="20"/>
                <w:color w:val="auto"/>
              </w:rPr>
            </w:pPr>
            <w:r>
              <w:rPr>
                <w:rFonts w:ascii="Arial" w:cs="Arial" w:eastAsia="Arial" w:hAnsi="Arial"/>
                <w:sz w:val="11"/>
                <w:szCs w:val="11"/>
                <w:color w:val="auto"/>
              </w:rPr>
              <w:t>Sahar Regev</w:t>
            </w:r>
          </w:p>
        </w:tc>
        <w:tc>
          <w:tcPr>
            <w:tcW w:w="1440" w:type="dxa"/>
            <w:vAlign w:val="bottom"/>
          </w:tcPr>
          <w:p>
            <w:pPr>
              <w:ind w:left="300"/>
              <w:spacing w:after="0"/>
              <w:rPr>
                <w:sz w:val="20"/>
                <w:szCs w:val="20"/>
                <w:color w:val="auto"/>
              </w:rPr>
            </w:pPr>
            <w:r>
              <w:rPr>
                <w:rFonts w:ascii="Arial" w:cs="Arial" w:eastAsia="Arial" w:hAnsi="Arial"/>
                <w:sz w:val="11"/>
                <w:szCs w:val="11"/>
                <w:color w:val="auto"/>
              </w:rPr>
              <w:t>Noa Leon</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Tuvia Erlich</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Odelia Offer</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Daniel Lipman Lowbeer</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Ifat Pagis-Gelman</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Zeev Kallach</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Jenia Melkhior</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Grigory Danovich</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Meir Linzen</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Sharon Petel</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Neil Wilkof</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Yael Chervinsky Edan</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Chen Luzzatto</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Karin Fried</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Natan Wiesenberg</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Alan Sacks</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Moria Tam-</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Nimrod Kozlovski</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Maayan Hammer-</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Keren Assaf</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Yehonatan Ohayon</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Eliran Doyev</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Yaacov Brandt</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Harshoshanim</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Moran Yemini</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Tzeelon</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Limor Shechter Lerner</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Lital Wolfovitz</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Orr Diskin</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Ehud Sol</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Guy Katz</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Ofer Granot</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Adina Shapiro</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Yaniv Grossman</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Reut Alcalay</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Daniel Paz</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Janet Levy Pahima</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Daniel Reisner</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Ron Ben-Menachem</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Tsouriel Picard</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Noa Landau Bar-Ner</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Aviv Parienty</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Gal Sagi</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Yael Bar-Shai</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Nurit Dagan</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Dan Sharot</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Itay Lavi</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Nir Gal</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Rafael Herbst</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Sharbel Shama</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Yaacov Sharvit</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Yaniv Dinovitch</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Ronen Hausirer</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Eran Wagner</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Michal Lavi</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Sarit Shainboim</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Erez Abu</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David Zailer</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Nir Raber</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Gilad Neeman</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Dana Zur-Neumann</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Chen Ginon Cohen</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Yael Hauser</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Hofit Cahana</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Mark Phillips</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Harriet Finn</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Ayelet Regavim K.</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Gal Eschet</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David Preyl</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Ido Manor</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Mark Goldman</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Adam Eytan</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Ofir Segev</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Ariel Yosefi</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Zohar Yahalom</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Adar Ortal</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Shiran Shouldiner</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Gilad Eshed</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Orly Gerbi</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Ran Hai</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Natalie Jacobs</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Galia Kleinman</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Ohad Elkeslassy</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Dafna Amster Kahn</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Uriya Gehasi</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Moshe Hardi</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Haya Ehrman</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Roi Hayun</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Inbal Altman</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Dana Kashi</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Liya Friedman</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w w:val="96"/>
              </w:rPr>
              <w:t>Zecharia Rechtschaffen</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Gilad Wekselman</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Tal Dror Schwimmer</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Eyal Bar-Zvi</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Iris Weinberger</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Nir Miller</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Esti Hadar</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Nitzan Schindler</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Yossi Ashkenazi</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Shai Kagan</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Yariv Ben-Dov</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Yoni Frider</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Avishay Klein</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Pini Shriki Herstic</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Harel Elazar</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Gil White</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Chagai Vered</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Talya Solomon</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Lev Zigman</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Liat Maidler</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Naama Ben-Zion</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Liran Ben Asuly</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Anthony Leibler</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Gilad Majerowicz</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Haim Machluf</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Uriel Mozes</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Moran Ninio Nesher</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Zvika Friedman</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Batell Vallentine Blaish</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Eldad Chamam</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Yuval Navot</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Yuval Meidar</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Elad Wieder</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Yotam Blaushild</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Ella Corren</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Dana Baranes</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Ilanit Landesman</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Michal Caspi</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Aviram Hazak</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Liran Barak</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Boaz Nahshoni</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Liron Tzur Neumann</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Asaf Bar Natan</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Yogev</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Shira Margalit -Elbaz</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Itai Sarfaty</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Efrat Tzur</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Michal Pereg</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Marian Fertleman</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Elina Shechter</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Limor Hodir</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Efri Berkovich</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Ran Kedem</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Chen Moyal</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Maor Roth</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Itamar Gur</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Meitar Victor</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Ory Nacht</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Yehoshua Shohat</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Ra'anan Sagi</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Abigail Borowitz</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Rosie Mordoch-Ron</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Yehuda Hommfor</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Neil Hadad</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Esther Sternbach</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Gurtler</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Revital Katz</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Niv Sivan</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Rani Hirsh</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Amit Laufer</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Anat Tsur</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Ariel Flavian</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Shachar Porat</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Tal Hamdi</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Ehab Farah</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Roni Cohen Pavon</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Talia Blazer</w:t>
            </w:r>
          </w:p>
        </w:tc>
        <w:tc>
          <w:tcPr>
            <w:tcW w:w="1440" w:type="dxa"/>
            <w:vAlign w:val="bottom"/>
          </w:tcPr>
          <w:p>
            <w:pPr>
              <w:ind w:left="300"/>
              <w:spacing w:after="0" w:line="122" w:lineRule="exact"/>
              <w:rPr>
                <w:sz w:val="20"/>
                <w:szCs w:val="20"/>
                <w:color w:val="auto"/>
              </w:rPr>
            </w:pPr>
            <w:r>
              <w:rPr>
                <w:rFonts w:ascii="Arial" w:cs="Arial" w:eastAsia="Arial" w:hAnsi="Arial"/>
                <w:sz w:val="11"/>
                <w:szCs w:val="11"/>
                <w:color w:val="auto"/>
              </w:rPr>
              <w:t>Rachel Rinberg-Shuri</w:t>
            </w: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Nati Simchony</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Amir Peres</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Neta Dorfman-Raviv</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Hagit Oren</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Ilana Zibenberg</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Einat Steiner</w:t>
            </w:r>
          </w:p>
        </w:tc>
        <w:tc>
          <w:tcPr>
            <w:tcW w:w="1440" w:type="dxa"/>
            <w:vAlign w:val="bottom"/>
          </w:tcPr>
          <w:p>
            <w:pPr>
              <w:spacing w:after="0"/>
              <w:rPr>
                <w:sz w:val="10"/>
                <w:szCs w:val="10"/>
                <w:color w:val="auto"/>
              </w:rPr>
            </w:pP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Roni Libster</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Yair Geva</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Yuval Zilber</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Ruth Bergwerk</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Tomer Farkash</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Tom Waltner</w:t>
            </w:r>
          </w:p>
        </w:tc>
        <w:tc>
          <w:tcPr>
            <w:tcW w:w="1440" w:type="dxa"/>
            <w:vAlign w:val="bottom"/>
          </w:tcPr>
          <w:p>
            <w:pPr>
              <w:spacing w:after="0"/>
              <w:rPr>
                <w:sz w:val="10"/>
                <w:szCs w:val="10"/>
                <w:color w:val="auto"/>
              </w:rPr>
            </w:pP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Karen L. Elburg</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Nir Dash</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Vladi Borodovsky</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Iris Achmon</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Guy Yekutiel</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Yoav Sananes</w:t>
            </w:r>
          </w:p>
        </w:tc>
        <w:tc>
          <w:tcPr>
            <w:tcW w:w="1440" w:type="dxa"/>
            <w:vAlign w:val="bottom"/>
          </w:tcPr>
          <w:p>
            <w:pPr>
              <w:spacing w:after="0"/>
              <w:rPr>
                <w:sz w:val="10"/>
                <w:szCs w:val="10"/>
                <w:color w:val="auto"/>
              </w:rPr>
            </w:pP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Hanan Haviv</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Itzhak Shragay</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Gal Schwartz</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Robert Wiseman</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Shahar Fishbein</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Alon Abcasis</w:t>
            </w:r>
          </w:p>
        </w:tc>
        <w:tc>
          <w:tcPr>
            <w:tcW w:w="1440" w:type="dxa"/>
            <w:vAlign w:val="bottom"/>
          </w:tcPr>
          <w:p>
            <w:pPr>
              <w:spacing w:after="0"/>
              <w:rPr>
                <w:sz w:val="10"/>
                <w:szCs w:val="10"/>
                <w:color w:val="auto"/>
              </w:rPr>
            </w:pP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Roy Nachimzon</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Tamara Tapoohi</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Assaf Klein</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Israel (Ruly) Ber</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Zara Gold</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Asaf Beker</w:t>
            </w:r>
          </w:p>
        </w:tc>
        <w:tc>
          <w:tcPr>
            <w:tcW w:w="1440" w:type="dxa"/>
            <w:vAlign w:val="bottom"/>
          </w:tcPr>
          <w:p>
            <w:pPr>
              <w:spacing w:after="0"/>
              <w:rPr>
                <w:sz w:val="10"/>
                <w:szCs w:val="10"/>
                <w:color w:val="auto"/>
              </w:rPr>
            </w:pP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Liat Shaked-Katz</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Waldman</w:t>
            </w:r>
          </w:p>
        </w:tc>
        <w:tc>
          <w:tcPr>
            <w:tcW w:w="1620" w:type="dxa"/>
            <w:vAlign w:val="bottom"/>
          </w:tcPr>
          <w:p>
            <w:pPr>
              <w:ind w:left="300"/>
              <w:spacing w:after="0" w:line="122" w:lineRule="exact"/>
              <w:rPr>
                <w:sz w:val="20"/>
                <w:szCs w:val="20"/>
                <w:color w:val="auto"/>
              </w:rPr>
            </w:pPr>
            <w:r>
              <w:rPr>
                <w:rFonts w:ascii="Arial" w:cs="Arial" w:eastAsia="Arial" w:hAnsi="Arial"/>
                <w:sz w:val="11"/>
                <w:szCs w:val="11"/>
                <w:color w:val="auto"/>
              </w:rPr>
              <w:t>Hen Tirosh</w:t>
            </w: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Avital A. Shlomovich</w:t>
            </w:r>
          </w:p>
        </w:tc>
        <w:tc>
          <w:tcPr>
            <w:tcW w:w="1700" w:type="dxa"/>
            <w:vAlign w:val="bottom"/>
          </w:tcPr>
          <w:p>
            <w:pPr>
              <w:ind w:left="320"/>
              <w:spacing w:after="0" w:line="122" w:lineRule="exact"/>
              <w:rPr>
                <w:sz w:val="20"/>
                <w:szCs w:val="20"/>
                <w:color w:val="auto"/>
              </w:rPr>
            </w:pPr>
            <w:r>
              <w:rPr>
                <w:rFonts w:ascii="Arial" w:cs="Arial" w:eastAsia="Arial" w:hAnsi="Arial"/>
                <w:sz w:val="11"/>
                <w:szCs w:val="11"/>
                <w:color w:val="auto"/>
              </w:rPr>
              <w:t>Pini Duek</w:t>
            </w:r>
          </w:p>
        </w:tc>
        <w:tc>
          <w:tcPr>
            <w:tcW w:w="1600" w:type="dxa"/>
            <w:vAlign w:val="bottom"/>
          </w:tcPr>
          <w:p>
            <w:pPr>
              <w:ind w:left="320"/>
              <w:spacing w:after="0" w:line="122" w:lineRule="exact"/>
              <w:rPr>
                <w:sz w:val="20"/>
                <w:szCs w:val="20"/>
                <w:color w:val="auto"/>
              </w:rPr>
            </w:pPr>
            <w:r>
              <w:rPr>
                <w:rFonts w:ascii="Arial" w:cs="Arial" w:eastAsia="Arial" w:hAnsi="Arial"/>
                <w:sz w:val="11"/>
                <w:szCs w:val="11"/>
                <w:color w:val="auto"/>
              </w:rPr>
              <w:t>Eitan Ella</w:t>
            </w:r>
          </w:p>
        </w:tc>
        <w:tc>
          <w:tcPr>
            <w:tcW w:w="1440" w:type="dxa"/>
            <w:vAlign w:val="bottom"/>
          </w:tcPr>
          <w:p>
            <w:pPr>
              <w:spacing w:after="0"/>
              <w:rPr>
                <w:sz w:val="10"/>
                <w:szCs w:val="10"/>
                <w:color w:val="auto"/>
              </w:rPr>
            </w:pPr>
          </w:p>
        </w:tc>
      </w:tr>
      <w:tr>
        <w:trPr>
          <w:trHeight w:val="122"/>
        </w:trPr>
        <w:tc>
          <w:tcPr>
            <w:tcW w:w="1160" w:type="dxa"/>
            <w:vAlign w:val="bottom"/>
            <w:gridSpan w:val="2"/>
          </w:tcPr>
          <w:p>
            <w:pPr>
              <w:spacing w:after="0" w:line="122" w:lineRule="exact"/>
              <w:rPr>
                <w:sz w:val="20"/>
                <w:szCs w:val="20"/>
                <w:color w:val="auto"/>
              </w:rPr>
            </w:pPr>
            <w:r>
              <w:rPr>
                <w:rFonts w:ascii="Arial" w:cs="Arial" w:eastAsia="Arial" w:hAnsi="Arial"/>
                <w:sz w:val="11"/>
                <w:szCs w:val="11"/>
                <w:color w:val="auto"/>
              </w:rPr>
              <w:t>Ruth Dagan</w:t>
            </w: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Hanna Bilavsky</w:t>
            </w:r>
          </w:p>
        </w:tc>
        <w:tc>
          <w:tcPr>
            <w:tcW w:w="1620" w:type="dxa"/>
            <w:vAlign w:val="bottom"/>
          </w:tcPr>
          <w:p>
            <w:pPr>
              <w:spacing w:after="0"/>
              <w:rPr>
                <w:sz w:val="10"/>
                <w:szCs w:val="10"/>
                <w:color w:val="auto"/>
              </w:rPr>
            </w:pPr>
          </w:p>
        </w:tc>
        <w:tc>
          <w:tcPr>
            <w:tcW w:w="1580" w:type="dxa"/>
            <w:vAlign w:val="bottom"/>
          </w:tcPr>
          <w:p>
            <w:pPr>
              <w:ind w:left="180"/>
              <w:spacing w:after="0" w:line="122" w:lineRule="exact"/>
              <w:rPr>
                <w:sz w:val="20"/>
                <w:szCs w:val="20"/>
                <w:color w:val="auto"/>
              </w:rPr>
            </w:pPr>
            <w:r>
              <w:rPr>
                <w:rFonts w:ascii="Arial" w:cs="Arial" w:eastAsia="Arial" w:hAnsi="Arial"/>
                <w:sz w:val="11"/>
                <w:szCs w:val="11"/>
                <w:color w:val="auto"/>
              </w:rPr>
              <w:t>Michal Haberfeld</w:t>
            </w:r>
          </w:p>
        </w:tc>
        <w:tc>
          <w:tcPr>
            <w:tcW w:w="1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760" w:type="dxa"/>
            <w:vAlign w:val="bottom"/>
          </w:tcPr>
          <w:p>
            <w:pPr>
              <w:ind w:left="460"/>
              <w:spacing w:after="0" w:line="122" w:lineRule="exact"/>
              <w:rPr>
                <w:sz w:val="20"/>
                <w:szCs w:val="20"/>
                <w:color w:val="auto"/>
              </w:rPr>
            </w:pPr>
            <w:r>
              <w:rPr>
                <w:rFonts w:ascii="Arial" w:cs="Arial" w:eastAsia="Arial" w:hAnsi="Arial"/>
                <w:sz w:val="11"/>
                <w:szCs w:val="11"/>
                <w:color w:val="auto"/>
              </w:rPr>
              <w:t>Saar Pauker</w:t>
            </w:r>
          </w:p>
        </w:tc>
        <w:tc>
          <w:tcPr>
            <w:tcW w:w="16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46"/>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60" w:type="dxa"/>
            <w:vAlign w:val="bottom"/>
          </w:tcPr>
          <w:p>
            <w:pPr>
              <w:ind w:left="460"/>
              <w:spacing w:after="0"/>
              <w:rPr>
                <w:sz w:val="20"/>
                <w:szCs w:val="20"/>
                <w:color w:val="auto"/>
              </w:rPr>
            </w:pPr>
            <w:r>
              <w:rPr>
                <w:rFonts w:ascii="Arial" w:cs="Arial" w:eastAsia="Arial" w:hAnsi="Arial"/>
                <w:sz w:val="11"/>
                <w:szCs w:val="11"/>
                <w:color w:val="auto"/>
              </w:rPr>
              <w:t>Orit Hipsher</w:t>
            </w: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09"/>
        </w:trPr>
        <w:tc>
          <w:tcPr>
            <w:tcW w:w="116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39"/>
        </w:trPr>
        <w:tc>
          <w:tcPr>
            <w:tcW w:w="20" w:type="dxa"/>
            <w:vAlign w:val="bottom"/>
          </w:tcPr>
          <w:p>
            <w:pPr>
              <w:spacing w:after="0"/>
              <w:rPr>
                <w:sz w:val="12"/>
                <w:szCs w:val="12"/>
                <w:color w:val="auto"/>
              </w:rPr>
            </w:pPr>
          </w:p>
        </w:tc>
        <w:tc>
          <w:tcPr>
            <w:tcW w:w="1140" w:type="dxa"/>
            <w:vAlign w:val="bottom"/>
            <w:tcBorders>
              <w:top w:val="single" w:sz="8" w:color="C0C0C0"/>
            </w:tcBorders>
          </w:tcPr>
          <w:p>
            <w:pPr>
              <w:spacing w:after="0"/>
              <w:rPr>
                <w:sz w:val="20"/>
                <w:szCs w:val="20"/>
                <w:color w:val="auto"/>
              </w:rPr>
            </w:pPr>
            <w:r>
              <w:rPr>
                <w:rFonts w:ascii="Arial" w:cs="Arial" w:eastAsia="Arial" w:hAnsi="Arial"/>
                <w:sz w:val="11"/>
                <w:szCs w:val="11"/>
                <w:color w:val="auto"/>
              </w:rPr>
              <w:t>*Founding Partner</w:t>
            </w:r>
          </w:p>
        </w:tc>
        <w:tc>
          <w:tcPr>
            <w:tcW w:w="1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40" w:type="dxa"/>
            <w:vAlign w:val="bottom"/>
          </w:tcPr>
          <w:p>
            <w:pPr>
              <w:spacing w:after="0"/>
              <w:rPr>
                <w:sz w:val="12"/>
                <w:szCs w:val="12"/>
                <w:color w:val="auto"/>
              </w:rPr>
            </w:pPr>
          </w:p>
        </w:tc>
      </w:tr>
    </w:tbl>
    <w:p>
      <w:pPr>
        <w:spacing w:after="0" w:line="183"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20"/>
          <w:szCs w:val="20"/>
          <w:color w:val="auto"/>
        </w:rPr>
        <w:t>January 5, 2018</w:t>
      </w:r>
    </w:p>
    <w:p>
      <w:pPr>
        <w:spacing w:after="0" w:line="22"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20"/>
          <w:szCs w:val="20"/>
          <w:color w:val="auto"/>
        </w:rPr>
        <w:t>File No: 49050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Entera Bio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Hadassah Medical Center</w:t>
      </w:r>
    </w:p>
    <w:p>
      <w:pPr>
        <w:spacing w:after="0"/>
        <w:rPr>
          <w:sz w:val="20"/>
          <w:szCs w:val="20"/>
          <w:color w:val="auto"/>
        </w:rPr>
      </w:pPr>
      <w:r>
        <w:rPr>
          <w:rFonts w:ascii="Times New Roman" w:cs="Times New Roman" w:eastAsia="Times New Roman" w:hAnsi="Times New Roman"/>
          <w:sz w:val="20"/>
          <w:szCs w:val="20"/>
          <w:color w:val="auto"/>
        </w:rPr>
        <w:t>Kiryat Hadassah</w:t>
      </w:r>
    </w:p>
    <w:p>
      <w:pPr>
        <w:spacing w:after="0"/>
        <w:rPr>
          <w:sz w:val="20"/>
          <w:szCs w:val="20"/>
          <w:color w:val="auto"/>
        </w:rPr>
      </w:pPr>
      <w:r>
        <w:rPr>
          <w:rFonts w:ascii="Times New Roman" w:cs="Times New Roman" w:eastAsia="Times New Roman" w:hAnsi="Times New Roman"/>
          <w:sz w:val="20"/>
          <w:szCs w:val="20"/>
          <w:color w:val="auto"/>
        </w:rPr>
        <w:t>Jerusalem 9112002</w:t>
      </w:r>
    </w:p>
    <w:p>
      <w:pPr>
        <w:spacing w:after="0"/>
        <w:rPr>
          <w:sz w:val="20"/>
          <w:szCs w:val="20"/>
          <w:color w:val="auto"/>
        </w:rPr>
      </w:pPr>
      <w:r>
        <w:rPr>
          <w:rFonts w:ascii="Times New Roman" w:cs="Times New Roman" w:eastAsia="Times New Roman" w:hAnsi="Times New Roman"/>
          <w:sz w:val="20"/>
          <w:szCs w:val="20"/>
          <w:u w:val="single" w:color="auto"/>
          <w:color w:val="auto"/>
        </w:rPr>
        <w:t>Israel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 </w:t>
      </w:r>
      <w:r>
        <w:rPr>
          <w:rFonts w:ascii="Times New Roman" w:cs="Times New Roman" w:eastAsia="Times New Roman" w:hAnsi="Times New Roman"/>
          <w:sz w:val="20"/>
          <w:szCs w:val="20"/>
          <w:b w:val="1"/>
          <w:bCs w:val="1"/>
          <w:u w:val="single" w:color="auto"/>
          <w:color w:val="auto"/>
        </w:rPr>
        <w:t>Registration Statement on Form F-1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have acted as Israeli counsel to Entera Bio Ltd.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 company organized under the laws of the State of Israel, in connection with an underwritten public offering (the “</w:t>
      </w:r>
      <w:r>
        <w:rPr>
          <w:rFonts w:ascii="Times New Roman" w:cs="Times New Roman" w:eastAsia="Times New Roman" w:hAnsi="Times New Roman"/>
          <w:sz w:val="19"/>
          <w:szCs w:val="19"/>
          <w:b w:val="1"/>
          <w:bCs w:val="1"/>
          <w:color w:val="auto"/>
        </w:rPr>
        <w:t>Offering</w:t>
      </w:r>
      <w:r>
        <w:rPr>
          <w:rFonts w:ascii="Times New Roman" w:cs="Times New Roman" w:eastAsia="Times New Roman" w:hAnsi="Times New Roman"/>
          <w:sz w:val="19"/>
          <w:szCs w:val="19"/>
          <w:color w:val="auto"/>
        </w:rPr>
        <w:t>”) contemplating the issuance and sale by the Company of up to 5,750,000 ordinary shares, par value NIS 0.00011173184 per share of the Company (the “</w:t>
      </w:r>
      <w:r>
        <w:rPr>
          <w:rFonts w:ascii="Times New Roman" w:cs="Times New Roman" w:eastAsia="Times New Roman" w:hAnsi="Times New Roman"/>
          <w:sz w:val="19"/>
          <w:szCs w:val="19"/>
          <w:b w:val="1"/>
          <w:bCs w:val="1"/>
          <w:color w:val="auto"/>
        </w:rPr>
        <w:t>Offered Shares</w:t>
      </w:r>
      <w:r>
        <w:rPr>
          <w:rFonts w:ascii="Times New Roman" w:cs="Times New Roman" w:eastAsia="Times New Roman" w:hAnsi="Times New Roman"/>
          <w:sz w:val="19"/>
          <w:szCs w:val="19"/>
          <w:color w:val="auto"/>
        </w:rPr>
        <w:t>”), including ordinary shares issuable upon exercise of an option granted to the Underwriters (as defined below) to purchase additional ordinary shares. In addition, pursuant to the resale prospectus contained in the Registration Statement (as defined below), the Company is registering up to 984,500 shares of ordinary shares (the “</w:t>
      </w:r>
      <w:r>
        <w:rPr>
          <w:rFonts w:ascii="Times New Roman" w:cs="Times New Roman" w:eastAsia="Times New Roman" w:hAnsi="Times New Roman"/>
          <w:sz w:val="19"/>
          <w:szCs w:val="19"/>
          <w:b w:val="1"/>
          <w:bCs w:val="1"/>
          <w:color w:val="auto"/>
        </w:rPr>
        <w:t>Resale Shares</w:t>
      </w:r>
      <w:r>
        <w:rPr>
          <w:rFonts w:ascii="Times New Roman" w:cs="Times New Roman" w:eastAsia="Times New Roman" w:hAnsi="Times New Roman"/>
          <w:sz w:val="19"/>
          <w:szCs w:val="19"/>
          <w:color w:val="auto"/>
        </w:rPr>
        <w:t>”) to be sold by certain shareholders from time to time following the consummation of the Company’s initial public offering.</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connection herewith, we have examined originals or copies of (i) the registration statement on Form F-1, (File No. 333-221472), publicly filed by the Company with the U.S.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on November 9, 2017 (as amended through the date hereof, the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including the prospectus of the Company (the “</w:t>
      </w:r>
      <w:r>
        <w:rPr>
          <w:rFonts w:ascii="Times New Roman" w:cs="Times New Roman" w:eastAsia="Times New Roman" w:hAnsi="Times New Roman"/>
          <w:sz w:val="20"/>
          <w:szCs w:val="20"/>
          <w:b w:val="1"/>
          <w:bCs w:val="1"/>
          <w:color w:val="auto"/>
        </w:rPr>
        <w:t>Prospectus</w:t>
      </w:r>
      <w:r>
        <w:rPr>
          <w:rFonts w:ascii="Times New Roman" w:cs="Times New Roman" w:eastAsia="Times New Roman" w:hAnsi="Times New Roman"/>
          <w:sz w:val="20"/>
          <w:szCs w:val="20"/>
          <w:color w:val="auto"/>
        </w:rPr>
        <w:t>”), with respect to the offering of the Offered Shares included therein, (ii) a copy of the Articles of Association of the Company, as currently in effect, (iii) a draft of the amended and restated Articles of Association of the Company to become effective concurrently with the Offering, (iv) resolutions of the board of directors of the Company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800735</wp:posOffset>
            </wp:positionV>
            <wp:extent cx="724662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132080</wp:posOffset>
            </wp:positionV>
            <wp:extent cx="5574030" cy="2057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7">
                      <a:extLst>
                        <a:ext uri="{28A0092B-C50C-407E-A947-70E740481C1C}"/>
                      </a:extLst>
                    </a:blip>
                    <a:srcRect/>
                    <a:stretch>
                      <a:fillRect/>
                    </a:stretch>
                  </pic:blipFill>
                  <pic:spPr bwMode="auto">
                    <a:xfrm>
                      <a:off x="0" y="0"/>
                      <a:ext cx="5574030" cy="20574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37" w:name="page238"/>
    <w:bookmarkEnd w:id="237"/>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shareholders of the Company, in each case, relating to the Registration Statement, the Prospectus and the actions to be taken in connection with the Offering, (v) the draft Underwriting Agreement </w:t>
      </w:r>
      <w:r>
        <w:rPr>
          <w:rFonts w:ascii="Times New Roman" w:cs="Times New Roman" w:eastAsia="Times New Roman" w:hAnsi="Times New Roman"/>
          <w:sz w:val="17"/>
          <w:szCs w:val="17"/>
          <w:color w:val="auto"/>
        </w:rPr>
        <w:t>to be entered into in connection with the offering</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Underwriting Agreement</w:t>
      </w:r>
      <w:r>
        <w:rPr>
          <w:rFonts w:ascii="Times New Roman" w:cs="Times New Roman" w:eastAsia="Times New Roman" w:hAnsi="Times New Roman"/>
          <w:sz w:val="19"/>
          <w:szCs w:val="19"/>
          <w:color w:val="auto"/>
        </w:rPr>
        <w:t>”), between the Company and Oppenheimer &amp; Co. Inc., as representatives of the several underwriters named therein (collectively, the “</w:t>
      </w:r>
      <w:r>
        <w:rPr>
          <w:rFonts w:ascii="Times New Roman" w:cs="Times New Roman" w:eastAsia="Times New Roman" w:hAnsi="Times New Roman"/>
          <w:sz w:val="19"/>
          <w:szCs w:val="19"/>
          <w:b w:val="1"/>
          <w:bCs w:val="1"/>
          <w:color w:val="auto"/>
        </w:rPr>
        <w:t>Underwriters</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firstLine="8"/>
        <w:spacing w:after="0" w:line="242" w:lineRule="auto"/>
        <w:tabs>
          <w:tab w:leader="none" w:pos="338"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printout of the Israeli Companies Registrar report with respect to the Company, dated November 9, 2017, and (vii) such other documents, corporate records, agreements, certificates and other instruments, and have made inquiries with such officers and representatives of the Company, as we have deemed necessary or advisable for the purpose of rendering this opinion.</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our examination, we have assumed the genuineness of all signatures, the legal capacity of all natural persons executing documents upon which we have relied, the authenticity of all documents submitted to us as originals, the conformity to original documents of all documents submitted to us as certified, photostatic or facsimile copies and the authenticity of the originals of such copies. As to all questions of fact required for rendering this opinion that have not been independently established, we have relied upon certificates or comparable documents of officers and representatives of the Company.</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Based upon and subject to the foregoing, we are of the opinion that (i) upon payment to the Company for the Offered Shares of the consideration per Offered Share in such amount and form as shall be determined by the Board, and subject to the approval of the Board, the Offered Shares, when issued and sold in the Offering as described in the Registration Statement, will be duly authorized, validly issued, fully paid and non-assessable, and (ii) upon the consummation of the Company’s initial public offering, the Resale Shares will be validly issued, fully paid and non-assessable.</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consent to the filing of this opinion as an exhibit to the Registration Statement and to the references to our name under the caption “Legal Matters” in the Prospectus. In giving this consent, we do not thereby admit that we are within the category of persons whose consent is required under Section 7 of the U.S. Securities Act of 1933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the rules and regulations promulgated thereunder or Item 509 of Regulation S-K under the Securities Act.</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opinion expressed herein is limited to Israeli law, and we do not express any opinion as to the laws of any other jurisdiction. In addition, this opinion is limited to the matters stated herein and no opinion is implied or may be inferred beyond the matters expressly stated.</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opinion letter is rendered as of the date hereof and we disclaim any obligation to advise you of facts, circumstances, events or developments that may be brought to our attention after the date hereof that may alter, affect or modify the opinions expressed herein.</w:t>
      </w:r>
    </w:p>
    <w:p>
      <w:pPr>
        <w:spacing w:after="0" w:line="16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151130</wp:posOffset>
            </wp:positionV>
            <wp:extent cx="1895475" cy="2743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8">
                      <a:extLst>
                        <a:ext uri="{28A0092B-C50C-407E-A947-70E740481C1C}"/>
                      </a:extLst>
                    </a:blip>
                    <a:srcRect/>
                    <a:stretch>
                      <a:fillRect/>
                    </a:stretch>
                  </pic:blipFill>
                  <pic:spPr bwMode="auto">
                    <a:xfrm>
                      <a:off x="0" y="0"/>
                      <a:ext cx="18954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Herzog, Fox &amp; Neeman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-139700</wp:posOffset>
            </wp:positionV>
            <wp:extent cx="361886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38" w:name="page239"/>
    <w:bookmarkEnd w:id="238"/>
    <w:p>
      <w:pPr>
        <w:ind w:left="10420"/>
        <w:spacing w:after="0"/>
        <w:rPr>
          <w:sz w:val="20"/>
          <w:szCs w:val="20"/>
          <w:color w:val="auto"/>
        </w:rPr>
      </w:pPr>
      <w:r>
        <w:rPr>
          <w:rFonts w:ascii="Times New Roman" w:cs="Times New Roman" w:eastAsia="Times New Roman" w:hAnsi="Times New Roman"/>
          <w:sz w:val="21"/>
          <w:szCs w:val="21"/>
          <w:b w:val="1"/>
          <w:bCs w:val="1"/>
          <w:color w:val="auto"/>
        </w:rPr>
        <w:t>Exhibit 8.1</w:t>
      </w:r>
    </w:p>
    <w:p>
      <w:pPr>
        <w:spacing w:after="0" w:line="254" w:lineRule="exact"/>
        <w:rPr>
          <w:sz w:val="20"/>
          <w:szCs w:val="20"/>
          <w:color w:val="auto"/>
        </w:rPr>
      </w:pPr>
    </w:p>
    <w:p>
      <w:pPr>
        <w:ind w:left="8000"/>
        <w:spacing w:after="0"/>
        <w:tabs>
          <w:tab w:leader="none" w:pos="9700" w:val="left"/>
        </w:tabs>
        <w:rPr>
          <w:sz w:val="20"/>
          <w:szCs w:val="20"/>
          <w:color w:val="auto"/>
        </w:rPr>
      </w:pPr>
      <w:r>
        <w:rPr>
          <w:rFonts w:ascii="Times New Roman" w:cs="Times New Roman" w:eastAsia="Times New Roman" w:hAnsi="Times New Roman"/>
          <w:sz w:val="18"/>
          <w:szCs w:val="18"/>
          <w:b w:val="1"/>
          <w:bCs w:val="1"/>
          <w:color w:val="auto"/>
        </w:rPr>
        <w:t>New York</w:t>
      </w:r>
      <w:r>
        <w:rPr>
          <w:sz w:val="20"/>
          <w:szCs w:val="20"/>
          <w:color w:val="auto"/>
        </w:rPr>
        <w:tab/>
      </w:r>
      <w:r>
        <w:rPr>
          <w:rFonts w:ascii="Times New Roman" w:cs="Times New Roman" w:eastAsia="Times New Roman" w:hAnsi="Times New Roman"/>
          <w:sz w:val="18"/>
          <w:szCs w:val="18"/>
          <w:b w:val="1"/>
          <w:bCs w:val="1"/>
          <w:color w:val="auto"/>
        </w:rPr>
        <w:t>Paris</w:t>
      </w:r>
    </w:p>
    <w:p>
      <w:pPr>
        <w:spacing w:after="0" w:line="31" w:lineRule="exact"/>
        <w:rPr>
          <w:sz w:val="20"/>
          <w:szCs w:val="20"/>
          <w:color w:val="auto"/>
        </w:rPr>
      </w:pPr>
    </w:p>
    <w:p>
      <w:pPr>
        <w:ind w:left="8000"/>
        <w:spacing w:after="0"/>
        <w:tabs>
          <w:tab w:leader="none" w:pos="9700" w:val="left"/>
        </w:tabs>
        <w:rPr>
          <w:sz w:val="20"/>
          <w:szCs w:val="20"/>
          <w:color w:val="auto"/>
        </w:rPr>
      </w:pPr>
      <w:r>
        <w:rPr>
          <w:rFonts w:ascii="Times New Roman" w:cs="Times New Roman" w:eastAsia="Times New Roman" w:hAnsi="Times New Roman"/>
          <w:sz w:val="18"/>
          <w:szCs w:val="18"/>
          <w:b w:val="1"/>
          <w:bCs w:val="1"/>
          <w:color w:val="auto"/>
        </w:rPr>
        <w:t>Northern California</w:t>
      </w:r>
      <w:r>
        <w:rPr>
          <w:sz w:val="20"/>
          <w:szCs w:val="20"/>
          <w:color w:val="auto"/>
        </w:rPr>
        <w:tab/>
      </w:r>
      <w:r>
        <w:rPr>
          <w:rFonts w:ascii="Times New Roman" w:cs="Times New Roman" w:eastAsia="Times New Roman" w:hAnsi="Times New Roman"/>
          <w:sz w:val="17"/>
          <w:szCs w:val="17"/>
          <w:b w:val="1"/>
          <w:bCs w:val="1"/>
          <w:color w:val="auto"/>
        </w:rPr>
        <w:t>Madrid</w:t>
      </w:r>
    </w:p>
    <w:p>
      <w:pPr>
        <w:spacing w:after="0" w:line="9" w:lineRule="exact"/>
        <w:rPr>
          <w:sz w:val="20"/>
          <w:szCs w:val="20"/>
          <w:color w:val="auto"/>
        </w:rPr>
      </w:pPr>
    </w:p>
    <w:p>
      <w:pPr>
        <w:ind w:left="8000"/>
        <w:spacing w:after="0"/>
        <w:tabs>
          <w:tab w:leader="none" w:pos="9700" w:val="left"/>
        </w:tabs>
        <w:rPr>
          <w:sz w:val="20"/>
          <w:szCs w:val="20"/>
          <w:color w:val="auto"/>
        </w:rPr>
      </w:pPr>
      <w:r>
        <w:rPr>
          <w:rFonts w:ascii="Times New Roman" w:cs="Times New Roman" w:eastAsia="Times New Roman" w:hAnsi="Times New Roman"/>
          <w:sz w:val="18"/>
          <w:szCs w:val="18"/>
          <w:b w:val="1"/>
          <w:bCs w:val="1"/>
          <w:color w:val="auto"/>
        </w:rPr>
        <w:t>Washington DC</w:t>
      </w:r>
      <w:r>
        <w:rPr>
          <w:sz w:val="20"/>
          <w:szCs w:val="20"/>
          <w:color w:val="auto"/>
        </w:rPr>
        <w:tab/>
      </w:r>
      <w:r>
        <w:rPr>
          <w:rFonts w:ascii="Times New Roman" w:cs="Times New Roman" w:eastAsia="Times New Roman" w:hAnsi="Times New Roman"/>
          <w:sz w:val="17"/>
          <w:szCs w:val="17"/>
          <w:b w:val="1"/>
          <w:bCs w:val="1"/>
          <w:color w:val="auto"/>
        </w:rPr>
        <w:t>Tokyo</w:t>
      </w:r>
    </w:p>
    <w:p>
      <w:pPr>
        <w:spacing w:after="0" w:line="9" w:lineRule="exact"/>
        <w:rPr>
          <w:sz w:val="20"/>
          <w:szCs w:val="20"/>
          <w:color w:val="auto"/>
        </w:rPr>
      </w:pPr>
    </w:p>
    <w:p>
      <w:pPr>
        <w:ind w:left="8000"/>
        <w:spacing w:after="0"/>
        <w:tabs>
          <w:tab w:leader="none" w:pos="9700" w:val="left"/>
        </w:tabs>
        <w:rPr>
          <w:sz w:val="20"/>
          <w:szCs w:val="20"/>
          <w:color w:val="auto"/>
        </w:rPr>
      </w:pPr>
      <w:r>
        <w:rPr>
          <w:rFonts w:ascii="Times New Roman" w:cs="Times New Roman" w:eastAsia="Times New Roman" w:hAnsi="Times New Roman"/>
          <w:sz w:val="18"/>
          <w:szCs w:val="18"/>
          <w:b w:val="1"/>
          <w:bCs w:val="1"/>
          <w:color w:val="auto"/>
        </w:rPr>
        <w:t>São Paulo</w:t>
      </w:r>
      <w:r>
        <w:rPr>
          <w:sz w:val="20"/>
          <w:szCs w:val="20"/>
          <w:color w:val="auto"/>
        </w:rPr>
        <w:tab/>
      </w:r>
      <w:r>
        <w:rPr>
          <w:rFonts w:ascii="Times New Roman" w:cs="Times New Roman" w:eastAsia="Times New Roman" w:hAnsi="Times New Roman"/>
          <w:sz w:val="17"/>
          <w:szCs w:val="17"/>
          <w:b w:val="1"/>
          <w:bCs w:val="1"/>
          <w:color w:val="auto"/>
        </w:rPr>
        <w:t>Beijing</w:t>
      </w:r>
    </w:p>
    <w:p>
      <w:pPr>
        <w:spacing w:after="0" w:line="9" w:lineRule="exact"/>
        <w:rPr>
          <w:sz w:val="20"/>
          <w:szCs w:val="20"/>
          <w:color w:val="auto"/>
        </w:rPr>
      </w:pPr>
    </w:p>
    <w:p>
      <w:pPr>
        <w:ind w:left="8000"/>
        <w:spacing w:after="0"/>
        <w:tabs>
          <w:tab w:leader="none" w:pos="9700" w:val="left"/>
        </w:tabs>
        <w:rPr>
          <w:sz w:val="20"/>
          <w:szCs w:val="20"/>
          <w:color w:val="auto"/>
        </w:rPr>
      </w:pPr>
      <w:r>
        <w:rPr>
          <w:rFonts w:ascii="Times New Roman" w:cs="Times New Roman" w:eastAsia="Times New Roman" w:hAnsi="Times New Roman"/>
          <w:sz w:val="18"/>
          <w:szCs w:val="18"/>
          <w:b w:val="1"/>
          <w:bCs w:val="1"/>
          <w:color w:val="auto"/>
        </w:rPr>
        <w:t>London</w:t>
      </w:r>
      <w:r>
        <w:rPr>
          <w:sz w:val="20"/>
          <w:szCs w:val="20"/>
          <w:color w:val="auto"/>
        </w:rPr>
        <w:tab/>
      </w:r>
      <w:r>
        <w:rPr>
          <w:rFonts w:ascii="Times New Roman" w:cs="Times New Roman" w:eastAsia="Times New Roman" w:hAnsi="Times New Roman"/>
          <w:sz w:val="18"/>
          <w:szCs w:val="18"/>
          <w:b w:val="1"/>
          <w:bCs w:val="1"/>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29055" cy="25717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1">
                      <a:extLst>
                        <a:ext uri="{28A0092B-C50C-407E-A947-70E740481C1C}"/>
                      </a:extLst>
                    </a:blip>
                    <a:srcRect/>
                    <a:stretch>
                      <a:fillRect/>
                    </a:stretch>
                  </pic:blipFill>
                  <pic:spPr bwMode="auto">
                    <a:xfrm>
                      <a:off x="0" y="0"/>
                      <a:ext cx="132905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Davis Polk &amp; Wardwell LLP</w:t>
            </w:r>
          </w:p>
        </w:tc>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212 450 4000 tel</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450 Lexington Avenue</w:t>
            </w:r>
          </w:p>
        </w:tc>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212 701 5800 fax</w:t>
            </w: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10017</w:t>
            </w:r>
          </w:p>
        </w:tc>
        <w:tc>
          <w:tcPr>
            <w:tcW w:w="136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5,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Entera Bio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Kiryat Hadassah, Minrav Building – Fifth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Jerusalem, Israel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color w:val="auto"/>
        </w:rPr>
        <w:t>We are acting as United States counsel to Entera Bio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of the Registration Statement on Form F-1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filed with the United States Securities and Exchange Commission (File No. 333-221472) by the Company for the purpose of registering under the United States Securities Act of 1933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the Company’s ordinary shares.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hereby confirm that our opinion as to the material U.S. federal income tax consequences to U.S. Holders of an investment in ordinary shares is set forth in full under the caption “Taxation and Government Programs – Material U.S. Federal Income Tax Considerations for U.S. Holders” in the Prospectus.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are members of the Bar of the State of New York and the foregoing opinion is limited to the laws of the State of New York and the federal laws of the United States.</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hereby consent to the use of our name under the captions “Taxation and Government Programs” and “Legal Matters” in the Prospectus included in the Registration Statement and to the filing, as an exhibit to the Registration, of this letter. In giving this consent we do not admit that we come within the category of persons whose consent is required under Section 7 of the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39" w:name="page240"/>
    <w:bookmarkEnd w:id="239"/>
    <w:tbl>
      <w:tblPr>
        <w:tblLayout w:type="fixed"/>
        <w:tblInd w:w="660" w:type="dxa"/>
        <w:tblCellMar>
          <w:top w:w="0" w:type="dxa"/>
          <w:left w:w="0" w:type="dxa"/>
          <w:bottom w:w="0" w:type="dxa"/>
          <w:right w:w="0" w:type="dxa"/>
        </w:tblCellMar>
      </w:tblPr>
      <w:tr>
        <w:trPr>
          <w:trHeight w:val="262"/>
        </w:trPr>
        <w:tc>
          <w:tcPr>
            <w:tcW w:w="238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tc>
      </w:tr>
      <w:tr>
        <w:trPr>
          <w:trHeight w:val="413"/>
        </w:trPr>
        <w:tc>
          <w:tcPr>
            <w:tcW w:w="2380" w:type="dxa"/>
            <w:vAlign w:val="bottom"/>
          </w:tcPr>
          <w:p>
            <w:pPr>
              <w:spacing w:after="0"/>
              <w:rPr>
                <w:sz w:val="24"/>
                <w:szCs w:val="24"/>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SERIES B PREFERRED SHARE PURCHASE AGREEMENT</w:t>
            </w:r>
          </w:p>
        </w:tc>
        <w:tc>
          <w:tcPr>
            <w:tcW w:w="1500" w:type="dxa"/>
            <w:vAlign w:val="bottom"/>
          </w:tcPr>
          <w:p>
            <w:pPr>
              <w:spacing w:after="0"/>
              <w:rPr>
                <w:sz w:val="24"/>
                <w:szCs w:val="24"/>
                <w:color w:val="auto"/>
              </w:rPr>
            </w:pPr>
          </w:p>
        </w:tc>
      </w:tr>
      <w:tr>
        <w:trPr>
          <w:trHeight w:val="20"/>
        </w:trPr>
        <w:tc>
          <w:tcPr>
            <w:tcW w:w="238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39"/>
        </w:trPr>
        <w:tc>
          <w:tcPr>
            <w:tcW w:w="926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 xml:space="preserve">THIS SERIES B PREFERRED SHARE PURCHASE AGREEMENT </w:t>
            </w:r>
            <w:r>
              <w:rPr>
                <w:rFonts w:ascii="Times New Roman" w:cs="Times New Roman" w:eastAsia="Times New Roman" w:hAnsi="Times New Roman"/>
                <w:sz w:val="20"/>
                <w:szCs w:val="20"/>
                <w:color w:val="auto"/>
              </w:rPr>
              <w:t>(the “Agreement”) is made as of the</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(the</w:t>
            </w:r>
          </w:p>
        </w:tc>
      </w:tr>
      <w:tr>
        <w:trPr>
          <w:trHeight w:val="20"/>
        </w:trPr>
        <w:tc>
          <w:tcPr>
            <w:tcW w:w="2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by and between Entera Bio Ltd., an Israeli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and the Investors whose names are listed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(each, an “</w:t>
      </w:r>
      <w:r>
        <w:rPr>
          <w:rFonts w:ascii="Times New Roman" w:cs="Times New Roman" w:eastAsia="Times New Roman" w:hAnsi="Times New Roman"/>
          <w:sz w:val="20"/>
          <w:szCs w:val="20"/>
          <w:u w:val="single" w:color="auto"/>
          <w:color w:val="auto"/>
        </w:rPr>
        <w:t>Investor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Investors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wish to raise capital from the Investors (the “</w:t>
      </w:r>
      <w:r>
        <w:rPr>
          <w:rFonts w:ascii="Times New Roman" w:cs="Times New Roman" w:eastAsia="Times New Roman" w:hAnsi="Times New Roman"/>
          <w:sz w:val="20"/>
          <w:szCs w:val="20"/>
          <w:u w:val="single" w:color="auto"/>
          <w:color w:val="auto"/>
        </w:rPr>
        <w:t>Financing</w:t>
      </w:r>
      <w:r>
        <w:rPr>
          <w:rFonts w:ascii="Times New Roman" w:cs="Times New Roman" w:eastAsia="Times New Roman" w:hAnsi="Times New Roman"/>
          <w:sz w:val="20"/>
          <w:szCs w:val="20"/>
          <w:color w:val="auto"/>
        </w:rPr>
        <w:t>”) by means of issuance of Series B Preferred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the Company, with par value of NIS 0.01 per share (the “</w:t>
      </w:r>
      <w:r>
        <w:rPr>
          <w:rFonts w:ascii="Times New Roman" w:cs="Times New Roman" w:eastAsia="Times New Roman" w:hAnsi="Times New Roman"/>
          <w:sz w:val="20"/>
          <w:szCs w:val="20"/>
          <w:u w:val="single" w:color="auto"/>
          <w:color w:val="auto"/>
        </w:rPr>
        <w:t>Preferred B Shares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at a price per share of US $908.78 for each </w:t>
      </w:r>
      <w:r>
        <w:rPr>
          <w:rFonts w:ascii="Times New Roman" w:cs="Times New Roman" w:eastAsia="Times New Roman" w:hAnsi="Times New Roman"/>
          <w:sz w:val="20"/>
          <w:szCs w:val="20"/>
          <w:u w:val="single" w:color="auto"/>
          <w:color w:val="auto"/>
        </w:rPr>
        <w:t>Preferred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 Share</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PPS</w:t>
      </w:r>
      <w:r>
        <w:rPr>
          <w:rFonts w:ascii="Times New Roman" w:cs="Times New Roman" w:eastAsia="Times New Roman" w:hAnsi="Times New Roman"/>
          <w:sz w:val="20"/>
          <w:szCs w:val="20"/>
          <w:color w:val="auto"/>
        </w:rPr>
        <w:t>”), for an aggregate purchase price of at least US $10,000,000 (the “Required Investment Amount”) and up to a maximum investment amount of US $23,500,000 (the “</w:t>
      </w:r>
      <w:r>
        <w:rPr>
          <w:rFonts w:ascii="Times New Roman" w:cs="Times New Roman" w:eastAsia="Times New Roman" w:hAnsi="Times New Roman"/>
          <w:sz w:val="20"/>
          <w:szCs w:val="20"/>
          <w:u w:val="single" w:color="auto"/>
          <w:color w:val="auto"/>
        </w:rPr>
        <w:t>Maximum Investment Amount</w:t>
      </w:r>
      <w:r>
        <w:rPr>
          <w:rFonts w:ascii="Times New Roman" w:cs="Times New Roman" w:eastAsia="Times New Roman" w:hAnsi="Times New Roman"/>
          <w:sz w:val="20"/>
          <w:szCs w:val="20"/>
          <w:color w:val="auto"/>
        </w:rPr>
        <w:t xml:space="preserve">”) and up to a maximum of issuance of 25,858 </w:t>
      </w:r>
      <w:r>
        <w:rPr>
          <w:rFonts w:ascii="Times New Roman" w:cs="Times New Roman" w:eastAsia="Times New Roman" w:hAnsi="Times New Roman"/>
          <w:sz w:val="20"/>
          <w:szCs w:val="20"/>
          <w:u w:val="single" w:color="auto"/>
          <w:color w:val="auto"/>
        </w:rPr>
        <w:t>Preferred B Shares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Maximum Purchased Shares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Investors desire to invest in the Company pursuant to the terms and conditions more fully set forth in this Agreement.</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promises and covenants set forth herein, the parties hereby agree as follows.</w:t>
      </w:r>
    </w:p>
    <w:p>
      <w:pPr>
        <w:spacing w:after="0" w:line="229" w:lineRule="exact"/>
        <w:rPr>
          <w:sz w:val="20"/>
          <w:szCs w:val="20"/>
          <w:color w:val="auto"/>
        </w:rPr>
      </w:pPr>
    </w:p>
    <w:p>
      <w:pPr>
        <w:ind w:left="380" w:hanging="372"/>
        <w:spacing w:after="0"/>
        <w:tabs>
          <w:tab w:leader="none" w:pos="380"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The Transactions</w:t>
      </w:r>
    </w:p>
    <w:p>
      <w:pPr>
        <w:spacing w:after="0" w:line="233" w:lineRule="exact"/>
        <w:rPr>
          <w:sz w:val="20"/>
          <w:szCs w:val="20"/>
          <w:color w:val="auto"/>
        </w:rPr>
      </w:pPr>
    </w:p>
    <w:p>
      <w:pPr>
        <w:jc w:val="both"/>
        <w:ind w:firstLine="389"/>
        <w:spacing w:after="0" w:line="243"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Issuance and Purchase of the Preferred B Shares at the Initial Closing</w:t>
      </w:r>
      <w:r>
        <w:rPr>
          <w:rFonts w:ascii="Times New Roman" w:cs="Times New Roman" w:eastAsia="Times New Roman" w:hAnsi="Times New Roman"/>
          <w:sz w:val="20"/>
          <w:szCs w:val="20"/>
          <w:color w:val="auto"/>
        </w:rPr>
        <w:t xml:space="preserve">. Subject to the terms and conditions hereof (including without limitation, the receipt of at least the Required Investment Amount from the Initial Investors(as hereafter defined)), the Company shall issue and sell to Investors purchasing Preferred B Shares at the Initial Closing (the “Initial Investors”), and each of the Initial Investors shall, severally and not jointly, purchase from the Company (each in the amount set out in the Purchase Price column set out opposite each Initial Investor’s name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as may be amended at each of the Deferred Closing (as defined below)) at the Initial Closing (as defined below), the respective number of Preferred B Shares as set forth opposite to each Initial Investor’s name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in consideration for a price per each share equal to the PPS. The aggregate investment amount to be invested by all Initial Investors at the Initial Closing shall be deemed as the “</w:t>
      </w:r>
      <w:r>
        <w:rPr>
          <w:rFonts w:ascii="Times New Roman" w:cs="Times New Roman" w:eastAsia="Times New Roman" w:hAnsi="Times New Roman"/>
          <w:sz w:val="20"/>
          <w:szCs w:val="20"/>
          <w:u w:val="single" w:color="auto"/>
          <w:color w:val="auto"/>
        </w:rPr>
        <w:t>Initial Purchase Price</w:t>
      </w:r>
      <w:r>
        <w:rPr>
          <w:rFonts w:ascii="Times New Roman" w:cs="Times New Roman" w:eastAsia="Times New Roman" w:hAnsi="Times New Roman"/>
          <w:sz w:val="20"/>
          <w:szCs w:val="20"/>
          <w:color w:val="auto"/>
        </w:rPr>
        <w:t>”, and aggregate number of Preferred B Shares to be purchased by all Initial Investors shall be deemed as the “</w:t>
      </w:r>
      <w:r>
        <w:rPr>
          <w:rFonts w:ascii="Times New Roman" w:cs="Times New Roman" w:eastAsia="Times New Roman" w:hAnsi="Times New Roman"/>
          <w:sz w:val="20"/>
          <w:szCs w:val="20"/>
          <w:u w:val="single" w:color="auto"/>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Purchased Shares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389"/>
        <w:spacing w:after="0" w:line="245"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Conversion of the 2016 Convertible Loans at the Initial Closing</w:t>
      </w:r>
      <w:r>
        <w:rPr>
          <w:rFonts w:ascii="Times New Roman" w:cs="Times New Roman" w:eastAsia="Times New Roman" w:hAnsi="Times New Roman"/>
          <w:sz w:val="20"/>
          <w:szCs w:val="20"/>
          <w:color w:val="auto"/>
        </w:rPr>
        <w:t>. Simultaneously with the Initial Closing, the Loan Obligations (as such term is defined in the 2016 CLA) extended to the Company pursuant to those certain Convertible Loan Agreements dated as of June 14, 2016 by the Lenders listed therein (the “</w:t>
      </w:r>
      <w:r>
        <w:rPr>
          <w:rFonts w:ascii="Times New Roman" w:cs="Times New Roman" w:eastAsia="Times New Roman" w:hAnsi="Times New Roman"/>
          <w:sz w:val="20"/>
          <w:szCs w:val="20"/>
          <w:u w:val="single" w:color="auto"/>
          <w:color w:val="auto"/>
        </w:rPr>
        <w:t>2016 CLA</w:t>
      </w:r>
      <w:r>
        <w:rPr>
          <w:rFonts w:ascii="Times New Roman" w:cs="Times New Roman" w:eastAsia="Times New Roman" w:hAnsi="Times New Roman"/>
          <w:sz w:val="20"/>
          <w:szCs w:val="20"/>
          <w:color w:val="auto"/>
        </w:rPr>
        <w:t>”), shall be automatically converted into such number of Series B-1 Preferred Shares of the Company, par value of NIS 0.01 per share (the “</w:t>
      </w:r>
      <w:r>
        <w:rPr>
          <w:rFonts w:ascii="Times New Roman" w:cs="Times New Roman" w:eastAsia="Times New Roman" w:hAnsi="Times New Roman"/>
          <w:sz w:val="20"/>
          <w:szCs w:val="20"/>
          <w:u w:val="single" w:color="auto"/>
          <w:color w:val="auto"/>
        </w:rPr>
        <w:t>Preferred B-1 Shares</w:t>
      </w:r>
      <w:r>
        <w:rPr>
          <w:rFonts w:ascii="Times New Roman" w:cs="Times New Roman" w:eastAsia="Times New Roman" w:hAnsi="Times New Roman"/>
          <w:sz w:val="20"/>
          <w:szCs w:val="20"/>
          <w:color w:val="auto"/>
        </w:rPr>
        <w:t>”, and together with the Preferred B Shares, the “</w:t>
      </w:r>
      <w:r>
        <w:rPr>
          <w:rFonts w:ascii="Times New Roman" w:cs="Times New Roman" w:eastAsia="Times New Roman" w:hAnsi="Times New Roman"/>
          <w:sz w:val="20"/>
          <w:szCs w:val="20"/>
          <w:u w:val="single" w:color="auto"/>
          <w:color w:val="auto"/>
        </w:rPr>
        <w:t>Class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Preferred Shares</w:t>
      </w:r>
      <w:r>
        <w:rPr>
          <w:rFonts w:ascii="Times New Roman" w:cs="Times New Roman" w:eastAsia="Times New Roman" w:hAnsi="Times New Roman"/>
          <w:sz w:val="20"/>
          <w:szCs w:val="20"/>
          <w:color w:val="auto"/>
        </w:rPr>
        <w:t>”), according to the terms and conditions of the 2016 CLA, and subject to tax withholding as required according to applicable tax laws.</w:t>
      </w:r>
    </w:p>
    <w:p>
      <w:pPr>
        <w:spacing w:after="0" w:line="200" w:lineRule="exact"/>
        <w:rPr>
          <w:sz w:val="20"/>
          <w:szCs w:val="20"/>
          <w:color w:val="auto"/>
        </w:rPr>
      </w:pPr>
    </w:p>
    <w:p>
      <w:pPr>
        <w:spacing w:after="0" w:line="233" w:lineRule="exact"/>
        <w:rPr>
          <w:sz w:val="20"/>
          <w:szCs w:val="20"/>
          <w:color w:val="auto"/>
        </w:rPr>
      </w:pPr>
    </w:p>
    <w:p>
      <w:pPr>
        <w:jc w:val="both"/>
        <w:ind w:firstLine="389"/>
        <w:spacing w:after="0" w:line="243"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Issuance and Purchase of Shares at Deferred Closing(s)</w:t>
      </w:r>
      <w:r>
        <w:rPr>
          <w:rFonts w:ascii="Times New Roman" w:cs="Times New Roman" w:eastAsia="Times New Roman" w:hAnsi="Times New Roman"/>
          <w:sz w:val="20"/>
          <w:szCs w:val="20"/>
          <w:color w:val="auto"/>
        </w:rPr>
        <w:t>. Until October 25, 2017, the Company may, at its sole discretion, effect one or more deferred closings (each, a “</w:t>
      </w:r>
      <w:r>
        <w:rPr>
          <w:rFonts w:ascii="Times New Roman" w:cs="Times New Roman" w:eastAsia="Times New Roman" w:hAnsi="Times New Roman"/>
          <w:sz w:val="20"/>
          <w:szCs w:val="20"/>
          <w:u w:val="single" w:color="auto"/>
          <w:color w:val="auto"/>
        </w:rPr>
        <w:t>Deferred Closing</w:t>
      </w:r>
      <w:r>
        <w:rPr>
          <w:rFonts w:ascii="Times New Roman" w:cs="Times New Roman" w:eastAsia="Times New Roman" w:hAnsi="Times New Roman"/>
          <w:sz w:val="20"/>
          <w:szCs w:val="20"/>
          <w:color w:val="auto"/>
        </w:rPr>
        <w:t>”, and together with Initial Closing, the “</w:t>
      </w:r>
      <w:r>
        <w:rPr>
          <w:rFonts w:ascii="Times New Roman" w:cs="Times New Roman" w:eastAsia="Times New Roman" w:hAnsi="Times New Roman"/>
          <w:sz w:val="20"/>
          <w:szCs w:val="20"/>
          <w:u w:val="single" w:color="auto"/>
          <w:color w:val="auto"/>
        </w:rPr>
        <w:t>Closing(s)</w:t>
      </w:r>
      <w:r>
        <w:rPr>
          <w:rFonts w:ascii="Times New Roman" w:cs="Times New Roman" w:eastAsia="Times New Roman" w:hAnsi="Times New Roman"/>
          <w:sz w:val="20"/>
          <w:szCs w:val="20"/>
          <w:color w:val="auto"/>
        </w:rPr>
        <w:t xml:space="preserve">”), on the same terms and conditions as those contained in this Agreement, and issue and allot at such Deferred Closings additional Preferred B Shares (in an amount not to exceed the Maximum Purchased Shares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Initial Purchased Shares) (the “</w:t>
      </w:r>
      <w:r>
        <w:rPr>
          <w:rFonts w:ascii="Times New Roman" w:cs="Times New Roman" w:eastAsia="Times New Roman" w:hAnsi="Times New Roman"/>
          <w:sz w:val="20"/>
          <w:szCs w:val="20"/>
          <w:u w:val="single" w:color="auto"/>
          <w:color w:val="auto"/>
        </w:rPr>
        <w:t>Deferred Closing Shares</w:t>
      </w:r>
      <w:r>
        <w:rPr>
          <w:rFonts w:ascii="Times New Roman" w:cs="Times New Roman" w:eastAsia="Times New Roman" w:hAnsi="Times New Roman"/>
          <w:sz w:val="20"/>
          <w:szCs w:val="20"/>
          <w:color w:val="auto"/>
        </w:rPr>
        <w:t>”) at the PPS, to one or more investors (including to the Lenders of the 2016 CLA according to its terms) (the “</w:t>
      </w:r>
      <w:r>
        <w:rPr>
          <w:rFonts w:ascii="Times New Roman" w:cs="Times New Roman" w:eastAsia="Times New Roman" w:hAnsi="Times New Roman"/>
          <w:sz w:val="20"/>
          <w:szCs w:val="20"/>
          <w:u w:val="single" w:color="auto"/>
          <w:color w:val="auto"/>
        </w:rPr>
        <w:t>Additional Investors</w:t>
      </w:r>
      <w:r>
        <w:rPr>
          <w:rFonts w:ascii="Times New Roman" w:cs="Times New Roman" w:eastAsia="Times New Roman" w:hAnsi="Times New Roman"/>
          <w:sz w:val="20"/>
          <w:szCs w:val="20"/>
          <w:color w:val="auto"/>
        </w:rPr>
        <w:t xml:space="preserve">”, as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as amended at the Deferred Closings, and together with the Initial Investors, the “</w:t>
      </w:r>
      <w:r>
        <w:rPr>
          <w:rFonts w:ascii="Times New Roman" w:cs="Times New Roman" w:eastAsia="Times New Roman" w:hAnsi="Times New Roman"/>
          <w:sz w:val="20"/>
          <w:szCs w:val="20"/>
          <w:u w:val="single" w:color="auto"/>
          <w:color w:val="auto"/>
        </w:rPr>
        <w:t>Investors</w:t>
      </w:r>
      <w:r>
        <w:rPr>
          <w:rFonts w:ascii="Times New Roman" w:cs="Times New Roman" w:eastAsia="Times New Roman" w:hAnsi="Times New Roman"/>
          <w:sz w:val="20"/>
          <w:szCs w:val="20"/>
          <w:color w:val="auto"/>
        </w:rPr>
        <w:t>”). The aggregate investment amount to be invested by all Deferred Investors at the Deferred Closings shall be deemed as the “Deferred Purchase Price” (together with the Initial Purchase Price, the “</w:t>
      </w:r>
      <w:r>
        <w:rPr>
          <w:rFonts w:ascii="Times New Roman" w:cs="Times New Roman" w:eastAsia="Times New Roman" w:hAnsi="Times New Roman"/>
          <w:sz w:val="20"/>
          <w:szCs w:val="20"/>
          <w:u w:val="single" w:color="auto"/>
          <w:color w:val="auto"/>
        </w:rPr>
        <w:t>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Price</w:t>
      </w:r>
      <w:r>
        <w:rPr>
          <w:rFonts w:ascii="Times New Roman" w:cs="Times New Roman" w:eastAsia="Times New Roman" w:hAnsi="Times New Roman"/>
          <w:sz w:val="20"/>
          <w:szCs w:val="20"/>
          <w:color w:val="auto"/>
        </w:rPr>
        <w:t>”), and the aggregate number of Preferred B Shares to be purchased by all Investors at the Deferred Closings shall be deemed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240" w:name="page241"/>
    <w:bookmarkEnd w:id="240"/>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“Deferred Purchased Shares” (together with the Initial Purchased Shares, the “</w:t>
      </w:r>
      <w:r>
        <w:rPr>
          <w:rFonts w:ascii="Times New Roman" w:cs="Times New Roman" w:eastAsia="Times New Roman" w:hAnsi="Times New Roman"/>
          <w:sz w:val="20"/>
          <w:szCs w:val="20"/>
          <w:u w:val="single" w:color="auto"/>
          <w:color w:val="auto"/>
        </w:rPr>
        <w:t>Purchased Shares</w:t>
      </w:r>
      <w:r>
        <w:rPr>
          <w:rFonts w:ascii="Times New Roman" w:cs="Times New Roman" w:eastAsia="Times New Roman" w:hAnsi="Times New Roman"/>
          <w:sz w:val="20"/>
          <w:szCs w:val="20"/>
          <w:color w:val="auto"/>
        </w:rPr>
        <w:t>”). For the avoidance of doubt the Purchase Price shall not exceed the Maximum Investment Amount. Each Deferred Investor shall be required to execute the signature page of this Agreement. Exhibit A will be updated to reflect each Deferred Closing.</w:t>
      </w:r>
    </w:p>
    <w:p>
      <w:pPr>
        <w:spacing w:after="0" w:line="184" w:lineRule="exact"/>
        <w:rPr>
          <w:sz w:val="20"/>
          <w:szCs w:val="20"/>
          <w:color w:val="auto"/>
        </w:rPr>
      </w:pPr>
    </w:p>
    <w:p>
      <w:pPr>
        <w:ind w:left="380" w:hanging="372"/>
        <w:spacing w:after="0"/>
        <w:tabs>
          <w:tab w:leader="none" w:pos="380" w:val="left"/>
        </w:tabs>
        <w:numPr>
          <w:ilvl w:val="0"/>
          <w:numId w:val="1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Initial Closing</w:t>
      </w:r>
    </w:p>
    <w:p>
      <w:pPr>
        <w:spacing w:after="0" w:line="233"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Initial Closing</w:t>
      </w:r>
      <w:r>
        <w:rPr>
          <w:rFonts w:ascii="Times New Roman" w:cs="Times New Roman" w:eastAsia="Times New Roman" w:hAnsi="Times New Roman"/>
          <w:sz w:val="20"/>
          <w:szCs w:val="20"/>
          <w:color w:val="auto"/>
        </w:rPr>
        <w:t>. The transaction set forth in Sections 1.1 and 1.2 above shall take place at such date, time and place as the Company and the Initial Investors holding the majority of the Initial Purchase Price, including the affirmative consent of D.N.A Biomedical Solutions Ltd. (the “</w:t>
      </w:r>
      <w:r>
        <w:rPr>
          <w:rFonts w:ascii="Times New Roman" w:cs="Times New Roman" w:eastAsia="Times New Roman" w:hAnsi="Times New Roman"/>
          <w:sz w:val="20"/>
          <w:szCs w:val="20"/>
          <w:u w:val="single" w:color="auto"/>
          <w:color w:val="auto"/>
        </w:rPr>
        <w:t>Majority Investors</w:t>
      </w:r>
      <w:r>
        <w:rPr>
          <w:rFonts w:ascii="Times New Roman" w:cs="Times New Roman" w:eastAsia="Times New Roman" w:hAnsi="Times New Roman"/>
          <w:sz w:val="20"/>
          <w:szCs w:val="20"/>
          <w:color w:val="auto"/>
        </w:rPr>
        <w:t>”) shall mutually agree (the “</w:t>
      </w:r>
      <w:r>
        <w:rPr>
          <w:rFonts w:ascii="Times New Roman" w:cs="Times New Roman" w:eastAsia="Times New Roman" w:hAnsi="Times New Roman"/>
          <w:sz w:val="20"/>
          <w:szCs w:val="20"/>
          <w:u w:val="single" w:color="auto"/>
          <w:color w:val="auto"/>
        </w:rPr>
        <w:t>Initial Closing</w:t>
      </w:r>
      <w:r>
        <w:rPr>
          <w:rFonts w:ascii="Times New Roman" w:cs="Times New Roman" w:eastAsia="Times New Roman" w:hAnsi="Times New Roman"/>
          <w:sz w:val="20"/>
          <w:szCs w:val="20"/>
          <w:color w:val="auto"/>
        </w:rPr>
        <w:t>”, and the “</w:t>
      </w:r>
      <w:r>
        <w:rPr>
          <w:rFonts w:ascii="Times New Roman" w:cs="Times New Roman" w:eastAsia="Times New Roman" w:hAnsi="Times New Roman"/>
          <w:sz w:val="20"/>
          <w:szCs w:val="20"/>
          <w:u w:val="single" w:color="auto"/>
          <w:color w:val="auto"/>
        </w:rPr>
        <w:t>Initial Closing Date</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Transactions at the Initial Closing</w:t>
      </w:r>
      <w:r>
        <w:rPr>
          <w:rFonts w:ascii="Times New Roman" w:cs="Times New Roman" w:eastAsia="Times New Roman" w:hAnsi="Times New Roman"/>
          <w:sz w:val="20"/>
          <w:szCs w:val="20"/>
          <w:color w:val="auto"/>
        </w:rPr>
        <w:t>. At the Initial Closing, the following transactions shall occur, which transactions shall be deemed to take place simultaneously and no transaction shall be deemed to have been completed or any document delivered until all such transactions have been completed and all required documents delivered:</w:t>
      </w:r>
    </w:p>
    <w:p>
      <w:pPr>
        <w:spacing w:after="0" w:line="188"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19"/>
          <w:szCs w:val="19"/>
          <w:color w:val="auto"/>
        </w:rPr>
        <w:t xml:space="preserve">The Company shall issue the Initial Purchased Shares to the Initial Investors, as provided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hereof.</w:t>
      </w:r>
    </w:p>
    <w:p>
      <w:pPr>
        <w:spacing w:after="0" w:line="229"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0"/>
          <w:szCs w:val="20"/>
          <w:color w:val="auto"/>
        </w:rPr>
        <w:t>2.2.2.</w:t>
      </w:r>
      <w:r>
        <w:rPr>
          <w:sz w:val="20"/>
          <w:szCs w:val="20"/>
          <w:color w:val="auto"/>
        </w:rPr>
        <w:tab/>
      </w:r>
      <w:r>
        <w:rPr>
          <w:rFonts w:ascii="Times New Roman" w:cs="Times New Roman" w:eastAsia="Times New Roman" w:hAnsi="Times New Roman"/>
          <w:sz w:val="20"/>
          <w:szCs w:val="20"/>
          <w:color w:val="auto"/>
        </w:rPr>
        <w:t>The Company shall deliver to the Initial Investors the following documents or cause the following actions to be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completed:</w:t>
      </w:r>
    </w:p>
    <w:p>
      <w:pPr>
        <w:spacing w:after="0" w:line="207" w:lineRule="exact"/>
        <w:rPr>
          <w:sz w:val="20"/>
          <w:szCs w:val="20"/>
          <w:color w:val="auto"/>
        </w:rPr>
      </w:pPr>
    </w:p>
    <w:p>
      <w:pPr>
        <w:jc w:val="both"/>
        <w:ind w:firstLine="2042"/>
        <w:spacing w:after="0" w:line="247" w:lineRule="auto"/>
        <w:rPr>
          <w:sz w:val="20"/>
          <w:szCs w:val="20"/>
          <w:color w:val="auto"/>
        </w:rPr>
      </w:pPr>
      <w:r>
        <w:rPr>
          <w:rFonts w:ascii="Times New Roman" w:cs="Times New Roman" w:eastAsia="Times New Roman" w:hAnsi="Times New Roman"/>
          <w:sz w:val="20"/>
          <w:szCs w:val="20"/>
          <w:color w:val="auto"/>
        </w:rPr>
        <w:t xml:space="preserve">2.2.2.1. Copies of minutes of the Company's shareholders, in the form attached hereto as </w:t>
      </w:r>
      <w:r>
        <w:rPr>
          <w:rFonts w:ascii="Times New Roman" w:cs="Times New Roman" w:eastAsia="Times New Roman" w:hAnsi="Times New Roman"/>
          <w:sz w:val="20"/>
          <w:szCs w:val="20"/>
          <w:u w:val="single" w:color="auto"/>
          <w:color w:val="auto"/>
        </w:rPr>
        <w:t>Schedule 2.2.2.1(A),</w:t>
      </w:r>
      <w:r>
        <w:rPr>
          <w:rFonts w:ascii="Times New Roman" w:cs="Times New Roman" w:eastAsia="Times New Roman" w:hAnsi="Times New Roman"/>
          <w:sz w:val="20"/>
          <w:szCs w:val="20"/>
          <w:color w:val="auto"/>
        </w:rPr>
        <w:t xml:space="preserve"> by which, among other things, (i) the share capital of the Company shall have been modified to create the new series of Class B Preferred Shares and the Existing Articles have been replaced with the Amended and Restated Articles of Association attached hereto as </w:t>
      </w:r>
      <w:r>
        <w:rPr>
          <w:rFonts w:ascii="Times New Roman" w:cs="Times New Roman" w:eastAsia="Times New Roman" w:hAnsi="Times New Roman"/>
          <w:sz w:val="20"/>
          <w:szCs w:val="20"/>
          <w:u w:val="single" w:color="auto"/>
          <w:color w:val="auto"/>
        </w:rPr>
        <w:t>Schedule 2.2.2.1(B)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Amended Articles</w:t>
      </w:r>
      <w:r>
        <w:rPr>
          <w:rFonts w:ascii="Times New Roman" w:cs="Times New Roman" w:eastAsia="Times New Roman" w:hAnsi="Times New Roman"/>
          <w:sz w:val="20"/>
          <w:szCs w:val="20"/>
          <w:color w:val="auto"/>
        </w:rPr>
        <w:t>”), (ii) the shareholders of the Company shall have waived any preemptive in connection with the issuance of the Purchased Shares, and (iii) this Agreement and all other Transaction Documents (as defined below), shall have been approved;</w:t>
      </w:r>
    </w:p>
    <w:p>
      <w:pPr>
        <w:spacing w:after="0" w:line="194" w:lineRule="exact"/>
        <w:rPr>
          <w:sz w:val="20"/>
          <w:szCs w:val="20"/>
          <w:color w:val="auto"/>
        </w:rPr>
      </w:pPr>
    </w:p>
    <w:p>
      <w:pPr>
        <w:jc w:val="both"/>
        <w:ind w:firstLine="2042"/>
        <w:spacing w:after="0" w:line="249" w:lineRule="auto"/>
        <w:rPr>
          <w:sz w:val="20"/>
          <w:szCs w:val="20"/>
          <w:color w:val="auto"/>
        </w:rPr>
      </w:pPr>
      <w:r>
        <w:rPr>
          <w:rFonts w:ascii="Times New Roman" w:cs="Times New Roman" w:eastAsia="Times New Roman" w:hAnsi="Times New Roman"/>
          <w:sz w:val="20"/>
          <w:szCs w:val="20"/>
          <w:color w:val="auto"/>
        </w:rPr>
        <w:t>2.2.2.2. Copies of minutes of the resolutions of the Board of Directors of the Company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xml:space="preserve">”), in the form attached hereto as </w:t>
      </w:r>
      <w:r>
        <w:rPr>
          <w:rFonts w:ascii="Times New Roman" w:cs="Times New Roman" w:eastAsia="Times New Roman" w:hAnsi="Times New Roman"/>
          <w:sz w:val="20"/>
          <w:szCs w:val="20"/>
          <w:u w:val="single" w:color="auto"/>
          <w:color w:val="auto"/>
        </w:rPr>
        <w:t>Schedule 2.2.2.2</w:t>
      </w:r>
      <w:r>
        <w:rPr>
          <w:rFonts w:ascii="Times New Roman" w:cs="Times New Roman" w:eastAsia="Times New Roman" w:hAnsi="Times New Roman"/>
          <w:sz w:val="20"/>
          <w:szCs w:val="20"/>
          <w:color w:val="auto"/>
        </w:rPr>
        <w:t>, by which the Company's Board (i) approves the issuance and the sale of the Initial Purchased Shares to the Initial Investors, (ii) recommends to the Company's shareholders to adopt the Amended Articles, and (iii) approves this Agreement and all other Transaction Documents;</w:t>
      </w:r>
    </w:p>
    <w:p>
      <w:pPr>
        <w:spacing w:after="0" w:line="194" w:lineRule="exact"/>
        <w:rPr>
          <w:sz w:val="20"/>
          <w:szCs w:val="20"/>
          <w:color w:val="auto"/>
        </w:rPr>
      </w:pPr>
    </w:p>
    <w:p>
      <w:pPr>
        <w:jc w:val="both"/>
        <w:ind w:firstLine="2042"/>
        <w:spacing w:after="0" w:line="269" w:lineRule="auto"/>
        <w:rPr>
          <w:sz w:val="20"/>
          <w:szCs w:val="20"/>
          <w:color w:val="auto"/>
        </w:rPr>
      </w:pPr>
      <w:r>
        <w:rPr>
          <w:rFonts w:ascii="Times New Roman" w:cs="Times New Roman" w:eastAsia="Times New Roman" w:hAnsi="Times New Roman"/>
          <w:sz w:val="20"/>
          <w:szCs w:val="20"/>
          <w:color w:val="auto"/>
        </w:rPr>
        <w:t xml:space="preserve">2.2.2.3. Validly executed share certificates representing the Initial Purchased Shares, issued in the names of the Initial Investors, in the form attached hereto as </w:t>
      </w:r>
      <w:r>
        <w:rPr>
          <w:rFonts w:ascii="Times New Roman" w:cs="Times New Roman" w:eastAsia="Times New Roman" w:hAnsi="Times New Roman"/>
          <w:sz w:val="20"/>
          <w:szCs w:val="20"/>
          <w:u w:val="single" w:color="auto"/>
          <w:color w:val="auto"/>
        </w:rPr>
        <w:t>Schedules 2.2.2.3</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2042"/>
        <w:spacing w:after="0" w:line="269" w:lineRule="auto"/>
        <w:rPr>
          <w:sz w:val="20"/>
          <w:szCs w:val="20"/>
          <w:color w:val="auto"/>
        </w:rPr>
      </w:pPr>
      <w:r>
        <w:rPr>
          <w:rFonts w:ascii="Times New Roman" w:cs="Times New Roman" w:eastAsia="Times New Roman" w:hAnsi="Times New Roman"/>
          <w:sz w:val="20"/>
          <w:szCs w:val="20"/>
          <w:color w:val="auto"/>
        </w:rPr>
        <w:t>2.2.2.4. The Company shall register the allotment of the Initial Purchased Shares to the Initial Investors in the Shareholders Register of the Company.</w:t>
      </w:r>
    </w:p>
    <w:p>
      <w:pPr>
        <w:spacing w:after="0" w:line="173" w:lineRule="exact"/>
        <w:rPr>
          <w:sz w:val="20"/>
          <w:szCs w:val="20"/>
          <w:color w:val="auto"/>
        </w:rPr>
      </w:pPr>
    </w:p>
    <w:p>
      <w:pPr>
        <w:jc w:val="both"/>
        <w:ind w:firstLine="1333"/>
        <w:spacing w:after="0" w:line="254" w:lineRule="auto"/>
        <w:rPr>
          <w:sz w:val="20"/>
          <w:szCs w:val="20"/>
          <w:color w:val="auto"/>
        </w:rPr>
      </w:pPr>
      <w:r>
        <w:rPr>
          <w:rFonts w:ascii="Times New Roman" w:cs="Times New Roman" w:eastAsia="Times New Roman" w:hAnsi="Times New Roman"/>
          <w:sz w:val="20"/>
          <w:szCs w:val="20"/>
          <w:color w:val="auto"/>
        </w:rPr>
        <w:t>2.2.3. The Initial Investors shall, severally and not jointly, cause the transfer to the Company of the applicable portions of the Initial Purchase Price in consideration of the Initial Purchased Shares, by wire transfer to the Company’s bank account as designated by the Company in writing prior to the Initial Closing.</w:t>
      </w:r>
    </w:p>
    <w:p>
      <w:pPr>
        <w:spacing w:after="0" w:line="188" w:lineRule="exact"/>
        <w:rPr>
          <w:sz w:val="20"/>
          <w:szCs w:val="20"/>
          <w:color w:val="auto"/>
        </w:rPr>
      </w:pPr>
    </w:p>
    <w:p>
      <w:pPr>
        <w:jc w:val="both"/>
        <w:ind w:firstLine="1333"/>
        <w:spacing w:after="0" w:line="269" w:lineRule="auto"/>
        <w:rPr>
          <w:sz w:val="20"/>
          <w:szCs w:val="20"/>
          <w:color w:val="auto"/>
        </w:rPr>
      </w:pPr>
      <w:r>
        <w:rPr>
          <w:rFonts w:ascii="Times New Roman" w:cs="Times New Roman" w:eastAsia="Times New Roman" w:hAnsi="Times New Roman"/>
          <w:sz w:val="20"/>
          <w:szCs w:val="20"/>
          <w:color w:val="auto"/>
        </w:rPr>
        <w:t xml:space="preserve">2.2.4. The Company and the Initial Investors shall execute and deliver the Investors’ Rights Agreement in the form attached hereto as </w:t>
      </w:r>
      <w:r>
        <w:rPr>
          <w:rFonts w:ascii="Times New Roman" w:cs="Times New Roman" w:eastAsia="Times New Roman" w:hAnsi="Times New Roman"/>
          <w:sz w:val="20"/>
          <w:szCs w:val="20"/>
          <w:u w:val="single" w:color="auto"/>
          <w:color w:val="auto"/>
        </w:rPr>
        <w:t>Schedule 2.2.4</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IRA</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1340"/>
        <w:spacing w:after="0"/>
        <w:tabs>
          <w:tab w:leader="none" w:pos="2020" w:val="left"/>
        </w:tabs>
        <w:rPr>
          <w:sz w:val="20"/>
          <w:szCs w:val="20"/>
          <w:color w:val="auto"/>
        </w:rPr>
      </w:pPr>
      <w:r>
        <w:rPr>
          <w:rFonts w:ascii="Times New Roman" w:cs="Times New Roman" w:eastAsia="Times New Roman" w:hAnsi="Times New Roman"/>
          <w:sz w:val="20"/>
          <w:szCs w:val="20"/>
          <w:color w:val="auto"/>
        </w:rPr>
        <w:t>2.2.5.</w:t>
      </w:r>
      <w:r>
        <w:rPr>
          <w:sz w:val="20"/>
          <w:szCs w:val="20"/>
          <w:color w:val="auto"/>
        </w:rPr>
        <w:tab/>
      </w:r>
      <w:r>
        <w:rPr>
          <w:rFonts w:ascii="Times New Roman" w:cs="Times New Roman" w:eastAsia="Times New Roman" w:hAnsi="Times New Roman"/>
          <w:sz w:val="19"/>
          <w:szCs w:val="19"/>
          <w:color w:val="auto"/>
        </w:rPr>
        <w:t>Each Investor, which is deemed to be an interested party as determined according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1" w:name="page242"/>
    <w:bookmarkEnd w:id="241"/>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to the Israeli Securities law shall execute and deliver to the company undertakings to the National Technological Innovation Authority (formerly the Israeli Office of the Chief Scientist - hereinafter referred to as the "</w:t>
      </w:r>
      <w:r>
        <w:rPr>
          <w:rFonts w:ascii="Times New Roman" w:cs="Times New Roman" w:eastAsia="Times New Roman" w:hAnsi="Times New Roman"/>
          <w:sz w:val="20"/>
          <w:szCs w:val="20"/>
          <w:u w:val="single" w:color="auto"/>
          <w:color w:val="auto"/>
        </w:rPr>
        <w:t>OCS</w:t>
      </w:r>
      <w:r>
        <w:rPr>
          <w:rFonts w:ascii="Times New Roman" w:cs="Times New Roman" w:eastAsia="Times New Roman" w:hAnsi="Times New Roman"/>
          <w:sz w:val="20"/>
          <w:szCs w:val="20"/>
          <w:color w:val="auto"/>
        </w:rPr>
        <w:t xml:space="preserve">"), as required by the provisions of the Encouragement of Research, Development and Technological Innovation in the Industry Law 5744-1984 in the form attached hereto as </w:t>
      </w:r>
      <w:r>
        <w:rPr>
          <w:rFonts w:ascii="Times New Roman" w:cs="Times New Roman" w:eastAsia="Times New Roman" w:hAnsi="Times New Roman"/>
          <w:sz w:val="20"/>
          <w:szCs w:val="20"/>
          <w:u w:val="single" w:color="auto"/>
          <w:color w:val="auto"/>
        </w:rPr>
        <w:t>Schedule 2.2.5</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OCS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Undertakings</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380" w:hanging="372"/>
        <w:spacing w:after="0"/>
        <w:tabs>
          <w:tab w:leader="none" w:pos="380"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Deferred Closing</w:t>
      </w:r>
    </w:p>
    <w:p>
      <w:pPr>
        <w:spacing w:after="0" w:line="233"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Initial Closing</w:t>
      </w:r>
      <w:r>
        <w:rPr>
          <w:rFonts w:ascii="Times New Roman" w:cs="Times New Roman" w:eastAsia="Times New Roman" w:hAnsi="Times New Roman"/>
          <w:sz w:val="20"/>
          <w:szCs w:val="20"/>
          <w:color w:val="auto"/>
        </w:rPr>
        <w:t>. The transaction set forth in Section 1.3 above shall take place at such date, time and place as the Company shall determine at its sole discretion, in the form of one or more installments, provided that the last Deferred Closing shall occur no later than October 25, 2017 (each such Deferred Closing shall occur on a “</w:t>
      </w:r>
      <w:r>
        <w:rPr>
          <w:rFonts w:ascii="Times New Roman" w:cs="Times New Roman" w:eastAsia="Times New Roman" w:hAnsi="Times New Roman"/>
          <w:sz w:val="20"/>
          <w:szCs w:val="20"/>
          <w:u w:val="single" w:color="auto"/>
          <w:color w:val="auto"/>
        </w:rPr>
        <w:t>Deferred Closing Date</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Transactions at the Deferred Closing</w:t>
      </w:r>
      <w:r>
        <w:rPr>
          <w:rFonts w:ascii="Times New Roman" w:cs="Times New Roman" w:eastAsia="Times New Roman" w:hAnsi="Times New Roman"/>
          <w:sz w:val="20"/>
          <w:szCs w:val="20"/>
          <w:color w:val="auto"/>
        </w:rPr>
        <w:t>. At the Deferred Closing, the following transactions shall occur, which transactions shall be deemed to take place simultaneously and no transaction shall be deemed to have been completed or any document delivered until all such transactions have been completed and all required documents delivered:</w:t>
      </w:r>
    </w:p>
    <w:p>
      <w:pPr>
        <w:spacing w:after="0" w:line="188"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19"/>
          <w:szCs w:val="19"/>
          <w:color w:val="auto"/>
        </w:rPr>
        <w:t>Each Deferred Investor shall execute the signature page of this Agreement.</w:t>
      </w:r>
    </w:p>
    <w:p>
      <w:pPr>
        <w:spacing w:after="0" w:line="229"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19"/>
          <w:szCs w:val="19"/>
          <w:color w:val="auto"/>
        </w:rPr>
        <w:t xml:space="preserve">The Company shall issue the Deferred Purchased Shares to the Deferred Investors, as provided in </w:t>
      </w:r>
      <w:r>
        <w:rPr>
          <w:rFonts w:ascii="Times New Roman" w:cs="Times New Roman" w:eastAsia="Times New Roman" w:hAnsi="Times New Roman"/>
          <w:sz w:val="19"/>
          <w:szCs w:val="19"/>
          <w:u w:val="single" w:color="auto"/>
          <w:color w:val="auto"/>
        </w:rPr>
        <w:t>Section 1.3</w:t>
      </w:r>
      <w:r>
        <w:rPr>
          <w:rFonts w:ascii="Times New Roman" w:cs="Times New Roman" w:eastAsia="Times New Roman" w:hAnsi="Times New Roman"/>
          <w:sz w:val="19"/>
          <w:szCs w:val="19"/>
          <w:color w:val="auto"/>
        </w:rPr>
        <w:t xml:space="preserve"> hereof.</w:t>
      </w:r>
    </w:p>
    <w:p>
      <w:pPr>
        <w:spacing w:after="0" w:line="229"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0"/>
          <w:szCs w:val="20"/>
          <w:color w:val="auto"/>
        </w:rPr>
        <w:t>3.2.3. The Company shall deliver to the Deferred Investors validly executed share certificates representing the Deferred Purchased Shares, issued in the names of the Deferred Investors, and shall register the allotment of the Deferred Purchased Shares to the Deferred Investors in the Shareholders Register of the Company.</w:t>
      </w:r>
    </w:p>
    <w:p>
      <w:pPr>
        <w:spacing w:after="0" w:line="188"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0"/>
          <w:szCs w:val="20"/>
          <w:color w:val="auto"/>
        </w:rPr>
        <w:t>3.2.4. The Deferred Investors shall, severally and not jointly, cause the transfer to the Company of the applicable portions of the Deferred Purchase Price in consideration of the Deferred Purchased Shares, by wire transfer to the Company’s bank account as designated by the Company in writing prior to the Deferred Closing.</w:t>
      </w:r>
    </w:p>
    <w:p>
      <w:pPr>
        <w:spacing w:after="0" w:line="188"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0"/>
          <w:szCs w:val="20"/>
          <w:color w:val="auto"/>
        </w:rPr>
        <w:t>3.2.5.</w:t>
      </w:r>
      <w:r>
        <w:rPr>
          <w:sz w:val="20"/>
          <w:szCs w:val="20"/>
          <w:color w:val="auto"/>
        </w:rPr>
        <w:tab/>
      </w:r>
      <w:r>
        <w:rPr>
          <w:rFonts w:ascii="Times New Roman" w:cs="Times New Roman" w:eastAsia="Times New Roman" w:hAnsi="Times New Roman"/>
          <w:sz w:val="19"/>
          <w:szCs w:val="19"/>
          <w:color w:val="auto"/>
        </w:rPr>
        <w:t>The Deferred Investors shall execute and deliver the IRA.</w:t>
      </w:r>
    </w:p>
    <w:p>
      <w:pPr>
        <w:spacing w:after="0" w:line="229" w:lineRule="exact"/>
        <w:rPr>
          <w:sz w:val="20"/>
          <w:szCs w:val="20"/>
          <w:color w:val="auto"/>
        </w:rPr>
      </w:pPr>
    </w:p>
    <w:p>
      <w:pPr>
        <w:jc w:val="both"/>
        <w:ind w:firstLine="1297"/>
        <w:spacing w:after="0" w:line="269" w:lineRule="auto"/>
        <w:rPr>
          <w:sz w:val="20"/>
          <w:szCs w:val="20"/>
          <w:color w:val="auto"/>
        </w:rPr>
      </w:pPr>
      <w:r>
        <w:rPr>
          <w:rFonts w:ascii="Times New Roman" w:cs="Times New Roman" w:eastAsia="Times New Roman" w:hAnsi="Times New Roman"/>
          <w:sz w:val="20"/>
          <w:szCs w:val="20"/>
          <w:color w:val="auto"/>
        </w:rPr>
        <w:t>3.2.6. Each Deferred Investor, which is deemed to be an interested party as determined according to the Israeli Securities law shall execute and deliver to the company the OCS Undertaking.</w:t>
      </w:r>
    </w:p>
    <w:p>
      <w:pPr>
        <w:spacing w:after="0" w:line="169" w:lineRule="exact"/>
        <w:rPr>
          <w:sz w:val="20"/>
          <w:szCs w:val="20"/>
          <w:color w:val="auto"/>
        </w:rPr>
      </w:pPr>
    </w:p>
    <w:p>
      <w:pPr>
        <w:ind w:left="380" w:hanging="372"/>
        <w:spacing w:after="0"/>
        <w:tabs>
          <w:tab w:leader="none" w:pos="38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Representations and Warranties of the Company</w:t>
      </w:r>
    </w:p>
    <w:p>
      <w:pPr>
        <w:spacing w:after="0" w:line="233" w:lineRule="exact"/>
        <w:rPr>
          <w:sz w:val="20"/>
          <w:szCs w:val="20"/>
          <w:color w:val="auto"/>
        </w:rPr>
      </w:pPr>
    </w:p>
    <w:p>
      <w:pPr>
        <w:jc w:val="both"/>
        <w:ind w:firstLine="389"/>
        <w:spacing w:after="0" w:line="243" w:lineRule="auto"/>
        <w:rPr>
          <w:sz w:val="20"/>
          <w:szCs w:val="20"/>
          <w:color w:val="auto"/>
        </w:rPr>
      </w:pPr>
      <w:r>
        <w:rPr>
          <w:rFonts w:ascii="Times New Roman" w:cs="Times New Roman" w:eastAsia="Times New Roman" w:hAnsi="Times New Roman"/>
          <w:sz w:val="20"/>
          <w:szCs w:val="20"/>
          <w:color w:val="auto"/>
        </w:rPr>
        <w:t>The Company hereby represents and warrants to the Investors, that except as set forth on the Disclosure Schedule attached as Exhibit 4 to this Agreement (the “</w:t>
      </w:r>
      <w:r>
        <w:rPr>
          <w:rFonts w:ascii="Times New Roman" w:cs="Times New Roman" w:eastAsia="Times New Roman" w:hAnsi="Times New Roman"/>
          <w:sz w:val="20"/>
          <w:szCs w:val="20"/>
          <w:u w:val="single" w:color="auto"/>
          <w:color w:val="auto"/>
        </w:rPr>
        <w:t>Original Disclosure Schedule</w:t>
      </w:r>
      <w:r>
        <w:rPr>
          <w:rFonts w:ascii="Times New Roman" w:cs="Times New Roman" w:eastAsia="Times New Roman" w:hAnsi="Times New Roman"/>
          <w:sz w:val="20"/>
          <w:szCs w:val="20"/>
          <w:color w:val="auto"/>
        </w:rPr>
        <w:t>”), which exceptions shall be deemed to be part of the of the representations and warranties made hereunder (and which may be amended from time to time), the each of the representations and warranties contained in this Section 4 is true in all material respects as of the date hereof, the Initial Closing Date and the Deferred Closing Dates (or, if a representation or warranty is made as of a specified date, as of such date), provided that the Company may amend and update the Disclosure Schedule (the “</w:t>
      </w:r>
      <w:r>
        <w:rPr>
          <w:rFonts w:ascii="Times New Roman" w:cs="Times New Roman" w:eastAsia="Times New Roman" w:hAnsi="Times New Roman"/>
          <w:sz w:val="20"/>
          <w:szCs w:val="20"/>
          <w:u w:val="single" w:color="auto"/>
          <w:color w:val="auto"/>
        </w:rPr>
        <w:t>Amended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Disclosure Schedule</w:t>
      </w:r>
      <w:r>
        <w:rPr>
          <w:rFonts w:ascii="Times New Roman" w:cs="Times New Roman" w:eastAsia="Times New Roman" w:hAnsi="Times New Roman"/>
          <w:sz w:val="20"/>
          <w:szCs w:val="20"/>
          <w:color w:val="auto"/>
        </w:rPr>
        <w:t>”, and together with the Original Disclosure Schedule, the “</w:t>
      </w:r>
      <w:r>
        <w:rPr>
          <w:rFonts w:ascii="Times New Roman" w:cs="Times New Roman" w:eastAsia="Times New Roman" w:hAnsi="Times New Roman"/>
          <w:sz w:val="20"/>
          <w:szCs w:val="20"/>
          <w:u w:val="single" w:color="auto"/>
          <w:color w:val="auto"/>
        </w:rPr>
        <w:t>Disclosure Schedule</w:t>
      </w:r>
      <w:r>
        <w:rPr>
          <w:rFonts w:ascii="Times New Roman" w:cs="Times New Roman" w:eastAsia="Times New Roman" w:hAnsi="Times New Roman"/>
          <w:sz w:val="20"/>
          <w:szCs w:val="20"/>
          <w:color w:val="auto"/>
        </w:rPr>
        <w:t>”) and provide the Investors with the Amended Disclosure Schedule prior to each Deferred Closing (for avoidance of doubt, each Amended Disclosure Schedule shall be deemed as Disclosure Schedule for all intents and purposes under this Agreement), and acknowledges that the Investors are entering into this Agreement in reliance thereon, as follows.</w:t>
      </w:r>
    </w:p>
    <w:p>
      <w:pPr>
        <w:spacing w:after="0" w:line="200" w:lineRule="exact"/>
        <w:rPr>
          <w:sz w:val="20"/>
          <w:szCs w:val="20"/>
          <w:color w:val="auto"/>
        </w:rPr>
      </w:pPr>
    </w:p>
    <w:p>
      <w:pPr>
        <w:jc w:val="both"/>
        <w:ind w:firstLine="389"/>
        <w:spacing w:after="0" w:line="26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Organization</w:t>
      </w:r>
      <w:r>
        <w:rPr>
          <w:rFonts w:ascii="Times New Roman" w:cs="Times New Roman" w:eastAsia="Times New Roman" w:hAnsi="Times New Roman"/>
          <w:sz w:val="20"/>
          <w:szCs w:val="20"/>
          <w:color w:val="auto"/>
        </w:rPr>
        <w:t>. The Company is duly organized and validly existing under the laws of the State of Israel, and has full corporate power and authority to own, lease and operate its properties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2" w:name="page243"/>
    <w:bookmarkEnd w:id="242"/>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assets and to conduct its business as now being conducted. The Company has all requisite power and authority to execute and deliver the Transaction Documents and to consummate the transactions contemplated hereby and thereby. The Articles of Association of the Company as in effect immediately prior to the Initial Closing (until the adoption of the Amended Articles) are attached hereto as </w:t>
      </w:r>
      <w:r>
        <w:rPr>
          <w:rFonts w:ascii="Times New Roman" w:cs="Times New Roman" w:eastAsia="Times New Roman" w:hAnsi="Times New Roman"/>
          <w:sz w:val="20"/>
          <w:szCs w:val="20"/>
          <w:u w:val="single" w:color="auto"/>
          <w:color w:val="auto"/>
        </w:rPr>
        <w:t>Schedule 4.1</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Existing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Articles</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389"/>
        <w:spacing w:after="0" w:line="269"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The Company has no subsidiaries and does not otherwise own or control, directly or indirectly, any equity interest in any corporation, association or business entity.</w:t>
      </w:r>
    </w:p>
    <w:p>
      <w:pPr>
        <w:spacing w:after="0" w:line="173" w:lineRule="exact"/>
        <w:rPr>
          <w:sz w:val="20"/>
          <w:szCs w:val="20"/>
          <w:color w:val="auto"/>
        </w:rPr>
      </w:pPr>
    </w:p>
    <w:p>
      <w:pPr>
        <w:jc w:val="both"/>
        <w:ind w:firstLine="389"/>
        <w:spacing w:after="0" w:line="243"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Capitalization</w:t>
      </w:r>
      <w:r>
        <w:rPr>
          <w:rFonts w:ascii="Times New Roman" w:cs="Times New Roman" w:eastAsia="Times New Roman" w:hAnsi="Times New Roman"/>
          <w:sz w:val="20"/>
          <w:szCs w:val="20"/>
          <w:color w:val="auto"/>
        </w:rPr>
        <w:t xml:space="preserve">. The capitalization table of the Company attached hereto as </w:t>
      </w:r>
      <w:r>
        <w:rPr>
          <w:rFonts w:ascii="Times New Roman" w:cs="Times New Roman" w:eastAsia="Times New Roman" w:hAnsi="Times New Roman"/>
          <w:sz w:val="20"/>
          <w:szCs w:val="20"/>
          <w:u w:val="single" w:color="auto"/>
          <w:color w:val="auto"/>
        </w:rPr>
        <w:t>Schedule 4.3</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Capitalization Table</w:t>
      </w:r>
      <w:r>
        <w:rPr>
          <w:rFonts w:ascii="Times New Roman" w:cs="Times New Roman" w:eastAsia="Times New Roman" w:hAnsi="Times New Roman"/>
          <w:sz w:val="20"/>
          <w:szCs w:val="20"/>
          <w:color w:val="auto"/>
        </w:rPr>
        <w:t>”), sets forth the number and class of shares held by each shareholder of the Company, the total number of reserved and granted/promised options, warrants to purchase the share capital of the Company immediately prior to and immediately following the Initial Closing. The post-closing Capitalization Table as of the Effective Date reflects an Initial Purchase Price of US $10,000,000, provided however that such Capitalization Table shall be updated upon the Initial Closing to reflect the actual Initial Purchase Price, which in any case shall be at least US $10,000,000. All issued and outstanding share capital of the Company has been duly authorized, and is validly issued and outstanding and fully paid and non-assessable. The Purchased Shares, when issued, sold and delivered in accordance with this Agreement, will be duly authorized, validly issued, fully paid, non-assessable, free of any preemptive rights, will have the rights, preferences, privileges, and restrictions set forth in the Amended Articles, and duly registered in the name of each Investor in the Company's register of shareholders.</w:t>
      </w:r>
    </w:p>
    <w:p>
      <w:pPr>
        <w:spacing w:after="0" w:line="200" w:lineRule="exact"/>
        <w:rPr>
          <w:sz w:val="20"/>
          <w:szCs w:val="20"/>
          <w:color w:val="auto"/>
        </w:rPr>
      </w:pPr>
    </w:p>
    <w:p>
      <w:pPr>
        <w:jc w:val="both"/>
        <w:ind w:firstLine="389"/>
        <w:spacing w:after="0" w:line="257"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Authorization; Approvals</w:t>
      </w:r>
      <w:r>
        <w:rPr>
          <w:rFonts w:ascii="Times New Roman" w:cs="Times New Roman" w:eastAsia="Times New Roman" w:hAnsi="Times New Roman"/>
          <w:sz w:val="19"/>
          <w:szCs w:val="19"/>
          <w:color w:val="auto"/>
        </w:rPr>
        <w:t>. All corporate action on the part of the Company necessary for the authorization, execution, delivery, and performance of all of the Company's obligations under this Agreement and any and all other agreements executed or documents delivered in connection herewith or therewith (collectively, the “</w:t>
      </w:r>
      <w:r>
        <w:rPr>
          <w:rFonts w:ascii="Times New Roman" w:cs="Times New Roman" w:eastAsia="Times New Roman" w:hAnsi="Times New Roman"/>
          <w:sz w:val="19"/>
          <w:szCs w:val="19"/>
          <w:u w:val="single" w:color="auto"/>
          <w:color w:val="auto"/>
        </w:rPr>
        <w:t>Transaction Documents</w:t>
      </w:r>
      <w:r>
        <w:rPr>
          <w:rFonts w:ascii="Times New Roman" w:cs="Times New Roman" w:eastAsia="Times New Roman" w:hAnsi="Times New Roman"/>
          <w:sz w:val="19"/>
          <w:szCs w:val="19"/>
          <w:color w:val="auto"/>
        </w:rPr>
        <w:t>”), and for the authorization, issuance, and sale of the Purchased Shares being sold under this Agreement has been (or will be) taken prior to the Initial Closing. The Transaction Documents, when executed and delivered by or on behalf of the Company shall constitute the valid and legally binding obligations of the Company and legally enforceable against the Company in accordance with their respective terms. Other than the execution of undertakings to the OCS by certain Investors, if required by law, no consent, approval, order, license, permit, action by, or authorization of or designation, declaration, or filing with any governmental authority on the part of the Company is required that has not been, or will not have been, obtained by the Company prior to the Initial Closing in connection with the valid execution, delivery and performance of the Transaction Documents or the offer, sale, or issuance of the Preferred Series B Shares other than filings with the Israeli Registrar of Companies to be effected following the Initial Closing.</w:t>
      </w:r>
    </w:p>
    <w:p>
      <w:pPr>
        <w:spacing w:after="0" w:line="186" w:lineRule="exact"/>
        <w:rPr>
          <w:sz w:val="20"/>
          <w:szCs w:val="20"/>
          <w:color w:val="auto"/>
        </w:rPr>
      </w:pPr>
    </w:p>
    <w:p>
      <w:pPr>
        <w:jc w:val="both"/>
        <w:ind w:firstLine="389"/>
        <w:spacing w:after="0" w:line="249"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No Breach</w:t>
      </w:r>
      <w:r>
        <w:rPr>
          <w:rFonts w:ascii="Times New Roman" w:cs="Times New Roman" w:eastAsia="Times New Roman" w:hAnsi="Times New Roman"/>
          <w:sz w:val="20"/>
          <w:szCs w:val="20"/>
          <w:color w:val="auto"/>
        </w:rPr>
        <w:t>. Neither the execution and delivery of any of the Transaction Documents nor compliance by the Company with the terms and provisions thereof, will conflict with, or result in a breach or violation of, any of the terms, conditions and provisions of: (i) the Existing Articles, (ii) any judgment, order, injunction, decree, or ruling of any court or governmental authority, domestic or foreign, (iii) any material agreement to which the Company is a party or to which it is subject, or (iv) applicable law.</w:t>
      </w:r>
    </w:p>
    <w:p>
      <w:pPr>
        <w:spacing w:after="0" w:line="194"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To the knowledge of the Company, no action, suit, litigation, proceeding or audit, nor an examination of any governmental entity of which the Company was notified, nor any governmental inquiry or investigation is pending or, to the knowledge of the Company, threatened against the Company, before any court, arbitration board or tribunal or administrative or other governmental agency.</w:t>
      </w:r>
    </w:p>
    <w:p>
      <w:pPr>
        <w:spacing w:after="0" w:line="188" w:lineRule="exact"/>
        <w:rPr>
          <w:sz w:val="20"/>
          <w:szCs w:val="20"/>
          <w:color w:val="auto"/>
        </w:rPr>
      </w:pPr>
    </w:p>
    <w:p>
      <w:pPr>
        <w:jc w:val="both"/>
        <w:ind w:firstLine="389"/>
        <w:spacing w:after="0" w:line="269"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Government Funding</w:t>
      </w:r>
      <w:r>
        <w:rPr>
          <w:rFonts w:ascii="Times New Roman" w:cs="Times New Roman" w:eastAsia="Times New Roman" w:hAnsi="Times New Roman"/>
          <w:sz w:val="20"/>
          <w:szCs w:val="20"/>
          <w:color w:val="auto"/>
        </w:rPr>
        <w:t>. Other than a grant of approximately US $450,000 from the OCS, the Company has not received any grant or other support or benefits (including, without limitation, tax benefits) from any Israeli or foreign government entity or agency.</w:t>
      </w:r>
    </w:p>
    <w:p>
      <w:pPr>
        <w:spacing w:after="0" w:line="173" w:lineRule="exact"/>
        <w:rPr>
          <w:sz w:val="20"/>
          <w:szCs w:val="20"/>
          <w:color w:val="auto"/>
        </w:rPr>
      </w:pPr>
    </w:p>
    <w:p>
      <w:pPr>
        <w:ind w:left="400"/>
        <w:spacing w:after="0"/>
        <w:tabs>
          <w:tab w:leader="none" w:pos="122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19"/>
          <w:szCs w:val="19"/>
          <w:u w:val="single" w:color="auto"/>
          <w:color w:val="auto"/>
        </w:rPr>
        <w:t>Limitation of Liability</w:t>
      </w:r>
      <w:r>
        <w:rPr>
          <w:rFonts w:ascii="Times New Roman" w:cs="Times New Roman" w:eastAsia="Times New Roman" w:hAnsi="Times New Roman"/>
          <w:sz w:val="19"/>
          <w:szCs w:val="19"/>
          <w:color w:val="auto"/>
        </w:rPr>
        <w:t>. Each representation made herein by the Company is deemed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43" w:name="page244"/>
    <w:bookmarkEnd w:id="243"/>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made on the date of the Initial Closing and shall survive and remain in full force and effect after the Initial Closing for a period of one (1) year from the Initial Closing Date. The Company’s liabilities towards each Investor in connection with the Company’s representations and warranties shall be limited to the amount invested by such Investor hereunder. Notwithstanding the above, no claim or claims under this Section 1.1 shall be brought, unless the aggregate amount of such claim(s) shall exceed US $100,000, provided that in case of a claim or claims in excess of the aforesaid threshold, the claim will apply for the entire amount (i.e., from the first dollar).</w:t>
      </w:r>
    </w:p>
    <w:p>
      <w:pPr>
        <w:spacing w:after="0" w:line="194" w:lineRule="exact"/>
        <w:rPr>
          <w:sz w:val="20"/>
          <w:szCs w:val="20"/>
          <w:color w:val="auto"/>
        </w:rPr>
      </w:pPr>
    </w:p>
    <w:p>
      <w:pPr>
        <w:jc w:val="both"/>
        <w:ind w:firstLine="389"/>
        <w:spacing w:after="0" w:line="269" w:lineRule="auto"/>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auto"/>
        </w:rPr>
        <w:t>Additional Representations and Warranties</w:t>
      </w:r>
      <w:r>
        <w:rPr>
          <w:rFonts w:ascii="Times New Roman" w:cs="Times New Roman" w:eastAsia="Times New Roman" w:hAnsi="Times New Roman"/>
          <w:sz w:val="20"/>
          <w:szCs w:val="20"/>
          <w:color w:val="auto"/>
        </w:rPr>
        <w:t>. The Company hereby represents and warrants to the Investors the additional representations set forth in Exhibit 4.9 to this Agreement.</w:t>
      </w:r>
    </w:p>
    <w:p>
      <w:pPr>
        <w:spacing w:after="0" w:line="169" w:lineRule="exact"/>
        <w:rPr>
          <w:sz w:val="20"/>
          <w:szCs w:val="20"/>
          <w:color w:val="auto"/>
        </w:rPr>
      </w:pPr>
    </w:p>
    <w:p>
      <w:pPr>
        <w:ind w:left="380" w:hanging="372"/>
        <w:spacing w:after="0"/>
        <w:tabs>
          <w:tab w:leader="none" w:pos="380"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Representations and Warranties of the Investors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Investor hereby represents and warrants, severally and not jointly, as of the Initial Closing Date, to the Company as follows:</w:t>
      </w:r>
    </w:p>
    <w:p>
      <w:pPr>
        <w:spacing w:after="0" w:line="229" w:lineRule="exact"/>
        <w:rPr>
          <w:sz w:val="20"/>
          <w:szCs w:val="20"/>
          <w:color w:val="auto"/>
        </w:rPr>
      </w:pPr>
    </w:p>
    <w:p>
      <w:pPr>
        <w:jc w:val="both"/>
        <w:ind w:firstLine="389"/>
        <w:spacing w:after="0" w:line="247"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Experience; Speculative Nature of Investment</w:t>
      </w:r>
      <w:r>
        <w:rPr>
          <w:rFonts w:ascii="Times New Roman" w:cs="Times New Roman" w:eastAsia="Times New Roman" w:hAnsi="Times New Roman"/>
          <w:sz w:val="20"/>
          <w:szCs w:val="20"/>
          <w:color w:val="auto"/>
        </w:rPr>
        <w:t>. The Investor has experience in evaluating and investing in private placement transactions of securities in companies similar to the Company so that it is capable of evaluating the merits and risks of its investment in the Company and has the capacity to protect its own interests. Such Investor further acknowledges that this Agreement and the issuance of the Purchased Shares hereunder do not constitute a promise or guaranty by the Company or its shareholders or directors as to the financial or commercial success of the Company or the future value of its shares.</w:t>
      </w:r>
    </w:p>
    <w:p>
      <w:pPr>
        <w:spacing w:after="0" w:line="194" w:lineRule="exact"/>
        <w:rPr>
          <w:sz w:val="20"/>
          <w:szCs w:val="20"/>
          <w:color w:val="auto"/>
        </w:rPr>
      </w:pPr>
    </w:p>
    <w:p>
      <w:pPr>
        <w:jc w:val="both"/>
        <w:ind w:firstLine="389"/>
        <w:spacing w:after="0" w:line="249"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Such Investor is acquiring the Purchased Shares for investment for its own account, not as a nominee or agent, and not with the view to, or for resale in connection with, any distribution thereof, and such Investor has no present intention of selling, granting any participation in, or otherwise distributing the same, in each case, unless otherwise agreed in writing prior to or on the Effective Date by the Company and the Investor.</w:t>
      </w:r>
    </w:p>
    <w:p>
      <w:pPr>
        <w:spacing w:after="0" w:line="194"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The Transaction Documents, when executed and delivered by such Investor, will constitute valid and legally binding obligations of the Investor, enforceable in accordance with their terms, subject to laws of general application relating to bankruptcy, insolvency and the relief of debtors and rules of law governing specific performance, injunctive relief or other equitable remedies.</w:t>
      </w:r>
    </w:p>
    <w:p>
      <w:pPr>
        <w:spacing w:after="0" w:line="188" w:lineRule="exact"/>
        <w:rPr>
          <w:sz w:val="20"/>
          <w:szCs w:val="20"/>
          <w:color w:val="auto"/>
        </w:rPr>
      </w:pPr>
    </w:p>
    <w:p>
      <w:pPr>
        <w:jc w:val="both"/>
        <w:ind w:firstLine="389"/>
        <w:spacing w:after="0" w:line="269"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Authorization</w:t>
      </w:r>
      <w:r>
        <w:rPr>
          <w:rFonts w:ascii="Times New Roman" w:cs="Times New Roman" w:eastAsia="Times New Roman" w:hAnsi="Times New Roman"/>
          <w:sz w:val="20"/>
          <w:szCs w:val="20"/>
          <w:color w:val="auto"/>
        </w:rPr>
        <w:t>. The execution, delivery and performance of the obligations of such Investor hereunder have been duly authorized by all necessary corporate action.</w:t>
      </w:r>
    </w:p>
    <w:p>
      <w:pPr>
        <w:spacing w:after="0" w:line="173"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Due Diligence</w:t>
      </w:r>
      <w:r>
        <w:rPr>
          <w:rFonts w:ascii="Times New Roman" w:cs="Times New Roman" w:eastAsia="Times New Roman" w:hAnsi="Times New Roman"/>
          <w:sz w:val="20"/>
          <w:szCs w:val="20"/>
          <w:color w:val="auto"/>
        </w:rPr>
        <w:t>. The Investor has had an opportunity to ask the Company questions regarding the business, properties, prospects and financial condition of the Company. The Investor acknowledges that any projections provided (if any) by the Company are uncertain in nature, and that some or all of the assumptions underlying such projections may not materialize or will vary significantly from actual results</w:t>
      </w:r>
    </w:p>
    <w:p>
      <w:pPr>
        <w:spacing w:after="0" w:line="188" w:lineRule="exact"/>
        <w:rPr>
          <w:sz w:val="20"/>
          <w:szCs w:val="20"/>
          <w:color w:val="auto"/>
        </w:rPr>
      </w:pPr>
    </w:p>
    <w:p>
      <w:pPr>
        <w:jc w:val="both"/>
        <w:ind w:firstLine="389"/>
        <w:spacing w:after="0" w:line="269"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The Investor is an “accredited investor” within the meaning of Rule 501 under the Securities Act of 1933, as amended, and the rules and regulations promulgated thereunder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383"/>
        <w:spacing w:after="0" w:line="245"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Restricted Securities</w:t>
      </w:r>
      <w:r>
        <w:rPr>
          <w:rFonts w:ascii="Times New Roman" w:cs="Times New Roman" w:eastAsia="Times New Roman" w:hAnsi="Times New Roman"/>
          <w:sz w:val="20"/>
          <w:szCs w:val="20"/>
          <w:color w:val="auto"/>
        </w:rPr>
        <w:t>. The Purchased Shares have not been and will not be registered under the Securities Act or any state securities laws and, therefore, cannot be resold unless they are registered under the Securities Act and applicable state securities laws or unless an exemption from such registration requirements is available. Each Investor is aware that, except as set forth in the IRA, the Company is under no obligation to effect any such registration or to file for or comply with any exemption from registration. The sale and issuance of the Purchased Shares have not been registered under the Securities Act by reason of a specific exemption from registration which depends upon, 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24662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4" w:name="page245"/>
    <w:bookmarkEnd w:id="244"/>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things, the accuracy of the Investor’s representations as expressed herein.</w:t>
      </w:r>
    </w:p>
    <w:p>
      <w:pPr>
        <w:spacing w:after="0" w:line="229" w:lineRule="exact"/>
        <w:rPr>
          <w:sz w:val="20"/>
          <w:szCs w:val="20"/>
          <w:color w:val="auto"/>
        </w:rPr>
      </w:pPr>
    </w:p>
    <w:p>
      <w:pPr>
        <w:jc w:val="both"/>
        <w:ind w:firstLine="389"/>
        <w:spacing w:after="0" w:line="269" w:lineRule="auto"/>
        <w:rPr>
          <w:sz w:val="20"/>
          <w:szCs w:val="20"/>
          <w:color w:val="auto"/>
        </w:rPr>
      </w:pPr>
      <w:r>
        <w:rPr>
          <w:rFonts w:ascii="Times New Roman" w:cs="Times New Roman" w:eastAsia="Times New Roman" w:hAnsi="Times New Roman"/>
          <w:sz w:val="20"/>
          <w:szCs w:val="20"/>
          <w:color w:val="auto"/>
        </w:rPr>
        <w:t>5.8. The Investor understands that the Purchased Shares and any securities issued in respect of or exchange for the Purchased Shares, may be notated with one or all of the following legends:</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SHARES REPRESENTED HEREBY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w:t>
      </w:r>
    </w:p>
    <w:p>
      <w:pPr>
        <w:spacing w:after="0" w:line="194" w:lineRule="exact"/>
        <w:rPr>
          <w:sz w:val="20"/>
          <w:szCs w:val="20"/>
          <w:color w:val="auto"/>
        </w:rPr>
      </w:pPr>
    </w:p>
    <w:p>
      <w:pPr>
        <w:ind w:left="1260" w:hanging="863"/>
        <w:spacing w:after="0"/>
        <w:tabs>
          <w:tab w:leader="none" w:pos="1260"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legend set forth in, or required by, the other Transaction Agreements.</w:t>
      </w:r>
    </w:p>
    <w:p>
      <w:pPr>
        <w:spacing w:after="0" w:line="215" w:lineRule="exact"/>
        <w:rPr>
          <w:rFonts w:ascii="Times New Roman" w:cs="Times New Roman" w:eastAsia="Times New Roman" w:hAnsi="Times New Roman"/>
          <w:sz w:val="20"/>
          <w:szCs w:val="20"/>
          <w:color w:val="auto"/>
        </w:rPr>
      </w:pPr>
    </w:p>
    <w:p>
      <w:pPr>
        <w:ind w:right="20" w:firstLine="397"/>
        <w:spacing w:after="0" w:line="269" w:lineRule="auto"/>
        <w:tabs>
          <w:tab w:leader="none" w:pos="1308"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legend required by the securities laws of any state to the extent such laws are applicable to the Shares represented by the certificate, instrument, or book entry so legended.</w:t>
      </w:r>
    </w:p>
    <w:p>
      <w:pPr>
        <w:spacing w:after="0" w:line="169"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Conditions of Closing of the Investors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obligations of the Investors to transfer the applicable Purchase Price at each of the Initial and Deferred Closings, as applicable, are subject to the fulfillment at or before the applicable Closings of the following conditions precedent, any one or more of which may be waived in whole or in part by the Investors, which waiver shall be at the sole discretion of the Majority Investors in the event of the Initial Closing, or the investors holding the majority of the Purchase Price of each Deferred Closing, as applicable:</w:t>
      </w:r>
    </w:p>
    <w:p>
      <w:pPr>
        <w:spacing w:after="0" w:line="194" w:lineRule="exact"/>
        <w:rPr>
          <w:sz w:val="20"/>
          <w:szCs w:val="20"/>
          <w:color w:val="auto"/>
        </w:rPr>
      </w:pPr>
    </w:p>
    <w:p>
      <w:pPr>
        <w:jc w:val="both"/>
        <w:ind w:right="20" w:firstLine="389"/>
        <w:spacing w:after="0" w:line="269" w:lineRule="auto"/>
        <w:rPr>
          <w:sz w:val="20"/>
          <w:szCs w:val="20"/>
          <w:color w:val="auto"/>
        </w:rPr>
      </w:pPr>
      <w:r>
        <w:rPr>
          <w:rFonts w:ascii="Times New Roman" w:cs="Times New Roman" w:eastAsia="Times New Roman" w:hAnsi="Times New Roman"/>
          <w:sz w:val="20"/>
          <w:szCs w:val="20"/>
          <w:color w:val="auto"/>
        </w:rPr>
        <w:t>6.1. The representations and warranties made by the Company in this Agreement shall have been true and correct when made, and shall be true and correct as of the applicable Closing as if made on the date of the applicable Closing.</w:t>
      </w:r>
    </w:p>
    <w:p>
      <w:pPr>
        <w:spacing w:after="0" w:line="173"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20"/>
          <w:szCs w:val="20"/>
          <w:color w:val="auto"/>
        </w:rPr>
        <w:t>6.2. All covenants, agreements, and conditions (including all corporate proceedings) contained in this Agreement to be performed or complied with by the Company prior to the applicable Closing shall have been performed or complied with by the Company prior to or at the applicable Closing.</w:t>
      </w:r>
    </w:p>
    <w:p>
      <w:pPr>
        <w:spacing w:after="0" w:line="188" w:lineRule="exact"/>
        <w:rPr>
          <w:sz w:val="20"/>
          <w:szCs w:val="20"/>
          <w:color w:val="auto"/>
        </w:rPr>
      </w:pPr>
    </w:p>
    <w:p>
      <w:pPr>
        <w:jc w:val="both"/>
        <w:ind w:firstLine="389"/>
        <w:spacing w:after="0" w:line="269" w:lineRule="auto"/>
        <w:rPr>
          <w:sz w:val="20"/>
          <w:szCs w:val="20"/>
          <w:color w:val="auto"/>
        </w:rPr>
      </w:pPr>
      <w:r>
        <w:rPr>
          <w:rFonts w:ascii="Times New Roman" w:cs="Times New Roman" w:eastAsia="Times New Roman" w:hAnsi="Times New Roman"/>
          <w:sz w:val="20"/>
          <w:szCs w:val="20"/>
          <w:color w:val="auto"/>
        </w:rPr>
        <w:t>6.3. The Company shall have secured all permits, consents and authorizations that shall be necessary or required lawfully to consummate this Agreement, if any, and to issue the applicable Purchased Shares at the applicable Closing.</w:t>
      </w:r>
    </w:p>
    <w:p>
      <w:pPr>
        <w:spacing w:after="0" w:line="173" w:lineRule="exact"/>
        <w:rPr>
          <w:sz w:val="20"/>
          <w:szCs w:val="20"/>
          <w:color w:val="auto"/>
        </w:rPr>
      </w:pPr>
    </w:p>
    <w:p>
      <w:pPr>
        <w:jc w:val="both"/>
        <w:ind w:firstLine="389"/>
        <w:spacing w:after="0" w:line="269" w:lineRule="auto"/>
        <w:rPr>
          <w:sz w:val="20"/>
          <w:szCs w:val="20"/>
          <w:color w:val="auto"/>
        </w:rPr>
      </w:pPr>
      <w:r>
        <w:rPr>
          <w:rFonts w:ascii="Times New Roman" w:cs="Times New Roman" w:eastAsia="Times New Roman" w:hAnsi="Times New Roman"/>
          <w:sz w:val="20"/>
          <w:szCs w:val="20"/>
          <w:color w:val="auto"/>
        </w:rPr>
        <w:t xml:space="preserve">6.4. All of the documents to be delivered by the Company pursuant to </w:t>
      </w:r>
      <w:r>
        <w:rPr>
          <w:rFonts w:ascii="Times New Roman" w:cs="Times New Roman" w:eastAsia="Times New Roman" w:hAnsi="Times New Roman"/>
          <w:sz w:val="20"/>
          <w:szCs w:val="20"/>
          <w:u w:val="single" w:color="auto"/>
          <w:color w:val="auto"/>
        </w:rPr>
        <w:t>Sections 2.2 or 3.2</w:t>
      </w:r>
      <w:r>
        <w:rPr>
          <w:rFonts w:ascii="Times New Roman" w:cs="Times New Roman" w:eastAsia="Times New Roman" w:hAnsi="Times New Roman"/>
          <w:sz w:val="20"/>
          <w:szCs w:val="20"/>
          <w:color w:val="auto"/>
        </w:rPr>
        <w:t>, as applicable, shall have been delivered to the Investors.</w:t>
      </w:r>
    </w:p>
    <w:p>
      <w:pPr>
        <w:spacing w:after="0" w:line="169" w:lineRule="exact"/>
        <w:rPr>
          <w:sz w:val="20"/>
          <w:szCs w:val="20"/>
          <w:color w:val="auto"/>
        </w:rPr>
      </w:pPr>
    </w:p>
    <w:p>
      <w:pPr>
        <w:ind w:left="380" w:hanging="372"/>
        <w:spacing w:after="0"/>
        <w:tabs>
          <w:tab w:leader="none" w:pos="38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Conditions of Closing of the Company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obligations at each of the Initial and Deferred Closings shall be subject to:</w:t>
      </w:r>
    </w:p>
    <w:p>
      <w:pPr>
        <w:spacing w:after="0" w:line="229" w:lineRule="exact"/>
        <w:rPr>
          <w:sz w:val="20"/>
          <w:szCs w:val="20"/>
          <w:color w:val="auto"/>
        </w:rPr>
      </w:pPr>
    </w:p>
    <w:p>
      <w:pPr>
        <w:ind w:left="400"/>
        <w:spacing w:after="0"/>
        <w:tabs>
          <w:tab w:leader="none" w:pos="122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color w:val="auto"/>
        </w:rPr>
        <w:t>The Investors causing the transfer to the Company of the applicable Purchase Price for the applicable Purchased Shares.</w:t>
      </w:r>
    </w:p>
    <w:p>
      <w:pPr>
        <w:spacing w:after="0" w:line="229" w:lineRule="exact"/>
        <w:rPr>
          <w:sz w:val="20"/>
          <w:szCs w:val="20"/>
          <w:color w:val="auto"/>
        </w:rPr>
      </w:pPr>
    </w:p>
    <w:p>
      <w:pPr>
        <w:ind w:firstLine="389"/>
        <w:spacing w:after="0" w:line="269" w:lineRule="auto"/>
        <w:rPr>
          <w:sz w:val="20"/>
          <w:szCs w:val="20"/>
          <w:color w:val="auto"/>
        </w:rPr>
      </w:pPr>
      <w:r>
        <w:rPr>
          <w:rFonts w:ascii="Times New Roman" w:cs="Times New Roman" w:eastAsia="Times New Roman" w:hAnsi="Times New Roman"/>
          <w:sz w:val="20"/>
          <w:szCs w:val="20"/>
          <w:color w:val="auto"/>
        </w:rPr>
        <w:t>7.2. The representations and warranties made by the Investors herein shall have been true and correct in all respects when made and shall be true and correct on the date of the applicable Closing.</w:t>
      </w:r>
    </w:p>
    <w:p>
      <w:pPr>
        <w:spacing w:after="0" w:line="173" w:lineRule="exact"/>
        <w:rPr>
          <w:sz w:val="20"/>
          <w:szCs w:val="20"/>
          <w:color w:val="auto"/>
        </w:rPr>
      </w:pPr>
    </w:p>
    <w:p>
      <w:pPr>
        <w:ind w:right="20" w:firstLine="389"/>
        <w:spacing w:after="0" w:line="269" w:lineRule="auto"/>
        <w:rPr>
          <w:sz w:val="20"/>
          <w:szCs w:val="20"/>
          <w:color w:val="auto"/>
        </w:rPr>
      </w:pPr>
      <w:r>
        <w:rPr>
          <w:rFonts w:ascii="Times New Roman" w:cs="Times New Roman" w:eastAsia="Times New Roman" w:hAnsi="Times New Roman"/>
          <w:sz w:val="20"/>
          <w:szCs w:val="20"/>
          <w:color w:val="auto"/>
        </w:rPr>
        <w:t>7.3. All covenants, agreements and conditions contained in this Agreement to be performed, or complied with, by the Investors prior to the applicable Closing, shall have been performed or complied with by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5" w:name="page246"/>
    <w:bookmarkEnd w:id="245"/>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0" w:lineRule="exact"/>
        <w:rPr>
          <w:sz w:val="20"/>
          <w:szCs w:val="20"/>
          <w:color w:val="auto"/>
        </w:rPr>
      </w:pPr>
    </w:p>
    <w:p>
      <w:pPr>
        <w:spacing w:after="0" w:line="250" w:lineRule="exact"/>
        <w:rPr>
          <w:sz w:val="20"/>
          <w:szCs w:val="20"/>
          <w:color w:val="auto"/>
        </w:rPr>
      </w:pPr>
    </w:p>
    <w:p>
      <w:pPr>
        <w:ind w:firstLine="389"/>
        <w:spacing w:after="0" w:line="269" w:lineRule="auto"/>
        <w:rPr>
          <w:sz w:val="20"/>
          <w:szCs w:val="20"/>
          <w:color w:val="auto"/>
        </w:rPr>
      </w:pPr>
      <w:r>
        <w:rPr>
          <w:rFonts w:ascii="Times New Roman" w:cs="Times New Roman" w:eastAsia="Times New Roman" w:hAnsi="Times New Roman"/>
          <w:sz w:val="20"/>
          <w:szCs w:val="20"/>
          <w:color w:val="auto"/>
        </w:rPr>
        <w:t xml:space="preserve">7.4. All of the documents to be delivered by the Investors pursuant to </w:t>
      </w:r>
      <w:r>
        <w:rPr>
          <w:rFonts w:ascii="Times New Roman" w:cs="Times New Roman" w:eastAsia="Times New Roman" w:hAnsi="Times New Roman"/>
          <w:sz w:val="20"/>
          <w:szCs w:val="20"/>
          <w:u w:val="single" w:color="auto"/>
          <w:color w:val="auto"/>
        </w:rPr>
        <w:t>Sections 2.2 or 3.2</w:t>
      </w:r>
      <w:r>
        <w:rPr>
          <w:rFonts w:ascii="Times New Roman" w:cs="Times New Roman" w:eastAsia="Times New Roman" w:hAnsi="Times New Roman"/>
          <w:sz w:val="20"/>
          <w:szCs w:val="20"/>
          <w:color w:val="auto"/>
        </w:rPr>
        <w:t>, as applicable, shall have been delivered to the Company.</w:t>
      </w:r>
    </w:p>
    <w:p>
      <w:pPr>
        <w:spacing w:after="0" w:line="169" w:lineRule="exact"/>
        <w:rPr>
          <w:sz w:val="20"/>
          <w:szCs w:val="20"/>
          <w:color w:val="auto"/>
        </w:rPr>
      </w:pPr>
    </w:p>
    <w:p>
      <w:pPr>
        <w:jc w:val="both"/>
        <w:ind w:left="380" w:hanging="372"/>
        <w:spacing w:after="0" w:line="245" w:lineRule="auto"/>
        <w:tabs>
          <w:tab w:leader="none" w:pos="380"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Conditions of Initial Closing of the Company and the Investors; Termination</w:t>
      </w:r>
      <w:r>
        <w:rPr>
          <w:rFonts w:ascii="Times New Roman" w:cs="Times New Roman" w:eastAsia="Times New Roman" w:hAnsi="Times New Roman"/>
          <w:sz w:val="20"/>
          <w:szCs w:val="20"/>
          <w:color w:val="auto"/>
        </w:rPr>
        <w:t>. The Investors' and the Company’s obligations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Initial Closing shall be subject to the receipt by the Company of an aggregate Initial Purchase Price from the Investors in an amount of at least US $10,000,000. Notwithstanding anything to the contrary in this Agreement, if the closing condition set forth in this Section 8 is not met by October 25, 2017 (the “</w:t>
      </w:r>
      <w:r>
        <w:rPr>
          <w:rFonts w:ascii="Times New Roman" w:cs="Times New Roman" w:eastAsia="Times New Roman" w:hAnsi="Times New Roman"/>
          <w:sz w:val="20"/>
          <w:szCs w:val="20"/>
          <w:u w:val="single" w:color="auto"/>
          <w:color w:val="auto"/>
        </w:rPr>
        <w:t>Cut-off Date</w:t>
      </w:r>
      <w:r>
        <w:rPr>
          <w:rFonts w:ascii="Times New Roman" w:cs="Times New Roman" w:eastAsia="Times New Roman" w:hAnsi="Times New Roman"/>
          <w:sz w:val="20"/>
          <w:szCs w:val="20"/>
          <w:color w:val="auto"/>
        </w:rPr>
        <w:t>”), then this Agreement shall effective as of the Cut-off Date immediately and automatically terminate and be of no force and effect, without requiring any further actions on behalf of the either of the parties to this Agreement, and neither of the parties to this Agreement shall have any further obligations or claims to any of the other parties to this Agreement following the termination of this Agreement according to this Section 8.</w:t>
      </w:r>
    </w:p>
    <w:p>
      <w:pPr>
        <w:spacing w:after="0" w:line="193"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p>
    <w:p>
      <w:pPr>
        <w:spacing w:after="0" w:line="233"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From and after the date of this Agreement, upon the request of the Company, the Company and the Investors shall execute and deliver such instruments, documents and other writings as may be reasonably necessary or desirable to confirm and carry out and to effectuate fully the intent and purposes of this Agreement.</w:t>
      </w:r>
    </w:p>
    <w:p>
      <w:pPr>
        <w:spacing w:after="0" w:line="188" w:lineRule="exact"/>
        <w:rPr>
          <w:sz w:val="20"/>
          <w:szCs w:val="20"/>
          <w:color w:val="auto"/>
        </w:rPr>
      </w:pPr>
    </w:p>
    <w:p>
      <w:pPr>
        <w:jc w:val="both"/>
        <w:ind w:firstLine="389"/>
        <w:spacing w:after="0" w:line="243"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No Public Disclosure</w:t>
      </w:r>
      <w:r>
        <w:rPr>
          <w:rFonts w:ascii="Times New Roman" w:cs="Times New Roman" w:eastAsia="Times New Roman" w:hAnsi="Times New Roman"/>
          <w:sz w:val="20"/>
          <w:szCs w:val="20"/>
          <w:color w:val="auto"/>
        </w:rPr>
        <w:t>. Other than with respect to publishing a prospectus by the Company in connection with a future initial public offering of its securities, with respect to the Lenders pursuant to the Convertible Loans, or with respect to potential future investors and/or lenders to the Company, no party hereto shall publicly announce or disclose the existence of this Agreement or its terms and conditions, or advertise or release any publicity regarding this Agreement or the transactions contemplated hereunder (the “</w:t>
      </w:r>
      <w:r>
        <w:rPr>
          <w:rFonts w:ascii="Times New Roman" w:cs="Times New Roman" w:eastAsia="Times New Roman" w:hAnsi="Times New Roman"/>
          <w:sz w:val="20"/>
          <w:szCs w:val="20"/>
          <w:u w:val="single" w:color="auto"/>
          <w:color w:val="auto"/>
        </w:rPr>
        <w:t>Transaction Terms</w:t>
      </w:r>
      <w:r>
        <w:rPr>
          <w:rFonts w:ascii="Times New Roman" w:cs="Times New Roman" w:eastAsia="Times New Roman" w:hAnsi="Times New Roman"/>
          <w:sz w:val="20"/>
          <w:szCs w:val="20"/>
          <w:color w:val="auto"/>
        </w:rPr>
        <w:t xml:space="preserve">”), without the prior written consent of the Company and the Majority Investors, except that (i) the parties hereto may disclose to third parties any information regarding the Transaction Terms which is known or becomes known to the public in general (other than as a result of a breach of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by the disclosing party), and (ii) the parties hereto may disclose Transaction Terms to the extent legally required in order to comply with any court order, applicable law or order from regulatory authorities.</w:t>
      </w:r>
    </w:p>
    <w:p>
      <w:pPr>
        <w:spacing w:after="0" w:line="203" w:lineRule="exact"/>
        <w:rPr>
          <w:sz w:val="20"/>
          <w:szCs w:val="20"/>
          <w:color w:val="auto"/>
        </w:rPr>
      </w:pPr>
    </w:p>
    <w:p>
      <w:pPr>
        <w:jc w:val="both"/>
        <w:ind w:firstLine="389"/>
        <w:spacing w:after="0" w:line="242"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Governing Law; Jurisdiction</w:t>
      </w:r>
      <w:r>
        <w:rPr>
          <w:rFonts w:ascii="Times New Roman" w:cs="Times New Roman" w:eastAsia="Times New Roman" w:hAnsi="Times New Roman"/>
          <w:sz w:val="20"/>
          <w:szCs w:val="20"/>
          <w:color w:val="auto"/>
        </w:rPr>
        <w:t xml:space="preserve">. This Agreement shall be governed by and construed in accordance with the laws of the State of Israel, excluding that body of law pertaining to conflict of law. The competent courts in Tel Aviv-Jaffa district shall have exclusive jurisdiction over any dispute or claim arising in connection with or as a result of this Agreement; </w:t>
      </w:r>
      <w:r>
        <w:rPr>
          <w:rFonts w:ascii="Times New Roman" w:cs="Times New Roman" w:eastAsia="Times New Roman" w:hAnsi="Times New Roman"/>
          <w:sz w:val="20"/>
          <w:szCs w:val="20"/>
          <w:i w:val="1"/>
          <w:iCs w:val="1"/>
          <w:u w:val="single" w:color="auto"/>
          <w:color w:val="auto"/>
        </w:rPr>
        <w:t>provided however</w:t>
      </w:r>
      <w:r>
        <w:rPr>
          <w:rFonts w:ascii="Times New Roman" w:cs="Times New Roman" w:eastAsia="Times New Roman" w:hAnsi="Times New Roman"/>
          <w:sz w:val="20"/>
          <w:szCs w:val="20"/>
          <w:color w:val="auto"/>
        </w:rPr>
        <w:t xml:space="preserve"> that notwithstanding the foregoing, </w:t>
      </w:r>
      <w:r>
        <w:rPr>
          <w:rFonts w:ascii="Times New Roman" w:cs="Times New Roman" w:eastAsia="Times New Roman" w:hAnsi="Times New Roman"/>
          <w:sz w:val="20"/>
          <w:szCs w:val="20"/>
          <w:u w:val="single" w:color="auto"/>
          <w:color w:val="auto"/>
        </w:rPr>
        <w:t>only</w:t>
      </w:r>
      <w:r>
        <w:rPr>
          <w:rFonts w:ascii="Times New Roman" w:cs="Times New Roman" w:eastAsia="Times New Roman" w:hAnsi="Times New Roman"/>
          <w:sz w:val="20"/>
          <w:szCs w:val="20"/>
          <w:color w:val="auto"/>
        </w:rPr>
        <w:t xml:space="preserve"> with respect to any individual Investor who is a resident of the United States of America or Canada or any Investor who is a legal entity incorporated in the United States of America or Canada: (i) each of the Company and any such Investor hereby irrevocably submits to the exclusive jurisdiction of the state and federal courts sitting in The City of New York, Borough of Manhattan, for the adjudication of any dispute hereunder,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(ii) the Company and such Investor hereby irrevocably waives personal service of process and consents to process being served in any such suit, action or proceeding by mailing a copy thereof to the Company at the address set forth in this Agreement and agrees that such service shall constitute good and sufficient service of process and notice thereof; (iii) nothing contained herein shall be deemed to limit in any way any right to serve process in any manner permitted by law; and (iv) the prevailing party, as determined by such court shall be entitled to collect any costs, disbursements and reasonable attorney’s fees from the other party.</w:t>
      </w:r>
    </w:p>
    <w:p>
      <w:pPr>
        <w:spacing w:after="0" w:line="200"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Successors and Assigns; Assignment</w:t>
      </w:r>
      <w:r>
        <w:rPr>
          <w:rFonts w:ascii="Times New Roman" w:cs="Times New Roman" w:eastAsia="Times New Roman" w:hAnsi="Times New Roman"/>
          <w:sz w:val="20"/>
          <w:szCs w:val="20"/>
          <w:color w:val="auto"/>
        </w:rPr>
        <w:t>. Except as otherwise expressly provided herein, the provisions hereof shall inure to the benefit of, and be binding upon, the successors, assigns, heirs, executors, and administrators of the parties hereto. None of the rights, privileges, or obligations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6" w:name="page247"/>
    <w:bookmarkEnd w:id="246"/>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0" w:lineRule="exact"/>
        <w:rPr>
          <w:sz w:val="20"/>
          <w:szCs w:val="20"/>
          <w:color w:val="auto"/>
        </w:rPr>
      </w:pP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arising under, or created by this Agreement may be assigned or transferred without the prior consent in writing of each party to this Agreement, with the exception of the transfer of the applicable Purchased Shares by an Investor according to the terms and conditions of the Amended Articles.</w:t>
      </w:r>
    </w:p>
    <w:p>
      <w:pPr>
        <w:spacing w:after="0" w:line="188" w:lineRule="exact"/>
        <w:rPr>
          <w:sz w:val="20"/>
          <w:szCs w:val="20"/>
          <w:color w:val="auto"/>
        </w:rPr>
      </w:pPr>
    </w:p>
    <w:p>
      <w:pPr>
        <w:jc w:val="both"/>
        <w:ind w:firstLine="389"/>
        <w:spacing w:after="0" w:line="247"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Entire Agreement; Amendment and Waiver</w:t>
      </w:r>
      <w:r>
        <w:rPr>
          <w:rFonts w:ascii="Times New Roman" w:cs="Times New Roman" w:eastAsia="Times New Roman" w:hAnsi="Times New Roman"/>
          <w:sz w:val="20"/>
          <w:szCs w:val="20"/>
          <w:color w:val="auto"/>
        </w:rPr>
        <w:t>. This Agreement and the Schedules attached hereto constitute the full and entire understanding and agreement between the parties with regard to the subject matters hereof and thereof. Any term of this Agreement may be amended and the observance of any term hereof may be waived (either prospectively or retroactively and either generally or in a particular instance) only with the written consent of the Company and the Investors holding the majority of the Purchase Price, including the affirmative consent of D.N.A Biomedical Solutions Ltd.</w:t>
      </w:r>
    </w:p>
    <w:p>
      <w:pPr>
        <w:spacing w:after="0" w:line="194" w:lineRule="exact"/>
        <w:rPr>
          <w:sz w:val="20"/>
          <w:szCs w:val="20"/>
          <w:color w:val="auto"/>
        </w:rPr>
      </w:pPr>
    </w:p>
    <w:p>
      <w:pPr>
        <w:jc w:val="both"/>
        <w:ind w:firstLine="389"/>
        <w:spacing w:after="0" w:line="249"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Notices, etc.</w:t>
      </w:r>
      <w:r>
        <w:rPr>
          <w:rFonts w:ascii="Times New Roman" w:cs="Times New Roman" w:eastAsia="Times New Roman" w:hAnsi="Times New Roman"/>
          <w:sz w:val="20"/>
          <w:szCs w:val="20"/>
          <w:color w:val="auto"/>
        </w:rPr>
        <w:t xml:space="preserve"> All notices and other communications required or permitted hereunder to be given to a party to this Agreement shall be in writing and shall be faxed, or mailed, postage prepaid, or otherwise delivered by electronic mail, hand or by guaranteed courier, addressed to such party’s address as set forth below or at such other address as the party shall have furnished to each other party in writing in accordance with this provision:</w:t>
      </w:r>
    </w:p>
    <w:p>
      <w:pPr>
        <w:spacing w:after="0" w:line="194" w:lineRule="exact"/>
        <w:rPr>
          <w:sz w:val="20"/>
          <w:szCs w:val="20"/>
          <w:color w:val="auto"/>
        </w:rPr>
      </w:pPr>
    </w:p>
    <w:tbl>
      <w:tblPr>
        <w:tblLayout w:type="fixed"/>
        <w:tblInd w:w="1300" w:type="dxa"/>
        <w:tblCellMar>
          <w:top w:w="0" w:type="dxa"/>
          <w:left w:w="0" w:type="dxa"/>
          <w:bottom w:w="0" w:type="dxa"/>
          <w:right w:w="0" w:type="dxa"/>
        </w:tblCellMar>
      </w:tblPr>
      <w:tr>
        <w:trPr>
          <w:trHeight w:val="258"/>
        </w:trPr>
        <w:tc>
          <w:tcPr>
            <w:tcW w:w="1960" w:type="dxa"/>
            <w:vAlign w:val="bottom"/>
          </w:tcPr>
          <w:p>
            <w:pPr>
              <w:spacing w:after="0"/>
              <w:rPr>
                <w:sz w:val="20"/>
                <w:szCs w:val="20"/>
                <w:color w:val="auto"/>
              </w:rPr>
            </w:pPr>
            <w:r>
              <w:rPr>
                <w:rFonts w:ascii="Times New Roman" w:cs="Times New Roman" w:eastAsia="Times New Roman" w:hAnsi="Times New Roman"/>
                <w:sz w:val="20"/>
                <w:szCs w:val="20"/>
                <w:color w:val="auto"/>
              </w:rPr>
              <w:t>if to the Investors:</w:t>
            </w:r>
          </w:p>
        </w:tc>
        <w:tc>
          <w:tcPr>
            <w:tcW w:w="440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auto"/>
              </w:rPr>
              <w:t>The address set forth in the signature page.</w:t>
            </w:r>
          </w:p>
        </w:tc>
      </w:tr>
      <w:tr>
        <w:trPr>
          <w:trHeight w:val="444"/>
        </w:trPr>
        <w:tc>
          <w:tcPr>
            <w:tcW w:w="1960" w:type="dxa"/>
            <w:vAlign w:val="bottom"/>
          </w:tcPr>
          <w:p>
            <w:pPr>
              <w:spacing w:after="0"/>
              <w:rPr>
                <w:sz w:val="20"/>
                <w:szCs w:val="20"/>
                <w:color w:val="auto"/>
              </w:rPr>
            </w:pPr>
            <w:r>
              <w:rPr>
                <w:rFonts w:ascii="Times New Roman" w:cs="Times New Roman" w:eastAsia="Times New Roman" w:hAnsi="Times New Roman"/>
                <w:sz w:val="20"/>
                <w:szCs w:val="20"/>
                <w:color w:val="auto"/>
              </w:rPr>
              <w:t>if to the Company:</w:t>
            </w:r>
          </w:p>
        </w:tc>
        <w:tc>
          <w:tcPr>
            <w:tcW w:w="440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auto"/>
              </w:rPr>
              <w:t>Entera Bio Ltd.</w:t>
            </w:r>
          </w:p>
        </w:tc>
      </w:tr>
      <w:tr>
        <w:trPr>
          <w:trHeight w:val="243"/>
        </w:trPr>
        <w:tc>
          <w:tcPr>
            <w:tcW w:w="1960" w:type="dxa"/>
            <w:vAlign w:val="bottom"/>
          </w:tcPr>
          <w:p>
            <w:pPr>
              <w:spacing w:after="0"/>
              <w:rPr>
                <w:sz w:val="21"/>
                <w:szCs w:val="21"/>
                <w:color w:val="auto"/>
              </w:rPr>
            </w:pPr>
          </w:p>
        </w:tc>
        <w:tc>
          <w:tcPr>
            <w:tcW w:w="440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auto"/>
              </w:rPr>
              <w:t>Jerusalem Bio Park</w:t>
            </w:r>
          </w:p>
        </w:tc>
      </w:tr>
      <w:tr>
        <w:trPr>
          <w:trHeight w:val="243"/>
        </w:trPr>
        <w:tc>
          <w:tcPr>
            <w:tcW w:w="1960" w:type="dxa"/>
            <w:vAlign w:val="bottom"/>
          </w:tcPr>
          <w:p>
            <w:pPr>
              <w:spacing w:after="0"/>
              <w:rPr>
                <w:sz w:val="21"/>
                <w:szCs w:val="21"/>
                <w:color w:val="auto"/>
              </w:rPr>
            </w:pPr>
          </w:p>
        </w:tc>
        <w:tc>
          <w:tcPr>
            <w:tcW w:w="440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auto"/>
              </w:rPr>
              <w:t>PO Box 12117</w:t>
            </w:r>
          </w:p>
        </w:tc>
      </w:tr>
      <w:tr>
        <w:trPr>
          <w:trHeight w:val="243"/>
        </w:trPr>
        <w:tc>
          <w:tcPr>
            <w:tcW w:w="1960" w:type="dxa"/>
            <w:vAlign w:val="bottom"/>
          </w:tcPr>
          <w:p>
            <w:pPr>
              <w:spacing w:after="0"/>
              <w:rPr>
                <w:sz w:val="21"/>
                <w:szCs w:val="21"/>
                <w:color w:val="auto"/>
              </w:rPr>
            </w:pPr>
          </w:p>
        </w:tc>
        <w:tc>
          <w:tcPr>
            <w:tcW w:w="440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auto"/>
              </w:rPr>
              <w:t>Jerusalem 91220</w:t>
            </w:r>
          </w:p>
        </w:tc>
      </w:tr>
      <w:tr>
        <w:trPr>
          <w:trHeight w:val="243"/>
        </w:trPr>
        <w:tc>
          <w:tcPr>
            <w:tcW w:w="1960" w:type="dxa"/>
            <w:vAlign w:val="bottom"/>
          </w:tcPr>
          <w:p>
            <w:pPr>
              <w:spacing w:after="0"/>
              <w:rPr>
                <w:sz w:val="21"/>
                <w:szCs w:val="21"/>
                <w:color w:val="auto"/>
              </w:rPr>
            </w:pPr>
          </w:p>
        </w:tc>
        <w:tc>
          <w:tcPr>
            <w:tcW w:w="440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auto"/>
              </w:rPr>
              <w:t>Tel: +972-54-535-2683</w:t>
            </w:r>
          </w:p>
        </w:tc>
      </w:tr>
      <w:tr>
        <w:trPr>
          <w:trHeight w:val="243"/>
        </w:trPr>
        <w:tc>
          <w:tcPr>
            <w:tcW w:w="1960" w:type="dxa"/>
            <w:vAlign w:val="bottom"/>
          </w:tcPr>
          <w:p>
            <w:pPr>
              <w:spacing w:after="0"/>
              <w:rPr>
                <w:sz w:val="21"/>
                <w:szCs w:val="21"/>
                <w:color w:val="auto"/>
              </w:rPr>
            </w:pPr>
          </w:p>
        </w:tc>
        <w:tc>
          <w:tcPr>
            <w:tcW w:w="440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auto"/>
              </w:rPr>
              <w:t>Attn: Dr. Phillip Schwartz</w:t>
            </w:r>
          </w:p>
        </w:tc>
      </w:tr>
      <w:tr>
        <w:trPr>
          <w:trHeight w:val="212"/>
        </w:trPr>
        <w:tc>
          <w:tcPr>
            <w:tcW w:w="1960" w:type="dxa"/>
            <w:vAlign w:val="bottom"/>
          </w:tcPr>
          <w:p>
            <w:pPr>
              <w:spacing w:after="0"/>
              <w:rPr>
                <w:sz w:val="18"/>
                <w:szCs w:val="18"/>
                <w:color w:val="auto"/>
              </w:rPr>
            </w:pPr>
          </w:p>
        </w:tc>
        <w:tc>
          <w:tcPr>
            <w:tcW w:w="4400" w:type="dxa"/>
            <w:vAlign w:val="bottom"/>
            <w:gridSpan w:val="4"/>
          </w:tcPr>
          <w:p>
            <w:pPr>
              <w:ind w:left="480"/>
              <w:spacing w:after="0" w:line="212" w:lineRule="exact"/>
              <w:rPr>
                <w:sz w:val="20"/>
                <w:szCs w:val="20"/>
                <w:color w:val="auto"/>
              </w:rPr>
            </w:pPr>
            <w:r>
              <w:rPr>
                <w:rFonts w:ascii="Times New Roman" w:cs="Times New Roman" w:eastAsia="Times New Roman" w:hAnsi="Times New Roman"/>
                <w:sz w:val="20"/>
                <w:szCs w:val="20"/>
                <w:color w:val="auto"/>
              </w:rPr>
              <w:t>E-mail: phillip@enterabio.com</w:t>
            </w:r>
          </w:p>
        </w:tc>
      </w:tr>
      <w:tr>
        <w:trPr>
          <w:trHeight w:val="20"/>
        </w:trPr>
        <w:tc>
          <w:tcPr>
            <w:tcW w:w="1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97"/>
        </w:trPr>
        <w:tc>
          <w:tcPr>
            <w:tcW w:w="1960" w:type="dxa"/>
            <w:vAlign w:val="bottom"/>
          </w:tcPr>
          <w:p>
            <w:pPr>
              <w:spacing w:after="0"/>
              <w:rPr>
                <w:sz w:val="24"/>
                <w:szCs w:val="24"/>
                <w:color w:val="auto"/>
              </w:rPr>
            </w:pPr>
          </w:p>
        </w:tc>
        <w:tc>
          <w:tcPr>
            <w:tcW w:w="440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auto"/>
                <w:w w:val="98"/>
              </w:rPr>
              <w:t>with a copy (which shall not constitute notice) to:</w:t>
            </w:r>
          </w:p>
        </w:tc>
      </w:tr>
      <w:tr>
        <w:trPr>
          <w:trHeight w:val="243"/>
        </w:trPr>
        <w:tc>
          <w:tcPr>
            <w:tcW w:w="1960" w:type="dxa"/>
            <w:vAlign w:val="bottom"/>
          </w:tcPr>
          <w:p>
            <w:pPr>
              <w:spacing w:after="0"/>
              <w:rPr>
                <w:sz w:val="21"/>
                <w:szCs w:val="21"/>
                <w:color w:val="auto"/>
              </w:rPr>
            </w:pPr>
          </w:p>
        </w:tc>
        <w:tc>
          <w:tcPr>
            <w:tcW w:w="440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auto"/>
              </w:rPr>
              <w:t>Herzog Fox &amp; Neeman,</w:t>
            </w:r>
          </w:p>
        </w:tc>
      </w:tr>
      <w:tr>
        <w:trPr>
          <w:trHeight w:val="243"/>
        </w:trPr>
        <w:tc>
          <w:tcPr>
            <w:tcW w:w="1960" w:type="dxa"/>
            <w:vAlign w:val="bottom"/>
          </w:tcPr>
          <w:p>
            <w:pPr>
              <w:spacing w:after="0"/>
              <w:rPr>
                <w:sz w:val="21"/>
                <w:szCs w:val="21"/>
                <w:color w:val="auto"/>
              </w:rPr>
            </w:pPr>
          </w:p>
        </w:tc>
        <w:tc>
          <w:tcPr>
            <w:tcW w:w="440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auto"/>
              </w:rPr>
              <w:t>4 Weizmann Street,</w:t>
            </w:r>
          </w:p>
        </w:tc>
      </w:tr>
      <w:tr>
        <w:trPr>
          <w:trHeight w:val="243"/>
        </w:trPr>
        <w:tc>
          <w:tcPr>
            <w:tcW w:w="1960" w:type="dxa"/>
            <w:vAlign w:val="bottom"/>
          </w:tcPr>
          <w:p>
            <w:pPr>
              <w:spacing w:after="0"/>
              <w:rPr>
                <w:sz w:val="21"/>
                <w:szCs w:val="21"/>
                <w:color w:val="auto"/>
              </w:rPr>
            </w:pPr>
          </w:p>
        </w:tc>
        <w:tc>
          <w:tcPr>
            <w:tcW w:w="440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auto"/>
              </w:rPr>
              <w:t>Tel-Aviv 6423904, Israel</w:t>
            </w:r>
          </w:p>
        </w:tc>
      </w:tr>
      <w:tr>
        <w:trPr>
          <w:trHeight w:val="243"/>
        </w:trPr>
        <w:tc>
          <w:tcPr>
            <w:tcW w:w="1960" w:type="dxa"/>
            <w:vAlign w:val="bottom"/>
          </w:tcPr>
          <w:p>
            <w:pPr>
              <w:spacing w:after="0"/>
              <w:rPr>
                <w:sz w:val="21"/>
                <w:szCs w:val="21"/>
                <w:color w:val="auto"/>
              </w:rPr>
            </w:pPr>
          </w:p>
        </w:tc>
        <w:tc>
          <w:tcPr>
            <w:tcW w:w="440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auto"/>
              </w:rPr>
              <w:t>Attn: Yair Geva, Adv.; Tomer Farkash, Adv.</w:t>
            </w:r>
          </w:p>
        </w:tc>
      </w:tr>
      <w:tr>
        <w:trPr>
          <w:trHeight w:val="243"/>
        </w:trPr>
        <w:tc>
          <w:tcPr>
            <w:tcW w:w="1960" w:type="dxa"/>
            <w:vAlign w:val="bottom"/>
          </w:tcPr>
          <w:p>
            <w:pPr>
              <w:spacing w:after="0"/>
              <w:rPr>
                <w:sz w:val="21"/>
                <w:szCs w:val="21"/>
                <w:color w:val="auto"/>
              </w:rPr>
            </w:pPr>
          </w:p>
        </w:tc>
        <w:tc>
          <w:tcPr>
            <w:tcW w:w="440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auto"/>
              </w:rPr>
              <w:t>Fax no. +972-3-6966464</w:t>
            </w:r>
          </w:p>
        </w:tc>
      </w:tr>
      <w:tr>
        <w:trPr>
          <w:trHeight w:val="212"/>
        </w:trPr>
        <w:tc>
          <w:tcPr>
            <w:tcW w:w="1960" w:type="dxa"/>
            <w:vAlign w:val="bottom"/>
          </w:tcPr>
          <w:p>
            <w:pPr>
              <w:spacing w:after="0"/>
              <w:rPr>
                <w:sz w:val="18"/>
                <w:szCs w:val="18"/>
                <w:color w:val="auto"/>
              </w:rPr>
            </w:pPr>
          </w:p>
        </w:tc>
        <w:tc>
          <w:tcPr>
            <w:tcW w:w="4400" w:type="dxa"/>
            <w:vAlign w:val="bottom"/>
            <w:gridSpan w:val="4"/>
          </w:tcPr>
          <w:p>
            <w:pPr>
              <w:ind w:left="480"/>
              <w:spacing w:after="0" w:line="212" w:lineRule="exact"/>
              <w:rPr>
                <w:sz w:val="20"/>
                <w:szCs w:val="20"/>
                <w:color w:val="auto"/>
              </w:rPr>
            </w:pPr>
            <w:r>
              <w:rPr>
                <w:rFonts w:ascii="Times New Roman" w:cs="Times New Roman" w:eastAsia="Times New Roman" w:hAnsi="Times New Roman"/>
                <w:sz w:val="20"/>
                <w:szCs w:val="20"/>
                <w:color w:val="auto"/>
              </w:rPr>
              <w:t>Email: gevay@hfn.co.il, farkasht@hfn.co.il</w:t>
            </w:r>
          </w:p>
        </w:tc>
      </w:tr>
      <w:tr>
        <w:trPr>
          <w:trHeight w:val="20"/>
        </w:trPr>
        <w:tc>
          <w:tcPr>
            <w:tcW w:w="196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or such other address with respect to a party as such party shall notify each other party in writing as above provided. Any notice sent in accordance with this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shall be effective (i) if mailed, two (2) business days after mailing, (ii) if sent by guaranteed courier, the second day following pick-up by the guaranteed courier, and (iii) if faxed, upon transmission and electronic confirmation of receipt or (if transmitted and received on a non-business day) on the first business day following transmission and electronic confirmation of receipt. Notices sent by electronic mail shall be deemed received upon confirmation of receipt of such electronic mail message.</w:t>
      </w:r>
    </w:p>
    <w:p>
      <w:pPr>
        <w:spacing w:after="0" w:line="194" w:lineRule="exact"/>
        <w:rPr>
          <w:sz w:val="20"/>
          <w:szCs w:val="20"/>
          <w:color w:val="auto"/>
        </w:rPr>
      </w:pPr>
    </w:p>
    <w:p>
      <w:pPr>
        <w:jc w:val="both"/>
        <w:ind w:firstLine="389"/>
        <w:spacing w:after="0" w:line="245"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Delays or Omissions</w:t>
      </w:r>
      <w:r>
        <w:rPr>
          <w:rFonts w:ascii="Times New Roman" w:cs="Times New Roman" w:eastAsia="Times New Roman" w:hAnsi="Times New Roman"/>
          <w:sz w:val="20"/>
          <w:szCs w:val="20"/>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of the parties, shall be cumulative and not alternative.</w:t>
      </w:r>
    </w:p>
    <w:p>
      <w:pPr>
        <w:spacing w:after="0" w:line="199" w:lineRule="exact"/>
        <w:rPr>
          <w:sz w:val="20"/>
          <w:szCs w:val="20"/>
          <w:color w:val="auto"/>
        </w:rPr>
      </w:pPr>
    </w:p>
    <w:p>
      <w:pPr>
        <w:ind w:left="400"/>
        <w:spacing w:after="0"/>
        <w:tabs>
          <w:tab w:leader="none" w:pos="1220" w:val="left"/>
        </w:tabs>
        <w:rPr>
          <w:sz w:val="20"/>
          <w:szCs w:val="20"/>
          <w:color w:val="auto"/>
        </w:rPr>
      </w:pPr>
      <w:r>
        <w:rPr>
          <w:rFonts w:ascii="Times New Roman" w:cs="Times New Roman" w:eastAsia="Times New Roman" w:hAnsi="Times New Roman"/>
          <w:sz w:val="20"/>
          <w:szCs w:val="20"/>
          <w:color w:val="auto"/>
        </w:rPr>
        <w:t>9.8.</w:t>
      </w:r>
      <w:r>
        <w:rPr>
          <w:sz w:val="20"/>
          <w:szCs w:val="20"/>
          <w:color w:val="auto"/>
        </w:rPr>
        <w:tab/>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provision of this Agreement is held by a court of competent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7" w:name="page248"/>
    <w:bookmarkEnd w:id="247"/>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sz w:val="20"/>
          <w:szCs w:val="20"/>
          <w:color w:val="auto"/>
        </w:rPr>
      </w:pPr>
    </w:p>
    <w:p>
      <w:pPr>
        <w:spacing w:after="0" w:line="2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jurisdiction to be unenforceable under applicable law, then such provision shall be excluded from this Agreement and the remainder of this Agreement shall be interpreted as if such provision were so excluded and shall be enforceable in accordance with its terms;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94" w:lineRule="exact"/>
        <w:rPr>
          <w:sz w:val="20"/>
          <w:szCs w:val="20"/>
          <w:color w:val="auto"/>
        </w:rPr>
      </w:pPr>
    </w:p>
    <w:p>
      <w:pPr>
        <w:jc w:val="both"/>
        <w:ind w:firstLine="389"/>
        <w:spacing w:after="0" w:line="269" w:lineRule="auto"/>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each of which shall be deemed an original and enforceable against the parties actually executing such counterpart, and all of which together shall constitute one and the same instrument.</w:t>
      </w:r>
    </w:p>
    <w:p>
      <w:pPr>
        <w:spacing w:after="0" w:line="173" w:lineRule="exact"/>
        <w:rPr>
          <w:sz w:val="20"/>
          <w:szCs w:val="20"/>
          <w:color w:val="auto"/>
        </w:rPr>
      </w:pPr>
    </w:p>
    <w:p>
      <w:pPr>
        <w:jc w:val="both"/>
        <w:ind w:firstLine="389"/>
        <w:spacing w:after="0" w:line="269" w:lineRule="auto"/>
        <w:rPr>
          <w:sz w:val="20"/>
          <w:szCs w:val="20"/>
          <w:color w:val="auto"/>
        </w:rPr>
      </w:pPr>
      <w:r>
        <w:rPr>
          <w:rFonts w:ascii="Times New Roman" w:cs="Times New Roman" w:eastAsia="Times New Roman" w:hAnsi="Times New Roman"/>
          <w:sz w:val="20"/>
          <w:szCs w:val="20"/>
          <w:color w:val="auto"/>
        </w:rPr>
        <w:t xml:space="preserve">9.10.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Each Party shall be responsible and shall bear its own respective costs and expenses related to this Agreement and the performance of its obligations hereunder, including all of its respective tax consequences.</w:t>
      </w:r>
    </w:p>
    <w:p>
      <w:pPr>
        <w:spacing w:after="0" w:line="173" w:lineRule="exact"/>
        <w:rPr>
          <w:sz w:val="20"/>
          <w:szCs w:val="20"/>
          <w:color w:val="auto"/>
        </w:rPr>
      </w:pPr>
    </w:p>
    <w:p>
      <w:pPr>
        <w:jc w:val="both"/>
        <w:ind w:right="20" w:firstLine="389"/>
        <w:spacing w:after="0" w:line="269"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Article, Section and subsection headings in this Agreement are included herein for convenience of reference only and shall not constitute a part of this Agreement for any other purpose.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24662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48" w:name="page249"/>
    <w:bookmarkEnd w:id="248"/>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0" w:lineRule="exact"/>
        <w:rPr>
          <w:sz w:val="20"/>
          <w:szCs w:val="20"/>
          <w:color w:val="auto"/>
        </w:rPr>
      </w:pPr>
    </w:p>
    <w:p>
      <w:pPr>
        <w:spacing w:after="0" w:line="24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signed this Series B Preferred Share Purchase Agreement as of the date first hereinabove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ENTERA BIO LTD.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/s/ Phillip Schwartz</w:t>
            </w:r>
          </w:p>
        </w:tc>
        <w:tc>
          <w:tcPr>
            <w:tcW w:w="0" w:type="dxa"/>
            <w:vAlign w:val="bottom"/>
          </w:tcPr>
          <w:p>
            <w:pPr>
              <w:spacing w:after="0"/>
              <w:rPr>
                <w:sz w:val="1"/>
                <w:szCs w:val="1"/>
                <w:color w:val="auto"/>
              </w:rPr>
            </w:pPr>
          </w:p>
        </w:tc>
      </w:tr>
      <w:tr>
        <w:trPr>
          <w:trHeight w:val="23"/>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20" w:type="dxa"/>
            <w:vAlign w:val="bottom"/>
            <w:vMerge w:val="continue"/>
          </w:tcPr>
          <w:p>
            <w:pPr>
              <w:spacing w:after="0"/>
              <w:rPr>
                <w:sz w:val="17"/>
                <w:szCs w:val="17"/>
                <w:color w:val="auto"/>
              </w:rPr>
            </w:pPr>
          </w:p>
        </w:tc>
        <w:tc>
          <w:tcPr>
            <w:tcW w:w="49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Phillip Schwartz</w:t>
            </w:r>
          </w:p>
        </w:tc>
        <w:tc>
          <w:tcPr>
            <w:tcW w:w="0" w:type="dxa"/>
            <w:vAlign w:val="bottom"/>
          </w:tcPr>
          <w:p>
            <w:pPr>
              <w:spacing w:after="0"/>
              <w:rPr>
                <w:sz w:val="1"/>
                <w:szCs w:val="1"/>
                <w:color w:val="auto"/>
              </w:rPr>
            </w:pPr>
          </w:p>
        </w:tc>
      </w:tr>
      <w:tr>
        <w:trPr>
          <w:trHeight w:val="23"/>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4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20" w:type="dxa"/>
            <w:vAlign w:val="bottom"/>
            <w:vMerge w:val="continue"/>
          </w:tcPr>
          <w:p>
            <w:pPr>
              <w:spacing w:after="0"/>
              <w:rPr>
                <w:sz w:val="19"/>
                <w:szCs w:val="19"/>
                <w:color w:val="auto"/>
              </w:rPr>
            </w:pPr>
          </w:p>
        </w:tc>
        <w:tc>
          <w:tcPr>
            <w:tcW w:w="490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CEO</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Entera Bio Ltd. Series B Preferred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9" w:name="page250"/>
    <w:bookmarkEnd w:id="249"/>
    <w:p>
      <w:pPr>
        <w:ind w:left="5640"/>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Investor: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-140335</wp:posOffset>
            </wp:positionV>
            <wp:extent cx="321564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30480</wp:posOffset>
            </wp:positionV>
            <wp:extent cx="321564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4">
                      <a:extLst>
                        <a:ext uri="{28A0092B-C50C-407E-A947-70E740481C1C}"/>
                      </a:extLst>
                    </a:blip>
                    <a:srcRect/>
                    <a:stretch>
                      <a:fillRect/>
                    </a:stretch>
                  </pic:blipFill>
                  <pic:spPr bwMode="auto">
                    <a:xfrm>
                      <a:off x="0" y="0"/>
                      <a:ext cx="3215640" cy="8890"/>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-132080</wp:posOffset>
            </wp:positionV>
            <wp:extent cx="321564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22860</wp:posOffset>
            </wp:positionV>
            <wp:extent cx="321564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 Price: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22860</wp:posOffset>
            </wp:positionV>
            <wp:extent cx="253873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32"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20"/>
          <w:szCs w:val="20"/>
          <w:i w:val="1"/>
          <w:iCs w:val="1"/>
          <w:color w:val="auto"/>
        </w:rPr>
        <w:t>[Signature Page to Entera Bio Ltd. Series B Preferred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250" w:name="page251"/>
    <w:bookmarkEnd w:id="250"/>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0" w:lineRule="exact"/>
        <w:rPr>
          <w:sz w:val="20"/>
          <w:szCs w:val="20"/>
          <w:color w:val="auto"/>
        </w:rPr>
      </w:pPr>
    </w:p>
    <w:p>
      <w:pPr>
        <w:spacing w:after="0" w:line="2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b w:val="1"/>
          <w:bCs w:val="1"/>
          <w:u w:val="single" w:color="auto"/>
          <w:color w:val="auto"/>
        </w:rPr>
        <w:t>Investors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Initial Closing – October 4, 2017</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52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2540" w:type="dxa"/>
            <w:vAlign w:val="bottom"/>
            <w:tcBorders>
              <w:top w:val="single" w:sz="8" w:color="auto"/>
              <w:right w:val="single" w:sz="8" w:color="auto"/>
            </w:tcBorders>
            <w:shd w:val="clear" w:color="auto" w:fill="D9D9D9"/>
          </w:tcPr>
          <w:p>
            <w:pPr>
              <w:spacing w:after="0"/>
              <w:rPr>
                <w:sz w:val="24"/>
                <w:szCs w:val="24"/>
                <w:color w:val="auto"/>
              </w:rPr>
            </w:pPr>
          </w:p>
        </w:tc>
        <w:tc>
          <w:tcPr>
            <w:tcW w:w="20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Purchase Price</w:t>
            </w:r>
          </w:p>
        </w:tc>
        <w:tc>
          <w:tcPr>
            <w:tcW w:w="33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 of Preferred B</w:t>
            </w:r>
          </w:p>
        </w:tc>
        <w:tc>
          <w:tcPr>
            <w:tcW w:w="0" w:type="dxa"/>
            <w:vAlign w:val="bottom"/>
          </w:tcPr>
          <w:p>
            <w:pPr>
              <w:spacing w:after="0"/>
              <w:rPr>
                <w:sz w:val="1"/>
                <w:szCs w:val="1"/>
                <w:color w:val="auto"/>
              </w:rPr>
            </w:pPr>
          </w:p>
        </w:tc>
      </w:tr>
      <w:tr>
        <w:trPr>
          <w:trHeight w:val="230"/>
        </w:trPr>
        <w:tc>
          <w:tcPr>
            <w:tcW w:w="35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b w:val="1"/>
                <w:bCs w:val="1"/>
                <w:color w:val="auto"/>
              </w:rPr>
              <w:t>Name of Investor</w:t>
            </w:r>
          </w:p>
        </w:tc>
        <w:tc>
          <w:tcPr>
            <w:tcW w:w="254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0"/>
                <w:szCs w:val="20"/>
                <w:b w:val="1"/>
                <w:bCs w:val="1"/>
                <w:color w:val="auto"/>
              </w:rPr>
              <w:t>Address</w:t>
            </w:r>
          </w:p>
        </w:tc>
        <w:tc>
          <w:tcPr>
            <w:tcW w:w="20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at the Initial</w:t>
            </w:r>
          </w:p>
        </w:tc>
        <w:tc>
          <w:tcPr>
            <w:tcW w:w="33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Shares to be purchased</w:t>
            </w:r>
          </w:p>
        </w:tc>
        <w:tc>
          <w:tcPr>
            <w:tcW w:w="0" w:type="dxa"/>
            <w:vAlign w:val="bottom"/>
          </w:tcPr>
          <w:p>
            <w:pPr>
              <w:spacing w:after="0"/>
              <w:rPr>
                <w:sz w:val="1"/>
                <w:szCs w:val="1"/>
                <w:color w:val="auto"/>
              </w:rPr>
            </w:pPr>
          </w:p>
        </w:tc>
      </w:tr>
      <w:tr>
        <w:trPr>
          <w:trHeight w:val="262"/>
        </w:trPr>
        <w:tc>
          <w:tcPr>
            <w:tcW w:w="3520" w:type="dxa"/>
            <w:vAlign w:val="bottom"/>
            <w:tcBorders>
              <w:left w:val="single" w:sz="8" w:color="auto"/>
              <w:right w:val="single" w:sz="8" w:color="auto"/>
            </w:tcBorders>
            <w:shd w:val="clear" w:color="auto" w:fill="D9D9D9"/>
          </w:tcPr>
          <w:p>
            <w:pPr>
              <w:spacing w:after="0"/>
              <w:rPr>
                <w:sz w:val="22"/>
                <w:szCs w:val="22"/>
                <w:color w:val="auto"/>
              </w:rPr>
            </w:pPr>
          </w:p>
        </w:tc>
        <w:tc>
          <w:tcPr>
            <w:tcW w:w="2540" w:type="dxa"/>
            <w:vAlign w:val="bottom"/>
            <w:tcBorders>
              <w:right w:val="single" w:sz="8" w:color="auto"/>
            </w:tcBorders>
            <w:shd w:val="clear" w:color="auto" w:fill="D9D9D9"/>
          </w:tcPr>
          <w:p>
            <w:pPr>
              <w:spacing w:after="0"/>
              <w:rPr>
                <w:sz w:val="22"/>
                <w:szCs w:val="22"/>
                <w:color w:val="auto"/>
              </w:rPr>
            </w:pPr>
          </w:p>
        </w:tc>
        <w:tc>
          <w:tcPr>
            <w:tcW w:w="20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Closing (in US$)</w:t>
            </w:r>
          </w:p>
        </w:tc>
        <w:tc>
          <w:tcPr>
            <w:tcW w:w="33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at the Initial Closing</w:t>
            </w:r>
          </w:p>
        </w:tc>
        <w:tc>
          <w:tcPr>
            <w:tcW w:w="0" w:type="dxa"/>
            <w:vAlign w:val="bottom"/>
          </w:tcPr>
          <w:p>
            <w:pPr>
              <w:spacing w:after="0"/>
              <w:rPr>
                <w:sz w:val="1"/>
                <w:szCs w:val="1"/>
                <w:color w:val="auto"/>
              </w:rPr>
            </w:pPr>
          </w:p>
        </w:tc>
      </w:tr>
      <w:tr>
        <w:trPr>
          <w:trHeight w:val="89"/>
        </w:trPr>
        <w:tc>
          <w:tcPr>
            <w:tcW w:w="352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2540" w:type="dxa"/>
            <w:vAlign w:val="bottom"/>
            <w:tcBorders>
              <w:bottom w:val="single" w:sz="8" w:color="auto"/>
              <w:right w:val="single" w:sz="8" w:color="auto"/>
            </w:tcBorders>
            <w:shd w:val="clear" w:color="auto" w:fill="D9D9D9"/>
          </w:tcPr>
          <w:p>
            <w:pPr>
              <w:spacing w:after="0"/>
              <w:rPr>
                <w:sz w:val="7"/>
                <w:szCs w:val="7"/>
                <w:color w:val="auto"/>
              </w:rPr>
            </w:pPr>
          </w:p>
        </w:tc>
        <w:tc>
          <w:tcPr>
            <w:tcW w:w="2040" w:type="dxa"/>
            <w:vAlign w:val="bottom"/>
            <w:tcBorders>
              <w:bottom w:val="single" w:sz="8" w:color="auto"/>
              <w:right w:val="single" w:sz="8" w:color="auto"/>
            </w:tcBorders>
            <w:shd w:val="clear" w:color="auto" w:fill="D9D9D9"/>
          </w:tcPr>
          <w:p>
            <w:pPr>
              <w:spacing w:after="0"/>
              <w:rPr>
                <w:sz w:val="7"/>
                <w:szCs w:val="7"/>
                <w:color w:val="auto"/>
              </w:rPr>
            </w:pPr>
          </w:p>
        </w:tc>
        <w:tc>
          <w:tcPr>
            <w:tcW w:w="332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D.N.A. Biomedical Solutions Ltd.</w:t>
            </w:r>
          </w:p>
        </w:tc>
        <w:tc>
          <w:tcPr>
            <w:tcW w:w="25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0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6,000,000.00</w:t>
            </w:r>
          </w:p>
        </w:tc>
        <w:tc>
          <w:tcPr>
            <w:tcW w:w="33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6,602</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Robert Stricker</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99,965.80</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110</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Jean Marc Bara</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99,965.80</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110</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Gary S. Gladstein 2009 Revocable Trust</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125,411.60</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138</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Ruth T. Benanav Revocable Trust)</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124,502.86</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137</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Efrat Investments</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49,982.90</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55</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FirstFire Global Opportunities Fund LLC</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49,982.90</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55</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Thomas J. Holevas</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49,982.90</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55</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Harold and Nancy Jacob</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24,537.06</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Gil Barel</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49,982.90</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55</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Oren Elbaz</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29,989.74</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33</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Avi Domoshevizki</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49,982.90</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55</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Piada Investment</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99,965.80</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110</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Rosalind Capital Partners L.P</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567,078.72</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624</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Rosalind Master Fund L.P.</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232,647.68</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256</w:t>
            </w: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Gerald Lieberman</w:t>
            </w:r>
          </w:p>
        </w:tc>
        <w:tc>
          <w:tcPr>
            <w:tcW w:w="25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0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99,965.80</w:t>
            </w:r>
          </w:p>
        </w:tc>
        <w:tc>
          <w:tcPr>
            <w:tcW w:w="33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110</w:t>
            </w: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Centillion Fund</w:t>
            </w:r>
          </w:p>
        </w:tc>
        <w:tc>
          <w:tcPr>
            <w:tcW w:w="25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0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324,434.46</w:t>
            </w:r>
          </w:p>
        </w:tc>
        <w:tc>
          <w:tcPr>
            <w:tcW w:w="33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357</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Gal Gordon</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49,982.90</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55</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Revach Fund LP Investment</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12,726.00</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14</w:t>
            </w:r>
          </w:p>
        </w:tc>
        <w:tc>
          <w:tcPr>
            <w:tcW w:w="0" w:type="dxa"/>
            <w:vAlign w:val="bottom"/>
          </w:tcPr>
          <w:p>
            <w:pPr>
              <w:spacing w:after="0"/>
              <w:rPr>
                <w:sz w:val="1"/>
                <w:szCs w:val="1"/>
                <w:color w:val="auto"/>
              </w:rPr>
            </w:pPr>
          </w:p>
        </w:tc>
      </w:tr>
      <w:tr>
        <w:trPr>
          <w:trHeight w:val="237"/>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Phillip Schwartz</w:t>
            </w:r>
          </w:p>
        </w:tc>
        <w:tc>
          <w:tcPr>
            <w:tcW w:w="25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5,453.00</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w:t>
            </w: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Northlea Partners LLLP</w:t>
            </w:r>
          </w:p>
        </w:tc>
        <w:tc>
          <w:tcPr>
            <w:tcW w:w="25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0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24,537.06</w:t>
            </w:r>
          </w:p>
        </w:tc>
        <w:tc>
          <w:tcPr>
            <w:tcW w:w="33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27</w:t>
            </w: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Republic Construction Corporation</w:t>
            </w:r>
          </w:p>
        </w:tc>
        <w:tc>
          <w:tcPr>
            <w:tcW w:w="25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0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25,445.84</w:t>
            </w:r>
          </w:p>
        </w:tc>
        <w:tc>
          <w:tcPr>
            <w:tcW w:w="33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28</w:t>
            </w:r>
          </w:p>
        </w:tc>
        <w:tc>
          <w:tcPr>
            <w:tcW w:w="0" w:type="dxa"/>
            <w:vAlign w:val="bottom"/>
          </w:tcPr>
          <w:p>
            <w:pPr>
              <w:spacing w:after="0"/>
              <w:rPr>
                <w:sz w:val="1"/>
                <w:szCs w:val="1"/>
                <w:color w:val="auto"/>
              </w:rPr>
            </w:pPr>
          </w:p>
        </w:tc>
      </w:tr>
      <w:tr>
        <w:trPr>
          <w:trHeight w:val="200"/>
        </w:trPr>
        <w:tc>
          <w:tcPr>
            <w:tcW w:w="352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Joe N. &amp; Jamie W. Behrendt Revocable</w:t>
            </w:r>
          </w:p>
        </w:tc>
        <w:tc>
          <w:tcPr>
            <w:tcW w:w="254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24,537.06</w:t>
            </w:r>
          </w:p>
        </w:tc>
        <w:tc>
          <w:tcPr>
            <w:tcW w:w="3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27</w:t>
            </w:r>
          </w:p>
        </w:tc>
        <w:tc>
          <w:tcPr>
            <w:tcW w:w="0" w:type="dxa"/>
            <w:vAlign w:val="bottom"/>
          </w:tcPr>
          <w:p>
            <w:pPr>
              <w:spacing w:after="0"/>
              <w:rPr>
                <w:sz w:val="1"/>
                <w:szCs w:val="1"/>
                <w:color w:val="auto"/>
              </w:rPr>
            </w:pPr>
          </w:p>
        </w:tc>
      </w:tr>
      <w:tr>
        <w:trPr>
          <w:trHeight w:val="137"/>
        </w:trPr>
        <w:tc>
          <w:tcPr>
            <w:tcW w:w="35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Trust dtd 10/30/96</w:t>
            </w:r>
          </w:p>
        </w:tc>
        <w:tc>
          <w:tcPr>
            <w:tcW w:w="25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[Intentionally omitted]</w:t>
            </w:r>
          </w:p>
        </w:tc>
        <w:tc>
          <w:tcPr>
            <w:tcW w:w="2040" w:type="dxa"/>
            <w:vAlign w:val="bottom"/>
            <w:tcBorders>
              <w:right w:val="single" w:sz="8" w:color="auto"/>
            </w:tcBorders>
            <w:vMerge w:val="continue"/>
          </w:tcPr>
          <w:p>
            <w:pPr>
              <w:spacing w:after="0"/>
              <w:rPr>
                <w:sz w:val="11"/>
                <w:szCs w:val="11"/>
                <w:color w:val="auto"/>
              </w:rPr>
            </w:pPr>
          </w:p>
        </w:tc>
        <w:tc>
          <w:tcPr>
            <w:tcW w:w="33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5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3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Gibralt US, Inc.</w:t>
            </w:r>
          </w:p>
        </w:tc>
        <w:tc>
          <w:tcPr>
            <w:tcW w:w="25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0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249,914.50</w:t>
            </w:r>
          </w:p>
        </w:tc>
        <w:tc>
          <w:tcPr>
            <w:tcW w:w="33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275</w:t>
            </w: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Bozarth LLC</w:t>
            </w:r>
          </w:p>
        </w:tc>
        <w:tc>
          <w:tcPr>
            <w:tcW w:w="25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0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49,982.90</w:t>
            </w:r>
          </w:p>
        </w:tc>
        <w:tc>
          <w:tcPr>
            <w:tcW w:w="33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55</w:t>
            </w: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Richard A Brown Trust</w:t>
            </w:r>
          </w:p>
        </w:tc>
        <w:tc>
          <w:tcPr>
            <w:tcW w:w="25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0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127,229.20</w:t>
            </w:r>
          </w:p>
        </w:tc>
        <w:tc>
          <w:tcPr>
            <w:tcW w:w="33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140</w:t>
            </w:r>
          </w:p>
        </w:tc>
        <w:tc>
          <w:tcPr>
            <w:tcW w:w="0" w:type="dxa"/>
            <w:vAlign w:val="bottom"/>
          </w:tcPr>
          <w:p>
            <w:pPr>
              <w:spacing w:after="0"/>
              <w:rPr>
                <w:sz w:val="1"/>
                <w:szCs w:val="1"/>
                <w:color w:val="auto"/>
              </w:rPr>
            </w:pPr>
          </w:p>
        </w:tc>
      </w:tr>
      <w:tr>
        <w:trPr>
          <w:trHeight w:val="696"/>
        </w:trPr>
        <w:tc>
          <w:tcPr>
            <w:tcW w:w="35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251" w:name="page252"/>
    <w:bookmarkEnd w:id="251"/>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432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2340" w:type="dxa"/>
            <w:vAlign w:val="bottom"/>
            <w:tcBorders>
              <w:top w:val="single" w:sz="8" w:color="auto"/>
              <w:right w:val="single" w:sz="8" w:color="auto"/>
            </w:tcBorders>
            <w:shd w:val="clear" w:color="auto" w:fill="D9D9D9"/>
          </w:tcPr>
          <w:p>
            <w:pPr>
              <w:spacing w:after="0"/>
              <w:rPr>
                <w:sz w:val="24"/>
                <w:szCs w:val="24"/>
                <w:color w:val="auto"/>
              </w:rPr>
            </w:pPr>
          </w:p>
        </w:tc>
        <w:tc>
          <w:tcPr>
            <w:tcW w:w="18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Purchase Price</w:t>
            </w:r>
          </w:p>
        </w:tc>
        <w:tc>
          <w:tcPr>
            <w:tcW w:w="29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 of Preferred B</w:t>
            </w:r>
          </w:p>
        </w:tc>
      </w:tr>
      <w:tr>
        <w:trPr>
          <w:trHeight w:val="230"/>
        </w:trPr>
        <w:tc>
          <w:tcPr>
            <w:tcW w:w="43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b w:val="1"/>
                <w:bCs w:val="1"/>
                <w:color w:val="auto"/>
              </w:rPr>
              <w:t>Name of Investor</w:t>
            </w:r>
          </w:p>
        </w:tc>
        <w:tc>
          <w:tcPr>
            <w:tcW w:w="234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0"/>
                <w:szCs w:val="20"/>
                <w:b w:val="1"/>
                <w:bCs w:val="1"/>
                <w:color w:val="auto"/>
              </w:rPr>
              <w:t>Address</w:t>
            </w:r>
          </w:p>
        </w:tc>
        <w:tc>
          <w:tcPr>
            <w:tcW w:w="18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at the Initial</w:t>
            </w:r>
          </w:p>
        </w:tc>
        <w:tc>
          <w:tcPr>
            <w:tcW w:w="29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Shares to be purchased</w:t>
            </w:r>
          </w:p>
        </w:tc>
      </w:tr>
      <w:tr>
        <w:trPr>
          <w:trHeight w:val="262"/>
        </w:trPr>
        <w:tc>
          <w:tcPr>
            <w:tcW w:w="4320" w:type="dxa"/>
            <w:vAlign w:val="bottom"/>
            <w:tcBorders>
              <w:left w:val="single" w:sz="8" w:color="auto"/>
              <w:right w:val="single" w:sz="8" w:color="auto"/>
            </w:tcBorders>
            <w:shd w:val="clear" w:color="auto" w:fill="D9D9D9"/>
          </w:tcPr>
          <w:p>
            <w:pPr>
              <w:spacing w:after="0"/>
              <w:rPr>
                <w:sz w:val="22"/>
                <w:szCs w:val="22"/>
                <w:color w:val="auto"/>
              </w:rPr>
            </w:pPr>
          </w:p>
        </w:tc>
        <w:tc>
          <w:tcPr>
            <w:tcW w:w="2340" w:type="dxa"/>
            <w:vAlign w:val="bottom"/>
            <w:tcBorders>
              <w:right w:val="single" w:sz="8" w:color="auto"/>
            </w:tcBorders>
            <w:shd w:val="clear" w:color="auto" w:fill="D9D9D9"/>
          </w:tcPr>
          <w:p>
            <w:pPr>
              <w:spacing w:after="0"/>
              <w:rPr>
                <w:sz w:val="22"/>
                <w:szCs w:val="22"/>
                <w:color w:val="auto"/>
              </w:rPr>
            </w:pPr>
          </w:p>
        </w:tc>
        <w:tc>
          <w:tcPr>
            <w:tcW w:w="18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Closing (in US$)</w:t>
            </w:r>
          </w:p>
        </w:tc>
        <w:tc>
          <w:tcPr>
            <w:tcW w:w="29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at the Initial Closing</w:t>
            </w:r>
          </w:p>
        </w:tc>
      </w:tr>
      <w:tr>
        <w:trPr>
          <w:trHeight w:val="89"/>
        </w:trPr>
        <w:tc>
          <w:tcPr>
            <w:tcW w:w="432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2340" w:type="dxa"/>
            <w:vAlign w:val="bottom"/>
            <w:tcBorders>
              <w:bottom w:val="single" w:sz="8" w:color="auto"/>
              <w:right w:val="single" w:sz="8" w:color="auto"/>
            </w:tcBorders>
            <w:shd w:val="clear" w:color="auto" w:fill="D9D9D9"/>
          </w:tcPr>
          <w:p>
            <w:pPr>
              <w:spacing w:after="0"/>
              <w:rPr>
                <w:sz w:val="7"/>
                <w:szCs w:val="7"/>
                <w:color w:val="auto"/>
              </w:rPr>
            </w:pPr>
          </w:p>
        </w:tc>
        <w:tc>
          <w:tcPr>
            <w:tcW w:w="1860" w:type="dxa"/>
            <w:vAlign w:val="bottom"/>
            <w:tcBorders>
              <w:bottom w:val="single" w:sz="8" w:color="auto"/>
              <w:right w:val="single" w:sz="8" w:color="auto"/>
            </w:tcBorders>
            <w:shd w:val="clear" w:color="auto" w:fill="D9D9D9"/>
          </w:tcPr>
          <w:p>
            <w:pPr>
              <w:spacing w:after="0"/>
              <w:rPr>
                <w:sz w:val="7"/>
                <w:szCs w:val="7"/>
                <w:color w:val="auto"/>
              </w:rPr>
            </w:pPr>
          </w:p>
        </w:tc>
        <w:tc>
          <w:tcPr>
            <w:tcW w:w="2900" w:type="dxa"/>
            <w:vAlign w:val="bottom"/>
            <w:tcBorders>
              <w:bottom w:val="single" w:sz="8" w:color="auto"/>
              <w:right w:val="single" w:sz="8" w:color="auto"/>
            </w:tcBorders>
            <w:shd w:val="clear" w:color="auto" w:fill="D9D9D9"/>
          </w:tcPr>
          <w:p>
            <w:pPr>
              <w:spacing w:after="0"/>
              <w:rPr>
                <w:sz w:val="7"/>
                <w:szCs w:val="7"/>
                <w:color w:val="auto"/>
              </w:rPr>
            </w:pP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Alexander J. Brown Trust</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127,229.20</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3"/>
              </w:rPr>
              <w:t>140</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Robert G. Curtin</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27,263.40</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30</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Robert G. Curtin 401k</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299,897.40</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3"/>
              </w:rPr>
              <w:t>330</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Rob DeSantis</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199,931.60</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3"/>
              </w:rPr>
              <w:t>220</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Stephen A. DiChiara</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29,989.74</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33</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James L. Dritz</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25,445.84</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28</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Norm Dumbroff</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19,993.16</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22</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Robert D. Frankel</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14,540.48</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16</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Charles Freeland</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9,996.58</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11</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John P. Funkey Revocable Trust dtd 2/26/90</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19,993.16</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22</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John O. Gallant</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39,986.32</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44</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Albert Gentile &amp; Hiedi Gentile</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29,989.74</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33</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Richard Gostanian</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49,982.90</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55</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Gubbay Investments LLC</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34,533.64</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38</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Joel L. Hochman Revocable Trust UAD 12/8/1994</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49,982.90</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55</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Edward O'Connell</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19,993.16</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22</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Michael J. Pierce</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249,914.50</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3"/>
              </w:rPr>
              <w:t>275</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Casimir S. Skrzypczak</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29,989.74</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33</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David &amp; Susan Stollwerk</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24,537.06</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27</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Howard Stringer</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24,537.06</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27</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Clayton Struve</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49,982.90</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55</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Raphael Tshibangu</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25,445.84</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28</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w w:val="99"/>
              </w:rPr>
              <w:t>The Elizabeth M. Walenczyk 2011 Revocable Trust</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99,965.80</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3"/>
              </w:rPr>
              <w:t>110</w:t>
            </w:r>
          </w:p>
        </w:tc>
      </w:tr>
      <w:tr>
        <w:trPr>
          <w:trHeight w:val="223"/>
        </w:trPr>
        <w:tc>
          <w:tcPr>
            <w:tcW w:w="4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Michael Zimmerman</w:t>
            </w:r>
          </w:p>
        </w:tc>
        <w:tc>
          <w:tcPr>
            <w:tcW w:w="234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1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18,175.60</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20</w:t>
            </w:r>
          </w:p>
        </w:tc>
      </w:tr>
      <w:tr>
        <w:trPr>
          <w:trHeight w:val="669"/>
        </w:trPr>
        <w:tc>
          <w:tcPr>
            <w:tcW w:w="43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252" w:name="page253"/>
    <w:bookmarkEnd w:id="252"/>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Deferred Closing Investors – October 25, 2017</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22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2600" w:type="dxa"/>
            <w:vAlign w:val="bottom"/>
            <w:tcBorders>
              <w:top w:val="single" w:sz="8" w:color="auto"/>
              <w:right w:val="single" w:sz="8" w:color="auto"/>
            </w:tcBorders>
            <w:shd w:val="clear" w:color="auto" w:fill="D9D9D9"/>
          </w:tcPr>
          <w:p>
            <w:pPr>
              <w:spacing w:after="0"/>
              <w:rPr>
                <w:sz w:val="24"/>
                <w:szCs w:val="24"/>
                <w:color w:val="auto"/>
              </w:rPr>
            </w:pPr>
          </w:p>
        </w:tc>
        <w:tc>
          <w:tcPr>
            <w:tcW w:w="21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Purchase Price</w:t>
            </w:r>
          </w:p>
        </w:tc>
        <w:tc>
          <w:tcPr>
            <w:tcW w:w="3500" w:type="dxa"/>
            <w:vAlign w:val="bottom"/>
            <w:tcBorders>
              <w:top w:val="single" w:sz="8" w:color="auto"/>
              <w:right w:val="single" w:sz="8" w:color="auto"/>
            </w:tcBorders>
            <w:shd w:val="clear" w:color="auto" w:fill="D9D9D9"/>
          </w:tcPr>
          <w:p>
            <w:pPr>
              <w:ind w:left="760"/>
              <w:spacing w:after="0"/>
              <w:rPr>
                <w:sz w:val="20"/>
                <w:szCs w:val="20"/>
                <w:color w:val="auto"/>
              </w:rPr>
            </w:pPr>
            <w:r>
              <w:rPr>
                <w:rFonts w:ascii="Times New Roman" w:cs="Times New Roman" w:eastAsia="Times New Roman" w:hAnsi="Times New Roman"/>
                <w:sz w:val="20"/>
                <w:szCs w:val="20"/>
                <w:b w:val="1"/>
                <w:bCs w:val="1"/>
                <w:color w:val="auto"/>
              </w:rPr>
              <w:t>Number of Preferred B</w:t>
            </w:r>
          </w:p>
        </w:tc>
      </w:tr>
      <w:tr>
        <w:trPr>
          <w:trHeight w:val="230"/>
        </w:trPr>
        <w:tc>
          <w:tcPr>
            <w:tcW w:w="32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b w:val="1"/>
                <w:bCs w:val="1"/>
                <w:color w:val="auto"/>
              </w:rPr>
              <w:t>Name of Investor</w:t>
            </w:r>
          </w:p>
        </w:tc>
        <w:tc>
          <w:tcPr>
            <w:tcW w:w="260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0"/>
                <w:szCs w:val="20"/>
                <w:b w:val="1"/>
                <w:bCs w:val="1"/>
                <w:color w:val="auto"/>
              </w:rPr>
              <w:t>Address</w:t>
            </w:r>
          </w:p>
        </w:tc>
        <w:tc>
          <w:tcPr>
            <w:tcW w:w="21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at the Deferred</w:t>
            </w:r>
          </w:p>
        </w:tc>
        <w:tc>
          <w:tcPr>
            <w:tcW w:w="3500" w:type="dxa"/>
            <w:vAlign w:val="bottom"/>
            <w:tcBorders>
              <w:right w:val="single" w:sz="8" w:color="auto"/>
            </w:tcBorders>
            <w:shd w:val="clear" w:color="auto" w:fill="D9D9D9"/>
          </w:tcPr>
          <w:p>
            <w:pPr>
              <w:ind w:left="760"/>
              <w:spacing w:after="0"/>
              <w:rPr>
                <w:sz w:val="20"/>
                <w:szCs w:val="20"/>
                <w:color w:val="auto"/>
              </w:rPr>
            </w:pPr>
            <w:r>
              <w:rPr>
                <w:rFonts w:ascii="Times New Roman" w:cs="Times New Roman" w:eastAsia="Times New Roman" w:hAnsi="Times New Roman"/>
                <w:sz w:val="20"/>
                <w:szCs w:val="20"/>
                <w:b w:val="1"/>
                <w:bCs w:val="1"/>
                <w:color w:val="auto"/>
              </w:rPr>
              <w:t>Shares to be purchased</w:t>
            </w:r>
          </w:p>
        </w:tc>
      </w:tr>
      <w:tr>
        <w:trPr>
          <w:trHeight w:val="262"/>
        </w:trPr>
        <w:tc>
          <w:tcPr>
            <w:tcW w:w="3220" w:type="dxa"/>
            <w:vAlign w:val="bottom"/>
            <w:tcBorders>
              <w:left w:val="single" w:sz="8" w:color="auto"/>
              <w:right w:val="single" w:sz="8" w:color="auto"/>
            </w:tcBorders>
            <w:shd w:val="clear" w:color="auto" w:fill="D9D9D9"/>
          </w:tcPr>
          <w:p>
            <w:pPr>
              <w:spacing w:after="0"/>
              <w:rPr>
                <w:sz w:val="22"/>
                <w:szCs w:val="22"/>
                <w:color w:val="auto"/>
              </w:rPr>
            </w:pPr>
          </w:p>
        </w:tc>
        <w:tc>
          <w:tcPr>
            <w:tcW w:w="2600" w:type="dxa"/>
            <w:vAlign w:val="bottom"/>
            <w:tcBorders>
              <w:right w:val="single" w:sz="8" w:color="auto"/>
            </w:tcBorders>
            <w:shd w:val="clear" w:color="auto" w:fill="D9D9D9"/>
          </w:tcPr>
          <w:p>
            <w:pPr>
              <w:spacing w:after="0"/>
              <w:rPr>
                <w:sz w:val="22"/>
                <w:szCs w:val="22"/>
                <w:color w:val="auto"/>
              </w:rPr>
            </w:pPr>
          </w:p>
        </w:tc>
        <w:tc>
          <w:tcPr>
            <w:tcW w:w="21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Closing (in US$)</w:t>
            </w:r>
          </w:p>
        </w:tc>
        <w:tc>
          <w:tcPr>
            <w:tcW w:w="3500" w:type="dxa"/>
            <w:vAlign w:val="bottom"/>
            <w:tcBorders>
              <w:right w:val="single" w:sz="8" w:color="auto"/>
            </w:tcBorders>
            <w:shd w:val="clear" w:color="auto" w:fill="D9D9D9"/>
          </w:tcPr>
          <w:p>
            <w:pPr>
              <w:ind w:left="760"/>
              <w:spacing w:after="0"/>
              <w:rPr>
                <w:sz w:val="20"/>
                <w:szCs w:val="20"/>
                <w:color w:val="auto"/>
              </w:rPr>
            </w:pPr>
            <w:r>
              <w:rPr>
                <w:rFonts w:ascii="Times New Roman" w:cs="Times New Roman" w:eastAsia="Times New Roman" w:hAnsi="Times New Roman"/>
                <w:sz w:val="20"/>
                <w:szCs w:val="20"/>
                <w:b w:val="1"/>
                <w:bCs w:val="1"/>
                <w:color w:val="auto"/>
              </w:rPr>
              <w:t>at the Deferred Closing</w:t>
            </w:r>
          </w:p>
        </w:tc>
      </w:tr>
      <w:tr>
        <w:trPr>
          <w:trHeight w:val="89"/>
        </w:trPr>
        <w:tc>
          <w:tcPr>
            <w:tcW w:w="322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2600" w:type="dxa"/>
            <w:vAlign w:val="bottom"/>
            <w:tcBorders>
              <w:bottom w:val="single" w:sz="8" w:color="auto"/>
              <w:right w:val="single" w:sz="8" w:color="auto"/>
            </w:tcBorders>
            <w:shd w:val="clear" w:color="auto" w:fill="D9D9D9"/>
          </w:tcPr>
          <w:p>
            <w:pPr>
              <w:spacing w:after="0"/>
              <w:rPr>
                <w:sz w:val="7"/>
                <w:szCs w:val="7"/>
                <w:color w:val="auto"/>
              </w:rPr>
            </w:pPr>
          </w:p>
        </w:tc>
        <w:tc>
          <w:tcPr>
            <w:tcW w:w="2100" w:type="dxa"/>
            <w:vAlign w:val="bottom"/>
            <w:tcBorders>
              <w:bottom w:val="single" w:sz="8" w:color="auto"/>
              <w:right w:val="single" w:sz="8" w:color="auto"/>
            </w:tcBorders>
            <w:shd w:val="clear" w:color="auto" w:fill="D9D9D9"/>
          </w:tcPr>
          <w:p>
            <w:pPr>
              <w:spacing w:after="0"/>
              <w:rPr>
                <w:sz w:val="7"/>
                <w:szCs w:val="7"/>
                <w:color w:val="auto"/>
              </w:rPr>
            </w:pPr>
          </w:p>
        </w:tc>
        <w:tc>
          <w:tcPr>
            <w:tcW w:w="3500" w:type="dxa"/>
            <w:vAlign w:val="bottom"/>
            <w:tcBorders>
              <w:bottom w:val="single" w:sz="8" w:color="auto"/>
              <w:right w:val="single" w:sz="8" w:color="auto"/>
            </w:tcBorders>
            <w:shd w:val="clear" w:color="auto" w:fill="D9D9D9"/>
          </w:tcPr>
          <w:p>
            <w:pPr>
              <w:spacing w:after="0"/>
              <w:rPr>
                <w:sz w:val="7"/>
                <w:szCs w:val="7"/>
                <w:color w:val="auto"/>
              </w:rPr>
            </w:pPr>
          </w:p>
        </w:tc>
      </w:tr>
      <w:tr>
        <w:trPr>
          <w:trHeight w:val="237"/>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Asaf Oren</w:t>
            </w:r>
          </w:p>
        </w:tc>
        <w:tc>
          <w:tcPr>
            <w:tcW w:w="260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49,982.90</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55</w:t>
            </w:r>
          </w:p>
        </w:tc>
      </w:tr>
      <w:tr>
        <w:trPr>
          <w:trHeight w:val="223"/>
        </w:trPr>
        <w:tc>
          <w:tcPr>
            <w:tcW w:w="32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Lars Bader</w:t>
            </w:r>
          </w:p>
        </w:tc>
        <w:tc>
          <w:tcPr>
            <w:tcW w:w="26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1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500,737.78</w:t>
            </w:r>
          </w:p>
        </w:tc>
        <w:tc>
          <w:tcPr>
            <w:tcW w:w="3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551</w:t>
            </w:r>
          </w:p>
        </w:tc>
      </w:tr>
      <w:tr>
        <w:trPr>
          <w:trHeight w:val="223"/>
        </w:trPr>
        <w:tc>
          <w:tcPr>
            <w:tcW w:w="32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Yisroel Brauner &amp; Chana Brauner</w:t>
            </w:r>
          </w:p>
        </w:tc>
        <w:tc>
          <w:tcPr>
            <w:tcW w:w="26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1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50,891.68</w:t>
            </w:r>
          </w:p>
        </w:tc>
        <w:tc>
          <w:tcPr>
            <w:tcW w:w="3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56</w:t>
            </w:r>
          </w:p>
        </w:tc>
      </w:tr>
      <w:tr>
        <w:trPr>
          <w:trHeight w:val="223"/>
        </w:trPr>
        <w:tc>
          <w:tcPr>
            <w:tcW w:w="32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Meryle Evans Family Trust</w:t>
            </w:r>
          </w:p>
        </w:tc>
        <w:tc>
          <w:tcPr>
            <w:tcW w:w="26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1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50,891.68</w:t>
            </w:r>
          </w:p>
        </w:tc>
        <w:tc>
          <w:tcPr>
            <w:tcW w:w="3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56</w:t>
            </w:r>
          </w:p>
        </w:tc>
      </w:tr>
      <w:tr>
        <w:trPr>
          <w:trHeight w:val="223"/>
        </w:trPr>
        <w:tc>
          <w:tcPr>
            <w:tcW w:w="32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Andrew &amp; Melissa Fisher</w:t>
            </w:r>
          </w:p>
        </w:tc>
        <w:tc>
          <w:tcPr>
            <w:tcW w:w="26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1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50,891.68</w:t>
            </w:r>
          </w:p>
        </w:tc>
        <w:tc>
          <w:tcPr>
            <w:tcW w:w="3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56</w:t>
            </w:r>
          </w:p>
        </w:tc>
      </w:tr>
      <w:tr>
        <w:trPr>
          <w:trHeight w:val="223"/>
        </w:trPr>
        <w:tc>
          <w:tcPr>
            <w:tcW w:w="32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Walter G. Gans</w:t>
            </w:r>
          </w:p>
        </w:tc>
        <w:tc>
          <w:tcPr>
            <w:tcW w:w="26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1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18,175.60</w:t>
            </w:r>
          </w:p>
        </w:tc>
        <w:tc>
          <w:tcPr>
            <w:tcW w:w="3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20</w:t>
            </w:r>
          </w:p>
        </w:tc>
      </w:tr>
      <w:tr>
        <w:trPr>
          <w:trHeight w:val="223"/>
        </w:trPr>
        <w:tc>
          <w:tcPr>
            <w:tcW w:w="32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M &amp; M Investors (Partnership)</w:t>
            </w:r>
          </w:p>
        </w:tc>
        <w:tc>
          <w:tcPr>
            <w:tcW w:w="26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1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99,965.80</w:t>
            </w:r>
          </w:p>
        </w:tc>
        <w:tc>
          <w:tcPr>
            <w:tcW w:w="3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3"/>
              </w:rPr>
              <w:t>110</w:t>
            </w:r>
          </w:p>
        </w:tc>
      </w:tr>
      <w:tr>
        <w:trPr>
          <w:trHeight w:val="223"/>
        </w:trPr>
        <w:tc>
          <w:tcPr>
            <w:tcW w:w="32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Clay Lebhar</w:t>
            </w:r>
          </w:p>
        </w:tc>
        <w:tc>
          <w:tcPr>
            <w:tcW w:w="26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1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50,891.68</w:t>
            </w:r>
          </w:p>
        </w:tc>
        <w:tc>
          <w:tcPr>
            <w:tcW w:w="3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56</w:t>
            </w:r>
          </w:p>
        </w:tc>
      </w:tr>
      <w:tr>
        <w:trPr>
          <w:trHeight w:val="200"/>
        </w:trPr>
        <w:tc>
          <w:tcPr>
            <w:tcW w:w="322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Clyde Smith McGregor &amp; LeAnn</w:t>
            </w:r>
          </w:p>
        </w:tc>
        <w:tc>
          <w:tcPr>
            <w:tcW w:w="260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r>
      <w:tr>
        <w:trPr>
          <w:trHeight w:val="230"/>
        </w:trPr>
        <w:tc>
          <w:tcPr>
            <w:tcW w:w="3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Pedersen Pope Revocable Trust</w:t>
            </w:r>
          </w:p>
        </w:tc>
        <w:tc>
          <w:tcPr>
            <w:tcW w:w="26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908,780.00</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1,000</w:t>
            </w:r>
          </w:p>
        </w:tc>
      </w:tr>
      <w:tr>
        <w:trPr>
          <w:trHeight w:val="252"/>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U/A/D 10/22/16</w:t>
            </w:r>
          </w:p>
        </w:tc>
        <w:tc>
          <w:tcPr>
            <w:tcW w:w="2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[Intentionally omitted]</w:t>
            </w:r>
          </w:p>
        </w:tc>
        <w:tc>
          <w:tcPr>
            <w:tcW w:w="2100" w:type="dxa"/>
            <w:vAlign w:val="bottom"/>
            <w:tcBorders>
              <w:bottom w:val="single" w:sz="8" w:color="auto"/>
              <w:right w:val="single" w:sz="8" w:color="auto"/>
            </w:tcBorders>
          </w:tcPr>
          <w:p>
            <w:pPr>
              <w:spacing w:after="0"/>
              <w:rPr>
                <w:sz w:val="21"/>
                <w:szCs w:val="21"/>
                <w:color w:val="auto"/>
              </w:rPr>
            </w:pPr>
          </w:p>
        </w:tc>
        <w:tc>
          <w:tcPr>
            <w:tcW w:w="3500" w:type="dxa"/>
            <w:vAlign w:val="bottom"/>
            <w:tcBorders>
              <w:bottom w:val="single" w:sz="8" w:color="auto"/>
              <w:right w:val="single" w:sz="8" w:color="auto"/>
            </w:tcBorders>
          </w:tcPr>
          <w:p>
            <w:pPr>
              <w:spacing w:after="0"/>
              <w:rPr>
                <w:sz w:val="21"/>
                <w:szCs w:val="21"/>
                <w:color w:val="auto"/>
              </w:rPr>
            </w:pPr>
          </w:p>
        </w:tc>
      </w:tr>
      <w:tr>
        <w:trPr>
          <w:trHeight w:val="223"/>
        </w:trPr>
        <w:tc>
          <w:tcPr>
            <w:tcW w:w="32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Daniel Michael</w:t>
            </w:r>
          </w:p>
        </w:tc>
        <w:tc>
          <w:tcPr>
            <w:tcW w:w="26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1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49,982.90</w:t>
            </w:r>
          </w:p>
        </w:tc>
        <w:tc>
          <w:tcPr>
            <w:tcW w:w="3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55</w:t>
            </w:r>
          </w:p>
        </w:tc>
      </w:tr>
      <w:tr>
        <w:trPr>
          <w:trHeight w:val="223"/>
        </w:trPr>
        <w:tc>
          <w:tcPr>
            <w:tcW w:w="32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Gilbert S. Omenn</w:t>
            </w:r>
          </w:p>
        </w:tc>
        <w:tc>
          <w:tcPr>
            <w:tcW w:w="26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1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100,874.58</w:t>
            </w:r>
          </w:p>
        </w:tc>
        <w:tc>
          <w:tcPr>
            <w:tcW w:w="3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3"/>
              </w:rPr>
              <w:t>111</w:t>
            </w:r>
          </w:p>
        </w:tc>
      </w:tr>
      <w:tr>
        <w:trPr>
          <w:trHeight w:val="223"/>
        </w:trPr>
        <w:tc>
          <w:tcPr>
            <w:tcW w:w="32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David M. Rickey Trust dtd 5/8/02</w:t>
            </w:r>
          </w:p>
        </w:tc>
        <w:tc>
          <w:tcPr>
            <w:tcW w:w="26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1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25,445.84</w:t>
            </w:r>
          </w:p>
        </w:tc>
        <w:tc>
          <w:tcPr>
            <w:tcW w:w="3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28</w:t>
            </w:r>
          </w:p>
        </w:tc>
      </w:tr>
      <w:tr>
        <w:trPr>
          <w:trHeight w:val="223"/>
        </w:trPr>
        <w:tc>
          <w:tcPr>
            <w:tcW w:w="32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Dyke Rogers</w:t>
            </w:r>
          </w:p>
        </w:tc>
        <w:tc>
          <w:tcPr>
            <w:tcW w:w="26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1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50,891.68</w:t>
            </w:r>
          </w:p>
        </w:tc>
        <w:tc>
          <w:tcPr>
            <w:tcW w:w="3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56</w:t>
            </w:r>
          </w:p>
        </w:tc>
      </w:tr>
      <w:tr>
        <w:trPr>
          <w:trHeight w:val="223"/>
        </w:trPr>
        <w:tc>
          <w:tcPr>
            <w:tcW w:w="32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Sack Investment Holdings SAS, LLC</w:t>
            </w:r>
          </w:p>
        </w:tc>
        <w:tc>
          <w:tcPr>
            <w:tcW w:w="26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1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49,982.90</w:t>
            </w:r>
          </w:p>
        </w:tc>
        <w:tc>
          <w:tcPr>
            <w:tcW w:w="3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55</w:t>
            </w:r>
          </w:p>
        </w:tc>
      </w:tr>
      <w:tr>
        <w:trPr>
          <w:trHeight w:val="223"/>
        </w:trPr>
        <w:tc>
          <w:tcPr>
            <w:tcW w:w="32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Sack Family Partners, LP</w:t>
            </w:r>
          </w:p>
        </w:tc>
        <w:tc>
          <w:tcPr>
            <w:tcW w:w="26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1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49,982.90</w:t>
            </w:r>
          </w:p>
        </w:tc>
        <w:tc>
          <w:tcPr>
            <w:tcW w:w="3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55</w:t>
            </w:r>
          </w:p>
        </w:tc>
      </w:tr>
      <w:tr>
        <w:trPr>
          <w:trHeight w:val="223"/>
        </w:trPr>
        <w:tc>
          <w:tcPr>
            <w:tcW w:w="32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Whiting Holdings, LP</w:t>
            </w:r>
          </w:p>
        </w:tc>
        <w:tc>
          <w:tcPr>
            <w:tcW w:w="26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1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100,874.58</w:t>
            </w:r>
          </w:p>
        </w:tc>
        <w:tc>
          <w:tcPr>
            <w:tcW w:w="3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3"/>
              </w:rPr>
              <w:t>111</w:t>
            </w:r>
          </w:p>
        </w:tc>
      </w:tr>
      <w:tr>
        <w:trPr>
          <w:trHeight w:val="669"/>
        </w:trPr>
        <w:tc>
          <w:tcPr>
            <w:tcW w:w="3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253" w:name="page254"/>
    <w:bookmarkEnd w:id="253"/>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Second Deferred Closing Investors – December 18, 2017</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32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2860" w:type="dxa"/>
            <w:vAlign w:val="bottom"/>
            <w:tcBorders>
              <w:top w:val="single" w:sz="8" w:color="auto"/>
              <w:right w:val="single" w:sz="8" w:color="auto"/>
            </w:tcBorders>
            <w:shd w:val="clear" w:color="auto" w:fill="D9D9D9"/>
          </w:tcPr>
          <w:p>
            <w:pPr>
              <w:spacing w:after="0"/>
              <w:rPr>
                <w:sz w:val="24"/>
                <w:szCs w:val="24"/>
                <w:color w:val="auto"/>
              </w:rPr>
            </w:pPr>
          </w:p>
        </w:tc>
        <w:tc>
          <w:tcPr>
            <w:tcW w:w="22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Purchase Price</w:t>
            </w:r>
          </w:p>
        </w:tc>
        <w:tc>
          <w:tcPr>
            <w:tcW w:w="3980" w:type="dxa"/>
            <w:vAlign w:val="bottom"/>
            <w:tcBorders>
              <w:top w:val="single" w:sz="8" w:color="auto"/>
              <w:right w:val="single" w:sz="8" w:color="auto"/>
            </w:tcBorders>
            <w:shd w:val="clear" w:color="auto" w:fill="D9D9D9"/>
          </w:tcPr>
          <w:p>
            <w:pPr>
              <w:ind w:left="1000"/>
              <w:spacing w:after="0"/>
              <w:rPr>
                <w:sz w:val="20"/>
                <w:szCs w:val="20"/>
                <w:color w:val="auto"/>
              </w:rPr>
            </w:pPr>
            <w:r>
              <w:rPr>
                <w:rFonts w:ascii="Times New Roman" w:cs="Times New Roman" w:eastAsia="Times New Roman" w:hAnsi="Times New Roman"/>
                <w:sz w:val="20"/>
                <w:szCs w:val="20"/>
                <w:b w:val="1"/>
                <w:bCs w:val="1"/>
                <w:color w:val="auto"/>
              </w:rPr>
              <w:t>Number of Preferred B</w:t>
            </w:r>
          </w:p>
        </w:tc>
      </w:tr>
      <w:tr>
        <w:trPr>
          <w:trHeight w:val="230"/>
        </w:trPr>
        <w:tc>
          <w:tcPr>
            <w:tcW w:w="23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b w:val="1"/>
                <w:bCs w:val="1"/>
                <w:color w:val="auto"/>
              </w:rPr>
              <w:t>Name of Investor</w:t>
            </w:r>
          </w:p>
        </w:tc>
        <w:tc>
          <w:tcPr>
            <w:tcW w:w="286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0"/>
                <w:szCs w:val="20"/>
                <w:b w:val="1"/>
                <w:bCs w:val="1"/>
                <w:color w:val="auto"/>
              </w:rPr>
              <w:t>Address</w:t>
            </w:r>
          </w:p>
        </w:tc>
        <w:tc>
          <w:tcPr>
            <w:tcW w:w="22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at the Deferred</w:t>
            </w:r>
          </w:p>
        </w:tc>
        <w:tc>
          <w:tcPr>
            <w:tcW w:w="3980" w:type="dxa"/>
            <w:vAlign w:val="bottom"/>
            <w:tcBorders>
              <w:right w:val="single" w:sz="8" w:color="auto"/>
            </w:tcBorders>
            <w:shd w:val="clear" w:color="auto" w:fill="D9D9D9"/>
          </w:tcPr>
          <w:p>
            <w:pPr>
              <w:ind w:left="1000"/>
              <w:spacing w:after="0"/>
              <w:rPr>
                <w:sz w:val="20"/>
                <w:szCs w:val="20"/>
                <w:color w:val="auto"/>
              </w:rPr>
            </w:pPr>
            <w:r>
              <w:rPr>
                <w:rFonts w:ascii="Times New Roman" w:cs="Times New Roman" w:eastAsia="Times New Roman" w:hAnsi="Times New Roman"/>
                <w:sz w:val="20"/>
                <w:szCs w:val="20"/>
                <w:b w:val="1"/>
                <w:bCs w:val="1"/>
                <w:color w:val="auto"/>
              </w:rPr>
              <w:t>Shares to be purchased</w:t>
            </w:r>
          </w:p>
        </w:tc>
      </w:tr>
      <w:tr>
        <w:trPr>
          <w:trHeight w:val="262"/>
        </w:trPr>
        <w:tc>
          <w:tcPr>
            <w:tcW w:w="2320" w:type="dxa"/>
            <w:vAlign w:val="bottom"/>
            <w:tcBorders>
              <w:left w:val="single" w:sz="8" w:color="auto"/>
              <w:right w:val="single" w:sz="8" w:color="auto"/>
            </w:tcBorders>
            <w:shd w:val="clear" w:color="auto" w:fill="D9D9D9"/>
          </w:tcPr>
          <w:p>
            <w:pPr>
              <w:spacing w:after="0"/>
              <w:rPr>
                <w:sz w:val="22"/>
                <w:szCs w:val="22"/>
                <w:color w:val="auto"/>
              </w:rPr>
            </w:pPr>
          </w:p>
        </w:tc>
        <w:tc>
          <w:tcPr>
            <w:tcW w:w="2860" w:type="dxa"/>
            <w:vAlign w:val="bottom"/>
            <w:tcBorders>
              <w:right w:val="single" w:sz="8" w:color="auto"/>
            </w:tcBorders>
            <w:shd w:val="clear" w:color="auto" w:fill="D9D9D9"/>
          </w:tcPr>
          <w:p>
            <w:pPr>
              <w:spacing w:after="0"/>
              <w:rPr>
                <w:sz w:val="22"/>
                <w:szCs w:val="22"/>
                <w:color w:val="auto"/>
              </w:rPr>
            </w:pPr>
          </w:p>
        </w:tc>
        <w:tc>
          <w:tcPr>
            <w:tcW w:w="22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Closing (in US$)</w:t>
            </w:r>
          </w:p>
        </w:tc>
        <w:tc>
          <w:tcPr>
            <w:tcW w:w="3980" w:type="dxa"/>
            <w:vAlign w:val="bottom"/>
            <w:tcBorders>
              <w:right w:val="single" w:sz="8" w:color="auto"/>
            </w:tcBorders>
            <w:shd w:val="clear" w:color="auto" w:fill="D9D9D9"/>
          </w:tcPr>
          <w:p>
            <w:pPr>
              <w:ind w:left="1000"/>
              <w:spacing w:after="0"/>
              <w:rPr>
                <w:sz w:val="20"/>
                <w:szCs w:val="20"/>
                <w:color w:val="auto"/>
              </w:rPr>
            </w:pPr>
            <w:r>
              <w:rPr>
                <w:rFonts w:ascii="Times New Roman" w:cs="Times New Roman" w:eastAsia="Times New Roman" w:hAnsi="Times New Roman"/>
                <w:sz w:val="20"/>
                <w:szCs w:val="20"/>
                <w:b w:val="1"/>
                <w:bCs w:val="1"/>
                <w:color w:val="auto"/>
              </w:rPr>
              <w:t>at the Deferred Closing</w:t>
            </w:r>
          </w:p>
        </w:tc>
      </w:tr>
      <w:tr>
        <w:trPr>
          <w:trHeight w:val="89"/>
        </w:trPr>
        <w:tc>
          <w:tcPr>
            <w:tcW w:w="232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2860" w:type="dxa"/>
            <w:vAlign w:val="bottom"/>
            <w:tcBorders>
              <w:bottom w:val="single" w:sz="8" w:color="auto"/>
              <w:right w:val="single" w:sz="8" w:color="auto"/>
            </w:tcBorders>
            <w:shd w:val="clear" w:color="auto" w:fill="D9D9D9"/>
          </w:tcPr>
          <w:p>
            <w:pPr>
              <w:spacing w:after="0"/>
              <w:rPr>
                <w:sz w:val="7"/>
                <w:szCs w:val="7"/>
                <w:color w:val="auto"/>
              </w:rPr>
            </w:pPr>
          </w:p>
        </w:tc>
        <w:tc>
          <w:tcPr>
            <w:tcW w:w="2260" w:type="dxa"/>
            <w:vAlign w:val="bottom"/>
            <w:tcBorders>
              <w:bottom w:val="single" w:sz="8" w:color="auto"/>
              <w:right w:val="single" w:sz="8" w:color="auto"/>
            </w:tcBorders>
            <w:shd w:val="clear" w:color="auto" w:fill="D9D9D9"/>
          </w:tcPr>
          <w:p>
            <w:pPr>
              <w:spacing w:after="0"/>
              <w:rPr>
                <w:sz w:val="7"/>
                <w:szCs w:val="7"/>
                <w:color w:val="auto"/>
              </w:rPr>
            </w:pPr>
          </w:p>
        </w:tc>
        <w:tc>
          <w:tcPr>
            <w:tcW w:w="3980" w:type="dxa"/>
            <w:vAlign w:val="bottom"/>
            <w:tcBorders>
              <w:bottom w:val="single" w:sz="8" w:color="auto"/>
              <w:right w:val="single" w:sz="8" w:color="auto"/>
            </w:tcBorders>
            <w:shd w:val="clear" w:color="auto" w:fill="D9D9D9"/>
          </w:tcPr>
          <w:p>
            <w:pPr>
              <w:spacing w:after="0"/>
              <w:rPr>
                <w:sz w:val="7"/>
                <w:szCs w:val="7"/>
                <w:color w:val="auto"/>
              </w:rPr>
            </w:pPr>
          </w:p>
        </w:tc>
      </w:tr>
      <w:tr>
        <w:trPr>
          <w:trHeight w:val="223"/>
        </w:trPr>
        <w:tc>
          <w:tcPr>
            <w:tcW w:w="2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Jan Arnett</w:t>
            </w:r>
          </w:p>
        </w:tc>
        <w:tc>
          <w:tcPr>
            <w:tcW w:w="2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260" w:type="dxa"/>
            <w:vAlign w:val="bottom"/>
            <w:tcBorders>
              <w:bottom w:val="single" w:sz="8" w:color="auto"/>
              <w:right w:val="single" w:sz="8" w:color="auto"/>
            </w:tcBorders>
          </w:tcPr>
          <w:p>
            <w:pPr>
              <w:jc w:val="right"/>
              <w:ind w:right="1181"/>
              <w:spacing w:after="0" w:line="223" w:lineRule="exact"/>
              <w:rPr>
                <w:sz w:val="20"/>
                <w:szCs w:val="20"/>
                <w:color w:val="auto"/>
              </w:rPr>
            </w:pPr>
            <w:r>
              <w:rPr>
                <w:rFonts w:ascii="Times New Roman" w:cs="Times New Roman" w:eastAsia="Times New Roman" w:hAnsi="Times New Roman"/>
                <w:sz w:val="20"/>
                <w:szCs w:val="20"/>
                <w:color w:val="auto"/>
              </w:rPr>
              <w:t>100,874.58</w:t>
            </w:r>
          </w:p>
        </w:tc>
        <w:tc>
          <w:tcPr>
            <w:tcW w:w="3980" w:type="dxa"/>
            <w:vAlign w:val="bottom"/>
            <w:tcBorders>
              <w:bottom w:val="single" w:sz="8" w:color="auto"/>
              <w:right w:val="single" w:sz="8" w:color="auto"/>
            </w:tcBorders>
          </w:tcPr>
          <w:p>
            <w:pPr>
              <w:jc w:val="right"/>
              <w:ind w:right="1761"/>
              <w:spacing w:after="0" w:line="223" w:lineRule="exact"/>
              <w:rPr>
                <w:sz w:val="20"/>
                <w:szCs w:val="20"/>
                <w:color w:val="auto"/>
              </w:rPr>
            </w:pPr>
            <w:r>
              <w:rPr>
                <w:rFonts w:ascii="Times New Roman" w:cs="Times New Roman" w:eastAsia="Times New Roman" w:hAnsi="Times New Roman"/>
                <w:sz w:val="20"/>
                <w:szCs w:val="20"/>
                <w:color w:val="auto"/>
              </w:rPr>
              <w:t>111</w:t>
            </w:r>
          </w:p>
        </w:tc>
      </w:tr>
      <w:tr>
        <w:trPr>
          <w:trHeight w:val="223"/>
        </w:trPr>
        <w:tc>
          <w:tcPr>
            <w:tcW w:w="2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Lars Bader</w:t>
            </w:r>
          </w:p>
        </w:tc>
        <w:tc>
          <w:tcPr>
            <w:tcW w:w="286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[Intentionally omitted]</w:t>
            </w:r>
          </w:p>
        </w:tc>
        <w:tc>
          <w:tcPr>
            <w:tcW w:w="2260" w:type="dxa"/>
            <w:vAlign w:val="bottom"/>
            <w:tcBorders>
              <w:bottom w:val="single" w:sz="8" w:color="auto"/>
              <w:right w:val="single" w:sz="8" w:color="auto"/>
            </w:tcBorders>
          </w:tcPr>
          <w:p>
            <w:pPr>
              <w:jc w:val="right"/>
              <w:ind w:right="1181"/>
              <w:spacing w:after="0" w:line="223" w:lineRule="exact"/>
              <w:rPr>
                <w:sz w:val="20"/>
                <w:szCs w:val="20"/>
                <w:color w:val="auto"/>
              </w:rPr>
            </w:pPr>
            <w:r>
              <w:rPr>
                <w:rFonts w:ascii="Times New Roman" w:cs="Times New Roman" w:eastAsia="Times New Roman" w:hAnsi="Times New Roman"/>
                <w:sz w:val="20"/>
                <w:szCs w:val="20"/>
                <w:color w:val="auto"/>
              </w:rPr>
              <w:t>500,737.78</w:t>
            </w:r>
          </w:p>
        </w:tc>
        <w:tc>
          <w:tcPr>
            <w:tcW w:w="3980" w:type="dxa"/>
            <w:vAlign w:val="bottom"/>
            <w:tcBorders>
              <w:bottom w:val="single" w:sz="8" w:color="auto"/>
              <w:right w:val="single" w:sz="8" w:color="auto"/>
            </w:tcBorders>
          </w:tcPr>
          <w:p>
            <w:pPr>
              <w:jc w:val="right"/>
              <w:ind w:right="1761"/>
              <w:spacing w:after="0" w:line="223" w:lineRule="exact"/>
              <w:rPr>
                <w:sz w:val="20"/>
                <w:szCs w:val="20"/>
                <w:color w:val="auto"/>
              </w:rPr>
            </w:pPr>
            <w:r>
              <w:rPr>
                <w:rFonts w:ascii="Times New Roman" w:cs="Times New Roman" w:eastAsia="Times New Roman" w:hAnsi="Times New Roman"/>
                <w:sz w:val="20"/>
                <w:szCs w:val="20"/>
                <w:color w:val="auto"/>
              </w:rPr>
              <w:t>551</w:t>
            </w:r>
          </w:p>
        </w:tc>
      </w:tr>
      <w:tr>
        <w:trPr>
          <w:trHeight w:val="669"/>
        </w:trPr>
        <w:tc>
          <w:tcPr>
            <w:tcW w:w="2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22"/>
          <w:szCs w:val="22"/>
          <w:b w:val="1"/>
          <w:bCs w:val="1"/>
          <w:color w:val="auto"/>
        </w:rPr>
        <w:t>Exhibit 10.17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TO SERIES B PREFERRED SHARE PURCHASE AGREEMENT</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This Amendment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to that certain Series B Share Purchase Agreement dated as of October 4, 2017 (the “</w:t>
      </w:r>
      <w:r>
        <w:rPr>
          <w:rFonts w:ascii="Times New Roman" w:cs="Times New Roman" w:eastAsia="Times New Roman" w:hAnsi="Times New Roman"/>
          <w:sz w:val="22"/>
          <w:szCs w:val="22"/>
          <w:b w:val="1"/>
          <w:bCs w:val="1"/>
          <w:color w:val="auto"/>
        </w:rPr>
        <w:t>SPA</w:t>
      </w:r>
      <w:r>
        <w:rPr>
          <w:rFonts w:ascii="Times New Roman" w:cs="Times New Roman" w:eastAsia="Times New Roman" w:hAnsi="Times New Roman"/>
          <w:sz w:val="22"/>
          <w:szCs w:val="22"/>
          <w:color w:val="auto"/>
        </w:rPr>
        <w:t>”), by and between Entera Bio Ltd., an Israeli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the Investors whose names are listed in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therein, is entered into as of December 18, 2017.</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and the Investors holding the majority of the Purchase Price (including by way of assignment), including D.N.A Biomedical Solutions Ltd. wish to amend certain terms of the SPA as detailed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NOW, THEREFORE, in consideration of the mutual promises and covenants set forth herein, the parties hereby agree as follows: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All capitalized terms not otherwise defined herein shall have the meanings ascribed to them in the SPA.</w:t>
      </w:r>
    </w:p>
    <w:p>
      <w:pPr>
        <w:spacing w:after="0" w:line="206" w:lineRule="exact"/>
        <w:rPr>
          <w:sz w:val="20"/>
          <w:szCs w:val="20"/>
          <w:color w:val="auto"/>
        </w:rPr>
      </w:pPr>
    </w:p>
    <w:p>
      <w:pPr>
        <w:jc w:val="both"/>
        <w:ind w:left="340" w:hanging="332"/>
        <w:spacing w:after="0" w:line="246" w:lineRule="auto"/>
        <w:tabs>
          <w:tab w:leader="none" w:pos="34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SPA, including Sections 1.3 and 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may affect one or more Deferred Closings, at such date, time and place as the Company’s Board of Directors shall determine at its sole discretion, provided that the last Deferred Closing shall occur no later than January 10, 2018.</w:t>
      </w:r>
    </w:p>
    <w:p>
      <w:pPr>
        <w:spacing w:after="0" w:line="171" w:lineRule="exact"/>
        <w:rPr>
          <w:rFonts w:ascii="Times New Roman" w:cs="Times New Roman" w:eastAsia="Times New Roman" w:hAnsi="Times New Roman"/>
          <w:sz w:val="22"/>
          <w:szCs w:val="22"/>
          <w:color w:val="auto"/>
        </w:rPr>
      </w:pPr>
    </w:p>
    <w:p>
      <w:pPr>
        <w:ind w:left="340" w:hanging="332"/>
        <w:spacing w:after="0" w:line="258" w:lineRule="auto"/>
        <w:tabs>
          <w:tab w:leader="none" w:pos="34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SPA, the aggregate amount to be invested by Deferred Investors at the Deferred Closings between the date hereof and January 10, 2018 shall not exceed US $1,000,000.</w:t>
      </w:r>
    </w:p>
    <w:p>
      <w:pPr>
        <w:spacing w:after="0" w:line="158" w:lineRule="exact"/>
        <w:rPr>
          <w:rFonts w:ascii="Times New Roman" w:cs="Times New Roman" w:eastAsia="Times New Roman" w:hAnsi="Times New Roman"/>
          <w:sz w:val="22"/>
          <w:szCs w:val="22"/>
          <w:color w:val="auto"/>
        </w:rPr>
      </w:pPr>
    </w:p>
    <w:p>
      <w:pPr>
        <w:jc w:val="both"/>
        <w:ind w:left="340" w:hanging="332"/>
        <w:spacing w:after="0" w:line="239" w:lineRule="auto"/>
        <w:tabs>
          <w:tab w:leader="none" w:pos="34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consitutes an amendment pursuant to the provisions of Section 9.5 of the SPA. By executing and delivering this Amendment, the Parties hereto, constituting the required majority pursuant to Section 9.5 of the SPA, acknowledge and agree to amend the SPA as per the provisions of this Amendment with immediate effect. Except as expressly amended under this Amendment, the terms and conditions of the SPA shall remain in full force and effect.</w:t>
      </w:r>
    </w:p>
    <w:p>
      <w:pPr>
        <w:spacing w:after="0" w:line="180" w:lineRule="exact"/>
        <w:rPr>
          <w:rFonts w:ascii="Times New Roman" w:cs="Times New Roman" w:eastAsia="Times New Roman" w:hAnsi="Times New Roman"/>
          <w:sz w:val="22"/>
          <w:szCs w:val="22"/>
          <w:color w:val="auto"/>
        </w:rPr>
      </w:pPr>
    </w:p>
    <w:p>
      <w:pPr>
        <w:ind w:left="340" w:hanging="332"/>
        <w:spacing w:after="0" w:line="258" w:lineRule="auto"/>
        <w:tabs>
          <w:tab w:leader="none" w:pos="34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 inconsistency between this Amendment and the SPA, the terms of this Amendment shall prevail. This Amendment shall be subject to the terms of Section 9 of the SPA (“</w:t>
      </w: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 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55" w:name="page256"/>
    <w:bookmarkEnd w:id="255"/>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5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have signed this Amendment to the Series B Preferred Share Purchase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date first hereinabove set forth.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Company: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9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 Phillip M. Schwartz</w:t>
            </w:r>
          </w:p>
        </w:tc>
        <w:tc>
          <w:tcPr>
            <w:tcW w:w="0" w:type="dxa"/>
            <w:vAlign w:val="bottom"/>
          </w:tcPr>
          <w:p>
            <w:pPr>
              <w:spacing w:after="0"/>
              <w:rPr>
                <w:sz w:val="1"/>
                <w:szCs w:val="1"/>
                <w:color w:val="auto"/>
              </w:rPr>
            </w:pPr>
          </w:p>
        </w:tc>
      </w:tr>
      <w:tr>
        <w:trPr>
          <w:trHeight w:val="27"/>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0" w:type="dxa"/>
            <w:vAlign w:val="bottom"/>
            <w:vMerge w:val="continue"/>
          </w:tcPr>
          <w:p>
            <w:pPr>
              <w:spacing w:after="0"/>
              <w:rPr>
                <w:sz w:val="18"/>
                <w:szCs w:val="18"/>
                <w:color w:val="auto"/>
              </w:rPr>
            </w:pPr>
          </w:p>
        </w:tc>
        <w:tc>
          <w:tcPr>
            <w:tcW w:w="49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Phillip M. Schwartz</w:t>
            </w:r>
          </w:p>
        </w:tc>
        <w:tc>
          <w:tcPr>
            <w:tcW w:w="0" w:type="dxa"/>
            <w:vAlign w:val="bottom"/>
          </w:tcPr>
          <w:p>
            <w:pPr>
              <w:spacing w:after="0"/>
              <w:rPr>
                <w:sz w:val="1"/>
                <w:szCs w:val="1"/>
                <w:color w:val="auto"/>
              </w:rPr>
            </w:pPr>
          </w:p>
        </w:tc>
      </w:tr>
      <w:tr>
        <w:trPr>
          <w:trHeight w:val="27"/>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vMerge w:val="continue"/>
          </w:tcPr>
          <w:p>
            <w:pPr>
              <w:spacing w:after="0"/>
              <w:rPr>
                <w:sz w:val="20"/>
                <w:szCs w:val="20"/>
                <w:color w:val="auto"/>
              </w:rPr>
            </w:pPr>
          </w:p>
        </w:tc>
        <w:tc>
          <w:tcPr>
            <w:tcW w:w="4900" w:type="dxa"/>
            <w:vAlign w:val="bottom"/>
            <w:tcBorders>
              <w:bottom w:val="single" w:sz="8" w:color="auto"/>
            </w:tcBorders>
          </w:tcPr>
          <w:p>
            <w:pPr>
              <w:ind w:left="160"/>
              <w:spacing w:after="0" w:line="237" w:lineRule="exact"/>
              <w:rPr>
                <w:sz w:val="20"/>
                <w:szCs w:val="20"/>
                <w:color w:val="auto"/>
              </w:rPr>
            </w:pPr>
            <w:r>
              <w:rPr>
                <w:rFonts w:ascii="Times New Roman" w:cs="Times New Roman" w:eastAsia="Times New Roman" w:hAnsi="Times New Roman"/>
                <w:sz w:val="22"/>
                <w:szCs w:val="22"/>
                <w:color w:val="auto"/>
              </w:rPr>
              <w:t>CEO</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Entera Bio Ltd. Series B SPA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256" w:name="page257"/>
    <w:bookmarkEnd w:id="256"/>
    <w:p>
      <w:pPr>
        <w:ind w:left="5680"/>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2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The Shareholder:</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2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D.N.A. Biomedical Solutions Ltd.</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4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 Yonatan Malca</w:t>
            </w:r>
          </w:p>
        </w:tc>
        <w:tc>
          <w:tcPr>
            <w:tcW w:w="24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 Zeev Bronfeld</w:t>
            </w:r>
          </w:p>
        </w:tc>
        <w:tc>
          <w:tcPr>
            <w:tcW w:w="0" w:type="dxa"/>
            <w:vAlign w:val="bottom"/>
          </w:tcPr>
          <w:p>
            <w:pPr>
              <w:spacing w:after="0"/>
              <w:rPr>
                <w:sz w:val="1"/>
                <w:szCs w:val="1"/>
                <w:color w:val="auto"/>
              </w:rPr>
            </w:pPr>
          </w:p>
        </w:tc>
      </w:tr>
      <w:tr>
        <w:trPr>
          <w:trHeight w:val="27"/>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24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0" w:type="dxa"/>
            <w:vAlign w:val="bottom"/>
            <w:vMerge w:val="continue"/>
          </w:tcPr>
          <w:p>
            <w:pPr>
              <w:spacing w:after="0"/>
              <w:rPr>
                <w:sz w:val="18"/>
                <w:szCs w:val="18"/>
                <w:color w:val="auto"/>
              </w:rPr>
            </w:pPr>
          </w:p>
        </w:tc>
        <w:tc>
          <w:tcPr>
            <w:tcW w:w="244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Yonatan Malca</w:t>
            </w:r>
          </w:p>
        </w:tc>
        <w:tc>
          <w:tcPr>
            <w:tcW w:w="2460" w:type="dxa"/>
            <w:vAlign w:val="bottom"/>
          </w:tcPr>
          <w:p>
            <w:pPr>
              <w:ind w:left="240"/>
              <w:spacing w:after="0" w:line="209" w:lineRule="exact"/>
              <w:rPr>
                <w:sz w:val="20"/>
                <w:szCs w:val="20"/>
                <w:color w:val="auto"/>
              </w:rPr>
            </w:pPr>
            <w:r>
              <w:rPr>
                <w:rFonts w:ascii="Times New Roman" w:cs="Times New Roman" w:eastAsia="Times New Roman" w:hAnsi="Times New Roman"/>
                <w:sz w:val="22"/>
                <w:szCs w:val="22"/>
                <w:color w:val="auto"/>
              </w:rPr>
              <w:t>Zeev Bronfeld</w:t>
            </w:r>
          </w:p>
        </w:tc>
        <w:tc>
          <w:tcPr>
            <w:tcW w:w="0" w:type="dxa"/>
            <w:vAlign w:val="bottom"/>
          </w:tcPr>
          <w:p>
            <w:pPr>
              <w:spacing w:after="0"/>
              <w:rPr>
                <w:sz w:val="1"/>
                <w:szCs w:val="1"/>
                <w:color w:val="auto"/>
              </w:rPr>
            </w:pPr>
          </w:p>
        </w:tc>
      </w:tr>
      <w:tr>
        <w:trPr>
          <w:trHeight w:val="27"/>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24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vMerge w:val="continue"/>
          </w:tcPr>
          <w:p>
            <w:pPr>
              <w:spacing w:after="0"/>
              <w:rPr>
                <w:sz w:val="20"/>
                <w:szCs w:val="20"/>
                <w:color w:val="auto"/>
              </w:rPr>
            </w:pPr>
          </w:p>
        </w:tc>
        <w:tc>
          <w:tcPr>
            <w:tcW w:w="2440" w:type="dxa"/>
            <w:vAlign w:val="bottom"/>
            <w:tcBorders>
              <w:bottom w:val="single" w:sz="8" w:color="auto"/>
            </w:tcBorders>
          </w:tcPr>
          <w:p>
            <w:pPr>
              <w:ind w:left="320"/>
              <w:spacing w:after="0" w:line="237" w:lineRule="exact"/>
              <w:rPr>
                <w:sz w:val="20"/>
                <w:szCs w:val="20"/>
                <w:color w:val="auto"/>
              </w:rPr>
            </w:pPr>
            <w:r>
              <w:rPr>
                <w:rFonts w:ascii="Times New Roman" w:cs="Times New Roman" w:eastAsia="Times New Roman" w:hAnsi="Times New Roman"/>
                <w:sz w:val="22"/>
                <w:szCs w:val="22"/>
                <w:color w:val="auto"/>
              </w:rPr>
              <w:t>CEO</w:t>
            </w:r>
          </w:p>
        </w:tc>
        <w:tc>
          <w:tcPr>
            <w:tcW w:w="2460" w:type="dxa"/>
            <w:vAlign w:val="bottom"/>
            <w:tcBorders>
              <w:bottom w:val="single" w:sz="8" w:color="auto"/>
            </w:tcBorders>
          </w:tcPr>
          <w:p>
            <w:pPr>
              <w:ind w:left="400"/>
              <w:spacing w:after="0" w:line="237" w:lineRule="exact"/>
              <w:rPr>
                <w:sz w:val="20"/>
                <w:szCs w:val="20"/>
                <w:color w:val="auto"/>
              </w:rPr>
            </w:pPr>
            <w:r>
              <w:rPr>
                <w:rFonts w:ascii="Times New Roman" w:cs="Times New Roman" w:eastAsia="Times New Roman" w:hAnsi="Times New Roman"/>
                <w:sz w:val="22"/>
                <w:szCs w:val="22"/>
                <w:color w:val="auto"/>
              </w:rPr>
              <w:t>Director</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right"/>
        <w:ind w:right="1819"/>
        <w:spacing w:after="0"/>
        <w:rPr>
          <w:sz w:val="20"/>
          <w:szCs w:val="20"/>
          <w:color w:val="auto"/>
        </w:rPr>
      </w:pPr>
      <w:r>
        <w:rPr>
          <w:rFonts w:ascii="Times New Roman" w:cs="Times New Roman" w:eastAsia="Times New Roman" w:hAnsi="Times New Roman"/>
          <w:sz w:val="22"/>
          <w:szCs w:val="22"/>
          <w:i w:val="1"/>
          <w:iCs w:val="1"/>
          <w:color w:val="auto"/>
        </w:rPr>
        <w:t>[Signature Page to Entera Bio Ltd. Series B SPA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714"/>
        </w:trPr>
        <w:tc>
          <w:tcPr>
            <w:tcW w:w="2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The Shareholder:</w:t>
            </w: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Capital Point Ltd.</w:t>
            </w: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/s/Yossi Tamar</w:t>
            </w:r>
          </w:p>
        </w:tc>
        <w:tc>
          <w:tcPr>
            <w:tcW w:w="2880" w:type="dxa"/>
            <w:vAlign w:val="bottom"/>
            <w:gridSpan w:val="2"/>
          </w:tcPr>
          <w:p>
            <w:pPr>
              <w:jc w:val="center"/>
              <w:ind w:right="540"/>
              <w:spacing w:after="0"/>
              <w:rPr>
                <w:sz w:val="20"/>
                <w:szCs w:val="20"/>
                <w:color w:val="auto"/>
              </w:rPr>
            </w:pPr>
            <w:r>
              <w:rPr>
                <w:rFonts w:ascii="Times New Roman" w:cs="Times New Roman" w:eastAsia="Times New Roman" w:hAnsi="Times New Roman"/>
                <w:sz w:val="22"/>
                <w:szCs w:val="22"/>
                <w:color w:val="auto"/>
                <w:w w:val="96"/>
              </w:rPr>
              <w:t>/s/ Shay Lior</w:t>
            </w:r>
          </w:p>
        </w:tc>
        <w:tc>
          <w:tcPr>
            <w:tcW w:w="0" w:type="dxa"/>
            <w:vAlign w:val="bottom"/>
          </w:tcPr>
          <w:p>
            <w:pPr>
              <w:spacing w:after="0"/>
              <w:rPr>
                <w:sz w:val="1"/>
                <w:szCs w:val="1"/>
                <w:color w:val="auto"/>
              </w:rPr>
            </w:pPr>
          </w:p>
        </w:tc>
      </w:tr>
      <w:tr>
        <w:trPr>
          <w:trHeight w:val="27"/>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2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0" w:type="dxa"/>
            <w:vAlign w:val="bottom"/>
            <w:vMerge w:val="continue"/>
          </w:tcPr>
          <w:p>
            <w:pPr>
              <w:spacing w:after="0"/>
              <w:rPr>
                <w:sz w:val="18"/>
                <w:szCs w:val="18"/>
                <w:color w:val="auto"/>
              </w:rPr>
            </w:pPr>
          </w:p>
        </w:tc>
        <w:tc>
          <w:tcPr>
            <w:tcW w:w="2060" w:type="dxa"/>
            <w:vAlign w:val="bottom"/>
          </w:tcPr>
          <w:p>
            <w:pPr>
              <w:ind w:left="320"/>
              <w:spacing w:after="0" w:line="209" w:lineRule="exact"/>
              <w:rPr>
                <w:sz w:val="20"/>
                <w:szCs w:val="20"/>
                <w:color w:val="auto"/>
              </w:rPr>
            </w:pPr>
            <w:r>
              <w:rPr>
                <w:rFonts w:ascii="Times New Roman" w:cs="Times New Roman" w:eastAsia="Times New Roman" w:hAnsi="Times New Roman"/>
                <w:sz w:val="22"/>
                <w:szCs w:val="22"/>
                <w:color w:val="auto"/>
              </w:rPr>
              <w:t>Yossi Tamar</w:t>
            </w:r>
          </w:p>
        </w:tc>
        <w:tc>
          <w:tcPr>
            <w:tcW w:w="2840" w:type="dxa"/>
            <w:vAlign w:val="bottom"/>
          </w:tcPr>
          <w:p>
            <w:pPr>
              <w:ind w:left="780"/>
              <w:spacing w:after="0" w:line="209" w:lineRule="exact"/>
              <w:rPr>
                <w:sz w:val="20"/>
                <w:szCs w:val="20"/>
                <w:color w:val="auto"/>
              </w:rPr>
            </w:pPr>
            <w:r>
              <w:rPr>
                <w:rFonts w:ascii="Times New Roman" w:cs="Times New Roman" w:eastAsia="Times New Roman" w:hAnsi="Times New Roman"/>
                <w:sz w:val="22"/>
                <w:szCs w:val="22"/>
                <w:color w:val="auto"/>
              </w:rPr>
              <w:t>Shay Lior</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2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vMerge w:val="continue"/>
          </w:tcPr>
          <w:p>
            <w:pPr>
              <w:spacing w:after="0"/>
              <w:rPr>
                <w:sz w:val="20"/>
                <w:szCs w:val="20"/>
                <w:color w:val="auto"/>
              </w:rPr>
            </w:pPr>
          </w:p>
        </w:tc>
        <w:tc>
          <w:tcPr>
            <w:tcW w:w="2060" w:type="dxa"/>
            <w:vAlign w:val="bottom"/>
            <w:tcBorders>
              <w:bottom w:val="single" w:sz="8" w:color="auto"/>
            </w:tcBorders>
          </w:tcPr>
          <w:p>
            <w:pPr>
              <w:ind w:left="480"/>
              <w:spacing w:after="0" w:line="237" w:lineRule="exact"/>
              <w:rPr>
                <w:sz w:val="20"/>
                <w:szCs w:val="20"/>
                <w:color w:val="auto"/>
              </w:rPr>
            </w:pPr>
            <w:r>
              <w:rPr>
                <w:rFonts w:ascii="Times New Roman" w:cs="Times New Roman" w:eastAsia="Times New Roman" w:hAnsi="Times New Roman"/>
                <w:sz w:val="22"/>
                <w:szCs w:val="22"/>
                <w:color w:val="auto"/>
              </w:rPr>
              <w:t>CFO</w:t>
            </w:r>
          </w:p>
        </w:tc>
        <w:tc>
          <w:tcPr>
            <w:tcW w:w="2840" w:type="dxa"/>
            <w:vAlign w:val="bottom"/>
            <w:tcBorders>
              <w:bottom w:val="single" w:sz="8" w:color="auto"/>
            </w:tcBorders>
          </w:tcPr>
          <w:p>
            <w:pPr>
              <w:jc w:val="center"/>
              <w:ind w:right="436"/>
              <w:spacing w:after="0" w:line="237" w:lineRule="exact"/>
              <w:rPr>
                <w:sz w:val="20"/>
                <w:szCs w:val="20"/>
                <w:color w:val="auto"/>
              </w:rPr>
            </w:pPr>
            <w:r>
              <w:rPr>
                <w:rFonts w:ascii="Times New Roman" w:cs="Times New Roman" w:eastAsia="Times New Roman" w:hAnsi="Times New Roman"/>
                <w:sz w:val="22"/>
                <w:szCs w:val="22"/>
                <w:color w:val="auto"/>
                <w:w w:val="98"/>
              </w:rPr>
              <w:t>CFO</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right"/>
        <w:ind w:right="1819"/>
        <w:spacing w:after="0"/>
        <w:rPr>
          <w:sz w:val="20"/>
          <w:szCs w:val="20"/>
          <w:color w:val="auto"/>
        </w:rPr>
      </w:pPr>
      <w:r>
        <w:rPr>
          <w:rFonts w:ascii="Times New Roman" w:cs="Times New Roman" w:eastAsia="Times New Roman" w:hAnsi="Times New Roman"/>
          <w:sz w:val="22"/>
          <w:szCs w:val="22"/>
          <w:i w:val="1"/>
          <w:iCs w:val="1"/>
          <w:color w:val="auto"/>
        </w:rPr>
        <w:t>[Signature Page to Entera Bio Ltd. Series B SPA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258" w:name="page259"/>
    <w:bookmarkEnd w:id="258"/>
    <w:p>
      <w:pPr>
        <w:ind w:left="5680"/>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Shareholder: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9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 Steven Salamon</w:t>
            </w:r>
          </w:p>
        </w:tc>
        <w:tc>
          <w:tcPr>
            <w:tcW w:w="0" w:type="dxa"/>
            <w:vAlign w:val="bottom"/>
          </w:tcPr>
          <w:p>
            <w:pPr>
              <w:spacing w:after="0"/>
              <w:rPr>
                <w:sz w:val="1"/>
                <w:szCs w:val="1"/>
                <w:color w:val="auto"/>
              </w:rPr>
            </w:pPr>
          </w:p>
        </w:tc>
      </w:tr>
      <w:tr>
        <w:trPr>
          <w:trHeight w:val="27"/>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0" w:type="dxa"/>
            <w:vAlign w:val="bottom"/>
            <w:vMerge w:val="continue"/>
          </w:tcPr>
          <w:p>
            <w:pPr>
              <w:spacing w:after="0"/>
              <w:rPr>
                <w:sz w:val="18"/>
                <w:szCs w:val="18"/>
                <w:color w:val="auto"/>
              </w:rPr>
            </w:pPr>
          </w:p>
        </w:tc>
        <w:tc>
          <w:tcPr>
            <w:tcW w:w="49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Steven Salamon</w:t>
            </w:r>
          </w:p>
        </w:tc>
        <w:tc>
          <w:tcPr>
            <w:tcW w:w="0" w:type="dxa"/>
            <w:vAlign w:val="bottom"/>
          </w:tcPr>
          <w:p>
            <w:pPr>
              <w:spacing w:after="0"/>
              <w:rPr>
                <w:sz w:val="1"/>
                <w:szCs w:val="1"/>
                <w:color w:val="auto"/>
              </w:rPr>
            </w:pPr>
          </w:p>
        </w:tc>
      </w:tr>
      <w:tr>
        <w:trPr>
          <w:trHeight w:val="27"/>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vMerge w:val="continue"/>
          </w:tcPr>
          <w:p>
            <w:pPr>
              <w:spacing w:after="0"/>
              <w:rPr>
                <w:sz w:val="20"/>
                <w:szCs w:val="20"/>
                <w:color w:val="auto"/>
              </w:rPr>
            </w:pPr>
          </w:p>
        </w:tc>
        <w:tc>
          <w:tcPr>
            <w:tcW w:w="4900" w:type="dxa"/>
            <w:vAlign w:val="bottom"/>
            <w:tcBorders>
              <w:bottom w:val="single" w:sz="8" w:color="auto"/>
            </w:tcBorders>
          </w:tcPr>
          <w:p>
            <w:pPr>
              <w:ind w:left="160"/>
              <w:spacing w:after="0" w:line="237" w:lineRule="exact"/>
              <w:rPr>
                <w:sz w:val="20"/>
                <w:szCs w:val="20"/>
                <w:color w:val="auto"/>
              </w:rPr>
            </w:pPr>
            <w:r>
              <w:rPr>
                <w:rFonts w:ascii="Times New Roman" w:cs="Times New Roman" w:eastAsia="Times New Roman" w:hAnsi="Times New Roman"/>
                <w:sz w:val="22"/>
                <w:szCs w:val="22"/>
                <w:color w:val="auto"/>
              </w:rPr>
              <w:t>President, Rosalind Advisors, Inc.</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(Adviser to Rosalind Capital Partners L.P. &amp; Rosalind Master Fund L.P.)</w:t>
      </w:r>
    </w:p>
    <w:p>
      <w:pPr>
        <w:spacing w:after="0" w:line="202" w:lineRule="exact"/>
        <w:rPr>
          <w:sz w:val="20"/>
          <w:szCs w:val="20"/>
          <w:color w:val="auto"/>
        </w:rPr>
      </w:pPr>
    </w:p>
    <w:p>
      <w:pPr>
        <w:jc w:val="right"/>
        <w:ind w:right="1819"/>
        <w:spacing w:after="0"/>
        <w:rPr>
          <w:sz w:val="20"/>
          <w:szCs w:val="20"/>
          <w:color w:val="auto"/>
        </w:rPr>
      </w:pPr>
      <w:r>
        <w:rPr>
          <w:rFonts w:ascii="Times New Roman" w:cs="Times New Roman" w:eastAsia="Times New Roman" w:hAnsi="Times New Roman"/>
          <w:sz w:val="22"/>
          <w:szCs w:val="22"/>
          <w:i w:val="1"/>
          <w:iCs w:val="1"/>
          <w:color w:val="auto"/>
        </w:rPr>
        <w:t>[Signature Page to Entera Bio Ltd. Series B SPA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0" w:right="1440" w:bottom="1440" w:gutter="0" w:footer="0" w:header="0"/>
        </w:sectPr>
      </w:pPr>
    </w:p>
    <w:bookmarkStart w:id="259" w:name="page260"/>
    <w:bookmarkEnd w:id="259"/>
    <w:p>
      <w:pPr>
        <w:ind w:left="5680"/>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Shareholder: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9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 Lars Bader</w:t>
            </w:r>
          </w:p>
        </w:tc>
        <w:tc>
          <w:tcPr>
            <w:tcW w:w="0" w:type="dxa"/>
            <w:vAlign w:val="bottom"/>
          </w:tcPr>
          <w:p>
            <w:pPr>
              <w:spacing w:after="0"/>
              <w:rPr>
                <w:sz w:val="1"/>
                <w:szCs w:val="1"/>
                <w:color w:val="auto"/>
              </w:rPr>
            </w:pPr>
          </w:p>
        </w:tc>
      </w:tr>
      <w:tr>
        <w:trPr>
          <w:trHeight w:val="27"/>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0" w:type="dxa"/>
            <w:vAlign w:val="bottom"/>
            <w:vMerge w:val="continue"/>
          </w:tcPr>
          <w:p>
            <w:pPr>
              <w:spacing w:after="0"/>
              <w:rPr>
                <w:sz w:val="18"/>
                <w:szCs w:val="18"/>
                <w:color w:val="auto"/>
              </w:rPr>
            </w:pPr>
          </w:p>
        </w:tc>
        <w:tc>
          <w:tcPr>
            <w:tcW w:w="49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Lars Bader</w:t>
            </w:r>
          </w:p>
        </w:tc>
        <w:tc>
          <w:tcPr>
            <w:tcW w:w="0" w:type="dxa"/>
            <w:vAlign w:val="bottom"/>
          </w:tcPr>
          <w:p>
            <w:pPr>
              <w:spacing w:after="0"/>
              <w:rPr>
                <w:sz w:val="1"/>
                <w:szCs w:val="1"/>
                <w:color w:val="auto"/>
              </w:rPr>
            </w:pPr>
          </w:p>
        </w:tc>
      </w:tr>
      <w:tr>
        <w:trPr>
          <w:trHeight w:val="27"/>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20" w:type="dxa"/>
            <w:vAlign w:val="bottom"/>
            <w:vMerge w:val="continue"/>
          </w:tcPr>
          <w:p>
            <w:pPr>
              <w:spacing w:after="0"/>
              <w:rPr>
                <w:sz w:val="20"/>
                <w:szCs w:val="20"/>
                <w:color w:val="auto"/>
              </w:rPr>
            </w:pPr>
          </w:p>
        </w:tc>
        <w:tc>
          <w:tcPr>
            <w:tcW w:w="4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right"/>
        <w:ind w:right="1819"/>
        <w:spacing w:after="0"/>
        <w:rPr>
          <w:sz w:val="20"/>
          <w:szCs w:val="20"/>
          <w:color w:val="auto"/>
        </w:rPr>
      </w:pPr>
      <w:r>
        <w:rPr>
          <w:rFonts w:ascii="Times New Roman" w:cs="Times New Roman" w:eastAsia="Times New Roman" w:hAnsi="Times New Roman"/>
          <w:sz w:val="22"/>
          <w:szCs w:val="22"/>
          <w:i w:val="1"/>
          <w:iCs w:val="1"/>
          <w:color w:val="auto"/>
        </w:rPr>
        <w:t>[Signature Page to Entera Bio Ltd. Series B SPA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260" w:name="page261"/>
    <w:bookmarkEnd w:id="260"/>
    <w:p>
      <w:pPr>
        <w:ind w:left="5680"/>
        <w:spacing w:after="0"/>
        <w:rPr>
          <w:sz w:val="20"/>
          <w:szCs w:val="20"/>
          <w:color w:val="auto"/>
        </w:rPr>
      </w:pPr>
      <w:r>
        <w:rPr>
          <w:rFonts w:ascii="Times New Roman" w:cs="Times New Roman" w:eastAsia="Times New Roman" w:hAnsi="Times New Roman"/>
          <w:sz w:val="18"/>
          <w:szCs w:val="18"/>
          <w:color w:val="auto"/>
        </w:rPr>
        <w:t>7</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Shareholder: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Centillion Fund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9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 Sean Ellis</w:t>
            </w:r>
          </w:p>
        </w:tc>
        <w:tc>
          <w:tcPr>
            <w:tcW w:w="0" w:type="dxa"/>
            <w:vAlign w:val="bottom"/>
          </w:tcPr>
          <w:p>
            <w:pPr>
              <w:spacing w:after="0"/>
              <w:rPr>
                <w:sz w:val="1"/>
                <w:szCs w:val="1"/>
                <w:color w:val="auto"/>
              </w:rPr>
            </w:pPr>
          </w:p>
        </w:tc>
      </w:tr>
      <w:tr>
        <w:trPr>
          <w:trHeight w:val="27"/>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0" w:type="dxa"/>
            <w:vAlign w:val="bottom"/>
            <w:vMerge w:val="continue"/>
          </w:tcPr>
          <w:p>
            <w:pPr>
              <w:spacing w:after="0"/>
              <w:rPr>
                <w:sz w:val="18"/>
                <w:szCs w:val="18"/>
                <w:color w:val="auto"/>
              </w:rPr>
            </w:pPr>
          </w:p>
        </w:tc>
        <w:tc>
          <w:tcPr>
            <w:tcW w:w="49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Sean Ellis</w:t>
            </w:r>
          </w:p>
        </w:tc>
        <w:tc>
          <w:tcPr>
            <w:tcW w:w="0" w:type="dxa"/>
            <w:vAlign w:val="bottom"/>
          </w:tcPr>
          <w:p>
            <w:pPr>
              <w:spacing w:after="0"/>
              <w:rPr>
                <w:sz w:val="1"/>
                <w:szCs w:val="1"/>
                <w:color w:val="auto"/>
              </w:rPr>
            </w:pPr>
          </w:p>
        </w:tc>
      </w:tr>
      <w:tr>
        <w:trPr>
          <w:trHeight w:val="27"/>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vMerge w:val="continue"/>
          </w:tcPr>
          <w:p>
            <w:pPr>
              <w:spacing w:after="0"/>
              <w:rPr>
                <w:sz w:val="20"/>
                <w:szCs w:val="20"/>
                <w:color w:val="auto"/>
              </w:rPr>
            </w:pPr>
          </w:p>
        </w:tc>
        <w:tc>
          <w:tcPr>
            <w:tcW w:w="4900" w:type="dxa"/>
            <w:vAlign w:val="bottom"/>
            <w:tcBorders>
              <w:bottom w:val="single" w:sz="8" w:color="auto"/>
            </w:tcBorders>
          </w:tcPr>
          <w:p>
            <w:pPr>
              <w:ind w:left="160"/>
              <w:spacing w:after="0" w:line="237" w:lineRule="exact"/>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right"/>
        <w:ind w:right="1819"/>
        <w:spacing w:after="0"/>
        <w:rPr>
          <w:sz w:val="20"/>
          <w:szCs w:val="20"/>
          <w:color w:val="auto"/>
        </w:rPr>
      </w:pPr>
      <w:r>
        <w:rPr>
          <w:rFonts w:ascii="Times New Roman" w:cs="Times New Roman" w:eastAsia="Times New Roman" w:hAnsi="Times New Roman"/>
          <w:sz w:val="22"/>
          <w:szCs w:val="22"/>
          <w:i w:val="1"/>
          <w:iCs w:val="1"/>
          <w:color w:val="auto"/>
        </w:rPr>
        <w:t>[Signature Page to Entera Bio Ltd. Series B SPA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269365" cy="107188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6">
                      <a:extLst>
                        <a:ext uri="{28A0092B-C50C-407E-A947-70E740481C1C}"/>
                      </a:extLst>
                    </a:blip>
                    <a:srcRect/>
                    <a:stretch>
                      <a:fillRect/>
                    </a:stretch>
                  </pic:blipFill>
                  <pic:spPr bwMode="auto">
                    <a:xfrm>
                      <a:off x="0" y="0"/>
                      <a:ext cx="126936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this Amendment No. 2 to the Registration Statement on Form F-1 of Entera Bio Ltd. of our report dated July 13, 2017 relating to the financial statements, which appears in such Registration Statement.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Tel-Aviv, Israel</w:t>
            </w:r>
          </w:p>
        </w:tc>
        <w:tc>
          <w:tcPr>
            <w:tcW w:w="85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 Kesselman &amp; Kesselman</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January 5, 2018</w:t>
            </w:r>
          </w:p>
        </w:tc>
        <w:tc>
          <w:tcPr>
            <w:tcW w:w="85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Certified Public Accountants (lsr.)</w:t>
            </w:r>
          </w:p>
        </w:tc>
      </w:tr>
      <w:tr>
        <w:trPr>
          <w:trHeight w:val="234"/>
        </w:trPr>
        <w:tc>
          <w:tcPr>
            <w:tcW w:w="2860" w:type="dxa"/>
            <w:vAlign w:val="bottom"/>
          </w:tcPr>
          <w:p>
            <w:pPr>
              <w:spacing w:after="0"/>
              <w:rPr>
                <w:sz w:val="20"/>
                <w:szCs w:val="20"/>
                <w:color w:val="auto"/>
              </w:rPr>
            </w:pPr>
          </w:p>
        </w:tc>
        <w:tc>
          <w:tcPr>
            <w:tcW w:w="85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tc>
      </w:tr>
      <w:tr>
        <w:trPr>
          <w:trHeight w:val="689"/>
        </w:trPr>
        <w:tc>
          <w:tcPr>
            <w:tcW w:w="286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21"/>
          <w:szCs w:val="21"/>
          <w:b w:val="1"/>
          <w:bCs w:val="1"/>
          <w:color w:val="auto"/>
        </w:rPr>
        <w:t>Exhibit 99.1</w:t>
      </w:r>
    </w:p>
    <w:p>
      <w:pPr>
        <w:sectPr>
          <w:pgSz w:w="11900" w:h="16838" w:orient="portrait"/>
          <w:cols w:equalWidth="0" w:num="1">
            <w:col w:w="11420"/>
          </w:cols>
          <w:pgMar w:left="240" w:top="346" w:right="239" w:bottom="1440" w:gutter="0" w:footer="0" w:header="0"/>
        </w:sectPr>
      </w:pPr>
    </w:p>
    <w:p>
      <w:pPr>
        <w:spacing w:after="0" w:line="266"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New York</w:t>
      </w:r>
    </w:p>
    <w:p>
      <w:pPr>
        <w:spacing w:after="0" w:line="21"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Northern California</w:t>
      </w:r>
    </w:p>
    <w:p>
      <w:pPr>
        <w:spacing w:after="0" w:line="1"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Washington DC</w:t>
      </w:r>
    </w:p>
    <w:p>
      <w:pPr>
        <w:spacing w:after="0" w:line="1"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São Paulo</w:t>
      </w:r>
    </w:p>
    <w:p>
      <w:pPr>
        <w:spacing w:after="0" w:line="1"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118110</wp:posOffset>
            </wp:positionV>
            <wp:extent cx="1372235" cy="26606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7">
                      <a:extLst>
                        <a:ext uri="{28A0092B-C50C-407E-A947-70E740481C1C}"/>
                      </a:extLst>
                    </a:blip>
                    <a:srcRect/>
                    <a:stretch>
                      <a:fillRect/>
                    </a:stretch>
                  </pic:blipFill>
                  <pic:spPr bwMode="auto">
                    <a:xfrm>
                      <a:off x="0" y="0"/>
                      <a:ext cx="137223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Paris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Madrid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Tokyo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Beijing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Hong Kong</w:t>
      </w:r>
    </w:p>
    <w:p>
      <w:pPr>
        <w:spacing w:after="0" w:line="200" w:lineRule="exact"/>
        <w:rPr>
          <w:sz w:val="20"/>
          <w:szCs w:val="20"/>
          <w:color w:val="auto"/>
        </w:rPr>
      </w:pPr>
    </w:p>
    <w:p>
      <w:pPr>
        <w:sectPr>
          <w:pgSz w:w="11900" w:h="16838" w:orient="portrait"/>
          <w:cols w:equalWidth="0" w:num="2">
            <w:col w:w="8640" w:space="720"/>
            <w:col w:w="2060"/>
          </w:cols>
          <w:pgMar w:left="240" w:top="34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700" w:type="dxa"/>
            <w:vAlign w:val="bottom"/>
          </w:tcPr>
          <w:p>
            <w:pPr>
              <w:spacing w:after="0"/>
              <w:rPr>
                <w:sz w:val="20"/>
                <w:szCs w:val="20"/>
                <w:color w:val="auto"/>
              </w:rPr>
            </w:pPr>
            <w:r>
              <w:rPr>
                <w:rFonts w:ascii="Arial" w:cs="Arial" w:eastAsia="Arial" w:hAnsi="Arial"/>
                <w:sz w:val="19"/>
                <w:szCs w:val="19"/>
                <w:b w:val="1"/>
                <w:bCs w:val="1"/>
                <w:color w:val="auto"/>
              </w:rPr>
              <w:t>Sophia Hudson</w:t>
            </w:r>
          </w:p>
        </w:tc>
        <w:tc>
          <w:tcPr>
            <w:tcW w:w="3020" w:type="dxa"/>
            <w:vAlign w:val="bottom"/>
          </w:tcPr>
          <w:p>
            <w:pPr>
              <w:spacing w:after="0"/>
              <w:rPr>
                <w:sz w:val="23"/>
                <w:szCs w:val="23"/>
                <w:color w:val="auto"/>
              </w:rPr>
            </w:pPr>
          </w:p>
        </w:tc>
      </w:tr>
      <w:tr>
        <w:trPr>
          <w:trHeight w:val="464"/>
        </w:trPr>
        <w:tc>
          <w:tcPr>
            <w:tcW w:w="2700" w:type="dxa"/>
            <w:vAlign w:val="bottom"/>
          </w:tcPr>
          <w:p>
            <w:pPr>
              <w:spacing w:after="0"/>
              <w:rPr>
                <w:sz w:val="20"/>
                <w:szCs w:val="20"/>
                <w:color w:val="auto"/>
              </w:rPr>
            </w:pPr>
            <w:r>
              <w:rPr>
                <w:rFonts w:ascii="Arial" w:cs="Arial" w:eastAsia="Arial" w:hAnsi="Arial"/>
                <w:sz w:val="19"/>
                <w:szCs w:val="19"/>
                <w:color w:val="auto"/>
              </w:rPr>
              <w:t>Davis Polk &amp; Wardwell LLP</w:t>
            </w:r>
          </w:p>
        </w:tc>
        <w:tc>
          <w:tcPr>
            <w:tcW w:w="3020" w:type="dxa"/>
            <w:vAlign w:val="bottom"/>
          </w:tcPr>
          <w:p>
            <w:pPr>
              <w:ind w:left="400"/>
              <w:spacing w:after="0"/>
              <w:rPr>
                <w:sz w:val="20"/>
                <w:szCs w:val="20"/>
                <w:color w:val="auto"/>
              </w:rPr>
            </w:pPr>
            <w:r>
              <w:rPr>
                <w:rFonts w:ascii="Arial" w:cs="Arial" w:eastAsia="Arial" w:hAnsi="Arial"/>
                <w:sz w:val="19"/>
                <w:szCs w:val="19"/>
                <w:color w:val="auto"/>
              </w:rPr>
              <w:t>212 450 4762 tel</w:t>
            </w:r>
          </w:p>
        </w:tc>
      </w:tr>
      <w:tr>
        <w:trPr>
          <w:trHeight w:val="243"/>
        </w:trPr>
        <w:tc>
          <w:tcPr>
            <w:tcW w:w="2700" w:type="dxa"/>
            <w:vAlign w:val="bottom"/>
          </w:tcPr>
          <w:p>
            <w:pPr>
              <w:spacing w:after="0"/>
              <w:rPr>
                <w:sz w:val="20"/>
                <w:szCs w:val="20"/>
                <w:color w:val="auto"/>
              </w:rPr>
            </w:pPr>
            <w:r>
              <w:rPr>
                <w:rFonts w:ascii="Arial" w:cs="Arial" w:eastAsia="Arial" w:hAnsi="Arial"/>
                <w:sz w:val="19"/>
                <w:szCs w:val="19"/>
                <w:color w:val="auto"/>
              </w:rPr>
              <w:t>450 Lexington Avenue</w:t>
            </w:r>
          </w:p>
        </w:tc>
        <w:tc>
          <w:tcPr>
            <w:tcW w:w="3020" w:type="dxa"/>
            <w:vAlign w:val="bottom"/>
          </w:tcPr>
          <w:p>
            <w:pPr>
              <w:ind w:left="400"/>
              <w:spacing w:after="0"/>
              <w:rPr>
                <w:sz w:val="20"/>
                <w:szCs w:val="20"/>
                <w:color w:val="auto"/>
              </w:rPr>
            </w:pPr>
            <w:r>
              <w:rPr>
                <w:rFonts w:ascii="Arial" w:cs="Arial" w:eastAsia="Arial" w:hAnsi="Arial"/>
                <w:sz w:val="19"/>
                <w:szCs w:val="19"/>
                <w:color w:val="auto"/>
              </w:rPr>
              <w:t>212 701 5800 fax</w:t>
            </w:r>
          </w:p>
        </w:tc>
      </w:tr>
      <w:tr>
        <w:trPr>
          <w:trHeight w:val="255"/>
        </w:trPr>
        <w:tc>
          <w:tcPr>
            <w:tcW w:w="2700" w:type="dxa"/>
            <w:vAlign w:val="bottom"/>
          </w:tcPr>
          <w:p>
            <w:pPr>
              <w:spacing w:after="0"/>
              <w:rPr>
                <w:sz w:val="20"/>
                <w:szCs w:val="20"/>
                <w:color w:val="auto"/>
              </w:rPr>
            </w:pPr>
            <w:r>
              <w:rPr>
                <w:rFonts w:ascii="Arial" w:cs="Arial" w:eastAsia="Arial" w:hAnsi="Arial"/>
                <w:sz w:val="19"/>
                <w:szCs w:val="19"/>
                <w:color w:val="auto"/>
              </w:rPr>
              <w:t>New York, NY 10017</w:t>
            </w:r>
          </w:p>
        </w:tc>
        <w:tc>
          <w:tcPr>
            <w:tcW w:w="3020" w:type="dxa"/>
            <w:vAlign w:val="bottom"/>
          </w:tcPr>
          <w:p>
            <w:pPr>
              <w:ind w:left="400"/>
              <w:spacing w:after="0"/>
              <w:rPr>
                <w:sz w:val="20"/>
                <w:szCs w:val="20"/>
                <w:color w:val="auto"/>
              </w:rPr>
            </w:pPr>
            <w:r>
              <w:rPr>
                <w:rFonts w:ascii="Arial" w:cs="Arial" w:eastAsia="Arial" w:hAnsi="Arial"/>
                <w:sz w:val="19"/>
                <w:szCs w:val="19"/>
                <w:color w:val="auto"/>
                <w:w w:val="98"/>
              </w:rPr>
              <w:t>sophia.hudson@davispolk.com</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December 19, 2017</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Re:</w:t>
      </w:r>
      <w:r>
        <w:rPr>
          <w:sz w:val="20"/>
          <w:szCs w:val="20"/>
          <w:color w:val="auto"/>
        </w:rPr>
        <w:tab/>
      </w:r>
      <w:r>
        <w:rPr>
          <w:rFonts w:ascii="Arial" w:cs="Arial" w:eastAsia="Arial" w:hAnsi="Arial"/>
          <w:sz w:val="19"/>
          <w:szCs w:val="19"/>
          <w:b w:val="1"/>
          <w:bCs w:val="1"/>
          <w:color w:val="auto"/>
        </w:rPr>
        <w:t>Entera Bio Ltd.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Registration Statement on Form F-1</w:t>
      </w:r>
    </w:p>
    <w:p>
      <w:pPr>
        <w:ind w:left="660"/>
        <w:spacing w:after="0" w:line="237" w:lineRule="auto"/>
        <w:rPr>
          <w:sz w:val="20"/>
          <w:szCs w:val="20"/>
          <w:color w:val="auto"/>
        </w:rPr>
      </w:pPr>
      <w:r>
        <w:rPr>
          <w:rFonts w:ascii="Arial" w:cs="Arial" w:eastAsia="Arial" w:hAnsi="Arial"/>
          <w:sz w:val="19"/>
          <w:szCs w:val="19"/>
          <w:b w:val="1"/>
          <w:bCs w:val="1"/>
          <w:color w:val="auto"/>
        </w:rPr>
        <w:t>Application for Waiver of Requirements of Form 20-F, Item 8.A.4</w:t>
      </w:r>
    </w:p>
    <w:p>
      <w:pPr>
        <w:ind w:left="660"/>
        <w:spacing w:after="0"/>
        <w:rPr>
          <w:sz w:val="20"/>
          <w:szCs w:val="20"/>
          <w:color w:val="auto"/>
        </w:rPr>
      </w:pPr>
      <w:r>
        <w:rPr>
          <w:rFonts w:ascii="Arial" w:cs="Arial" w:eastAsia="Arial" w:hAnsi="Arial"/>
          <w:sz w:val="19"/>
          <w:szCs w:val="19"/>
          <w:b w:val="1"/>
          <w:bCs w:val="1"/>
          <w:color w:val="auto"/>
        </w:rPr>
        <w:t>CIK Code No. 0001638097</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CONFIDENTIAL</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Division of Corporation Finance</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Office of the Chief Accountant</w:t>
      </w:r>
    </w:p>
    <w:p>
      <w:pPr>
        <w:spacing w:after="0" w:line="237" w:lineRule="auto"/>
        <w:rPr>
          <w:sz w:val="20"/>
          <w:szCs w:val="20"/>
          <w:color w:val="auto"/>
        </w:rPr>
      </w:pPr>
      <w:r>
        <w:rPr>
          <w:rFonts w:ascii="Arial" w:cs="Arial" w:eastAsia="Arial" w:hAnsi="Arial"/>
          <w:sz w:val="19"/>
          <w:szCs w:val="19"/>
          <w:color w:val="auto"/>
        </w:rPr>
        <w:t>U.S. Securities and Exchange Commission</w:t>
      </w:r>
    </w:p>
    <w:p>
      <w:pPr>
        <w:spacing w:after="0" w:line="237" w:lineRule="auto"/>
        <w:rPr>
          <w:sz w:val="20"/>
          <w:szCs w:val="20"/>
          <w:color w:val="auto"/>
        </w:rPr>
      </w:pPr>
      <w:r>
        <w:rPr>
          <w:rFonts w:ascii="Arial" w:cs="Arial" w:eastAsia="Arial" w:hAnsi="Arial"/>
          <w:sz w:val="19"/>
          <w:szCs w:val="19"/>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Washington, D.C. 20549</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14"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color w:val="auto"/>
        </w:rPr>
        <w:t>Entera Bio Ltd., a foreign private issuer organized under the laws of the State of Israel (the “Company”), has publicly filed with the Securities and Exchange Commission (the “Commission”) its Registration Statement on Form F-1 (as amended, the “Registration Statement”) relating to a proposed initial public offering (“IPO”) of the Company’s ordinary shares. The Registration Statement has been reviewed by the staff of the Commission (the “Staff”).</w:t>
      </w:r>
    </w:p>
    <w:p>
      <w:pPr>
        <w:spacing w:after="0" w:line="170" w:lineRule="exact"/>
        <w:rPr>
          <w:sz w:val="20"/>
          <w:szCs w:val="20"/>
          <w:color w:val="auto"/>
        </w:rPr>
      </w:pPr>
    </w:p>
    <w:p>
      <w:pPr>
        <w:ind w:right="100"/>
        <w:spacing w:after="0" w:line="241" w:lineRule="auto"/>
        <w:rPr>
          <w:sz w:val="20"/>
          <w:szCs w:val="20"/>
          <w:color w:val="auto"/>
        </w:rPr>
      </w:pPr>
      <w:r>
        <w:rPr>
          <w:rFonts w:ascii="Arial" w:cs="Arial" w:eastAsia="Arial" w:hAnsi="Arial"/>
          <w:sz w:val="19"/>
          <w:szCs w:val="19"/>
          <w:color w:val="auto"/>
        </w:rPr>
        <w:t xml:space="preserve">The Registration Statement currently contains audited IFRS-IASB financial statements for the years ended December 31, 2016 and 2015, and unaudited interim IFRS-IASB financial statements for the nine months ended September 30, 2017 and 2016. Subject to market conditions, the Company currently anticipates filing a further amendment to the Registration Statement with the Commission in early January 2018 with price range information, and commencing its IPO roadshow promptly thereafter. The Registration Statement at the time of such filing and at effectiveness will contain audited IFRS-IASB financial statements for the years ended December 31, 2016 and 2015, and unaudited IFRS-IASB financial statements for the nine months ended September 30, 2017 and 2016. Item 8.A.4 of Form 20-F, which is applicable to the Registration Statement pursuant to Item 4(a) of Form F-1, states that in the case of a company’s initial public offering, the registration statement on Form F-1 must contain audited financial statements as of a date not older than 12 months from the date of the offering (the “12-Month Requirement”) unless a waiver is obtained. </w:t>
      </w:r>
      <w:r>
        <w:rPr>
          <w:rFonts w:ascii="Arial" w:cs="Arial" w:eastAsia="Arial" w:hAnsi="Arial"/>
          <w:sz w:val="19"/>
          <w:szCs w:val="19"/>
          <w:i w:val="1"/>
          <w:iCs w:val="1"/>
          <w:color w:val="auto"/>
        </w:rPr>
        <w:t>See also</w:t>
      </w:r>
      <w:r>
        <w:rPr>
          <w:rFonts w:ascii="Arial" w:cs="Arial" w:eastAsia="Arial" w:hAnsi="Arial"/>
          <w:sz w:val="19"/>
          <w:szCs w:val="19"/>
          <w:color w:val="auto"/>
        </w:rPr>
        <w:t xml:space="preserve"> Division of Corporation Finance, </w:t>
      </w:r>
      <w:r>
        <w:rPr>
          <w:rFonts w:ascii="Arial" w:cs="Arial" w:eastAsia="Arial" w:hAnsi="Arial"/>
          <w:sz w:val="19"/>
          <w:szCs w:val="19"/>
          <w:i w:val="1"/>
          <w:iCs w:val="1"/>
          <w:color w:val="auto"/>
        </w:rPr>
        <w:t>Financial Reporting Manual</w:t>
      </w:r>
      <w:r>
        <w:rPr>
          <w:rFonts w:ascii="Arial" w:cs="Arial" w:eastAsia="Arial" w:hAnsi="Arial"/>
          <w:sz w:val="19"/>
          <w:szCs w:val="19"/>
          <w:color w:val="auto"/>
        </w:rPr>
        <w:t>, Section 6220.3.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type w:val="continuous"/>
        </w:sectPr>
      </w:pPr>
    </w:p>
    <w:bookmarkStart w:id="263" w:name="page264"/>
    <w:bookmarkEnd w:id="263"/>
    <w:tbl>
      <w:tblPr>
        <w:tblLayout w:type="fixed"/>
        <w:tblInd w:w="0" w:type="dxa"/>
        <w:tblCellMar>
          <w:top w:w="0" w:type="dxa"/>
          <w:left w:w="0" w:type="dxa"/>
          <w:bottom w:w="0" w:type="dxa"/>
          <w:right w:w="0" w:type="dxa"/>
        </w:tblCellMar>
      </w:tblPr>
      <w:tr>
        <w:trPr>
          <w:trHeight w:val="195"/>
        </w:trPr>
        <w:tc>
          <w:tcPr>
            <w:tcW w:w="4060" w:type="dxa"/>
            <w:vAlign w:val="bottom"/>
          </w:tcPr>
          <w:p>
            <w:pPr>
              <w:spacing w:after="0"/>
              <w:rPr>
                <w:sz w:val="20"/>
                <w:szCs w:val="20"/>
                <w:color w:val="auto"/>
              </w:rPr>
            </w:pPr>
            <w:r>
              <w:rPr>
                <w:rFonts w:ascii="Arial" w:cs="Arial" w:eastAsia="Arial" w:hAnsi="Arial"/>
                <w:sz w:val="17"/>
                <w:szCs w:val="17"/>
                <w:color w:val="auto"/>
              </w:rPr>
              <w:t>Division of Corporation Finance</w:t>
            </w:r>
          </w:p>
        </w:tc>
        <w:tc>
          <w:tcPr>
            <w:tcW w:w="382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231"/>
        </w:trPr>
        <w:tc>
          <w:tcPr>
            <w:tcW w:w="4060" w:type="dxa"/>
            <w:vAlign w:val="bottom"/>
          </w:tcPr>
          <w:p>
            <w:pPr>
              <w:spacing w:after="0"/>
              <w:rPr>
                <w:sz w:val="20"/>
                <w:szCs w:val="20"/>
                <w:color w:val="auto"/>
              </w:rPr>
            </w:pPr>
            <w:r>
              <w:rPr>
                <w:rFonts w:ascii="Arial" w:cs="Arial" w:eastAsia="Arial" w:hAnsi="Arial"/>
                <w:sz w:val="17"/>
                <w:szCs w:val="17"/>
                <w:color w:val="auto"/>
              </w:rPr>
              <w:t>Office of the Chief Accountant</w:t>
            </w:r>
          </w:p>
        </w:tc>
        <w:tc>
          <w:tcPr>
            <w:tcW w:w="3820" w:type="dxa"/>
            <w:vAlign w:val="bottom"/>
          </w:tcPr>
          <w:p>
            <w:pPr>
              <w:jc w:val="right"/>
              <w:ind w:right="1975"/>
              <w:spacing w:after="0"/>
              <w:rPr>
                <w:sz w:val="20"/>
                <w:szCs w:val="20"/>
                <w:color w:val="auto"/>
              </w:rPr>
            </w:pPr>
            <w:r>
              <w:rPr>
                <w:rFonts w:ascii="Arial" w:cs="Arial" w:eastAsia="Arial" w:hAnsi="Arial"/>
                <w:sz w:val="17"/>
                <w:szCs w:val="17"/>
                <w:color w:val="auto"/>
              </w:rPr>
              <w:t>2</w:t>
            </w:r>
          </w:p>
        </w:tc>
        <w:tc>
          <w:tcPr>
            <w:tcW w:w="3540" w:type="dxa"/>
            <w:vAlign w:val="bottom"/>
          </w:tcPr>
          <w:p>
            <w:pPr>
              <w:ind w:left="2040"/>
              <w:spacing w:after="0"/>
              <w:rPr>
                <w:sz w:val="20"/>
                <w:szCs w:val="20"/>
                <w:color w:val="auto"/>
              </w:rPr>
            </w:pPr>
            <w:r>
              <w:rPr>
                <w:rFonts w:ascii="Arial" w:cs="Arial" w:eastAsia="Arial" w:hAnsi="Arial"/>
                <w:sz w:val="17"/>
                <w:szCs w:val="17"/>
                <w:color w:val="auto"/>
                <w:w w:val="99"/>
              </w:rPr>
              <w:t>December 19, 2017</w:t>
            </w:r>
          </w:p>
        </w:tc>
      </w:tr>
    </w:tbl>
    <w:p>
      <w:pPr>
        <w:spacing w:after="0" w:line="183" w:lineRule="exact"/>
        <w:rPr>
          <w:sz w:val="20"/>
          <w:szCs w:val="20"/>
          <w:color w:val="auto"/>
        </w:rPr>
      </w:pPr>
    </w:p>
    <w:p>
      <w:pPr>
        <w:ind w:right="40"/>
        <w:spacing w:after="0" w:line="247" w:lineRule="auto"/>
        <w:rPr>
          <w:sz w:val="20"/>
          <w:szCs w:val="20"/>
          <w:color w:val="auto"/>
        </w:rPr>
      </w:pPr>
      <w:r>
        <w:rPr>
          <w:rFonts w:ascii="Arial" w:cs="Arial" w:eastAsia="Arial" w:hAnsi="Arial"/>
          <w:sz w:val="19"/>
          <w:szCs w:val="19"/>
          <w:color w:val="auto"/>
        </w:rPr>
        <w:t xml:space="preserve">Instruction 2 to Item 8.A.4 of Form 20-F provides that the Commission will waive the 12-Month Requirement “in cases where the company is able to represent adequately to [the Commission] that it is not required to comply with this requirement in any other jurisdiction outside the United States and that complying with this requirement is impracticable or involves undue hardship.” </w:t>
      </w:r>
      <w:r>
        <w:rPr>
          <w:rFonts w:ascii="Arial" w:cs="Arial" w:eastAsia="Arial" w:hAnsi="Arial"/>
          <w:sz w:val="19"/>
          <w:szCs w:val="19"/>
          <w:i w:val="1"/>
          <w:iCs w:val="1"/>
          <w:color w:val="auto"/>
        </w:rPr>
        <w:t>See also</w:t>
      </w:r>
      <w:r>
        <w:rPr>
          <w:rFonts w:ascii="Arial" w:cs="Arial" w:eastAsia="Arial" w:hAnsi="Arial"/>
          <w:sz w:val="19"/>
          <w:szCs w:val="19"/>
          <w:color w:val="auto"/>
        </w:rPr>
        <w:t xml:space="preserve"> the Staff’s 2004 release entitled </w:t>
      </w:r>
      <w:r>
        <w:rPr>
          <w:rFonts w:ascii="Arial" w:cs="Arial" w:eastAsia="Arial" w:hAnsi="Arial"/>
          <w:sz w:val="19"/>
          <w:szCs w:val="19"/>
          <w:i w:val="1"/>
          <w:iCs w:val="1"/>
          <w:color w:val="auto"/>
        </w:rPr>
        <w:t>International Reporting and Disclosure Issues in the Division of Corporation Finance</w:t>
      </w:r>
      <w:r>
        <w:rPr>
          <w:rFonts w:ascii="Arial" w:cs="Arial" w:eastAsia="Arial" w:hAnsi="Arial"/>
          <w:sz w:val="19"/>
          <w:szCs w:val="19"/>
          <w:color w:val="auto"/>
        </w:rPr>
        <w:t xml:space="preserve"> (available on the Commission’s website at </w:t>
      </w:r>
      <w:r>
        <w:rPr>
          <w:rFonts w:ascii="Arial" w:cs="Arial" w:eastAsia="Arial" w:hAnsi="Arial"/>
          <w:sz w:val="19"/>
          <w:szCs w:val="19"/>
          <w:u w:val="single" w:color="auto"/>
          <w:color w:val="auto"/>
        </w:rPr>
        <w:t>http://www.sec.gov/divisions/corpfin/internatl/cfirdissues1104.htm)</w:t>
      </w:r>
      <w:r>
        <w:rPr>
          <w:rFonts w:ascii="Arial" w:cs="Arial" w:eastAsia="Arial" w:hAnsi="Arial"/>
          <w:sz w:val="19"/>
          <w:szCs w:val="19"/>
          <w:color w:val="auto"/>
        </w:rPr>
        <w:t xml:space="preserve"> at Section III.B.c, in which the Staff notes:</w:t>
      </w:r>
    </w:p>
    <w:p>
      <w:pPr>
        <w:spacing w:after="0" w:line="172" w:lineRule="exact"/>
        <w:rPr>
          <w:sz w:val="20"/>
          <w:szCs w:val="20"/>
          <w:color w:val="auto"/>
        </w:rPr>
      </w:pPr>
    </w:p>
    <w:p>
      <w:pPr>
        <w:ind w:left="660" w:right="20"/>
        <w:spacing w:after="0" w:line="247" w:lineRule="auto"/>
        <w:rPr>
          <w:sz w:val="20"/>
          <w:szCs w:val="20"/>
          <w:color w:val="auto"/>
        </w:rPr>
      </w:pPr>
      <w:r>
        <w:rPr>
          <w:rFonts w:ascii="Arial" w:cs="Arial" w:eastAsia="Arial" w:hAnsi="Arial"/>
          <w:sz w:val="19"/>
          <w:szCs w:val="19"/>
          <w:color w:val="auto"/>
        </w:rPr>
        <w:t xml:space="preserve">“the instruction indicates that the staff will waive the 12-month requirement where it is not applicable in the registrant’s other filing jurisdictions and is impracticable or involves undue hardship. As a result, we expect that the </w:t>
      </w:r>
      <w:r>
        <w:rPr>
          <w:rFonts w:ascii="Arial" w:cs="Arial" w:eastAsia="Arial" w:hAnsi="Arial"/>
          <w:sz w:val="19"/>
          <w:szCs w:val="19"/>
          <w:u w:val="single" w:color="auto"/>
          <w:color w:val="auto"/>
        </w:rPr>
        <w:t>vast majority</w:t>
      </w:r>
      <w:r>
        <w:rPr>
          <w:rFonts w:ascii="Arial" w:cs="Arial" w:eastAsia="Arial" w:hAnsi="Arial"/>
          <w:sz w:val="19"/>
          <w:szCs w:val="19"/>
          <w:color w:val="auto"/>
        </w:rPr>
        <w:t xml:space="preserve"> of IPOs will be subject only to the 15-month rule. The only times that we anticipate audited financial statements will be filed under the 12-month rule are when the registrant must comply with the rule in another jurisdiction, or when those audited financial statements are otherwise readily available.” (emphasis added)</w:t>
      </w:r>
    </w:p>
    <w:p>
      <w:pPr>
        <w:spacing w:after="0" w:line="172" w:lineRule="exact"/>
        <w:rPr>
          <w:sz w:val="20"/>
          <w:szCs w:val="20"/>
          <w:color w:val="auto"/>
        </w:rPr>
      </w:pPr>
    </w:p>
    <w:p>
      <w:pPr>
        <w:ind w:right="560"/>
        <w:spacing w:after="0" w:line="277" w:lineRule="auto"/>
        <w:rPr>
          <w:sz w:val="20"/>
          <w:szCs w:val="20"/>
          <w:color w:val="auto"/>
        </w:rPr>
      </w:pPr>
      <w:r>
        <w:rPr>
          <w:rFonts w:ascii="Arial" w:cs="Arial" w:eastAsia="Arial" w:hAnsi="Arial"/>
          <w:sz w:val="19"/>
          <w:szCs w:val="19"/>
          <w:color w:val="auto"/>
        </w:rPr>
        <w:t>The Company hereby respectfully requests that the Staff waive the requirement of Item 8.A.4 of Form 20-F. In connection with this request, the Company represents to the Commission that:</w:t>
      </w:r>
    </w:p>
    <w:p>
      <w:pPr>
        <w:spacing w:after="0" w:line="144" w:lineRule="exact"/>
        <w:rPr>
          <w:sz w:val="20"/>
          <w:szCs w:val="20"/>
          <w:color w:val="auto"/>
        </w:rPr>
      </w:pPr>
    </w:p>
    <w:p>
      <w:pPr>
        <w:ind w:left="660" w:hanging="328"/>
        <w:spacing w:after="0"/>
        <w:tabs>
          <w:tab w:leader="none" w:pos="66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Company is not currently a public reporting company in any other jurisdiction.</w:t>
      </w:r>
    </w:p>
    <w:p>
      <w:pPr>
        <w:spacing w:after="0" w:line="213" w:lineRule="exact"/>
        <w:rPr>
          <w:rFonts w:ascii="Arial" w:cs="Arial" w:eastAsia="Arial" w:hAnsi="Arial"/>
          <w:sz w:val="19"/>
          <w:szCs w:val="19"/>
          <w:color w:val="auto"/>
        </w:rPr>
      </w:pPr>
    </w:p>
    <w:p>
      <w:pPr>
        <w:ind w:left="660" w:right="20" w:hanging="328"/>
        <w:spacing w:after="0" w:line="264"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is not required by any jurisdiction outside the United States to file its audited financial statements other than to provide its audited financial statements to the Company’s majority shareholder, D.N.A Biomedical Solutions Ltd. (“D.N.A Biomedical”), in connection with a requirement applicable to D.N.A Biomedical, that it file the audited financial statements of certain of its associated companies, including the Company, with the Israeli Securities Authority within three months following the end of each reporting year (i.e., March 31), pursuant to the Israeli Securities Regulations (Annual Financial Statements), 2010.</w:t>
      </w:r>
    </w:p>
    <w:p>
      <w:pPr>
        <w:spacing w:after="0" w:line="158"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Compliance with Item 8.A.4 is impracticable and involves undue hardship for the Company.</w:t>
      </w:r>
    </w:p>
    <w:p>
      <w:pPr>
        <w:spacing w:after="0" w:line="213" w:lineRule="exact"/>
        <w:rPr>
          <w:rFonts w:ascii="Arial" w:cs="Arial" w:eastAsia="Arial" w:hAnsi="Arial"/>
          <w:sz w:val="19"/>
          <w:szCs w:val="19"/>
          <w:color w:val="auto"/>
        </w:rPr>
      </w:pPr>
    </w:p>
    <w:p>
      <w:pPr>
        <w:ind w:left="660" w:right="260" w:hanging="328"/>
        <w:spacing w:after="0" w:line="277" w:lineRule="auto"/>
        <w:tabs>
          <w:tab w:leader="none" w:pos="66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Company does not anticipate that its audited financial statements for the year ended December 31, 2017 will be available until March 15, 2018.</w:t>
      </w:r>
    </w:p>
    <w:p>
      <w:pPr>
        <w:spacing w:after="0" w:line="143" w:lineRule="exact"/>
        <w:rPr>
          <w:rFonts w:ascii="Arial" w:cs="Arial" w:eastAsia="Arial" w:hAnsi="Arial"/>
          <w:sz w:val="19"/>
          <w:szCs w:val="19"/>
          <w:color w:val="auto"/>
        </w:rPr>
      </w:pPr>
    </w:p>
    <w:p>
      <w:pPr>
        <w:ind w:left="660" w:right="220" w:hanging="328"/>
        <w:spacing w:after="0" w:line="277" w:lineRule="auto"/>
        <w:tabs>
          <w:tab w:leader="none" w:pos="66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In no event will the Company seek effectiveness of the Registration Statement if its audited financial statements are older than 15 months at the time of the offering.</w:t>
      </w:r>
    </w:p>
    <w:p>
      <w:pPr>
        <w:spacing w:after="0" w:line="144" w:lineRule="exact"/>
        <w:rPr>
          <w:sz w:val="20"/>
          <w:szCs w:val="20"/>
          <w:color w:val="auto"/>
        </w:rPr>
      </w:pPr>
    </w:p>
    <w:p>
      <w:pPr>
        <w:ind w:right="500"/>
        <w:spacing w:after="0" w:line="277" w:lineRule="auto"/>
        <w:rPr>
          <w:sz w:val="20"/>
          <w:szCs w:val="20"/>
          <w:color w:val="auto"/>
        </w:rPr>
      </w:pPr>
      <w:r>
        <w:rPr>
          <w:rFonts w:ascii="Arial" w:cs="Arial" w:eastAsia="Arial" w:hAnsi="Arial"/>
          <w:sz w:val="19"/>
          <w:szCs w:val="19"/>
          <w:color w:val="auto"/>
        </w:rPr>
        <w:t>The Company further respectfully requests the Staff's immediate attention to this matter in light of the Company’s plans to refile the Registration Statement in early January 2018 with its IPO price range.</w:t>
      </w:r>
    </w:p>
    <w:p>
      <w:pPr>
        <w:spacing w:after="0" w:line="144" w:lineRule="exact"/>
        <w:rPr>
          <w:sz w:val="20"/>
          <w:szCs w:val="20"/>
          <w:color w:val="auto"/>
        </w:rPr>
      </w:pPr>
    </w:p>
    <w:p>
      <w:pPr>
        <w:ind w:left="4440"/>
        <w:spacing w:after="0"/>
        <w:tabs>
          <w:tab w:leader="none" w:pos="5220" w:val="left"/>
          <w:tab w:leader="none" w:pos="6080" w:val="left"/>
          <w:tab w:leader="none" w:pos="690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9" w:right="2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195"/>
        </w:trPr>
        <w:tc>
          <w:tcPr>
            <w:tcW w:w="4060" w:type="dxa"/>
            <w:vAlign w:val="bottom"/>
          </w:tcPr>
          <w:p>
            <w:pPr>
              <w:spacing w:after="0"/>
              <w:rPr>
                <w:sz w:val="20"/>
                <w:szCs w:val="20"/>
                <w:color w:val="auto"/>
              </w:rPr>
            </w:pPr>
            <w:r>
              <w:rPr>
                <w:rFonts w:ascii="Arial" w:cs="Arial" w:eastAsia="Arial" w:hAnsi="Arial"/>
                <w:sz w:val="17"/>
                <w:szCs w:val="17"/>
                <w:color w:val="auto"/>
              </w:rPr>
              <w:t>Division of Corporation Finance</w:t>
            </w:r>
          </w:p>
        </w:tc>
        <w:tc>
          <w:tcPr>
            <w:tcW w:w="382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231"/>
        </w:trPr>
        <w:tc>
          <w:tcPr>
            <w:tcW w:w="4060" w:type="dxa"/>
            <w:vAlign w:val="bottom"/>
          </w:tcPr>
          <w:p>
            <w:pPr>
              <w:spacing w:after="0"/>
              <w:rPr>
                <w:sz w:val="20"/>
                <w:szCs w:val="20"/>
                <w:color w:val="auto"/>
              </w:rPr>
            </w:pPr>
            <w:r>
              <w:rPr>
                <w:rFonts w:ascii="Arial" w:cs="Arial" w:eastAsia="Arial" w:hAnsi="Arial"/>
                <w:sz w:val="17"/>
                <w:szCs w:val="17"/>
                <w:color w:val="auto"/>
              </w:rPr>
              <w:t>Office of the Chief Accountant</w:t>
            </w:r>
          </w:p>
        </w:tc>
        <w:tc>
          <w:tcPr>
            <w:tcW w:w="3820" w:type="dxa"/>
            <w:vAlign w:val="bottom"/>
          </w:tcPr>
          <w:p>
            <w:pPr>
              <w:jc w:val="right"/>
              <w:ind w:right="1975"/>
              <w:spacing w:after="0"/>
              <w:rPr>
                <w:sz w:val="20"/>
                <w:szCs w:val="20"/>
                <w:color w:val="auto"/>
              </w:rPr>
            </w:pPr>
            <w:r>
              <w:rPr>
                <w:rFonts w:ascii="Arial" w:cs="Arial" w:eastAsia="Arial" w:hAnsi="Arial"/>
                <w:sz w:val="17"/>
                <w:szCs w:val="17"/>
                <w:color w:val="auto"/>
              </w:rPr>
              <w:t>3</w:t>
            </w:r>
          </w:p>
        </w:tc>
        <w:tc>
          <w:tcPr>
            <w:tcW w:w="3540" w:type="dxa"/>
            <w:vAlign w:val="bottom"/>
          </w:tcPr>
          <w:p>
            <w:pPr>
              <w:ind w:left="2040"/>
              <w:spacing w:after="0"/>
              <w:rPr>
                <w:sz w:val="20"/>
                <w:szCs w:val="20"/>
                <w:color w:val="auto"/>
              </w:rPr>
            </w:pPr>
            <w:r>
              <w:rPr>
                <w:rFonts w:ascii="Arial" w:cs="Arial" w:eastAsia="Arial" w:hAnsi="Arial"/>
                <w:sz w:val="17"/>
                <w:szCs w:val="17"/>
                <w:color w:val="auto"/>
                <w:w w:val="99"/>
              </w:rPr>
              <w:t>December 19, 2017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Please do not hesitate to contact me at (212) 450-4762, (212) 701-5800 (fax) or sophia.hudson@davispolk.com, or Michael Kaplan at</w:t>
      </w:r>
    </w:p>
    <w:p>
      <w:pPr>
        <w:spacing w:after="0" w:line="22" w:lineRule="exact"/>
        <w:rPr>
          <w:sz w:val="20"/>
          <w:szCs w:val="20"/>
          <w:color w:val="auto"/>
        </w:rPr>
      </w:pPr>
    </w:p>
    <w:p>
      <w:pPr>
        <w:ind w:right="120" w:firstLine="8"/>
        <w:spacing w:after="0" w:line="251" w:lineRule="auto"/>
        <w:tabs>
          <w:tab w:leader="none" w:pos="49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450-4111, (212) 701-5800 (fax) or michael.kaplan@davispolk.com, if you have any questions regarding the foregoing or if we can provide any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Very truly yours,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/s/ Sophia Hudson</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Sophia Hudson</w:t>
      </w:r>
    </w:p>
    <w:p>
      <w:pPr>
        <w:spacing w:after="0" w:line="241" w:lineRule="exact"/>
        <w:rPr>
          <w:sz w:val="20"/>
          <w:szCs w:val="20"/>
          <w:color w:val="auto"/>
        </w:rPr>
      </w:pPr>
    </w:p>
    <w:p>
      <w:pPr>
        <w:ind w:left="920" w:hanging="912"/>
        <w:spacing w:after="0"/>
        <w:tabs>
          <w:tab w:leader="none" w:pos="920"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Via E-mail</w:t>
      </w:r>
    </w:p>
    <w:p>
      <w:pPr>
        <w:spacing w:after="0" w:line="21" w:lineRule="exact"/>
        <w:rPr>
          <w:rFonts w:ascii="Arial" w:cs="Arial" w:eastAsia="Arial" w:hAnsi="Arial"/>
          <w:sz w:val="19"/>
          <w:szCs w:val="19"/>
          <w:color w:val="auto"/>
        </w:rPr>
      </w:pPr>
    </w:p>
    <w:p>
      <w:pPr>
        <w:ind w:left="920" w:right="5500"/>
        <w:spacing w:after="0" w:line="237" w:lineRule="auto"/>
        <w:rPr>
          <w:rFonts w:ascii="Arial" w:cs="Arial" w:eastAsia="Arial" w:hAnsi="Arial"/>
          <w:sz w:val="19"/>
          <w:szCs w:val="19"/>
          <w:color w:val="auto"/>
        </w:rPr>
      </w:pPr>
      <w:r>
        <w:rPr>
          <w:rFonts w:ascii="Arial" w:cs="Arial" w:eastAsia="Arial" w:hAnsi="Arial"/>
          <w:sz w:val="19"/>
          <w:szCs w:val="19"/>
          <w:color w:val="auto"/>
        </w:rPr>
        <w:t>Dr. Phillip Schwartz, Chief Executive Officer, Entera Bio Ltd. Mira Rosenzweig, Chief Financial Officer, Entera Bio Ltd. Michael Kaplan, Davis Polk &amp; Wardwell LLP</w:t>
      </w:r>
    </w:p>
    <w:p>
      <w:pPr>
        <w:ind w:left="920"/>
        <w:spacing w:after="0"/>
        <w:rPr>
          <w:rFonts w:ascii="Arial" w:cs="Arial" w:eastAsia="Arial" w:hAnsi="Arial"/>
          <w:sz w:val="19"/>
          <w:szCs w:val="19"/>
          <w:color w:val="auto"/>
        </w:rPr>
      </w:pPr>
      <w:r>
        <w:rPr>
          <w:rFonts w:ascii="Arial" w:cs="Arial" w:eastAsia="Arial" w:hAnsi="Arial"/>
          <w:sz w:val="19"/>
          <w:szCs w:val="19"/>
          <w:color w:val="auto"/>
        </w:rPr>
        <w:t>Ivan Blumenthal,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1)"/>
      <w:numFmt w:val="decimal"/>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1)"/>
      <w:numFmt w:val="decimal"/>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1)"/>
      <w:numFmt w:val="decimal"/>
      <w:start w:val="1"/>
    </w:lvl>
  </w:abstractNum>
  <w:abstractNum w:abstractNumId="15">
    <w:nsid w:val="26F324BA"/>
    <w:multiLevelType w:val="hybridMultilevel"/>
    <w:lvl w:ilvl="0">
      <w:lvlJc w:val="left"/>
      <w:lvlText w:val="(%1)"/>
      <w:numFmt w:val="decimal"/>
      <w:start w:val="2"/>
    </w:lvl>
  </w:abstractNum>
  <w:abstractNum w:abstractNumId="16">
    <w:nsid w:val="7F01579B"/>
    <w:multiLevelType w:val="hybridMultilevel"/>
    <w:lvl w:ilvl="0">
      <w:lvlJc w:val="left"/>
      <w:lvlText w:val="(%1)"/>
      <w:numFmt w:val="decimal"/>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
      <w:numFmt w:val="bullet"/>
      <w:start w:val="1"/>
    </w:lvl>
  </w:abstractNum>
  <w:abstractNum w:abstractNumId="34">
    <w:nsid w:val="6A3DD3E8"/>
    <w:multiLevelType w:val="hybridMultilevel"/>
    <w:lvl w:ilvl="0">
      <w:lvlJc w:val="left"/>
      <w:lvlText w:val="•"/>
      <w:numFmt w:val="bullet"/>
      <w:start w:val="1"/>
    </w:lvl>
  </w:abstractNum>
  <w:abstractNum w:abstractNumId="35">
    <w:nsid w:val="71C91298"/>
    <w:multiLevelType w:val="hybridMultilevel"/>
    <w:lvl w:ilvl="0">
      <w:lvlJc w:val="left"/>
      <w:lvlText w:val="•"/>
      <w:numFmt w:val="bullet"/>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1)"/>
      <w:numFmt w:val="decimal"/>
      <w:start w:val="1"/>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1)"/>
      <w:numFmt w:val="decimal"/>
      <w:start w:val="1"/>
    </w:lvl>
  </w:abstractNum>
  <w:abstractNum w:abstractNumId="46">
    <w:nsid w:val="51088277"/>
    <w:multiLevelType w:val="hybridMultilevel"/>
    <w:lvl w:ilvl="0">
      <w:lvlJc w:val="left"/>
      <w:lvlText w:val="*"/>
      <w:numFmt w:val="bullet"/>
      <w:start w:val="1"/>
    </w:lvl>
  </w:abstractNum>
  <w:abstractNum w:abstractNumId="47">
    <w:nsid w:val="1CA0C5FA"/>
    <w:multiLevelType w:val="hybridMultilevel"/>
    <w:lvl w:ilvl="0">
      <w:lvlJc w:val="left"/>
      <w:lvlText w:val="•"/>
      <w:numFmt w:val="bullet"/>
      <w:start w:val="1"/>
    </w:lvl>
  </w:abstractNum>
  <w:abstractNum w:abstractNumId="48">
    <w:nsid w:val="53584BCB"/>
    <w:multiLevelType w:val="hybridMultilevel"/>
    <w:lvl w:ilvl="0">
      <w:lvlJc w:val="left"/>
      <w:lvlText w:val="•"/>
      <w:numFmt w:val="bullet"/>
      <w:start w:val="1"/>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1)"/>
      <w:numFmt w:val="decimal"/>
      <w:start w:val="1"/>
    </w:lvl>
  </w:abstractNum>
  <w:abstractNum w:abstractNumId="56">
    <w:nsid w:val="4BD8591A"/>
    <w:multiLevelType w:val="hybridMultilevel"/>
    <w:lvl w:ilvl="0">
      <w:lvlJc w:val="left"/>
      <w:lvlText w:val="•"/>
      <w:numFmt w:val="bullet"/>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
      <w:numFmt w:val="bullet"/>
      <w:start w:val="1"/>
    </w:lvl>
  </w:abstractNum>
  <w:abstractNum w:abstractNumId="64">
    <w:nsid w:val="4C9B0904"/>
    <w:multiLevelType w:val="hybridMultilevel"/>
    <w:lvl w:ilvl="0">
      <w:lvlJc w:val="left"/>
      <w:lvlText w:val="•"/>
      <w:numFmt w:val="bullet"/>
      <w:start w:val="1"/>
    </w:lvl>
    <w:lvl w:ilvl="1">
      <w:lvlJc w:val="left"/>
      <w:lvlText w:val="•"/>
      <w:numFmt w:val="bullet"/>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1)"/>
      <w:numFmt w:val="decimal"/>
      <w:start w:val="2"/>
    </w:lvl>
  </w:abstractNum>
  <w:abstractNum w:abstractNumId="67">
    <w:nsid w:val="5675FF36"/>
    <w:multiLevelType w:val="hybridMultilevel"/>
    <w:lvl w:ilvl="0">
      <w:lvlJc w:val="left"/>
      <w:lvlText w:val="•"/>
      <w:numFmt w:val="bullet"/>
      <w:start w:val="1"/>
    </w:lvl>
  </w:abstractNum>
  <w:abstractNum w:abstractNumId="68">
    <w:nsid w:val="3DD15094"/>
    <w:multiLevelType w:val="hybridMultilevel"/>
    <w:lvl w:ilvl="0">
      <w:lvlJc w:val="left"/>
      <w:lvlText w:val="•"/>
      <w:numFmt w:val="bullet"/>
      <w:start w:val="1"/>
    </w:lvl>
  </w:abstractNum>
  <w:abstractNum w:abstractNumId="69">
    <w:nsid w:val="3DB012B3"/>
    <w:multiLevelType w:val="hybridMultilevel"/>
    <w:lvl w:ilvl="0">
      <w:lvlJc w:val="left"/>
      <w:lvlText w:val="(%1)"/>
      <w:numFmt w:val="decimal"/>
      <w:start w:val="1"/>
    </w:lvl>
  </w:abstractNum>
  <w:abstractNum w:abstractNumId="70">
    <w:nsid w:val="2708C9AF"/>
    <w:multiLevelType w:val="hybridMultilevel"/>
    <w:lvl w:ilvl="0">
      <w:lvlJc w:val="left"/>
      <w:lvlText w:val="•"/>
      <w:numFmt w:val="bullet"/>
      <w:start w:val="1"/>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
      <w:numFmt w:val="bullet"/>
      <w:start w:val="1"/>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1)"/>
      <w:numFmt w:val="decimal"/>
      <w:start w:val="1"/>
    </w:lvl>
  </w:abstractNum>
  <w:abstractNum w:abstractNumId="76">
    <w:nsid w:val="5915FF32"/>
    <w:multiLevelType w:val="hybridMultilevel"/>
    <w:lvl w:ilvl="0">
      <w:lvlJc w:val="left"/>
      <w:lvlText w:val="\emdash "/>
      <w:numFmt w:val="bullet"/>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
      <w:numFmt w:val="bullet"/>
      <w:start w:val="1"/>
    </w:lvl>
  </w:abstractNum>
  <w:abstractNum w:abstractNumId="79">
    <w:nsid w:val="2C6E4AFD"/>
    <w:multiLevelType w:val="hybridMultilevel"/>
    <w:lvl w:ilvl="0">
      <w:lvlJc w:val="left"/>
      <w:lvlText w:val="*"/>
      <w:numFmt w:val="bullet"/>
      <w:start w:val="1"/>
    </w:lvl>
  </w:abstractNum>
  <w:abstractNum w:abstractNumId="80">
    <w:nsid w:val="17A1B582"/>
    <w:multiLevelType w:val="hybridMultilevel"/>
    <w:lvl w:ilvl="0">
      <w:lvlJc w:val="left"/>
      <w:lvlText w:val="(%1)"/>
      <w:numFmt w:val="decimal"/>
      <w:start w:val="1"/>
    </w:lvl>
  </w:abstractNum>
  <w:abstractNum w:abstractNumId="81">
    <w:nsid w:val="4DF72E4E"/>
    <w:multiLevelType w:val="hybridMultilevel"/>
    <w:lvl w:ilvl="0">
      <w:lvlJc w:val="left"/>
      <w:lvlText w:val="(%1)"/>
      <w:numFmt w:val="decimal"/>
      <w:start w:val="4"/>
    </w:lvl>
  </w:abstractNum>
  <w:abstractNum w:abstractNumId="82">
    <w:nsid w:val="5046B5A9"/>
    <w:multiLevelType w:val="hybridMultilevel"/>
    <w:lvl w:ilvl="0">
      <w:lvlJc w:val="left"/>
      <w:lvlText w:val="(%1)"/>
      <w:numFmt w:val="decimal"/>
      <w:start w:val="14"/>
    </w:lvl>
  </w:abstractNum>
  <w:abstractNum w:abstractNumId="83">
    <w:nsid w:val="5D888A08"/>
    <w:multiLevelType w:val="hybridMultilevel"/>
    <w:lvl w:ilvl="0">
      <w:lvlJc w:val="left"/>
      <w:lvlText w:val="•"/>
      <w:numFmt w:val="bullet"/>
      <w:start w:val="1"/>
    </w:lvl>
  </w:abstractNum>
  <w:abstractNum w:abstractNumId="84">
    <w:nsid w:val="2A082C70"/>
    <w:multiLevelType w:val="hybridMultilevel"/>
    <w:lvl w:ilvl="0">
      <w:lvlJc w:val="left"/>
      <w:lvlText w:val="(%1)"/>
      <w:numFmt w:val="lowerRoman"/>
      <w:start w:val="1"/>
    </w:lvl>
  </w:abstractNum>
  <w:abstractNum w:abstractNumId="85">
    <w:nsid w:val="5EC6AFD4"/>
    <w:multiLevelType w:val="hybridMultilevel"/>
    <w:lvl w:ilvl="0">
      <w:lvlJc w:val="left"/>
      <w:lvlText w:val="•"/>
      <w:numFmt w:val="bullet"/>
      <w:start w:val="1"/>
    </w:lvl>
  </w:abstractNum>
  <w:abstractNum w:abstractNumId="86">
    <w:nsid w:val="19E21BB2"/>
    <w:multiLevelType w:val="hybridMultilevel"/>
    <w:lvl w:ilvl="0">
      <w:lvlJc w:val="left"/>
      <w:lvlText w:val="•"/>
      <w:numFmt w:val="bullet"/>
      <w:start w:val="1"/>
    </w:lvl>
  </w:abstractNum>
  <w:abstractNum w:abstractNumId="87">
    <w:nsid w:val="75E0858A"/>
    <w:multiLevelType w:val="hybridMultilevel"/>
    <w:lvl w:ilvl="0">
      <w:lvlJc w:val="left"/>
      <w:lvlText w:val="•"/>
      <w:numFmt w:val="bullet"/>
      <w:start w:val="1"/>
    </w:lvl>
  </w:abstractNum>
  <w:abstractNum w:abstractNumId="88">
    <w:nsid w:val="57A61A29"/>
    <w:multiLevelType w:val="hybridMultilevel"/>
    <w:lvl w:ilvl="0">
      <w:lvlJc w:val="left"/>
      <w:lvlText w:val="•"/>
      <w:numFmt w:val="bullet"/>
      <w:start w:val="1"/>
    </w:lvl>
  </w:abstractNum>
  <w:abstractNum w:abstractNumId="89">
    <w:nsid w:val="5399C654"/>
    <w:multiLevelType w:val="hybridMultilevel"/>
    <w:lvl w:ilvl="0">
      <w:lvlJc w:val="left"/>
      <w:lvlText w:val="•"/>
      <w:numFmt w:val="bullet"/>
      <w:start w:val="1"/>
    </w:lvl>
  </w:abstractNum>
  <w:abstractNum w:abstractNumId="90">
    <w:nsid w:val="20EE1348"/>
    <w:multiLevelType w:val="hybridMultilevel"/>
    <w:lvl w:ilvl="0">
      <w:lvlJc w:val="left"/>
      <w:lvlText w:val="•"/>
      <w:numFmt w:val="bullet"/>
      <w:start w:val="1"/>
    </w:lvl>
  </w:abstractNum>
  <w:abstractNum w:abstractNumId="91">
    <w:nsid w:val="4427069A"/>
    <w:multiLevelType w:val="hybridMultilevel"/>
    <w:lvl w:ilvl="0">
      <w:lvlJc w:val="left"/>
      <w:lvlText w:val="(%1)"/>
      <w:numFmt w:val="lowerLetter"/>
      <w:start w:val="1"/>
    </w:lvl>
  </w:abstractNum>
  <w:abstractNum w:abstractNumId="92">
    <w:nsid w:val="B37E80A"/>
    <w:multiLevelType w:val="hybridMultilevel"/>
    <w:lvl w:ilvl="0">
      <w:lvlJc w:val="left"/>
      <w:lvlText w:val="(%1)"/>
      <w:numFmt w:val="lowerLetter"/>
      <w:start w:val="1"/>
    </w:lvl>
  </w:abstractNum>
  <w:abstractNum w:abstractNumId="93">
    <w:nsid w:val="2157F6BC"/>
    <w:multiLevelType w:val="hybridMultilevel"/>
    <w:lvl w:ilvl="0">
      <w:lvlJc w:val="left"/>
      <w:lvlText w:val="(%1)"/>
      <w:numFmt w:val="lowerLetter"/>
      <w:start w:val="2"/>
    </w:lvl>
  </w:abstractNum>
  <w:abstractNum w:abstractNumId="94">
    <w:nsid w:val="704E1DD5"/>
    <w:multiLevelType w:val="hybridMultilevel"/>
    <w:lvl w:ilvl="0">
      <w:lvlJc w:val="left"/>
      <w:lvlText w:val="(%1)"/>
      <w:numFmt w:val="lowerLetter"/>
      <w:start w:val="1"/>
    </w:lvl>
  </w:abstractNum>
  <w:abstractNum w:abstractNumId="95">
    <w:nsid w:val="57D2F10E"/>
    <w:multiLevelType w:val="hybridMultilevel"/>
    <w:lvl w:ilvl="0">
      <w:lvlJc w:val="left"/>
      <w:lvlText w:val="•"/>
      <w:numFmt w:val="bullet"/>
      <w:start w:val="1"/>
    </w:lvl>
  </w:abstractNum>
  <w:abstractNum w:abstractNumId="96">
    <w:nsid w:val="BFFAE18"/>
    <w:multiLevelType w:val="hybridMultilevel"/>
    <w:lvl w:ilvl="0">
      <w:lvlJc w:val="left"/>
      <w:lvlText w:val="*"/>
      <w:numFmt w:val="bullet"/>
      <w:start w:val="1"/>
    </w:lvl>
  </w:abstractNum>
  <w:abstractNum w:abstractNumId="97">
    <w:nsid w:val="E3E47A8"/>
    <w:multiLevelType w:val="hybridMultilevel"/>
    <w:lvl w:ilvl="0">
      <w:lvlJc w:val="left"/>
      <w:lvlText w:val="*"/>
      <w:numFmt w:val="bullet"/>
      <w:start w:val="1"/>
    </w:lvl>
  </w:abstractNum>
  <w:abstractNum w:abstractNumId="98">
    <w:nsid w:val="2E48F044"/>
    <w:multiLevelType w:val="hybridMultilevel"/>
    <w:lvl w:ilvl="0">
      <w:lvlJc w:val="left"/>
      <w:lvlText w:val="%1."/>
      <w:numFmt w:val="lowerLetter"/>
      <w:start w:val="1"/>
    </w:lvl>
    <w:lvl w:ilvl="1">
      <w:lvlJc w:val="left"/>
      <w:lvlText w:val="%2)"/>
      <w:numFmt w:val="decimal"/>
      <w:start w:val="1"/>
    </w:lvl>
  </w:abstractNum>
  <w:abstractNum w:abstractNumId="99">
    <w:nsid w:val="49D0FEAC"/>
    <w:multiLevelType w:val="hybridMultilevel"/>
    <w:lvl w:ilvl="0">
      <w:lvlJc w:val="left"/>
      <w:lvlText w:val="%1."/>
      <w:numFmt w:val="lowerLetter"/>
      <w:start w:val="1"/>
    </w:lvl>
  </w:abstractNum>
  <w:abstractNum w:abstractNumId="100">
    <w:nsid w:val="4BEE5A5B"/>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101">
    <w:nsid w:val="5551B9F3"/>
    <w:multiLevelType w:val="hybridMultilevel"/>
    <w:lvl w:ilvl="0">
      <w:lvlJc w:val="left"/>
      <w:lvlText w:val="•"/>
      <w:numFmt w:val="bullet"/>
      <w:start w:val="1"/>
    </w:lvl>
  </w:abstractNum>
  <w:abstractNum w:abstractNumId="102">
    <w:nsid w:val="24F6AB8E"/>
    <w:multiLevelType w:val="hybridMultilevel"/>
    <w:lvl w:ilvl="0">
      <w:lvlJc w:val="left"/>
      <w:lvlText w:val="%1"/>
      <w:numFmt w:val="lowerLetter"/>
      <w:start w:val="1"/>
    </w:lvl>
    <w:lvl w:ilvl="1">
      <w:lvlJc w:val="left"/>
      <w:lvlText w:val="%2)"/>
      <w:numFmt w:val="decimal"/>
      <w:start w:val="2"/>
    </w:lvl>
  </w:abstractNum>
  <w:abstractNum w:abstractNumId="103">
    <w:nsid w:val="634C574C"/>
    <w:multiLevelType w:val="hybridMultilevel"/>
    <w:lvl w:ilvl="0">
      <w:lvlJc w:val="left"/>
      <w:lvlText w:val="%1."/>
      <w:numFmt w:val="lowerLetter"/>
      <w:start w:val="7"/>
    </w:lvl>
    <w:lvl w:ilvl="1">
      <w:lvlJc w:val="left"/>
      <w:lvlText w:val="%2)"/>
      <w:numFmt w:val="decimal"/>
      <w:start w:val="1"/>
    </w:lvl>
  </w:abstractNum>
  <w:abstractNum w:abstractNumId="104">
    <w:nsid w:val="24E99DD7"/>
    <w:multiLevelType w:val="hybridMultilevel"/>
    <w:lvl w:ilvl="0">
      <w:lvlJc w:val="left"/>
      <w:lvlText w:val="%1."/>
      <w:numFmt w:val="lowerLetter"/>
      <w:start w:val="10"/>
    </w:lvl>
  </w:abstractNum>
  <w:abstractNum w:abstractNumId="105">
    <w:nsid w:val="2A31B62D"/>
    <w:multiLevelType w:val="hybridMultilevel"/>
    <w:lvl w:ilvl="0">
      <w:lvlJc w:val="left"/>
      <w:lvlText w:val="%1."/>
      <w:numFmt w:val="lowerLetter"/>
      <w:start w:val="14"/>
    </w:lvl>
    <w:lvl w:ilvl="1">
      <w:lvlJc w:val="left"/>
      <w:lvlText w:val="%2."/>
      <w:numFmt w:val="decimal"/>
      <w:start w:val="1"/>
    </w:lvl>
  </w:abstractNum>
  <w:abstractNum w:abstractNumId="106">
    <w:nsid w:val="1849C29B"/>
    <w:multiLevelType w:val="hybridMultilevel"/>
    <w:lvl w:ilvl="0">
      <w:lvlJc w:val="left"/>
      <w:lvlText w:val="%1."/>
      <w:numFmt w:val="lowerLetter"/>
      <w:start w:val="1"/>
    </w:lvl>
    <w:lvl w:ilvl="1">
      <w:lvlJc w:val="left"/>
      <w:lvlText w:val="%2)"/>
      <w:numFmt w:val="decimal"/>
      <w:start w:val="1"/>
    </w:lvl>
  </w:abstractNum>
  <w:abstractNum w:abstractNumId="107">
    <w:nsid w:val="7DFF9D09"/>
    <w:multiLevelType w:val="hybridMultilevel"/>
    <w:lvl w:ilvl="0">
      <w:lvlJc w:val="left"/>
      <w:lvlText w:val="%1."/>
      <w:numFmt w:val="lowerLetter"/>
      <w:start w:val="4"/>
    </w:lvl>
  </w:abstractNum>
  <w:abstractNum w:abstractNumId="108">
    <w:nsid w:val="754342"/>
    <w:multiLevelType w:val="hybridMultilevel"/>
    <w:lvl w:ilvl="0">
      <w:lvlJc w:val="left"/>
      <w:lvlText w:val="%1."/>
      <w:numFmt w:val="lowerLetter"/>
      <w:start w:val="1"/>
    </w:lvl>
  </w:abstractNum>
  <w:abstractNum w:abstractNumId="109">
    <w:nsid w:val="69E7F3E5"/>
    <w:multiLevelType w:val="hybridMultilevel"/>
    <w:lvl w:ilvl="0">
      <w:lvlJc w:val="left"/>
      <w:lvlText w:val="%1."/>
      <w:numFmt w:val="decimal"/>
      <w:start w:val="1"/>
    </w:lvl>
  </w:abstractNum>
  <w:abstractNum w:abstractNumId="110">
    <w:nsid w:val="2A6DE806"/>
    <w:multiLevelType w:val="hybridMultilevel"/>
    <w:lvl w:ilvl="0">
      <w:lvlJc w:val="left"/>
      <w:lvlText w:val="%1."/>
      <w:numFmt w:val="decimal"/>
      <w:start w:val="3"/>
    </w:lvl>
  </w:abstractNum>
  <w:abstractNum w:abstractNumId="111">
    <w:nsid w:val="1816F8C4"/>
    <w:multiLevelType w:val="hybridMultilevel"/>
    <w:lvl w:ilvl="0">
      <w:lvlJc w:val="left"/>
      <w:lvlText w:val="%1)"/>
      <w:numFmt w:val="lowerLetter"/>
      <w:start w:val="2"/>
    </w:lvl>
  </w:abstractNum>
  <w:abstractNum w:abstractNumId="112">
    <w:nsid w:val="37DF2233"/>
    <w:multiLevelType w:val="hybridMultilevel"/>
    <w:lvl w:ilvl="0">
      <w:lvlJc w:val="left"/>
      <w:lvlText w:val="*"/>
      <w:numFmt w:val="bullet"/>
      <w:start w:val="1"/>
    </w:lvl>
  </w:abstractNum>
  <w:abstractNum w:abstractNumId="113">
    <w:nsid w:val="7AB49DAF"/>
    <w:multiLevelType w:val="hybridMultilevel"/>
    <w:lvl w:ilvl="0">
      <w:lvlJc w:val="left"/>
      <w:lvlText w:val="%1."/>
      <w:numFmt w:val="lowerLetter"/>
      <w:start w:val="1"/>
    </w:lvl>
  </w:abstractNum>
  <w:abstractNum w:abstractNumId="114">
    <w:nsid w:val="759F82CD"/>
    <w:multiLevelType w:val="hybridMultilevel"/>
    <w:lvl w:ilvl="0">
      <w:lvlJc w:val="left"/>
      <w:lvlText w:val="%1."/>
      <w:numFmt w:val="lowerLetter"/>
      <w:start w:val="2"/>
    </w:lvl>
    <w:lvl w:ilvl="1">
      <w:lvlJc w:val="left"/>
      <w:lvlText w:val="%2."/>
      <w:numFmt w:val="lowerRoman"/>
      <w:start w:val="1"/>
    </w:lvl>
  </w:abstractNum>
  <w:abstractNum w:abstractNumId="115">
    <w:nsid w:val="61E74EA3"/>
    <w:multiLevelType w:val="hybridMultilevel"/>
    <w:lvl w:ilvl="0">
      <w:lvlJc w:val="left"/>
      <w:lvlText w:val="%1."/>
      <w:numFmt w:val="lowerLetter"/>
      <w:start w:val="3"/>
    </w:lvl>
  </w:abstractNum>
  <w:abstractNum w:abstractNumId="116">
    <w:nsid w:val="597B4D84"/>
    <w:multiLevelType w:val="hybridMultilevel"/>
    <w:lvl w:ilvl="0">
      <w:lvlJc w:val="left"/>
      <w:lvlText w:val="%1."/>
      <w:numFmt w:val="lowerLetter"/>
      <w:start w:val="5"/>
    </w:lvl>
  </w:abstractNum>
  <w:abstractNum w:abstractNumId="117">
    <w:nsid w:val="F819E7F"/>
    <w:multiLevelType w:val="hybridMultilevel"/>
    <w:lvl w:ilvl="0">
      <w:lvlJc w:val="left"/>
      <w:lvlText w:val="*"/>
      <w:numFmt w:val="bullet"/>
      <w:start w:val="1"/>
    </w:lvl>
  </w:abstractNum>
  <w:abstractNum w:abstractNumId="118">
    <w:nsid w:val="57C7D42D"/>
    <w:multiLevelType w:val="hybridMultilevel"/>
    <w:lvl w:ilvl="0">
      <w:lvlJc w:val="left"/>
      <w:lvlText w:val="%1."/>
      <w:numFmt w:val="lowerLetter"/>
      <w:start w:val="1"/>
    </w:lvl>
  </w:abstractNum>
  <w:abstractNum w:abstractNumId="119">
    <w:nsid w:val="312167AD"/>
    <w:multiLevelType w:val="hybridMultilevel"/>
    <w:lvl w:ilvl="0">
      <w:lvlJc w:val="left"/>
      <w:lvlText w:val="%1."/>
      <w:numFmt w:val="lowerLetter"/>
      <w:start w:val="1"/>
    </w:lvl>
  </w:abstractNum>
  <w:abstractNum w:abstractNumId="120">
    <w:nsid w:val="631B64D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21">
    <w:nsid w:val="78B5E776"/>
    <w:multiLevelType w:val="hybridMultilevel"/>
    <w:lvl w:ilvl="0">
      <w:lvlJc w:val="left"/>
      <w:lvlText w:val="%1"/>
      <w:numFmt w:val="decimal"/>
      <w:start w:val="1"/>
    </w:lvl>
    <w:lvl w:ilvl="1">
      <w:lvlJc w:val="left"/>
      <w:lvlText w:val="%2)"/>
      <w:numFmt w:val="lowerLetter"/>
      <w:start w:val="3"/>
    </w:lvl>
  </w:abstractNum>
  <w:abstractNum w:abstractNumId="122">
    <w:nsid w:val="75486E47"/>
    <w:multiLevelType w:val="hybridMultilevel"/>
    <w:lvl w:ilvl="0">
      <w:lvlJc w:val="left"/>
      <w:lvlText w:val="%1)"/>
      <w:numFmt w:val="decimal"/>
      <w:start w:val="3"/>
    </w:lvl>
    <w:lvl w:ilvl="1">
      <w:lvlJc w:val="left"/>
      <w:lvlText w:val="%2"/>
      <w:numFmt w:val="lowerLetter"/>
      <w:start w:val="1"/>
    </w:lvl>
  </w:abstractNum>
  <w:abstractNum w:abstractNumId="123">
    <w:nsid w:val="6E534CDE"/>
    <w:multiLevelType w:val="hybridMultilevel"/>
    <w:lvl w:ilvl="0">
      <w:lvlJc w:val="left"/>
      <w:lvlText w:val="%1)"/>
      <w:numFmt w:val="decimal"/>
      <w:start w:val="4"/>
    </w:lvl>
  </w:abstractNum>
  <w:abstractNum w:abstractNumId="124">
    <w:nsid w:val="1A0DDE32"/>
    <w:multiLevelType w:val="hybridMultilevel"/>
    <w:lvl w:ilvl="0">
      <w:lvlJc w:val="left"/>
      <w:lvlText w:val="%1)"/>
      <w:numFmt w:val="decimal"/>
      <w:start w:val="5"/>
    </w:lvl>
  </w:abstractNum>
  <w:abstractNum w:abstractNumId="125">
    <w:nsid w:val="65968C1C"/>
    <w:multiLevelType w:val="hybridMultilevel"/>
    <w:lvl w:ilvl="0">
      <w:lvlJc w:val="left"/>
      <w:lvlText w:val="*"/>
      <w:numFmt w:val="bullet"/>
      <w:start w:val="1"/>
    </w:lvl>
  </w:abstractNum>
  <w:abstractNum w:abstractNumId="126">
    <w:nsid w:val="46263DEC"/>
    <w:multiLevelType w:val="hybridMultilevel"/>
    <w:lvl w:ilvl="0">
      <w:lvlJc w:val="left"/>
      <w:lvlText w:val="%1)"/>
      <w:numFmt w:val="decimal"/>
      <w:start w:val="6"/>
    </w:lvl>
  </w:abstractNum>
  <w:abstractNum w:abstractNumId="127">
    <w:nsid w:val="260D8C4A"/>
    <w:multiLevelType w:val="hybridMultilevel"/>
    <w:lvl w:ilvl="0">
      <w:lvlJc w:val="left"/>
      <w:lvlText w:val="%1."/>
      <w:numFmt w:val="lowerLetter"/>
      <w:start w:val="1"/>
    </w:lvl>
  </w:abstractNum>
  <w:abstractNum w:abstractNumId="128">
    <w:nsid w:val="73D4D3C4"/>
    <w:multiLevelType w:val="hybridMultilevel"/>
    <w:lvl w:ilvl="0">
      <w:lvlJc w:val="left"/>
      <w:lvlText w:val="%1."/>
      <w:numFmt w:val="lowerLetter"/>
      <w:start w:val="3"/>
    </w:lvl>
  </w:abstractNum>
  <w:abstractNum w:abstractNumId="129">
    <w:nsid w:val="746F2E30"/>
    <w:multiLevelType w:val="hybridMultilevel"/>
    <w:lvl w:ilvl="0">
      <w:lvlJc w:val="left"/>
      <w:lvlText w:val="%1."/>
      <w:numFmt w:val="lowerLetter"/>
      <w:start w:val="1"/>
    </w:lvl>
  </w:abstractNum>
  <w:abstractNum w:abstractNumId="130">
    <w:nsid w:val="6FDE8AF6"/>
    <w:multiLevelType w:val="hybridMultilevel"/>
    <w:lvl w:ilvl="0">
      <w:lvlJc w:val="left"/>
      <w:lvlText w:val="%1."/>
      <w:numFmt w:val="lowerLetter"/>
      <w:start w:val="2"/>
    </w:lvl>
  </w:abstractNum>
  <w:abstractNum w:abstractNumId="131">
    <w:nsid w:val="3FC32E20"/>
    <w:multiLevelType w:val="hybridMultilevel"/>
    <w:lvl w:ilvl="0">
      <w:lvlJc w:val="left"/>
      <w:lvlText w:val="%1"/>
      <w:numFmt w:val="decimal"/>
      <w:start w:val="155"/>
    </w:lvl>
  </w:abstractNum>
  <w:abstractNum w:abstractNumId="132">
    <w:nsid w:val="49C0E823"/>
    <w:multiLevelType w:val="hybridMultilevel"/>
    <w:lvl w:ilvl="0">
      <w:lvlJc w:val="left"/>
      <w:lvlText w:val="%1"/>
      <w:numFmt w:val="decimal"/>
      <w:start w:val="310"/>
    </w:lvl>
  </w:abstractNum>
  <w:abstractNum w:abstractNumId="133">
    <w:nsid w:val="14D53685"/>
    <w:multiLevelType w:val="hybridMultilevel"/>
    <w:lvl w:ilvl="0">
      <w:lvlJc w:val="left"/>
      <w:lvlText w:val="%1"/>
      <w:numFmt w:val="decimal"/>
      <w:start w:val="604"/>
    </w:lvl>
  </w:abstractNum>
  <w:abstractNum w:abstractNumId="134">
    <w:nsid w:val="230F856C"/>
    <w:multiLevelType w:val="hybridMultilevel"/>
    <w:lvl w:ilvl="0">
      <w:lvlJc w:val="left"/>
      <w:lvlText w:val="%1."/>
      <w:numFmt w:val="lowerLetter"/>
      <w:start w:val="1"/>
    </w:lvl>
    <w:lvl w:ilvl="1">
      <w:lvlJc w:val="left"/>
      <w:lvlText w:val="%2)"/>
      <w:numFmt w:val="decimal"/>
      <w:start w:val="1"/>
    </w:lvl>
  </w:abstractNum>
  <w:abstractNum w:abstractNumId="135">
    <w:nsid w:val="6EAA85FB"/>
    <w:multiLevelType w:val="hybridMultilevel"/>
    <w:lvl w:ilvl="0">
      <w:lvlJc w:val="left"/>
      <w:lvlText w:val="%1."/>
      <w:numFmt w:val="lowerLetter"/>
      <w:start w:val="1"/>
    </w:lvl>
  </w:abstractNum>
  <w:abstractNum w:abstractNumId="136">
    <w:nsid w:val="3F06ECB2"/>
    <w:multiLevelType w:val="hybridMultilevel"/>
    <w:lvl w:ilvl="0">
      <w:lvlJc w:val="left"/>
      <w:lvlText w:val="%1."/>
      <w:numFmt w:val="lowerLetter"/>
      <w:start w:val="4"/>
    </w:lvl>
  </w:abstractNum>
  <w:abstractNum w:abstractNumId="137">
    <w:nsid w:val="3B594807"/>
    <w:multiLevelType w:val="hybridMultilevel"/>
    <w:lvl w:ilvl="0">
      <w:lvlJc w:val="left"/>
      <w:lvlText w:val="*"/>
      <w:numFmt w:val="bullet"/>
      <w:start w:val="1"/>
    </w:lvl>
  </w:abstractNum>
  <w:abstractNum w:abstractNumId="138">
    <w:nsid w:val="6CAA2304"/>
    <w:multiLevelType w:val="hybridMultilevel"/>
    <w:lvl w:ilvl="0">
      <w:lvlJc w:val="left"/>
      <w:lvlText w:val="%1."/>
      <w:numFmt w:val="lowerLetter"/>
      <w:start w:val="1"/>
    </w:lvl>
  </w:abstractNum>
  <w:abstractNum w:abstractNumId="139">
    <w:nsid w:val="3F7C2FF4"/>
    <w:multiLevelType w:val="hybridMultilevel"/>
    <w:lvl w:ilvl="0">
      <w:lvlJc w:val="left"/>
      <w:lvlText w:val="%1."/>
      <w:numFmt w:val="lowerLetter"/>
      <w:start w:val="1"/>
    </w:lvl>
  </w:abstractNum>
  <w:abstractNum w:abstractNumId="140">
    <w:nsid w:val="25413BEC"/>
    <w:multiLevelType w:val="hybridMultilevel"/>
    <w:lvl w:ilvl="0">
      <w:lvlJc w:val="left"/>
      <w:lvlText w:val="%1."/>
      <w:numFmt w:val="lowerLetter"/>
      <w:start w:val="1"/>
    </w:lvl>
  </w:abstractNum>
  <w:abstractNum w:abstractNumId="141">
    <w:nsid w:val="17180B0B"/>
    <w:multiLevelType w:val="hybridMultilevel"/>
    <w:lvl w:ilvl="0">
      <w:lvlJc w:val="left"/>
      <w:lvlText w:val="(%1)"/>
      <w:numFmt w:val="lowerRoman"/>
      <w:start w:val="2"/>
    </w:lvl>
  </w:abstractNum>
  <w:abstractNum w:abstractNumId="142">
    <w:nsid w:val="579328B9"/>
    <w:multiLevelType w:val="hybridMultilevel"/>
    <w:lvl w:ilvl="0">
      <w:lvlJc w:val="left"/>
      <w:lvlText w:val="%1."/>
      <w:numFmt w:val="lowerLetter"/>
      <w:start w:val="1"/>
    </w:lvl>
  </w:abstractNum>
  <w:abstractNum w:abstractNumId="143">
    <w:nsid w:val="5D205E20"/>
    <w:multiLevelType w:val="hybridMultilevel"/>
    <w:lvl w:ilvl="0">
      <w:lvlJc w:val="left"/>
      <w:lvlText w:val="%1."/>
      <w:numFmt w:val="lowerLetter"/>
      <w:start w:val="2"/>
    </w:lvl>
  </w:abstractNum>
  <w:abstractNum w:abstractNumId="144">
    <w:nsid w:val="11CCA8BA"/>
    <w:multiLevelType w:val="hybridMultilevel"/>
    <w:lvl w:ilvl="0">
      <w:lvlJc w:val="left"/>
      <w:lvlText w:val="*"/>
      <w:numFmt w:val="bullet"/>
      <w:start w:val="1"/>
    </w:lvl>
  </w:abstractNum>
  <w:abstractNum w:abstractNumId="145">
    <w:nsid w:val="4D32AB86"/>
    <w:multiLevelType w:val="hybridMultilevel"/>
    <w:lvl w:ilvl="0">
      <w:lvlJc w:val="left"/>
      <w:lvlText w:val="(%1)"/>
      <w:numFmt w:val="decimal"/>
      <w:start w:val="1"/>
    </w:lvl>
  </w:abstractNum>
  <w:abstractNum w:abstractNumId="146">
    <w:nsid w:val="3F07ACC3"/>
    <w:multiLevelType w:val="hybridMultilevel"/>
    <w:lvl w:ilvl="0">
      <w:lvlJc w:val="left"/>
      <w:lvlText w:val="•"/>
      <w:numFmt w:val="bullet"/>
      <w:start w:val="1"/>
    </w:lvl>
  </w:abstractNum>
  <w:abstractNum w:abstractNumId="147">
    <w:nsid w:val="6B47F63E"/>
    <w:multiLevelType w:val="hybridMultilevel"/>
    <w:lvl w:ilvl="0">
      <w:lvlJc w:val="left"/>
      <w:lvlText w:val="•"/>
      <w:numFmt w:val="bullet"/>
      <w:start w:val="1"/>
    </w:lvl>
  </w:abstractNum>
  <w:abstractNum w:abstractNumId="148">
    <w:nsid w:val="5CB44A05"/>
    <w:multiLevelType w:val="hybridMultilevel"/>
    <w:lvl w:ilvl="0">
      <w:lvlJc w:val="left"/>
      <w:lvlText w:val="•"/>
      <w:numFmt w:val="bullet"/>
      <w:start w:val="1"/>
    </w:lvl>
  </w:abstractNum>
  <w:abstractNum w:abstractNumId="149">
    <w:nsid w:val="16CF80F1"/>
    <w:multiLevelType w:val="hybridMultilevel"/>
    <w:lvl w:ilvl="0">
      <w:lvlJc w:val="left"/>
      <w:lvlText w:val="•"/>
      <w:numFmt w:val="bullet"/>
      <w:start w:val="1"/>
    </w:lvl>
  </w:abstractNum>
  <w:abstractNum w:abstractNumId="150">
    <w:nsid w:val="1C695DEC"/>
    <w:multiLevelType w:val="hybridMultilevel"/>
    <w:lvl w:ilvl="0">
      <w:lvlJc w:val="left"/>
      <w:lvlText w:val="•"/>
      <w:numFmt w:val="bullet"/>
      <w:start w:val="1"/>
    </w:lvl>
  </w:abstractNum>
  <w:abstractNum w:abstractNumId="151">
    <w:nsid w:val="3FCFAED9"/>
    <w:multiLevelType w:val="hybridMultilevel"/>
    <w:lvl w:ilvl="0">
      <w:lvlJc w:val="left"/>
      <w:lvlText w:val="•"/>
      <w:numFmt w:val="bullet"/>
      <w:start w:val="1"/>
    </w:lvl>
  </w:abstractNum>
  <w:abstractNum w:abstractNumId="152">
    <w:nsid w:val="F856867"/>
    <w:multiLevelType w:val="hybridMultilevel"/>
    <w:lvl w:ilvl="0">
      <w:lvlJc w:val="left"/>
      <w:lvlText w:val="•"/>
      <w:numFmt w:val="bullet"/>
      <w:start w:val="1"/>
    </w:lvl>
  </w:abstractNum>
  <w:abstractNum w:abstractNumId="153">
    <w:nsid w:val="11B1CC33"/>
    <w:multiLevelType w:val="hybridMultilevel"/>
    <w:lvl w:ilvl="0">
      <w:lvlJc w:val="left"/>
      <w:lvlText w:val="•"/>
      <w:numFmt w:val="bullet"/>
      <w:start w:val="1"/>
    </w:lvl>
  </w:abstractNum>
  <w:abstractNum w:abstractNumId="154">
    <w:nsid w:val="2E22FBB7"/>
    <w:multiLevelType w:val="hybridMultilevel"/>
    <w:lvl w:ilvl="0">
      <w:lvlJc w:val="left"/>
      <w:lvlText w:val="*"/>
      <w:numFmt w:val="bullet"/>
      <w:start w:val="1"/>
    </w:lvl>
  </w:abstractNum>
  <w:abstractNum w:abstractNumId="155">
    <w:nsid w:val="29934699"/>
    <w:multiLevelType w:val="hybridMultilevel"/>
    <w:lvl w:ilvl="0">
      <w:lvlJc w:val="left"/>
      <w:lvlText w:val="**"/>
      <w:numFmt w:val="bullet"/>
      <w:start w:val="1"/>
    </w:lvl>
  </w:abstractNum>
  <w:abstractNum w:abstractNumId="156">
    <w:nsid w:val="77485850"/>
    <w:multiLevelType w:val="hybridMultilevel"/>
    <w:lvl w:ilvl="0">
      <w:lvlJc w:val="left"/>
      <w:lvlText w:val="(%1)"/>
      <w:numFmt w:val="decimal"/>
      <w:start w:val="1"/>
    </w:lvl>
    <w:lvl w:ilvl="1">
      <w:lvlJc w:val="left"/>
      <w:lvlText w:val="(%2)"/>
      <w:numFmt w:val="lowerRoman"/>
      <w:start w:val="1"/>
    </w:lvl>
  </w:abstractNum>
  <w:abstractNum w:abstractNumId="157">
    <w:nsid w:val="744939A3"/>
    <w:multiLevelType w:val="hybridMultilevel"/>
    <w:lvl w:ilvl="0">
      <w:lvlJc w:val="left"/>
      <w:lvlText w:val="(%1)"/>
      <w:numFmt w:val="decimal"/>
      <w:start w:val="2"/>
    </w:lvl>
  </w:abstractNum>
  <w:abstractNum w:abstractNumId="158">
    <w:nsid w:val="4FA0D2E3"/>
    <w:multiLevelType w:val="hybridMultilevel"/>
    <w:lvl w:ilvl="0">
      <w:lvlJc w:val="left"/>
      <w:lvlText w:val="*"/>
      <w:numFmt w:val="bullet"/>
      <w:start w:val="1"/>
    </w:lvl>
  </w:abstractNum>
  <w:abstractNum w:abstractNumId="159">
    <w:nsid w:val="6B1D2C14"/>
    <w:multiLevelType w:val="hybridMultilevel"/>
    <w:lvl w:ilvl="0">
      <w:lvlJc w:val="left"/>
      <w:lvlText w:val="(%1)"/>
      <w:numFmt w:val="lowerRoman"/>
      <w:start w:val="6"/>
    </w:lvl>
  </w:abstractNum>
  <w:abstractNum w:abstractNumId="160">
    <w:nsid w:val="68B867D3"/>
    <w:multiLevelType w:val="hybridMultilevel"/>
    <w:lvl w:ilvl="0">
      <w:lvlJc w:val="left"/>
      <w:lvlText w:val="%1."/>
      <w:numFmt w:val="decimal"/>
      <w:start w:val="1"/>
    </w:lvl>
  </w:abstractNum>
  <w:abstractNum w:abstractNumId="161">
    <w:nsid w:val="3F7F5DD9"/>
    <w:multiLevelType w:val="hybridMultilevel"/>
    <w:lvl w:ilvl="0">
      <w:lvlJc w:val="left"/>
      <w:lvlText w:val="%1."/>
      <w:numFmt w:val="decimal"/>
      <w:start w:val="2"/>
    </w:lvl>
  </w:abstractNum>
  <w:abstractNum w:abstractNumId="162">
    <w:nsid w:val="2AE05A34"/>
    <w:multiLevelType w:val="hybridMultilevel"/>
    <w:lvl w:ilvl="0">
      <w:lvlJc w:val="left"/>
      <w:lvlText w:val="%1."/>
      <w:numFmt w:val="decimal"/>
      <w:start w:val="3"/>
    </w:lvl>
  </w:abstractNum>
  <w:abstractNum w:abstractNumId="163">
    <w:nsid w:val="32794FF7"/>
    <w:multiLevelType w:val="hybridMultilevel"/>
    <w:lvl w:ilvl="0">
      <w:lvlJc w:val="left"/>
      <w:lvlText w:val="%1."/>
      <w:numFmt w:val="decimal"/>
      <w:start w:val="4"/>
    </w:lvl>
  </w:abstractNum>
  <w:abstractNum w:abstractNumId="164">
    <w:nsid w:val="5454945E"/>
    <w:multiLevelType w:val="hybridMultilevel"/>
    <w:lvl w:ilvl="0">
      <w:lvlJc w:val="left"/>
      <w:lvlText w:val="%1."/>
      <w:numFmt w:val="decimal"/>
      <w:start w:val="5"/>
    </w:lvl>
  </w:abstractNum>
  <w:abstractNum w:abstractNumId="165">
    <w:nsid w:val="4DEFDFA0"/>
    <w:multiLevelType w:val="hybridMultilevel"/>
    <w:lvl w:ilvl="0">
      <w:lvlJc w:val="left"/>
      <w:lvlText w:val="%1"/>
      <w:numFmt w:val="decimal"/>
      <w:start w:val="1"/>
    </w:lvl>
    <w:lvl w:ilvl="1">
      <w:lvlJc w:val="left"/>
      <w:lvlText w:val="(%2)"/>
      <w:numFmt w:val="lowerLetter"/>
      <w:start w:val="1"/>
    </w:lvl>
  </w:abstractNum>
  <w:abstractNum w:abstractNumId="166">
    <w:nsid w:val="2123D5F2"/>
    <w:multiLevelType w:val="hybridMultilevel"/>
    <w:lvl w:ilvl="0">
      <w:lvlJc w:val="left"/>
      <w:lvlText w:val="%1."/>
      <w:numFmt w:val="decimal"/>
      <w:start w:val="6"/>
    </w:lvl>
    <w:lvl w:ilvl="1">
      <w:lvlJc w:val="left"/>
      <w:lvlText w:val="%2"/>
      <w:numFmt w:val="lowerLetter"/>
      <w:start w:val="1"/>
    </w:lvl>
  </w:abstractNum>
  <w:abstractNum w:abstractNumId="167">
    <w:nsid w:val="135B8110"/>
    <w:multiLevelType w:val="hybridMultilevel"/>
    <w:lvl w:ilvl="0">
      <w:lvlJc w:val="left"/>
      <w:lvlText w:val="%1."/>
      <w:numFmt w:val="decimal"/>
      <w:start w:val="7"/>
    </w:lvl>
  </w:abstractNum>
  <w:abstractNum w:abstractNumId="168">
    <w:nsid w:val="94927A8"/>
    <w:multiLevelType w:val="hybridMultilevel"/>
    <w:lvl w:ilvl="0">
      <w:lvlJc w:val="left"/>
      <w:lvlText w:val="%1."/>
      <w:numFmt w:val="decimal"/>
      <w:start w:val="8"/>
    </w:lvl>
  </w:abstractNum>
  <w:abstractNum w:abstractNumId="169">
    <w:nsid w:val="DCDF8F6"/>
    <w:multiLevelType w:val="hybridMultilevel"/>
    <w:lvl w:ilvl="0">
      <w:lvlJc w:val="left"/>
      <w:lvlText w:val="%1."/>
      <w:numFmt w:val="decimal"/>
      <w:start w:val="1"/>
    </w:lvl>
  </w:abstractNum>
  <w:abstractNum w:abstractNumId="170">
    <w:nsid w:val="52D7B105"/>
    <w:multiLevelType w:val="hybridMultilevel"/>
    <w:lvl w:ilvl="0">
      <w:lvlJc w:val="left"/>
      <w:lvlText w:val="%1."/>
      <w:numFmt w:val="decimal"/>
      <w:start w:val="1"/>
    </w:lvl>
  </w:abstractNum>
  <w:abstractNum w:abstractNumId="171">
    <w:nsid w:val="2E8A6394"/>
    <w:multiLevelType w:val="hybridMultilevel"/>
    <w:lvl w:ilvl="0">
      <w:lvlJc w:val="left"/>
      <w:lvlText w:val="(%1)"/>
      <w:numFmt w:val="decimal"/>
      <w:start w:val="212"/>
    </w:lvl>
  </w:abstractNum>
  <w:abstractNum w:abstractNumId="172">
    <w:nsid w:val="24E6040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61" Type="http://schemas.openxmlformats.org/officeDocument/2006/relationships/image" Target="media/image530.png"/><Relationship Id="rId562" Type="http://schemas.openxmlformats.org/officeDocument/2006/relationships/image" Target="media/image531.png"/><Relationship Id="rId563" Type="http://schemas.openxmlformats.org/officeDocument/2006/relationships/image" Target="media/image532.png"/><Relationship Id="rId564" Type="http://schemas.openxmlformats.org/officeDocument/2006/relationships/image" Target="media/image533.png"/><Relationship Id="rId565" Type="http://schemas.openxmlformats.org/officeDocument/2006/relationships/image" Target="media/image534.png"/><Relationship Id="rId566" Type="http://schemas.openxmlformats.org/officeDocument/2006/relationships/image" Target="media/image535.png"/><Relationship Id="rId567" Type="http://schemas.openxmlformats.org/officeDocument/2006/relationships/image" Target="media/image536.png"/><Relationship Id="rId568" Type="http://schemas.openxmlformats.org/officeDocument/2006/relationships/image" Target="media/image537.png"/><Relationship Id="rId569" Type="http://schemas.openxmlformats.org/officeDocument/2006/relationships/image" Target="media/image538.png"/><Relationship Id="rId570" Type="http://schemas.openxmlformats.org/officeDocument/2006/relationships/image" Target="media/image539.png"/><Relationship Id="rId571" Type="http://schemas.openxmlformats.org/officeDocument/2006/relationships/image" Target="media/image540.png"/><Relationship Id="rId572" Type="http://schemas.openxmlformats.org/officeDocument/2006/relationships/image" Target="media/image541.png"/><Relationship Id="rId573" Type="http://schemas.openxmlformats.org/officeDocument/2006/relationships/image" Target="media/image542.png"/><Relationship Id="rId574" Type="http://schemas.openxmlformats.org/officeDocument/2006/relationships/image" Target="media/image543.png"/><Relationship Id="rId575" Type="http://schemas.openxmlformats.org/officeDocument/2006/relationships/image" Target="media/image544.png"/><Relationship Id="rId576" Type="http://schemas.openxmlformats.org/officeDocument/2006/relationships/image" Target="media/image545.png"/><Relationship Id="rId577" Type="http://schemas.openxmlformats.org/officeDocument/2006/relationships/image" Target="media/image546.jpeg"/><Relationship Id="rId578" Type="http://schemas.openxmlformats.org/officeDocument/2006/relationships/image" Target="media/image547.jpeg"/><Relationship Id="rId579" Type="http://schemas.openxmlformats.org/officeDocument/2006/relationships/image" Target="media/image548.png"/><Relationship Id="rId580" Type="http://schemas.openxmlformats.org/officeDocument/2006/relationships/image" Target="media/image549.png"/><Relationship Id="rId581" Type="http://schemas.openxmlformats.org/officeDocument/2006/relationships/image" Target="media/image550.jpeg"/><Relationship Id="rId582" Type="http://schemas.openxmlformats.org/officeDocument/2006/relationships/image" Target="media/image551.png"/><Relationship Id="rId583" Type="http://schemas.openxmlformats.org/officeDocument/2006/relationships/image" Target="media/image552.png"/><Relationship Id="rId584" Type="http://schemas.openxmlformats.org/officeDocument/2006/relationships/image" Target="media/image553.png"/><Relationship Id="rId585" Type="http://schemas.openxmlformats.org/officeDocument/2006/relationships/image" Target="media/image554.png"/><Relationship Id="rId586" Type="http://schemas.openxmlformats.org/officeDocument/2006/relationships/image" Target="media/image555.png"/><Relationship Id="rId587" Type="http://schemas.openxmlformats.org/officeDocument/2006/relationships/image" Target="media/image556.png"/><Relationship Id="rId588" Type="http://schemas.openxmlformats.org/officeDocument/2006/relationships/image" Target="media/image557.png"/><Relationship Id="rId589" Type="http://schemas.openxmlformats.org/officeDocument/2006/relationships/image" Target="media/image558.png"/><Relationship Id="rId590" Type="http://schemas.openxmlformats.org/officeDocument/2006/relationships/image" Target="media/image559.png"/><Relationship Id="rId591" Type="http://schemas.openxmlformats.org/officeDocument/2006/relationships/image" Target="media/image560.png"/><Relationship Id="rId592" Type="http://schemas.openxmlformats.org/officeDocument/2006/relationships/image" Target="media/image561.png"/><Relationship Id="rId593" Type="http://schemas.openxmlformats.org/officeDocument/2006/relationships/image" Target="media/image562.png"/><Relationship Id="rId594" Type="http://schemas.openxmlformats.org/officeDocument/2006/relationships/image" Target="media/image563.png"/><Relationship Id="rId595" Type="http://schemas.openxmlformats.org/officeDocument/2006/relationships/image" Target="media/image564.png"/><Relationship Id="rId596" Type="http://schemas.openxmlformats.org/officeDocument/2006/relationships/image" Target="media/image565.png"/><Relationship Id="rId597" Type="http://schemas.openxmlformats.org/officeDocument/2006/relationships/image" Target="media/image566.png"/><Relationship Id="rId598" Type="http://schemas.openxmlformats.org/officeDocument/2006/relationships/image" Target="media/image567.png"/><Relationship Id="rId599" Type="http://schemas.openxmlformats.org/officeDocument/2006/relationships/image" Target="media/image568.png"/><Relationship Id="rId600" Type="http://schemas.openxmlformats.org/officeDocument/2006/relationships/image" Target="media/image569.png"/><Relationship Id="rId601" Type="http://schemas.openxmlformats.org/officeDocument/2006/relationships/image" Target="media/image570.png"/><Relationship Id="rId602" Type="http://schemas.openxmlformats.org/officeDocument/2006/relationships/image" Target="media/image571.png"/><Relationship Id="rId603" Type="http://schemas.openxmlformats.org/officeDocument/2006/relationships/image" Target="media/image572.png"/><Relationship Id="rId604" Type="http://schemas.openxmlformats.org/officeDocument/2006/relationships/image" Target="media/image573.png"/><Relationship Id="rId605" Type="http://schemas.openxmlformats.org/officeDocument/2006/relationships/image" Target="media/image574.png"/><Relationship Id="rId606" Type="http://schemas.openxmlformats.org/officeDocument/2006/relationships/image" Target="media/image575.jpeg"/><Relationship Id="rId607" Type="http://schemas.openxmlformats.org/officeDocument/2006/relationships/image" Target="media/image576.jpeg"/><Relationship Id="rId608" Type="http://schemas.openxmlformats.org/officeDocument/2006/relationships/image" Target="media/image577.png"/><Relationship Id="rId609" Type="http://schemas.openxmlformats.org/officeDocument/2006/relationships/image" Target="media/image578.png"/><Relationship Id="rId610" Type="http://schemas.openxmlformats.org/officeDocument/2006/relationships/image" Target="media/image579.png"/><Relationship Id="rId537" Type="http://schemas.openxmlformats.org/officeDocument/2006/relationships/hyperlink" Target="http://www.sec.gov/Archives/edgar/data/1638097/000095010317011366/dp82999_ex0101.htm" TargetMode="External"/><Relationship Id="rId538" Type="http://schemas.openxmlformats.org/officeDocument/2006/relationships/hyperlink" Target="http://www.sec.gov/Archives/edgar/data/1638097/000095010317011026/dp82654_ex0301.htm" TargetMode="External"/><Relationship Id="rId539" Type="http://schemas.openxmlformats.org/officeDocument/2006/relationships/hyperlink" Target="http://www.sec.gov/Archives/edgar/data/1638097/000095010317011366/dp82999_ex0302.htm" TargetMode="External"/><Relationship Id="rId540" Type="http://schemas.openxmlformats.org/officeDocument/2006/relationships/hyperlink" Target="http://www.sec.gov/Archives/edgar/data/1638097/000095010317011026/dp82654_ex0401.htm" TargetMode="External"/><Relationship Id="rId541" Type="http://schemas.openxmlformats.org/officeDocument/2006/relationships/hyperlink" Target="http://www.sec.gov/Archives/edgar/data/1638097/000095010317011026/dp82654_ex0402.htm" TargetMode="External"/><Relationship Id="rId542" Type="http://schemas.openxmlformats.org/officeDocument/2006/relationships/hyperlink" Target="http://www.sec.gov/Archives/edgar/data/1638097/000095010317011026/dp82654_ex0403.htm" TargetMode="External"/><Relationship Id="rId543" Type="http://schemas.openxmlformats.org/officeDocument/2006/relationships/hyperlink" Target="http://www.sec.gov/Archives/edgar/data/1638097/000095010317011026/dp82654_ex0404.htm" TargetMode="External"/><Relationship Id="rId544" Type="http://schemas.openxmlformats.org/officeDocument/2006/relationships/hyperlink" Target="http://www.sec.gov/Archives/edgar/data/1638097/000095010317011026/dp82654_ex0405.htm" TargetMode="External"/><Relationship Id="rId545" Type="http://schemas.openxmlformats.org/officeDocument/2006/relationships/hyperlink" Target="http://www.sec.gov/Archives/edgar/data/1638097/000095010317011366/dp82999_ex1001.htm" TargetMode="External"/><Relationship Id="rId546" Type="http://schemas.openxmlformats.org/officeDocument/2006/relationships/hyperlink" Target="http://www.sec.gov/Archives/edgar/data/1638097/000095010317011026/dp82654_ex1002.htm" TargetMode="External"/><Relationship Id="rId547" Type="http://schemas.openxmlformats.org/officeDocument/2006/relationships/hyperlink" Target="http://www.sec.gov/Archives/edgar/data/1638097/000095010317011026/dp82654_ex1003.htm" TargetMode="External"/><Relationship Id="rId548" Type="http://schemas.openxmlformats.org/officeDocument/2006/relationships/hyperlink" Target="http://www.sec.gov/Archives/edgar/data/1638097/000095010317011026/dp82654_ex1004.htm" TargetMode="External"/><Relationship Id="rId549" Type="http://schemas.openxmlformats.org/officeDocument/2006/relationships/hyperlink" Target="http://www.sec.gov/Archives/edgar/data/1638097/000095010317011026/dp82654_ex1005.htm" TargetMode="External"/><Relationship Id="rId550" Type="http://schemas.openxmlformats.org/officeDocument/2006/relationships/hyperlink" Target="http://www.sec.gov/Archives/edgar/data/1638097/000095010317011026/dp82654_ex1006.htm" TargetMode="External"/><Relationship Id="rId551" Type="http://schemas.openxmlformats.org/officeDocument/2006/relationships/hyperlink" Target="http://www.sec.gov/Archives/edgar/data/1638097/000095010317011026/dp82654_ex1007.htm" TargetMode="External"/><Relationship Id="rId552" Type="http://schemas.openxmlformats.org/officeDocument/2006/relationships/hyperlink" Target="http://www.sec.gov/Archives/edgar/data/1638097/000095010317011366/dp82999_ex1008.htm" TargetMode="External"/><Relationship Id="rId553" Type="http://schemas.openxmlformats.org/officeDocument/2006/relationships/hyperlink" Target="http://www.sec.gov/Archives/edgar/data/1638097/000095010317011026/dp82654_ex1008.htm" TargetMode="External"/><Relationship Id="rId554" Type="http://schemas.openxmlformats.org/officeDocument/2006/relationships/hyperlink" Target="http://www.sec.gov/Archives/edgar/data/1638097/000095010317011026/dp82654_ex1009.htm" TargetMode="External"/><Relationship Id="rId555" Type="http://schemas.openxmlformats.org/officeDocument/2006/relationships/hyperlink" Target="http://www.sec.gov/Archives/edgar/data/1638097/000095010317011026/dp82654_ex1010.htm" TargetMode="External"/><Relationship Id="rId556" Type="http://schemas.openxmlformats.org/officeDocument/2006/relationships/hyperlink" Target="http://www.sec.gov/Archives/edgar/data/1638097/000095010317011366/dp82999_ex1012.htm" TargetMode="External"/><Relationship Id="rId557" Type="http://schemas.openxmlformats.org/officeDocument/2006/relationships/hyperlink" Target="http://www.sec.gov/Archives/edgar/data/1638097/000095010317011366/dp82999_ex1013.htm" TargetMode="External"/><Relationship Id="rId558" Type="http://schemas.openxmlformats.org/officeDocument/2006/relationships/hyperlink" Target="http://www.sec.gov/Archives/edgar/data/1638097/000095010317011026/dp82654_ex1013.htm" TargetMode="External"/><Relationship Id="rId559" Type="http://schemas.openxmlformats.org/officeDocument/2006/relationships/hyperlink" Target="http://www.sec.gov/Archives/edgar/data/1638097/000095010317011026/dp82654_ex1014.htm" TargetMode="External"/><Relationship Id="rId560" Type="http://schemas.openxmlformats.org/officeDocument/2006/relationships/hyperlink" Target="http://www.sec.gov/Archives/edgar/data/1638097/000095010317011366/dp82999_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2019-12-08T13:13:58Z</dcterms:created>
  <dcterms:modified xsi:type="dcterms:W3CDTF">2019-12-08T13:13:58Z</dcterms:modified>
</cp:coreProperties>
</file>