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333-295710</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PROSPECTUS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19,569,472 Ordinary Shares offered by the Selling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156845</wp:posOffset>
            </wp:positionV>
            <wp:extent cx="2811780" cy="1260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1780" cy="1260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ENTERA BIO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2842895</wp:posOffset>
            </wp:positionH>
            <wp:positionV relativeFrom="paragraph">
              <wp:posOffset>125095</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by the selling shareholders identified in this prospectus (the “Selling Shareholders”) of up to 19,569,472 of our ordinary shares, par value of NIS 0.0000769 per share (“ordinary shares”), composed of (i) 2,425,000 ordinary shares, (ii) up to 5,402,789 ordinary shares issuable upon exercise of pre-funded warrants (the “Pre-Funded Warrants”) and (iii) up to 11,741,683 ordinary shares issuable upon exercise of warrants (the “Ordinary Share Warrants” and, together with the Pre-Funded Warrants, the “Warrants”). We issued the foregoing securities in a private placement consummated on April 2, 2026 (the “Private Placement”).</w:t>
      </w:r>
    </w:p>
    <w:p>
      <w:pPr>
        <w:spacing w:after="0" w:line="18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registering the ordinary shares issued or issuable upon exercise of the Warrants issued in the Private Placement pursuant to our obligations contained in that certain registration rights agreement, dated April 2, 2026, by and among us and the Selling Shareholders (as amended, the “Registration Rights Agreement”). We refer to the 19,569,472 ordinary shares offered by the Selling Shareholders hereunder as the “Shares.”</w:t>
      </w:r>
    </w:p>
    <w:p>
      <w:pPr>
        <w:spacing w:after="0" w:line="176"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Shareholders may offer, sell or distribute the Shares from time to time in amounts, at prices and on terms that will be determined at the time of any such offering. We will pay certain fees and expenses in connection with the registration of the Shares offered hereby, and we will not receive any of the proceeds from the sale of any Shares by the Selling Shareholders. However, we may receive proceeds from any cash exercise of the Warrants by the holders. See “Use of Proceeds”.</w:t>
      </w:r>
    </w:p>
    <w:p>
      <w:pPr>
        <w:spacing w:after="0" w:line="180"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the Shares, please see “Plan of Distribution.”</w:t>
      </w:r>
    </w:p>
    <w:p>
      <w:pPr>
        <w:spacing w:after="0" w:line="176"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or Nasdaq, under the symbol “ENTX”. On May 7, 2026, the closing price of our ordinary shares was $1.37.</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“RISK FACTORS” beginning on page 6 for information you should consider before investing in our securities.</w:t>
      </w:r>
    </w:p>
    <w:p>
      <w:pPr>
        <w:spacing w:after="0" w:line="155"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40" w:type="dxa"/>
            <w:vAlign w:val="bottom"/>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1"/>
        </w:trPr>
        <w:tc>
          <w:tcPr>
            <w:tcW w:w="44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520" w:type="dxa"/>
            <w:vAlign w:val="bottom"/>
            <w:gridSpan w:val="3"/>
          </w:tcPr>
          <w:p>
            <w:pPr>
              <w:spacing w:after="0"/>
              <w:rPr>
                <w:sz w:val="17"/>
                <w:szCs w:val="17"/>
                <w:color w:val="auto"/>
              </w:rPr>
            </w:pP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820" w:type="dxa"/>
            <w:vAlign w:val="bottom"/>
            <w:gridSpan w:val="5"/>
          </w:tcPr>
          <w:p>
            <w:pPr>
              <w:spacing w:after="0"/>
              <w:rPr>
                <w:sz w:val="17"/>
                <w:szCs w:val="17"/>
                <w:color w:val="auto"/>
              </w:rPr>
            </w:pP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3480" w:type="dxa"/>
            <w:vAlign w:val="bottom"/>
            <w:gridSpan w:val="10"/>
          </w:tcPr>
          <w:p>
            <w:pPr>
              <w:spacing w:after="0"/>
              <w:rPr>
                <w:sz w:val="17"/>
                <w:szCs w:val="17"/>
                <w:color w:val="auto"/>
              </w:rPr>
            </w:pP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41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Note Regarding Forward-Looking Statements</w:t>
            </w:r>
          </w:p>
        </w:tc>
        <w:tc>
          <w:tcPr>
            <w:tcW w:w="240" w:type="dxa"/>
            <w:vAlign w:val="bottom"/>
          </w:tcPr>
          <w:p>
            <w:pPr>
              <w:spacing w:after="0"/>
              <w:rPr>
                <w:sz w:val="17"/>
                <w:szCs w:val="17"/>
                <w:color w:val="auto"/>
              </w:rPr>
            </w:pP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1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220" w:type="dxa"/>
            <w:vAlign w:val="bottom"/>
            <w:gridSpan w:val="8"/>
          </w:tcPr>
          <w:p>
            <w:pPr>
              <w:spacing w:after="0"/>
              <w:rPr>
                <w:sz w:val="17"/>
                <w:szCs w:val="17"/>
                <w:color w:val="auto"/>
              </w:rPr>
            </w:pP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Ordinary Shares</w:t>
            </w: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4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20" w:type="dxa"/>
            <w:vAlign w:val="bottom"/>
            <w:tcBorders>
              <w:top w:val="single" w:sz="8" w:color="0000EE"/>
            </w:tcBorders>
            <w:gridSpan w:val="3"/>
          </w:tcPr>
          <w:p>
            <w:pPr>
              <w:spacing w:after="0"/>
              <w:rPr>
                <w:sz w:val="17"/>
                <w:szCs w:val="17"/>
                <w:color w:val="auto"/>
              </w:rPr>
            </w:pPr>
          </w:p>
        </w:tc>
        <w:tc>
          <w:tcPr>
            <w:tcW w:w="2140" w:type="dxa"/>
            <w:vAlign w:val="bottom"/>
            <w:gridSpan w:val="4"/>
          </w:tcPr>
          <w:p>
            <w:pPr>
              <w:spacing w:after="0"/>
              <w:rPr>
                <w:sz w:val="17"/>
                <w:szCs w:val="17"/>
                <w:color w:val="auto"/>
              </w:rPr>
            </w:pP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Selling Shareholders</w:t>
            </w: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6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Service of Process and Enforcement of Judgments</w:t>
            </w: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0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Matters</w:t>
            </w:r>
          </w:p>
        </w:tc>
        <w:tc>
          <w:tcPr>
            <w:tcW w:w="2600" w:type="dxa"/>
            <w:vAlign w:val="bottom"/>
            <w:tcBorders>
              <w:top w:val="single" w:sz="8" w:color="0000EE"/>
            </w:tcBorders>
            <w:gridSpan w:val="7"/>
          </w:tcPr>
          <w:p>
            <w:pPr>
              <w:spacing w:after="0"/>
              <w:rPr>
                <w:sz w:val="17"/>
                <w:szCs w:val="17"/>
                <w:color w:val="auto"/>
              </w:rPr>
            </w:pPr>
          </w:p>
        </w:tc>
        <w:tc>
          <w:tcPr>
            <w:tcW w:w="780" w:type="dxa"/>
            <w:vAlign w:val="bottom"/>
            <w:gridSpan w:val="2"/>
          </w:tcPr>
          <w:p>
            <w:pPr>
              <w:spacing w:after="0"/>
              <w:rPr>
                <w:sz w:val="17"/>
                <w:szCs w:val="17"/>
                <w:color w:val="auto"/>
              </w:rPr>
            </w:pP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440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345"/>
        </w:trPr>
        <w:tc>
          <w:tcPr>
            <w:tcW w:w="56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U.S. Securities and Exchange Commission (the “SEC”), using a “shelf” registration process. Under the shelf registration statement of which this prospectus forms a part, the Selling Shareholders may, from time to time, sell the Shares described in this prospectus in one or more offerings through any means described in the section entitled “Plan of Distribution.” Additional or more specific terms of transactions in which the Selling Shareholders offer and sell the Shares may be provided in a prospectus supplement that describes, among other things, the specific amounts and prices of the Shares being offered and the terms of the offering. The prospectus supplement may also add, update or change information contained in this prospectus. Any statement that we make in this prospectus will be modified or superseded by any inconsistent statement made by us in a prospectus supplement. To the extent there is a conflict between the information contained in this prospectus and the prospectus supplement, if any, you should rely on the information in the prospectus supplement, provided that if any statement in one of these documents is inconsistent with a statement in another document having a later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for example, a document incorporated by reference in this prospectus or any prospectus supplement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statement in the document having the later date modifies or supersedes the earlier statement. You should carefully read both this prospectus and any applicable prospectus supplement, together with additional information described under the headings “Where You Can Find More Information” and “Incorporation of Certain Documents by Reference” before deciding to invest in any of the Shares being offered.</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Shares, you should refer to the registration statement, including the exhibits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Neither we nor the Selling Shareholders have authorized any other person to provide you with information different from or in addition to that included in this prospectus and any prospectus supplement. Neither we nor the Selling Shareholders are making an offer to sell the Shares in any jurisdiction where the offer or sale is not permitted. You should not assume that the information in this prospectus or any prospectus supplement is accurate as of any date other than the date on the front cover of those documents.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prospectus, the terms “Entera,” “we,” “us,” “our,” “the Company” and “our company” refer to Entera Bio Ltd. and its consolidated subsidiaries, unless the context otherwise requires.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(the “Exchange Act”). Accordingly, we are required to file annual, quarterly and current reports, proxy statements and other information with the SEC. The SEC maintains a website that contains reports, proxy and information statements and other information regarding registrants that file electronically with the SEC. The address of the SEC’s website is www.sec.gov.</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or through our website, www.enterabio.com,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of 1933, as amended (the “Securities Act”), relating to the Shares offered under this prospectus. The registration statement, including the attached exhibits, contains additional relevant information about us and the securities. If a document has been filed as an exhibit to the registration statement, we refer you to the copy of the document that has been filed. Each statement in this prospectus relating to a document filed as an exhibit is qualified in all respects by the filed exhibit. This prospectus does not contain all of the information set forth in the registration statement. You can obtain a copy of the registration statement for free at www.sec.gov. The registration statement and the documents referred to below under “Incorporation of Certain Documents by Reference” are also available on our website, www.enterabio.com.</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contained on or accessible through our website is not incorporated by reference in this prospectus and does not constitute a part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6403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403340"/>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prospectus summary highlights selected information appearing elsewhere in this prospectus and in documents we file with the SEC that are incorporated by reference in this prospectus. This summary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Entera is a clinical stage company focused on developing first-in-class oral tablet formats of peptides or protein replacement therapies. We focus on underserved, chronic medical conditions for which oral administration of a protein therapy has the potential to significantly shift a treatment paradigm. Our pipeline includes differentiated, first-in-class oral peptide programs targeting PTH(1-34), GLP-1/Glucagon and GLP-2.</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Currently, most protein therapies are administered via frequent intravenous, subcutaneous, or intramuscular injections. In chronic diseases where patients require persistent management, these cumbersome, often painful and high-priced injections can create a major treatment gap. From a technical standpoint, oral delivery of peptides and therapeutic proteins is challenging due to the enzymatic degradation within the gastrointestinal tract and poor</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absorption into the blood stream. We leverage our N-Tab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which is designed to simultaneously stabilize large (4kD+) hydrophilic peptides in the gastrointestinal tract and promote their absorption into the bloodstream.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EB613 Program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most advanced product candidate, EB613, oral PTH(1-34), is being developed as the first oral, osteoanabolic (bone building) once-daily tablet treatment for osteoporosis. EB613 is intended to provide an oral anabolic treatment earlier in an osteoporosis patient’s journey to increase skeletal mass, reduce the risk of fracture and limit the disease progression, and decrease disability and mortality. A placebo controlled, dose ranging Phase 2 study of EB613 tablets (n= 161) met primary (pharmacodynamic/bone turnover biomarker) and secondary endpoints (bone mineral density (“BMD”)). In April 2024, the Phase 2 data was published in the Journal of Bone and Mineral Research (JBMR).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2025, we announced that in a written response to a Type A meeting request, the U.S. Food and Drug Administration (“FDA”) agreed that a new drug application filing for EB613 could be supported by a phase 3 study in women with postmenopausal osteoporosis, where change in total hip BMD is evaluated as the primary endpoint, and incidence of new or worsening vertebral fractures is evaluated as the key secondary endpoint at 24 months.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FDA released the Determination for Qualification of BMD qualifying total hip BMD as a surrogate efficacy endpoint for fracture that could be used in future studies of new anti-osteoporosis therapies. FDA’s suggested a context of use (COU): “The percentage change from baseline at 24 months in total hip BMD assessed by dual-energy X-ray absorptiometry (DXA) can be used as a validated surrogate endpoint for the assessment of investigational therapies for postmenopausal women with osteoporosis at risk for fracture.”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2026, we submitted to the FDA a clinical amendment which included the EB613 Phase 3 protocol, statistical analysis plan and open-label extension synopsis. Subject to regulatory feedback, we are planning to initiate the Phase 3 study in the second half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EB612 Program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product candidate, EB612, is being developed as the first oral PTH(1-34) tablet peptide replacement therapy for patients with hypoparathyroidism.</w:t>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846" w:right="399" w:bottom="1440" w:gutter="0" w:footer="0" w:header="0"/>
        </w:sectPr>
      </w:pPr>
    </w:p>
    <w:bookmarkStart w:id="4" w:name="page5"/>
    <w:bookmarkEnd w:id="4"/>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512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512175"/>
                    </a:xfrm>
                    <a:prstGeom prst="rect">
                      <a:avLst/>
                    </a:prstGeom>
                    <a:noFill/>
                  </pic:spPr>
                </pic:pic>
              </a:graphicData>
            </a:graphic>
          </wp:anchor>
        </w:drawing>
        <w:t>In December 2025, we announced new in vivo PK/PD data supporting the development of a proprietary long-acting PTH (“LA-PTH”) analog utilizing our N-Tab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Preclinical findings demonstrated a markedly prolonged plasma half-life and sustained elevation of serum calcium levels for more than three days following administration of a single oral tablet, in contrast to unmodified PTH(1-34) controls, which showed no calcium response. These data support the development of a once-daily oral PTH tablet for patients with hypoparathyroidism.</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2026, we announced the expansion of our collaboration with OPKO Biologics, Inc. (“OPKO Biologics”), a subsidiary of OPKO Health, Inc. ("OPKO"), and OPKO to jointly advance this LA-PTH program. Under the expanded collaboration, Entera and OPKO each hold a 50% pro-rata ownership interest in the LA-PTH hypoparathyroidism program, and each is responsible for 50% of development costs. We intend to accelerate development and currently expect to submit an IND application to the FDA in late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EB618 Program (Oral GLP-1/Glucagon)</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In September 2023, we entered into a collaboration agreement with OPKO Biologics (the "2023 Collaboration Agreement"). Under the terms of this agreement, OPKO agreed to supply certain Oxyntomodulin (“OXM”) analogs for the development of oral tablet candidates using our proprietary N-Tab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w:t>
      </w:r>
    </w:p>
    <w:p>
      <w:pPr>
        <w:spacing w:after="0" w:line="45"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 EB618 program focuses on developing the first oral dual agonist GLP-1/Glucagon (OXM) peptide as a potential once-daily tablet treatment for patients with obesity and metabolic disorders using the N-Tab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Currently, there are no approved dual GLP-1/Glucagon agonists available.</w:t>
      </w:r>
    </w:p>
    <w:p>
      <w:pPr>
        <w:spacing w:after="0" w:line="3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2024, we jointly announced with OPKO topline PK/PD results for the OXM program. The high plasma concentrations with prolonged systemic exposure were consistent with the reported half-life for semaglutide (Rybelsus®), the only approved oral GLP-1 analog. Oral OXM showed a statistically significant reduction in plasma glucose levels compared with placebo.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2025, we entered into an additional collaboration agreement with OPKO and OPKO Biologics (the "2025 Collaboration Agreement") to collaborate with respect to the preclinical and clinical development and decision making related to the Oral OXM program for the treatment of obesity, metabolic and fibrotic disorders in humans.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2026, we entered into an amended and restated collaboration agreement with OPKO, which amends and restates the 2025 Collaboration Agreement, to expand the scope of the agreement to include the collaboration with respect to the preclinical and clinical development of a daily LA-PTH for the treatment of hypoparathyroidism.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OPKO is planning to initiate a single ascending dose (SAD) and multiple ascending dose (MAD) Phase 1 clinical study with the subcutaneous injection formulation in 2027. We plan to file an IND for the oral OXM tablet formulation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GLP-2</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program focuses on developing the first GLP-2 peptide tablet alternative for patients suffering from short bowel syndrome and additional disorders involving mucosal inflammation and nutrient malabsorption.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2023 Collaboration Agreement we and OPKO completed proof-of-concept pharmacokinetic studies in rodents and minipigs. Oral GLP-2 tablets exhibited significant systemic exposure with plasma levels about 10-fold higher than therapeutic plasma concentrations reported for subcutaneously administered teduglutide (Gattex® label). Rodent repeat-dose PK/PD studies showed clear pharmacologic activity in intestinal tissue. Systemic exposure was maintained for more than 24 hours with relatively low variability, supporting once-daily oral dosing.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Given the challenging compliance rates attributed to injectable GLP-2 therapy and heterogeneity of SBS patients, we believe a daily tablet format may address a significant unmet need in treating and titrating SBS patients more effectively than injectable alternatives.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 2026, we entered into a Securities Purchase Agreement with the Selling Shareholders (the “Purchase Agreement”), providing for the Private Placement, in which we sold to the Selling Shareholders an aggregate of 7,827,789 units, each unit consisting of (i) one ordinary share (or, in lieu thereof, one Pre-Funded Warrant) and (ii) one Ordinary Share Warrant to purchase one and one-half ordinary shares, for aggregate proceeds of approximately $10 million (or $1.2775 per unit). The Private Placement closed on April 2, 2026 (the “Closing Date”).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Shareholders elected to receive a combination of ordinary shares and Pre-Funded Warrants in lieu of ordinary shares. The Pre-Funded Warrants may not be exercised if the aggregate number of ordinary shares beneficially owned by the holder thereof, together with its affiliates, would exceed 4.99% immediately after exercise thereof, subject to increases not in excess of 19.99% at the option of the holder. Each Pre-Funded Warrant has an exercise price of NIS 0.0000769 per ordinary share, is immediately exercisable and may be exercised at any time and has no expiration date, and is subject to customary adjustments.</w:t>
      </w: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80" w:top="850" w:right="399" w:bottom="1440" w:gutter="0" w:footer="0" w:header="0"/>
        </w:sectPr>
      </w:pPr>
    </w:p>
    <w:bookmarkStart w:id="5" w:name="page6"/>
    <w:bookmarkEnd w:id="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771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771900"/>
                    </a:xfrm>
                    <a:prstGeom prst="rect">
                      <a:avLst/>
                    </a:prstGeom>
                    <a:noFill/>
                  </pic:spPr>
                </pic:pic>
              </a:graphicData>
            </a:graphic>
          </wp:anchor>
        </w:drawing>
        <w:t>Each Ordinary Share Warrant has an exercise price of $1.24 per share, becomes exercisable six months following the Closing Date, expires five years from the date of issuance, and is subject to customary adjustments. The Ordinary Share Warrants purchased by the Selling Shareholders contain a provision pursuant to which such Ordinary Share Warrants may not be exercised if the aggregate number of ordinary shares beneficially owned by the holder thereof, together with its affiliates, would exceed 4.99% immediately after exercise thereof, subject to increases not in excess of 19.99% at the option of the holder. Subject to the availability of an effective registration statement with respect to the resale of the ordinary shares issuable upon exercise of the Ordinary Share Warrants, such warrants may be exercised only for cash. If all Ordinary Share Warrants were exercised for cash, then we would expect to receive additional proceeds of approximately $14.5 million.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Private Placement to support activities related to initiation of our phase 3 registrational study of EB613 in postmenopausal women with osteoporosis and for general working capital and corporate purposes.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issued to the Selling Shareholders under the Purchase Agreement were offered in reliance on an exemption from registration provided by Section 4(a)(2) of the Securities Act. We relied on this exemption from registration based in part on representations made by each Selling Shareholder, including that each Selling Shareholder is an “accredited investor”, as defined in Rule 501(a) promulgated under the Securities Act.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the Selling Shareholders also entered into the Registration Rights Agreement, pursuant to which we agreed to prepare and file a registration statement with the SEC no later than May 8, 2026, to register the resale of the Shares. We have agreed to use our reasonable best efforts to have such registration statement declared effective as promptly as possible after the filing thereof. Holders of the Warrants may exercise such warrants on a cashless basis at such time as there is no effective registration statement with respect to the resale of the ordinary shares issuable upon exercise thereof. We filed the registration statement, of which this prospectus forms a part, in accordance with our obligations under the Registration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principal and registered office is located at Kiryat Hadassah Minrav Building - Fifth Floor, Jerusalem, Israel, and our telephone number is +972-2-532-7151. Our corporate website is located at www.enterabio.com. The information on our website shall not be deemed part of this prospectus.</w:t>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850" w:right="3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405"/>
        </w:trPr>
        <w:tc>
          <w:tcPr>
            <w:tcW w:w="402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594"/>
        </w:trPr>
        <w:tc>
          <w:tcPr>
            <w:tcW w:w="40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Resale of Ordinary Shares</w:t>
            </w:r>
          </w:p>
        </w:tc>
        <w:tc>
          <w:tcPr>
            <w:tcW w:w="7220" w:type="dxa"/>
            <w:vAlign w:val="bottom"/>
            <w:tcBorders>
              <w:right w:val="single" w:sz="8" w:color="auto"/>
            </w:tcBorders>
          </w:tcPr>
          <w:p>
            <w:pPr>
              <w:spacing w:after="0"/>
              <w:rPr>
                <w:sz w:val="24"/>
                <w:szCs w:val="24"/>
                <w:color w:val="auto"/>
              </w:rPr>
            </w:pPr>
          </w:p>
        </w:tc>
      </w:tr>
      <w:tr>
        <w:trPr>
          <w:trHeight w:val="594"/>
        </w:trPr>
        <w:tc>
          <w:tcPr>
            <w:tcW w:w="40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Ordinary Shares Offered by the Selling Shareholders</w:t>
            </w:r>
          </w:p>
        </w:tc>
        <w:tc>
          <w:tcPr>
            <w:tcW w:w="72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Up to 19,569,472 shares.</w:t>
            </w:r>
          </w:p>
        </w:tc>
      </w:tr>
      <w:tr>
        <w:trPr>
          <w:trHeight w:val="576"/>
        </w:trPr>
        <w:tc>
          <w:tcPr>
            <w:tcW w:w="40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7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Shares by the Selling Shareholders.</w:t>
            </w:r>
          </w:p>
        </w:tc>
      </w:tr>
      <w:tr>
        <w:trPr>
          <w:trHeight w:val="216"/>
        </w:trPr>
        <w:tc>
          <w:tcPr>
            <w:tcW w:w="40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However, we may receive proceeds from any cash exercise of the Warrants by the holders. See</w:t>
            </w:r>
          </w:p>
        </w:tc>
      </w:tr>
      <w:tr>
        <w:trPr>
          <w:trHeight w:val="234"/>
        </w:trPr>
        <w:tc>
          <w:tcPr>
            <w:tcW w:w="402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section of this prospectus titled “Use of Proceeds.”</w:t>
            </w:r>
          </w:p>
        </w:tc>
      </w:tr>
      <w:tr>
        <w:trPr>
          <w:trHeight w:val="594"/>
        </w:trPr>
        <w:tc>
          <w:tcPr>
            <w:tcW w:w="40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Market for Our Ordinary Shares</w:t>
            </w:r>
          </w:p>
        </w:tc>
        <w:tc>
          <w:tcPr>
            <w:tcW w:w="7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Our ordinary shares are listed on Nasdaq under the symbol “ENTX.”</w:t>
            </w:r>
          </w:p>
        </w:tc>
      </w:tr>
      <w:tr>
        <w:trPr>
          <w:trHeight w:val="576"/>
        </w:trPr>
        <w:tc>
          <w:tcPr>
            <w:tcW w:w="402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7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Any investment in the Shares offered hereby is speculative and involves a high degree of risk.</w:t>
            </w:r>
          </w:p>
        </w:tc>
      </w:tr>
      <w:tr>
        <w:trPr>
          <w:trHeight w:val="216"/>
        </w:trPr>
        <w:tc>
          <w:tcPr>
            <w:tcW w:w="402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You should carefully consider the information set forth under “Risk Factors” and elsewhere in</w:t>
            </w:r>
          </w:p>
        </w:tc>
      </w:tr>
      <w:tr>
        <w:trPr>
          <w:trHeight w:val="234"/>
        </w:trPr>
        <w:tc>
          <w:tcPr>
            <w:tcW w:w="402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this prospectus.</w:t>
            </w:r>
          </w:p>
        </w:tc>
      </w:tr>
      <w:tr>
        <w:trPr>
          <w:trHeight w:val="175"/>
        </w:trPr>
        <w:tc>
          <w:tcPr>
            <w:tcW w:w="4020" w:type="dxa"/>
            <w:vAlign w:val="bottom"/>
            <w:tcBorders>
              <w:left w:val="single" w:sz="8" w:color="auto"/>
              <w:bottom w:val="single" w:sz="8" w:color="auto"/>
            </w:tcBorders>
          </w:tcPr>
          <w:p>
            <w:pPr>
              <w:spacing w:after="0"/>
              <w:rPr>
                <w:sz w:val="15"/>
                <w:szCs w:val="15"/>
                <w:color w:val="auto"/>
              </w:rPr>
            </w:pPr>
          </w:p>
        </w:tc>
        <w:tc>
          <w:tcPr>
            <w:tcW w:w="7220" w:type="dxa"/>
            <w:vAlign w:val="bottom"/>
            <w:tcBorders>
              <w:bottom w:val="single" w:sz="8" w:color="auto"/>
              <w:right w:val="single" w:sz="8" w:color="auto"/>
            </w:tcBorders>
          </w:tcPr>
          <w:p>
            <w:pPr>
              <w:spacing w:after="0"/>
              <w:rPr>
                <w:sz w:val="15"/>
                <w:szCs w:val="15"/>
                <w:color w:val="auto"/>
              </w:rPr>
            </w:pPr>
          </w:p>
        </w:tc>
      </w:tr>
      <w:tr>
        <w:trPr>
          <w:trHeight w:val="345"/>
        </w:trPr>
        <w:tc>
          <w:tcPr>
            <w:tcW w:w="402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22"/>
                <w:szCs w:val="22"/>
                <w:color w:val="auto"/>
              </w:rPr>
              <w:t>5</w:t>
            </w:r>
          </w:p>
        </w:tc>
      </w:tr>
    </w:tbl>
    <w:p>
      <w:pPr>
        <w:sectPr>
          <w:pgSz w:w="11900" w:h="16838" w:orient="portrait"/>
          <w:cols w:equalWidth="0" w:num="1">
            <w:col w:w="11240"/>
          </w:cols>
          <w:pgMar w:left="320" w:top="57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Before deciding whether to purchase our securities, you should carefully consider the risk factor set forth below and the risk factors incorporated by reference from our Annual Report on Form 10-K for the year ended December 31, 2025 filed with the SEC on March 27, 2026 (the “2025 Annual Report”) under the heading “Item 1A. Risk Factors”, any updates to those risk factors contained in our Quarterly Reports on Form 10-Q or Current Reports on Form 8-K and the other information contained in this prospectus or any applicable prospectus supplement, as updated by those subsequent filings with the SEC under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political and economic instability in the Middle East may harm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research facilities are located in Israel. In addition, most of our key employees, officers and two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Hezbollah (an Islamist militia and political group in Lebanon), and Iran.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7, 2023, thousands of Hamas terrorists infiltrated Israel’s southern border from the Gaza Strip and conducted a series of lethal attacks on Israeli civilians and some military targets. Hamas also launched extensive rocket attacks on the Israeli civilian population and industrial centers located along Israel’s border with the Gaza Strip and across the State of Israel. These attacks resulted in thousands of deaths and injuries, and Hamas additionally kidnapped over 250 Israeli civilians and soldiers. Following the attack, Israel’s security cabinet commenced a counter-offense military campaign against Hamas in Gaza. Since the onset of these events, hostilities have persisted across Israel, along Israel’s northern border with Lebanon, primarily involving the Hezbollah terror organization, as well as other extremist groups in the region, including the Houthis in Yemen and various militia groups in Syria and Iraq. Israel has conducted multiple targeted strikes against these terror organizations.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since April 2024, Israel has experienced direct attacks from Iran, involving hundreds of drones and ballistic missiles launched towards mostly densely populated civilian towns across Israel and some military bases, threatening continued aggression while also exerting considerable influence over regional militia groups encouraging them to launch attacks against Israel. The Israeli defense systems, aided by international allies, successfully intercepted the majority of the ballistic missile attacks, minimizing physical damage and casualties. Additionally, since October 2023, the Houthis, a military organization based in Yemen, have launched a series of attacks on global shipping routes in the Red Sea, as well as direct attacks on various parts of Israel. Such incidents contribute to regional instability and could potentially escalate into broader conflicts with Iran and its proxies in the Middle East, affecting Israel’s political and trade relations, especially with neighboring countries and global allies. The situation remains fluid, and the potential for further escalation exists. In October 2024, Israel initiated both air and ground operations against Hezbollah in Lebanon, culminating in a ceasefire agreement between Israel and Lebanon on November 27, 2024, the results of which remain uncertain.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early April 2026, a two-week ceasefire between the United States and Iran was agreed. However, the ceasefire's durability remains uncertain. The United States has maintained a naval blockade of Iranian ports, and Iran has responded by intermittently restricting commercial vessel passage through the Strait of Hormuz, declaring that the waterway would remain effectively closed until the blockade is lifted. There can be no assurance that this ceasefire will hold or be extended, and hostilities between the United States, Israel and Iran could resume at any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16, 2026, following direct talks between Israeli and Lebanese officials in Washington, D.C., a 10-day cessation of hostilities between Israel and Lebanon was announced, brokered by the United States. The parties have requested that the United States facilitate further direct negotiations with the objective of achieving a comprehensive agreement for lasting security and peace. Israeli forces remain stationed in southern Lebanon and Hezbollah has not accepted the terms as binding, stating that its fighters will remain deployed and will respond to any violations. The ceasefire remains fragile, with reports of continued military operations by both sides in southern Lebanon.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have a few employees who are in active military service, the ongoing war, the escalation of Hezbollah’s attacks on Northern Israel, and the direct offensives from Iran and its proxies have not, to date, materially impacted our business or operations. Furthermore, we do not expect any delays to any of our programs as a result of such conflicts. While research and some management are located in Israel, other core activities including clinical, regulatory and our supply chain are not. However, we cannot currently predict the intensity or duration of Israel’s war against Hamas, Hezbollah and Iran, and its proxies, nor can we predict how such conflicts will ultimately affect our business and operations or Israel’s economy in general.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 broader regional armed conflict. Since February 2026, there has been a significant escalation in hostilities involving the U.S., Israel, Iran and several other countries in the middle east, including direct military exchanges. These developments have increased regional instability and may further escalate into more severe and prolonged hostilities, which could affect Israel and 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These or other Israeli political or economic factors could harm our operations and product development. Any hostilities involving Israel or the interruption or curtailment of trade between Israel and its present trading partners could adversely affect our operations. We could experience disruptions if acts associated with such conflicts result in any serious damage to our facilities.</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as that term is defined under the Private Securities Litigation Reform Act of 1995 (“PSLRA”), Section 27A of the Securities Act, and Section 21E of the Exchange Act. Various statements in this prospectus are “forward-looking statements” within the meaning of the PSLRA and other U.S. federal securities laws. In addition, historic results of scientific research and clinical and preclinical trials do not guarantee that the conclusions of future research or trials would not be different, and historic results referred to in this prospectus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prospectus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such as,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These factors include those described in “Item 1A-Risk Factors” in our 2025 Annual Report. Meaningful factors which could cause actual results to differ include, but are not limited to, the following:</w:t>
      </w:r>
    </w:p>
    <w:p>
      <w:pPr>
        <w:spacing w:after="0" w:line="196" w:lineRule="exact"/>
        <w:rPr>
          <w:sz w:val="20"/>
          <w:szCs w:val="20"/>
          <w:color w:val="auto"/>
        </w:rPr>
      </w:pPr>
    </w:p>
    <w:p>
      <w:pPr>
        <w:ind w:left="860" w:hanging="488"/>
        <w:spacing w:after="0" w:line="282"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161" w:lineRule="exact"/>
        <w:rPr>
          <w:rFonts w:ascii="Times New Roman" w:cs="Times New Roman" w:eastAsia="Times New Roman" w:hAnsi="Times New Roman"/>
          <w:sz w:val="18"/>
          <w:szCs w:val="18"/>
          <w:color w:val="auto"/>
        </w:rPr>
      </w:pPr>
    </w:p>
    <w:p>
      <w:pPr>
        <w:ind w:left="860" w:right="20" w:hanging="488"/>
        <w:spacing w:after="0" w:line="282"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development is uncertain. Our preclinical programs may experience delays or may never advance to clinical trials, which would adversely affect our ability to obtain regulatory approvals or commercialize these programs on a timely basis or at all;</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161" w:lineRule="exact"/>
        <w:rPr>
          <w:rFonts w:ascii="Times New Roman" w:cs="Times New Roman" w:eastAsia="Times New Roman" w:hAnsi="Times New Roman"/>
          <w:sz w:val="18"/>
          <w:szCs w:val="18"/>
          <w:color w:val="auto"/>
        </w:rPr>
      </w:pPr>
    </w:p>
    <w:p>
      <w:pPr>
        <w:jc w:val="both"/>
        <w:ind w:left="860" w:hanging="488"/>
        <w:spacing w:after="0" w:line="261"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and costs of developing our product candidates such as EB613 for osteoporosis and EB612 for hypoparathyroidism or other oral peptides for the treatment of obesity, metabolic disorders (EB618) and gastrointestinal rare diseases may alter over time based on various factors such as regulatory requirements, collaboration agreements, the competitive environment and new data from pre-clinical and clinical studies;</w:t>
      </w:r>
    </w:p>
    <w:p>
      <w:pPr>
        <w:spacing w:after="0" w:line="179"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capital requirements, the sufficiency of our cash resources and the need for additional financing;</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absent access to sources of liquidity;</w:t>
      </w:r>
    </w:p>
    <w:p>
      <w:pPr>
        <w:spacing w:after="0" w:line="225" w:lineRule="exact"/>
        <w:rPr>
          <w:rFonts w:ascii="Times New Roman" w:cs="Times New Roman" w:eastAsia="Times New Roman" w:hAnsi="Times New Roman"/>
          <w:sz w:val="18"/>
          <w:szCs w:val="18"/>
          <w:color w:val="auto"/>
        </w:rPr>
      </w:pPr>
    </w:p>
    <w:p>
      <w:pPr>
        <w:jc w:val="both"/>
        <w:ind w:left="860" w:right="20" w:hanging="488"/>
        <w:spacing w:after="0" w:line="266"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or consummate strategic partnerships to offset additional required capital to pursue our business objectives, which may not be available on acceptable terms or at all. A failure to obtain this additional capital when needed, or failure to consummate strategic partnerships, could delay, limit or reduce our product development, and other operations;</w:t>
      </w:r>
    </w:p>
    <w:p>
      <w:pPr>
        <w:spacing w:after="0" w:line="17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ind w:left="860" w:right="20" w:hanging="488"/>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commercialization of our product candidates, if approved, will depend in part on the extent to which governmental authorities and third-party payors establish adequate coverage and reimbursement levels and pricing policies;</w:t>
      </w:r>
    </w:p>
    <w:p>
      <w:pPr>
        <w:spacing w:after="0" w:line="161" w:lineRule="exact"/>
        <w:rPr>
          <w:rFonts w:ascii="Times New Roman" w:cs="Times New Roman" w:eastAsia="Times New Roman" w:hAnsi="Times New Roman"/>
          <w:sz w:val="18"/>
          <w:szCs w:val="18"/>
          <w:color w:val="auto"/>
        </w:rPr>
      </w:pPr>
    </w:p>
    <w:p>
      <w:pPr>
        <w:ind w:left="860" w:right="20" w:hanging="488"/>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coverage and adequate reimbursement for our product candidates, if approved, could limit our ability to market those products and decrease our ability to generate revenue;</w:t>
      </w:r>
    </w:p>
    <w:p>
      <w:pPr>
        <w:spacing w:after="0" w:line="161"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p>
      <w:pPr>
        <w:spacing w:after="0" w:line="17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anticipate paying any cash dividends on our capital stock in the foreseeable future, capital appreciation, if any, will be your sole source of gain;</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clinical trials and on third-party suppliers to supply or produce our product candidates;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interpretation of FDA feedback and guidance and how such guidance may impact our clinical development plan;</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and expand our N-Tab® platform to additional product candidates;</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 as a development stage company with limited operating history and a history of operating losses and our ability to fund our operations going forward;</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with respect to other products on the market or in development for the treatment of osteoporosis, hypoparathyroidism, short bowel syndrome and other rare gastrointestinal disorders, obesity, metabolic conditions and other disease categories we pursue;</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development and commercialization collaborations;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enough material to support our clinical trials and any potential future commercial requirements;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any market we may target and the adoption of our product candidates, if approved, by physicians and patients;</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protect our intellectual property and operate our business without infringing, misappropriating, or otherwise violating any intellectual property rights of others;</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recruit additional qualified personnel;</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growth; and</w:t>
      </w:r>
    </w:p>
    <w:p>
      <w:pPr>
        <w:spacing w:after="0" w:line="225"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Israel-Hamas conflict, that has been ongoing since October 2023, including involvement from Hezbollah, Iran and its proxies in the Middle East, such as the Houthis in Yemen and militias in Iraq and Syria, as well as the hostilities between the United States, Israel and Iran and their impact on our operations and workforce, remains unknown.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forward-looking statements contained in this prospectus are expressly qualified in their entirety by the cautionary statements contained or referred to in this section. We caution investors not to rely too heavily on the forward-looking statements we make or that are made on our behalf. Except as required by applicable law, we are under no duty, and expressly disclaim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Shares offered by this prospectus, but we will bear all fees and expenses incident to our obligation to register the Shares being offered for resale hereunder by the Selling Shareholders.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receive proceeds from the exercise of the Warrants and issuance of the underlying ordinary shares. If all of the Ordinary Share Warrants were exercised for cash in full, the proceeds would be approximately $14.5 million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intend to use the net proceeds of such warrant exercises, if any, to support activities related to initiation of the phase 3 registrational study of EB613 in postmenopausal women with osteoporosis and for general working capital and corporate purposes. We can make no assurances that any of the Ordinary Share Warrants will be exercised, or if exercised, that they will be exercised for cash.</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This section describes the general terms of our ordinary shares. The following description is a summary only and is qualified by reference to the relevant provisions of Israeli law and our Amended and Restated Articles of Association, a copy of which is incorporated by reference in this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Israeli company incorporated with limited liability, and our affairs are governed by the provisions of our Amended and Restated Articles of Association (the “Articles”), as amended and restated from time to time, and by the provisions of applicable Israeli law, including the Companies Law of 1999 (the “Companies Law”). Our number with the Israeli Registrar of Companies is 514330604. The purpose of our company appears in Article 3 of our Articles, which is to engage in any lawful activity. In addition, our Articles authorize us to donate reasonable amounts to any charitable cause. Our registered office is at Kiryat Hadassah, Minrav Building — Fifth Floor, Jerusalem 9112002, Israel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share capital consists of 140,010,000 ordinary shares, par value NIS 0.0000769 per share. All of our issued ordinary shares have been validly issued, fully paid and are non-assessable. The ordinary shares are listed on Nasdaq under the symbol “ENTX.”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Liquidation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only one class of shares. 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that we were to go into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earnings generated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the court, if applicable and as required by the Companies Law, the board determines that there is no reasonable concern that payment of the dividend will prevent us from satisfying our existing and foreseeable obligations as they become due, and does not require shareholder approval. Payment of dividends and proceeds from the sale of the shares or interest or other payments to non-residents of Israel, may be subject to Israeli withholding taxes. 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permitted under the Companies Law, and pursuant to our Articles, a quorum is required to conduct business at a shareholders’ meeting. Pursuant to our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from the time scheduled for such meeting, the meeting will be adjourned to the same day in the next week (at the same time and place), or to a later time and date if so specified in the notice of the meeting, unless such day shall fall on a statutory holiday (either in Israel or in the United States), in which case the meeting will be adjourned to the first Business Day afterwards. If at such adjourned meeting a quorum as specified above is not present within half an hour from the time designated for holding the meeting, subject to certain exceptions, any two shareholders present in person or by proxy shall constitute a quorum.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Meetings and Resolutions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Chairman of our board of directors, or any other person appointed for this purpose by the board of directors, shall preside at each shareholders’ meeting. If he is absent, his deputy or another person elected by the present shareholders will preside.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simple majority is sufficient to approve most shareholders’ resolutions, including any amendment to our Articles, unless otherwise required by law or by our Articles.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spacing w:after="0" w:line="180" w:lineRule="exact"/>
        <w:rPr>
          <w:sz w:val="20"/>
          <w:szCs w:val="20"/>
          <w:color w:val="auto"/>
        </w:rPr>
      </w:pPr>
    </w:p>
    <w:p>
      <w:pPr>
        <w:ind w:left="860" w:hanging="488"/>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directors of the company or one quarter of the board of directors; or</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shareholders holding, in the aggregate: (i) five percent of the outstanding shares of the company and one percent of the voting power in the company; or (ii) five percent of the voting power in the company.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and pursuant to our Articles, one or more shareholders holding at least 1% of the voting rights at a general meeting of shareholders may request that the board of directors include a matter in the agenda of a general meeting of shareholders to be convened in the future, by submitting such proposal within seven days of publication of the Company’s notice with respect to such meeting of shareholders and provided that certain resolutions are brought before the shareholders in such meeting.</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Shareholders’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have only one class of shares. The rights attached to a class of shares may be altered by the approval of the shareholders of such class holding a majority of the voting rights of such class. The provisions in our Articles pertaining to general meetings also apply to any special meeting of a class of shareholders. Pursuant to our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from the time scheduled for such meeting, the meeting will be adjourned to the same day in the next week (at the same time and place), or to a later time and date if so specified in the notice of the meeting, unless such day shall fall on a statutory holiday (either in Israel or in the United States), in which case the meeting will be adjourned to the first business day afterwards. If at such adjourned meeting a quorum as specified above is not present within half an hour from the time designated for holding the meeting, subject to certain exceptions, any two shareholders present in person or by proxy shall constitute a quorum.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our Articles of Association, no preemptive rights are attached to our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Non-Residents of Israel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ownership or voting of our ordinary shares by non-residents of Israel is not restricted in any way by our Articles or the laws of Israel, except for ownership by nationals of some countries that are, or have been, in a state of war with Israel.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Currently there are no preferred shares authorized under the terms of our Articles. No preferred shares are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the ordinary shares is Equiniti Trust Company, LLC.</w:t>
      </w: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Selling Shareholder and any of such Selling Shareholder’s pledgees, assignees and successors-in-interest may, from time to time, sell any or all of the Shares on Nasdaq or any other stock exchange, market or trading facility on which the Shares are traded or in private transactions. These sales may be at fixed or negotiated prices. A Selling Shareholder may use any one or more of the following methods when selling Shares:</w:t>
      </w:r>
    </w:p>
    <w:p>
      <w:pPr>
        <w:spacing w:after="0" w:line="176" w:lineRule="exact"/>
        <w:rPr>
          <w:sz w:val="20"/>
          <w:szCs w:val="20"/>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members, partners, stockholders or other equity holders of such Selling Shareholder;</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such Selling Shareholder to sell a specified number of Shares at a stipulated price per Share;</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Shareholders to sell a specified number of the Shares at a stipulated price per share;</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Selling Shareholders may also sell Shares under Rule 144 or any other exemption from registration under the Securities Act, if available, rather than under this prospectus. The Selling Shareholders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 Selling Shareholder that is an entity may elect to make an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The Selling Shareholders also may transfer the Shares in other circumstances, in which case the transferees, pledgees or other successors-in-interest will be the selling beneficial owners for purposes of this prospectus. Upon being notified by the Selling Shareholders that a donee, pledgee, transferee, other successor-in-interest intends to sell Shares, we will, to the extent required, promptly file a supplement to this prospectus to name specifically such person as a Selling Shareholder.</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Shares or interests therein, the Selling Shareholders may enter into hedging transactions with broker-dealers or other financial institutions, which may in turn engage in short sales of the Shares in the course of hedging the positions they assume. The Selling Shareholders may also sell ordinary shares short and deliver the Shares to close out their short positions, or loan or pledge the Shares to broker-dealers that in turn may sell such Shares. The Selling Shareholders may also enter into option or other transactions with broker-dealers or other financial institutions or create one or more derivative securities which require the delivery to such broker-dealer or other financial institution of the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Shareholders and any broker-dealers or agents that are involved in selling Shares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Shares. We have agreed to indemnify the Selling Shareholders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the date on which (a) all Shares shall have been disposed by under an effective registration statement, (b) all Shares have been previously sold in accordance with Rule 144, or (c) the Shares become eligible for resale without volume or manner-of-sale restrictions and without current public information pursuant to Rule 144 as set forth in a written opinion letter to such effect, addressed, delivered and acceptable to our transfer agent and the affected Selling Shareholders (assuming that such securities and any securities issuable upon exercise, conversion or exchange of which, or as a dividend upon which, such securities were issued or are issuable, were at no time held by any affiliate of ours), as reasonably determined by us, upon the advice of our counsel.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will be sold only through registered or licensed brokers or dealers if required under applicable state securities laws. In addition, in certain states, the Shares covered hereby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Shares may not, subject to certain exceptions, simultaneously engage in market making activities with respect to the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ordinary shares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Shares being offered by the Selling Shareholders are those that we issued to the Selling Shareholders in connection with the Private Placement together with those issuable to the Selling Shareholders upon exercise of the Warrants. For additional information regarding the issuance of the foregoing Shares and the Warrants, see “Prospectus Summary—Private Placement” located elsewhere in this prospectus. We are registering the resale of the Shares in order to permit the Selling Shareholders to offer the Shares for resale from time to time. Except for the ownership of the Shares offered hereby and the Warrants, and as otherwise disclosed in the footnotes to the table immediately below, none of the Selling Shareholders has had any material relationship with us within the past three years.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lists the names of the Selling Shareholders and other information regarding their respective beneficial ownership of ordinary shares. The second column lists the number of ordinary shares beneficially owned by each Selling Shareholder. The beneficial ownership of our ordinary shares is based on 49,225,321 ordinary shares outstanding as of May 5, 2026.</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derivative securities, such as options and warrants, that are currently exercisable or exercisable within 60 days. In computing the number of shares beneficially owned by a particular person or entity and the percentage ownership of that person or entity, all shares subject to options and Warrants held by such person or entity were deemed outstanding if such securities were currently exercisable, on, or become or will become exercisable within 60 days following May 5, 2026. These shares were not deemed outstanding, however, for the purpose of computing the percentage ownership of any other person or entity.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third column lists the ordinary shares being offered by each Selling Shareholder under this prospectus, regardless of any beneficial ownership limitation contained in a Warrant.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terms of the Registration Rights Agreement, this prospectus covers the resale of the sum of (i) the number of ordinary shares issued to those Selling Shareholders who acquired such shares in the Private Placement and (ii) the maximum number of ordinary shares issuable upon exercise of the Warrants, as applicable, determined as if the outstanding Warrants were exercised in full as of the trading day immediately preceding the date the registration statement, of which this prospectus forms a part, was initially filed with the SEC, without regard to any limitations on the exercise of the Warrants, as described below. The fourth column (presenting the number of ordinary shares owned after this offering) assumes the sale of all of the Shares offered by the Selling Shareholders pursuant to this prospectus.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terms of the Warrants, the Selling Shareholders may not exercise such Warrants to the extent such exercise would result in such Selling Shareholder, together with its affiliates and attribution parties, to beneficially own a number of ordinary shares which would exceed 4.99% (subject to increases not in excess of 19.99% at the option of such Selling Shareholder) of our then outstanding ordinary shares following such exercise, excluding for purposes of such determination ordinary shares issuable upon exercise of such Warrants which have not been exercised. The number of Shares in the third column (presenting the maximum number of ordinary shares to be sold pursuant to this prospectus) does not reflect this limitation, but the number of Shares in the second column reflects this limitation. The Selling Shareholders may sell all, some or none of their respective Shares in this offering. See “Plan of Distribution.”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pay the fees and the expenses incurred in effecting the registration of the Shares covered by this prospectus, including, without limitation, all registration and filing fees, stock exchange fees, printing expenses, all fees and expenses of complying with applicable securities laws, fees and expenses of our counsel and accountants. Each Selling Shareholder will pay any underwriting or broker discounts and any commissions incurred in selling its Shares.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0" w:type="dxa"/>
            <w:vAlign w:val="bottom"/>
          </w:tcPr>
          <w:p>
            <w:pPr>
              <w:spacing w:after="0"/>
              <w:rPr>
                <w:sz w:val="1"/>
                <w:szCs w:val="1"/>
                <w:color w:val="auto"/>
              </w:rPr>
            </w:pPr>
          </w:p>
        </w:tc>
      </w:tr>
      <w:tr>
        <w:trPr>
          <w:trHeight w:val="225"/>
        </w:trPr>
        <w:tc>
          <w:tcPr>
            <w:tcW w:w="5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Maximum Number</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 Ordinary Shares</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Prior to the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 be Sold Pursuant</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Following the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Following the</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 this Prospectus</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(1)</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Biotechnology Value Fund, L.P. </w:t>
            </w:r>
            <w:r>
              <w:rPr>
                <w:rFonts w:ascii="Times New Roman" w:cs="Times New Roman" w:eastAsia="Times New Roman" w:hAnsi="Times New Roman"/>
                <w:sz w:val="28"/>
                <w:szCs w:val="28"/>
                <w:color w:val="auto"/>
                <w:vertAlign w:val="superscript"/>
              </w:rPr>
              <w:t>(2)(6)</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1,260,119</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10,169,010</w:t>
            </w:r>
          </w:p>
        </w:tc>
        <w:tc>
          <w:tcPr>
            <w:tcW w:w="13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line="256" w:lineRule="exact"/>
              <w:rPr>
                <w:sz w:val="20"/>
                <w:szCs w:val="20"/>
                <w:color w:val="auto"/>
              </w:rPr>
            </w:pPr>
            <w:r>
              <w:rPr>
                <w:rFonts w:ascii="Times New Roman" w:cs="Times New Roman" w:eastAsia="Times New Roman" w:hAnsi="Times New Roman"/>
                <w:sz w:val="18"/>
                <w:szCs w:val="18"/>
                <w:color w:val="auto"/>
              </w:rPr>
              <w:t>Biotechnology Value Fund II, L.P.</w:t>
            </w:r>
            <w:r>
              <w:rPr>
                <w:rFonts w:ascii="Times New Roman" w:cs="Times New Roman" w:eastAsia="Times New Roman" w:hAnsi="Times New Roman"/>
                <w:sz w:val="29"/>
                <w:szCs w:val="29"/>
                <w:color w:val="auto"/>
                <w:vertAlign w:val="superscript"/>
              </w:rPr>
              <w:t>(3)(6)</w:t>
            </w: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gridSpan w:val="2"/>
            <w:vMerge w:val="continue"/>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962,963</w:t>
            </w:r>
          </w:p>
        </w:tc>
        <w:tc>
          <w:tcPr>
            <w:tcW w:w="10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7,771,000</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Biotechnology Value Trading Fund OS LP</w:t>
            </w:r>
            <w:r>
              <w:rPr>
                <w:rFonts w:ascii="Times New Roman" w:cs="Times New Roman" w:eastAsia="Times New Roman" w:hAnsi="Times New Roman"/>
                <w:sz w:val="29"/>
                <w:szCs w:val="29"/>
                <w:color w:val="auto"/>
                <w:vertAlign w:val="superscript"/>
              </w:rPr>
              <w:t>(4)(6)</w:t>
            </w: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gridSpan w:val="2"/>
            <w:vMerge w:val="continue"/>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162,302</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1,309,762</w:t>
            </w:r>
          </w:p>
        </w:tc>
        <w:tc>
          <w:tcPr>
            <w:tcW w:w="13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line="270" w:lineRule="exact"/>
              <w:rPr>
                <w:sz w:val="20"/>
                <w:szCs w:val="20"/>
                <w:color w:val="auto"/>
              </w:rPr>
            </w:pPr>
            <w:r>
              <w:rPr>
                <w:rFonts w:ascii="Times New Roman" w:cs="Times New Roman" w:eastAsia="Times New Roman" w:hAnsi="Times New Roman"/>
                <w:sz w:val="18"/>
                <w:szCs w:val="18"/>
                <w:color w:val="auto"/>
              </w:rPr>
              <w:t>MSI BVF SPV, LLC</w:t>
            </w:r>
            <w:r>
              <w:rPr>
                <w:rFonts w:ascii="Times New Roman" w:cs="Times New Roman" w:eastAsia="Times New Roman" w:hAnsi="Times New Roman"/>
                <w:sz w:val="29"/>
                <w:szCs w:val="29"/>
                <w:color w:val="auto"/>
                <w:vertAlign w:val="superscript"/>
              </w:rPr>
              <w:t>(5)(6)</w:t>
            </w: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gridSpan w:val="2"/>
            <w:vMerge w:val="continue"/>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39,616</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319,700</w:t>
            </w:r>
          </w:p>
        </w:tc>
        <w:tc>
          <w:tcPr>
            <w:tcW w:w="1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199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Represents beneficial ownership of less than one percent (1%) of the outstanding Shares</w:t>
      </w:r>
    </w:p>
    <w:p>
      <w:pPr>
        <w:spacing w:after="0" w:line="22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49,225,321 ordinary shares outstanding as of May 5, 2026.</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ordinary shares to be sold pursuant to this prospectus includes (i) 1,260,119 ordinary shares, (ii) 2,807,485 ordinary shares underlying Pre-Funded Warrants and (iii) 6,101,406 ordinary shares underlying Ordinary Share Warrants purchased by Biotechnology Value Fund, L.P. (“</w:t>
      </w:r>
      <w:r>
        <w:rPr>
          <w:rFonts w:ascii="Times New Roman" w:cs="Times New Roman" w:eastAsia="Times New Roman" w:hAnsi="Times New Roman"/>
          <w:sz w:val="18"/>
          <w:szCs w:val="18"/>
          <w:b w:val="1"/>
          <w:bCs w:val="1"/>
          <w:color w:val="auto"/>
        </w:rPr>
        <w:t>BVF</w:t>
      </w:r>
      <w:r>
        <w:rPr>
          <w:rFonts w:ascii="Times New Roman" w:cs="Times New Roman" w:eastAsia="Times New Roman" w:hAnsi="Times New Roman"/>
          <w:sz w:val="18"/>
          <w:szCs w:val="18"/>
          <w:color w:val="auto"/>
        </w:rPr>
        <w:t>”) in the Private Placement.</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ordinary shares to be sold pursuant to this prospectus includes (i) 962,963 ordinary shares, (ii) 2,145,437 ordinary shares underlying Pre-Funded Warrants and (iii) 4,662,600 ordinary shares underlying Ordinary Share Warrants purchased by Biotechnology Value Fund II, L.P. (“</w:t>
      </w:r>
      <w:r>
        <w:rPr>
          <w:rFonts w:ascii="Times New Roman" w:cs="Times New Roman" w:eastAsia="Times New Roman" w:hAnsi="Times New Roman"/>
          <w:sz w:val="18"/>
          <w:szCs w:val="18"/>
          <w:b w:val="1"/>
          <w:bCs w:val="1"/>
          <w:color w:val="auto"/>
        </w:rPr>
        <w:t>BVF II</w:t>
      </w:r>
      <w:r>
        <w:rPr>
          <w:rFonts w:ascii="Times New Roman" w:cs="Times New Roman" w:eastAsia="Times New Roman" w:hAnsi="Times New Roman"/>
          <w:sz w:val="18"/>
          <w:szCs w:val="18"/>
          <w:color w:val="auto"/>
        </w:rPr>
        <w:t>”) in the Private Placement.</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ordinary shares to be sold pursuant to this prospectus includes (i) 162,302 ordinary shares, (ii) 361,603 ordinary shares underlying Pre-Funded Warrants and (iii) 785,857 ordinary shares underlying Ordinary Share Warrants purchased by Biotechnology Value Trading Fund OS LP (“</w:t>
      </w:r>
      <w:r>
        <w:rPr>
          <w:rFonts w:ascii="Times New Roman" w:cs="Times New Roman" w:eastAsia="Times New Roman" w:hAnsi="Times New Roman"/>
          <w:sz w:val="18"/>
          <w:szCs w:val="18"/>
          <w:b w:val="1"/>
          <w:bCs w:val="1"/>
          <w:color w:val="auto"/>
        </w:rPr>
        <w:t>BVF Trading</w:t>
      </w:r>
      <w:r>
        <w:rPr>
          <w:rFonts w:ascii="Times New Roman" w:cs="Times New Roman" w:eastAsia="Times New Roman" w:hAnsi="Times New Roman"/>
          <w:sz w:val="18"/>
          <w:szCs w:val="18"/>
          <w:color w:val="auto"/>
        </w:rPr>
        <w:t>”) in the Private Placement.</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ordinary shares to be sold pursuant to this prospectus includes (i) 39,616 ordinary shares, (ii) 88,264 ordinary shares underlying Pre-Funded Warrants and (iii) 191,820 ordinary shares underlying Ordinary Share Warrants purchased by MSI BVF SPV, LLC (“</w:t>
      </w:r>
      <w:r>
        <w:rPr>
          <w:rFonts w:ascii="Times New Roman" w:cs="Times New Roman" w:eastAsia="Times New Roman" w:hAnsi="Times New Roman"/>
          <w:sz w:val="18"/>
          <w:szCs w:val="18"/>
          <w:b w:val="1"/>
          <w:bCs w:val="1"/>
          <w:color w:val="auto"/>
        </w:rPr>
        <w:t>MSI</w:t>
      </w:r>
      <w:r>
        <w:rPr>
          <w:rFonts w:ascii="Times New Roman" w:cs="Times New Roman" w:eastAsia="Times New Roman" w:hAnsi="Times New Roman"/>
          <w:sz w:val="18"/>
          <w:szCs w:val="18"/>
          <w:color w:val="auto"/>
        </w:rPr>
        <w:t>” and together with BVF, BVF II and BVF Trading, the “</w:t>
      </w:r>
      <w:r>
        <w:rPr>
          <w:rFonts w:ascii="Times New Roman" w:cs="Times New Roman" w:eastAsia="Times New Roman" w:hAnsi="Times New Roman"/>
          <w:sz w:val="18"/>
          <w:szCs w:val="18"/>
          <w:b w:val="1"/>
          <w:bCs w:val="1"/>
          <w:color w:val="auto"/>
        </w:rPr>
        <w:t>BVF Entities</w:t>
      </w:r>
      <w:r>
        <w:rPr>
          <w:rFonts w:ascii="Times New Roman" w:cs="Times New Roman" w:eastAsia="Times New Roman" w:hAnsi="Times New Roman"/>
          <w:sz w:val="18"/>
          <w:szCs w:val="18"/>
          <w:color w:val="auto"/>
        </w:rPr>
        <w:t>”) in the Private Placement.</w:t>
      </w:r>
    </w:p>
    <w:p>
      <w:pPr>
        <w:spacing w:after="0" w:line="175" w:lineRule="exact"/>
        <w:rPr>
          <w:rFonts w:ascii="Times New Roman" w:cs="Times New Roman" w:eastAsia="Times New Roman" w:hAnsi="Times New Roman"/>
          <w:sz w:val="18"/>
          <w:szCs w:val="18"/>
          <w:color w:val="auto"/>
        </w:rPr>
      </w:pPr>
    </w:p>
    <w:p>
      <w:pPr>
        <w:ind w:left="500" w:right="80" w:hanging="492"/>
        <w:spacing w:after="0" w:line="261"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contain an issuance limitation that prohibits the holder from exercising the Warrants to the extent that after giving effect to such issuance after the exercise, the holder (together with the holder’s affiliates and any other persons acting as a group together with the holder or any of the holder's affiliates) would beneficially own in excess of 4.99% of our ordinary shares outstanding immediately after giving effect to the issuance of the shares issuable upon exercise of the Warrants.</w:t>
      </w:r>
    </w:p>
    <w:p>
      <w:pPr>
        <w:spacing w:after="0" w:line="179" w:lineRule="exact"/>
        <w:rPr>
          <w:rFonts w:ascii="Times New Roman" w:cs="Times New Roman" w:eastAsia="Times New Roman" w:hAnsi="Times New Roman"/>
          <w:sz w:val="18"/>
          <w:szCs w:val="18"/>
          <w:color w:val="auto"/>
        </w:rPr>
      </w:pPr>
    </w:p>
    <w:p>
      <w:pPr>
        <w:ind w:left="50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BVF I GP LLC, as general partner of BVF, may be deemed to beneficially own the shares held by BVF. BVF II GP LLC, as general partner of BVF II, may be deemed to beneficially own the shares held by BVF II. BVF GP Holdings LLC, as the sole member of BVF I GP LLC and BVF II GP LLC, may be deemed to beneficially own the shares beneficially owned by BVF and BVF II. BVF Partners OS Ltd, as general partner of BVF Trading, may be deemed to beneficially own the shares beneficially owned by BVF Trading. BVF Partners L.P. (“BVF Partners”), as the sole member of BVF Partners OS Ltd. and the investment adviser of each of BVF, BVF II, BVF Trading and MSI, may be deemed to beneficially own the shares beneficially owned by BVF, BVF II, BVF Trading and MSI. BVF Inc., as general partner of BVF Partners, and Mark N. Lampert, as officer and director of BVF Inc., may be deemed to beneficially own the shares beneficially owned by BVF Partners and has shared voting and dispositive power over such shares. Each of BVF I GP LLC, BVF II GP LLC, BVF GP Holdings LLC, BVF Partners OS Ltd., BVF Partners, BVF Inc. and Mr. Lampert disclaim beneficial ownership over the shares. The principal business address of the BVF Entities is 44 Montgomery Street, 40th Floor, San Francisco, CA 94104.</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have filed with it, which means that we can disclose important information to you by referring you to the documents containing such information. The information we incorporate by reference is an important part of this prospectus, and later information that we file with the SEC will automatically update and supersede this information. We incorporate by reference the documents listed below and all future documents (excluding information furnished pursuant to Items 2.02, 7.01 and 9.01 of Form 8-K or any other information that is identified as “furnished” rather than filed) we file with the SEC pursuant to Sections 13(a), 13(c), 14 or 15(d) of the Exchange Act subsequent to the date of this prospectus and prior to the termination of this offering:</w:t>
      </w:r>
    </w:p>
    <w:p>
      <w:pPr>
        <w:spacing w:after="0" w:line="187"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27, 2026;</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8, 2026;</w:t>
      </w:r>
    </w:p>
    <w:p>
      <w:pPr>
        <w:spacing w:after="0" w:line="2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(not including any information furnished under Item 2.02, 7.01 or 9.01 of such Form 8-K or any other information that is identified as “furnished” rather than filed, which information is not incorporated by reference herein), filed with the SEC on </w:t>
      </w:r>
      <w:hyperlink r:id="rId35">
        <w:r>
          <w:rPr>
            <w:rFonts w:ascii="Times New Roman" w:cs="Times New Roman" w:eastAsia="Times New Roman" w:hAnsi="Times New Roman"/>
            <w:sz w:val="18"/>
            <w:szCs w:val="18"/>
            <w:u w:val="single" w:color="auto"/>
            <w:color w:val="0000EE"/>
          </w:rPr>
          <w:t>February 4, 2026</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February 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7">
        <w:r>
          <w:rPr>
            <w:rFonts w:ascii="Times New Roman" w:cs="Times New Roman" w:eastAsia="Times New Roman" w:hAnsi="Times New Roman"/>
            <w:sz w:val="18"/>
            <w:szCs w:val="18"/>
            <w:u w:val="single" w:color="auto"/>
            <w:color w:val="0000EE"/>
          </w:rPr>
          <w:t>April 3, 2026</w:t>
        </w:r>
      </w:hyperlink>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38">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filed on June 25, 2018, and any amendment or report filed for the purpose of updating such description, including without limitation, </w:t>
      </w:r>
      <w:hyperlink r:id="rId39">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2022 filed with the SEC on March 31, 2023.</w:t>
      </w:r>
    </w:p>
    <w:p>
      <w:pPr>
        <w:spacing w:after="0" w:line="176"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all filings filed by us pursuant to the Exchange Act after the date of the initial filing of the registration statement of which this prospectus forms a part and prior to the effectiveness of such registration statement (excluding information furnished pursuant to Items 2.02, 7.01 and 9.01 of Form 8-K or any other information that is identified as “furnished” rather than filed) shall also be deemed to be incorporated by reference into this prospectus.</w:t>
      </w:r>
    </w:p>
    <w:p>
      <w:pPr>
        <w:spacing w:after="0" w:line="180" w:lineRule="exact"/>
        <w:rPr>
          <w:rFonts w:ascii="Times New Roman" w:cs="Times New Roman" w:eastAsia="Times New Roman" w:hAnsi="Times New Roman"/>
          <w:sz w:val="18"/>
          <w:szCs w:val="18"/>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spacing w:after="0" w:line="187" w:lineRule="exact"/>
        <w:rPr>
          <w:rFonts w:ascii="Times New Roman" w:cs="Times New Roman" w:eastAsia="Times New Roman" w:hAnsi="Times New Roman"/>
          <w:sz w:val="18"/>
          <w:szCs w:val="18"/>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 Kiryat Hadassah, Minrav Building - Fifth Floor, Jerusalem, Israel, Attention: Miranda Toledano, Chief Executive Officer, or made by phone at +972-2-532-7151. You may also access the documents incorporated by reference in this prospectus through our website at www.enterabio.com. Except for the specific incorporated documents listed above, no information available on or through our website shall be deemed to be incorporated in this prospectus or the registration statement of which it forms a part.</w:t>
      </w:r>
    </w:p>
    <w:p>
      <w:pPr>
        <w:spacing w:after="0" w:line="287" w:lineRule="exact"/>
        <w:rPr>
          <w:rFonts w:ascii="Times New Roman" w:cs="Times New Roman" w:eastAsia="Times New Roman" w:hAnsi="Times New Roman"/>
          <w:sz w:val="18"/>
          <w:szCs w:val="18"/>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JUDGMENTS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and officers and any Israeli experts named in this prospectus, may be difficult to obtain within the United States. Furthermore, because substantially all of our assets and a significant number of our directors and officers are located outside the United States, any judgment obtained in the United States against us or any of our directors and officers may not be collectible within the United States.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been informed by our legal counsel in Israel, Herzog Fox &amp; Neeman,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 There is little case law in Israel addressing these matters.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spacing w:after="0" w:line="176" w:lineRule="exact"/>
        <w:rPr>
          <w:sz w:val="20"/>
          <w:szCs w:val="20"/>
          <w:color w:val="auto"/>
        </w:rPr>
      </w:pPr>
    </w:p>
    <w:p>
      <w:pPr>
        <w:ind w:left="860" w:hanging="488"/>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after due process by a court which was, according to the laws of the state of the court, competent jurisdiction to render the judgment;</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final and is not subject to any right of appeal; and</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imposed by the judgment are enforceable according to the laws of the State of Israel and according to the laws of the state in which the judgement was given, and the substance of the judgment is not contrary to public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these conditions are met, an Israeli court will not declare a foreign civil judgment enforceable if:</w:t>
      </w:r>
    </w:p>
    <w:p>
      <w:pPr>
        <w:spacing w:after="0" w:line="225" w:lineRule="exact"/>
        <w:rPr>
          <w:sz w:val="20"/>
          <w:szCs w:val="20"/>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given in a state whose laws do not provide for the enforcement of judgments of Israeli courts (subject to exceptional cases);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is likely to prejudice the sovereignty or security of the State of Israel;</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obtained by fraud;</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given to the defendant to bring its arguments and evidence before the court was not reasonable in the opinion of the Israeli court;</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rendered by a court not competent to render it according to the laws of private international law as they apply in Israel;</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contradictory to another judgment that was given in the same matter between the same parties and that is still valid; or</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action was brought in the foreign court, a lawsuit in the same matter and between the same parties was pending before a court or tribunal in Israel.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validity of the ordinary shares in respect of which this prospectus is being delivered will be passed upon by Herzog, Fox &amp; Neeman, Tel Aviv,</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380365</wp:posOffset>
            </wp:positionV>
            <wp:extent cx="2117090" cy="10883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Entera Bio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2032000</wp:posOffset>
            </wp:positionH>
            <wp:positionV relativeFrom="paragraph">
              <wp:posOffset>132080</wp:posOffset>
            </wp:positionV>
            <wp:extent cx="16567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65671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328295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2032000</wp:posOffset>
            </wp:positionH>
            <wp:positionV relativeFrom="paragraph">
              <wp:posOffset>131445</wp:posOffset>
            </wp:positionV>
            <wp:extent cx="16567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656715" cy="825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jpe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33" Type="http://schemas.openxmlformats.org/officeDocument/2006/relationships/hyperlink" Target="https://www.sec.gov/ix?doc=/Archives/edgar/data/1638097/000117891326001797/zk2634461.htm" TargetMode="External"/><Relationship Id="rId34" Type="http://schemas.openxmlformats.org/officeDocument/2006/relationships/hyperlink" Target="https://www.sec.gov/ix?doc=/Archives/edgar/data/1638097/000117891326002458/zk2635165.htm" TargetMode="External"/><Relationship Id="rId35" Type="http://schemas.openxmlformats.org/officeDocument/2006/relationships/hyperlink" Target="https://www.sec.gov/ix?doc=/Archives/edgar/data/1638097/000117891326000300/zk2634279.htm" TargetMode="External"/><Relationship Id="rId36" Type="http://schemas.openxmlformats.org/officeDocument/2006/relationships/hyperlink" Target="https://www.sec.gov/ix?doc=/Archives/edgar/data/1638097/000117891326000355/zk2634303.htm" TargetMode="External"/><Relationship Id="rId37" Type="http://schemas.openxmlformats.org/officeDocument/2006/relationships/hyperlink" Target="https://www.sec.gov/ix?doc=/Archives/edgar/data/1638097/000117891326002001/zk2634965.htm" TargetMode="External"/><Relationship Id="rId38" Type="http://schemas.openxmlformats.org/officeDocument/2006/relationships/hyperlink" Target="https://www.sec.gov/Archives/edgar/data/1638097/000095010318007696/dp92549_8a12b.htm" TargetMode="External"/><Relationship Id="rId39" Type="http://schemas.openxmlformats.org/officeDocument/2006/relationships/hyperlink" Target="https://www.sec.gov/Archives/edgar/data/1638097/000117891321001087/exhibit_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2026-05-15T15:21:58Z</dcterms:created>
  <dcterms:modified xsi:type="dcterms:W3CDTF">2026-05-15T15:21:58Z</dcterms:modified>
</cp:coreProperties>
</file>