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10, 2018.</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UNITED STATES</w:t>
      </w:r>
    </w:p>
    <w:p>
      <w:pPr>
        <w:jc w:val="center"/>
        <w:ind w:right="40"/>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30480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4"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AMENDMENT NO. 3</w:t>
      </w:r>
    </w:p>
    <w:p>
      <w:pPr>
        <w:ind w:left="5560"/>
        <w:spacing w:after="0" w:line="221" w:lineRule="auto"/>
        <w:rPr>
          <w:sz w:val="20"/>
          <w:szCs w:val="20"/>
          <w:color w:val="auto"/>
        </w:rPr>
      </w:pPr>
      <w:r>
        <w:rPr>
          <w:rFonts w:ascii="Arial" w:cs="Arial" w:eastAsia="Arial" w:hAnsi="Arial"/>
          <w:sz w:val="18"/>
          <w:szCs w:val="18"/>
          <w:b w:val="1"/>
          <w:bCs w:val="1"/>
          <w:color w:val="auto"/>
        </w:rPr>
        <w:t>TO</w:t>
      </w:r>
    </w:p>
    <w:p>
      <w:pPr>
        <w:ind w:left="5260"/>
        <w:spacing w:after="0" w:line="219" w:lineRule="auto"/>
        <w:rPr>
          <w:sz w:val="20"/>
          <w:szCs w:val="20"/>
          <w:color w:val="auto"/>
        </w:rPr>
      </w:pPr>
      <w:r>
        <w:rPr>
          <w:rFonts w:ascii="Arial" w:cs="Arial" w:eastAsia="Arial" w:hAnsi="Arial"/>
          <w:sz w:val="18"/>
          <w:szCs w:val="18"/>
          <w:b w:val="1"/>
          <w:bCs w:val="1"/>
          <w:color w:val="auto"/>
        </w:rPr>
        <w:t>FORM F-1</w:t>
      </w:r>
    </w:p>
    <w:p>
      <w:pPr>
        <w:ind w:left="4420"/>
        <w:spacing w:after="0" w:line="220" w:lineRule="auto"/>
        <w:rPr>
          <w:sz w:val="20"/>
          <w:szCs w:val="20"/>
          <w:color w:val="auto"/>
        </w:rPr>
      </w:pPr>
      <w:r>
        <w:rPr>
          <w:rFonts w:ascii="Arial" w:cs="Arial" w:eastAsia="Arial" w:hAnsi="Arial"/>
          <w:sz w:val="18"/>
          <w:szCs w:val="18"/>
          <w:b w:val="1"/>
          <w:bCs w:val="1"/>
          <w:color w:val="auto"/>
        </w:rPr>
        <w:t>REGISTRATION STATEMENT</w:t>
      </w:r>
    </w:p>
    <w:p>
      <w:pPr>
        <w:ind w:left="4060"/>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ENTERA BIO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48895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4"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2840" w:type="dxa"/>
            <w:vAlign w:val="bottom"/>
          </w:tcPr>
          <w:p>
            <w:pPr>
              <w:jc w:val="center"/>
              <w:ind w:right="965"/>
              <w:spacing w:after="0"/>
              <w:rPr>
                <w:sz w:val="20"/>
                <w:szCs w:val="20"/>
                <w:color w:val="auto"/>
              </w:rPr>
            </w:pPr>
            <w:r>
              <w:rPr>
                <w:rFonts w:ascii="Arial" w:cs="Arial" w:eastAsia="Arial" w:hAnsi="Arial"/>
                <w:sz w:val="16"/>
                <w:szCs w:val="16"/>
                <w:b w:val="1"/>
                <w:bCs w:val="1"/>
                <w:color w:val="auto"/>
                <w:w w:val="91"/>
              </w:rPr>
              <w:t>State of Israel</w:t>
            </w:r>
          </w:p>
        </w:tc>
        <w:tc>
          <w:tcPr>
            <w:tcW w:w="3980" w:type="dxa"/>
            <w:vAlign w:val="bottom"/>
          </w:tcPr>
          <w:p>
            <w:pPr>
              <w:jc w:val="center"/>
              <w:ind w:right="105"/>
              <w:spacing w:after="0"/>
              <w:rPr>
                <w:sz w:val="20"/>
                <w:szCs w:val="20"/>
                <w:color w:val="auto"/>
              </w:rPr>
            </w:pPr>
            <w:r>
              <w:rPr>
                <w:rFonts w:ascii="Arial" w:cs="Arial" w:eastAsia="Arial" w:hAnsi="Arial"/>
                <w:sz w:val="16"/>
                <w:szCs w:val="16"/>
                <w:b w:val="1"/>
                <w:bCs w:val="1"/>
                <w:color w:val="auto"/>
                <w:w w:val="89"/>
              </w:rPr>
              <w:t>2836</w:t>
            </w:r>
          </w:p>
        </w:tc>
        <w:tc>
          <w:tcPr>
            <w:tcW w:w="2300" w:type="dxa"/>
            <w:vAlign w:val="bottom"/>
          </w:tcPr>
          <w:p>
            <w:pPr>
              <w:ind w:left="1240"/>
              <w:spacing w:after="0"/>
              <w:rPr>
                <w:sz w:val="20"/>
                <w:szCs w:val="20"/>
                <w:color w:val="auto"/>
              </w:rPr>
            </w:pPr>
            <w:r>
              <w:rPr>
                <w:rFonts w:ascii="Arial" w:cs="Arial" w:eastAsia="Arial" w:hAnsi="Arial"/>
                <w:sz w:val="16"/>
                <w:szCs w:val="16"/>
                <w:b w:val="1"/>
                <w:bCs w:val="1"/>
                <w:color w:val="auto"/>
                <w:w w:val="92"/>
              </w:rPr>
              <w:t>Not Applicable</w:t>
            </w:r>
          </w:p>
        </w:tc>
      </w:tr>
      <w:tr>
        <w:trPr>
          <w:trHeight w:val="140"/>
        </w:trPr>
        <w:tc>
          <w:tcPr>
            <w:tcW w:w="2840" w:type="dxa"/>
            <w:vAlign w:val="bottom"/>
          </w:tcPr>
          <w:p>
            <w:pPr>
              <w:jc w:val="center"/>
              <w:ind w:right="1005"/>
              <w:spacing w:after="0" w:line="141" w:lineRule="exact"/>
              <w:rPr>
                <w:sz w:val="20"/>
                <w:szCs w:val="20"/>
                <w:color w:val="auto"/>
              </w:rPr>
            </w:pPr>
            <w:r>
              <w:rPr>
                <w:rFonts w:ascii="Arial" w:cs="Arial" w:eastAsia="Arial" w:hAnsi="Arial"/>
                <w:sz w:val="14"/>
                <w:szCs w:val="14"/>
                <w:color w:val="auto"/>
                <w:w w:val="94"/>
              </w:rPr>
              <w:t>(State or Other Jurisdiction of</w:t>
            </w:r>
          </w:p>
        </w:tc>
        <w:tc>
          <w:tcPr>
            <w:tcW w:w="3980" w:type="dxa"/>
            <w:vAlign w:val="bottom"/>
          </w:tcPr>
          <w:p>
            <w:pPr>
              <w:jc w:val="center"/>
              <w:ind w:right="145"/>
              <w:spacing w:after="0" w:line="141" w:lineRule="exact"/>
              <w:rPr>
                <w:sz w:val="20"/>
                <w:szCs w:val="20"/>
                <w:color w:val="auto"/>
              </w:rPr>
            </w:pPr>
            <w:r>
              <w:rPr>
                <w:rFonts w:ascii="Arial" w:cs="Arial" w:eastAsia="Arial" w:hAnsi="Arial"/>
                <w:sz w:val="14"/>
                <w:szCs w:val="14"/>
                <w:color w:val="auto"/>
                <w:w w:val="94"/>
              </w:rPr>
              <w:t>(Primary Standard Industrial</w:t>
            </w:r>
          </w:p>
        </w:tc>
        <w:tc>
          <w:tcPr>
            <w:tcW w:w="2300" w:type="dxa"/>
            <w:vAlign w:val="bottom"/>
          </w:tcPr>
          <w:p>
            <w:pPr>
              <w:ind w:left="1260"/>
              <w:spacing w:after="0" w:line="141" w:lineRule="exact"/>
              <w:rPr>
                <w:sz w:val="20"/>
                <w:szCs w:val="20"/>
                <w:color w:val="auto"/>
              </w:rPr>
            </w:pPr>
            <w:r>
              <w:rPr>
                <w:rFonts w:ascii="Arial" w:cs="Arial" w:eastAsia="Arial" w:hAnsi="Arial"/>
                <w:sz w:val="14"/>
                <w:szCs w:val="14"/>
                <w:color w:val="auto"/>
                <w:w w:val="99"/>
              </w:rPr>
              <w:t>(I.R.S. Employer</w:t>
            </w:r>
          </w:p>
        </w:tc>
      </w:tr>
      <w:tr>
        <w:trPr>
          <w:trHeight w:val="182"/>
        </w:trPr>
        <w:tc>
          <w:tcPr>
            <w:tcW w:w="2840" w:type="dxa"/>
            <w:vAlign w:val="bottom"/>
          </w:tcPr>
          <w:p>
            <w:pPr>
              <w:jc w:val="center"/>
              <w:ind w:right="985"/>
              <w:spacing w:after="0"/>
              <w:rPr>
                <w:sz w:val="20"/>
                <w:szCs w:val="20"/>
                <w:color w:val="auto"/>
              </w:rPr>
            </w:pPr>
            <w:r>
              <w:rPr>
                <w:rFonts w:ascii="Arial" w:cs="Arial" w:eastAsia="Arial" w:hAnsi="Arial"/>
                <w:sz w:val="14"/>
                <w:szCs w:val="14"/>
                <w:color w:val="auto"/>
                <w:w w:val="95"/>
              </w:rPr>
              <w:t>Incorporation or Organization)</w:t>
            </w:r>
          </w:p>
        </w:tc>
        <w:tc>
          <w:tcPr>
            <w:tcW w:w="3980" w:type="dxa"/>
            <w:vAlign w:val="bottom"/>
          </w:tcPr>
          <w:p>
            <w:pPr>
              <w:jc w:val="center"/>
              <w:ind w:right="105"/>
              <w:spacing w:after="0"/>
              <w:rPr>
                <w:sz w:val="20"/>
                <w:szCs w:val="20"/>
                <w:color w:val="auto"/>
              </w:rPr>
            </w:pPr>
            <w:r>
              <w:rPr>
                <w:rFonts w:ascii="Arial" w:cs="Arial" w:eastAsia="Arial" w:hAnsi="Arial"/>
                <w:sz w:val="14"/>
                <w:szCs w:val="14"/>
                <w:color w:val="auto"/>
                <w:w w:val="94"/>
              </w:rPr>
              <w:t>Classification Code Number)</w:t>
            </w:r>
          </w:p>
        </w:tc>
        <w:tc>
          <w:tcPr>
            <w:tcW w:w="2300" w:type="dxa"/>
            <w:vAlign w:val="bottom"/>
          </w:tcPr>
          <w:p>
            <w:pPr>
              <w:ind w:left="1240"/>
              <w:spacing w:after="0"/>
              <w:rPr>
                <w:sz w:val="20"/>
                <w:szCs w:val="20"/>
                <w:color w:val="auto"/>
              </w:rPr>
            </w:pPr>
            <w:r>
              <w:rPr>
                <w:rFonts w:ascii="Arial" w:cs="Arial" w:eastAsia="Arial" w:hAnsi="Arial"/>
                <w:sz w:val="14"/>
                <w:szCs w:val="14"/>
                <w:color w:val="auto"/>
                <w:w w:val="95"/>
              </w:rPr>
              <w:t>Identification No.)</w:t>
            </w: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jc w:val="center"/>
        <w:spacing w:after="0" w:line="221" w:lineRule="auto"/>
        <w:rPr>
          <w:sz w:val="20"/>
          <w:szCs w:val="20"/>
          <w:color w:val="auto"/>
        </w:rPr>
      </w:pPr>
      <w:r>
        <w:rPr>
          <w:rFonts w:ascii="Arial" w:cs="Arial" w:eastAsia="Arial" w:hAnsi="Arial"/>
          <w:sz w:val="18"/>
          <w:szCs w:val="18"/>
          <w:b w:val="1"/>
          <w:bCs w:val="1"/>
          <w:color w:val="auto"/>
        </w:rPr>
        <w:t>Kiryat Hadassah</w:t>
      </w:r>
    </w:p>
    <w:p>
      <w:pPr>
        <w:jc w:val="center"/>
        <w:spacing w:after="0" w:line="219" w:lineRule="auto"/>
        <w:rPr>
          <w:sz w:val="20"/>
          <w:szCs w:val="20"/>
          <w:color w:val="auto"/>
        </w:rPr>
      </w:pPr>
      <w:r>
        <w:rPr>
          <w:rFonts w:ascii="Arial" w:cs="Arial" w:eastAsia="Arial" w:hAnsi="Arial"/>
          <w:sz w:val="18"/>
          <w:szCs w:val="18"/>
          <w:b w:val="1"/>
          <w:bCs w:val="1"/>
          <w:color w:val="auto"/>
        </w:rPr>
        <w:t>Minrav Building – Fifth Floor</w:t>
      </w:r>
    </w:p>
    <w:p>
      <w:pPr>
        <w:jc w:val="center"/>
        <w:spacing w:after="0" w:line="220" w:lineRule="auto"/>
        <w:rPr>
          <w:sz w:val="20"/>
          <w:szCs w:val="20"/>
          <w:color w:val="auto"/>
        </w:rPr>
      </w:pPr>
      <w:r>
        <w:rPr>
          <w:rFonts w:ascii="Arial" w:cs="Arial" w:eastAsia="Arial" w:hAnsi="Arial"/>
          <w:sz w:val="18"/>
          <w:szCs w:val="18"/>
          <w:b w:val="1"/>
          <w:bCs w:val="1"/>
          <w:color w:val="auto"/>
        </w:rPr>
        <w:t>Jerusalem 9112002</w:t>
      </w:r>
    </w:p>
    <w:p>
      <w:pPr>
        <w:jc w:val="center"/>
        <w:ind w:right="40"/>
        <w:spacing w:after="0" w:line="219" w:lineRule="auto"/>
        <w:rPr>
          <w:sz w:val="20"/>
          <w:szCs w:val="20"/>
          <w:color w:val="auto"/>
        </w:rPr>
      </w:pPr>
      <w:r>
        <w:rPr>
          <w:rFonts w:ascii="Arial" w:cs="Arial" w:eastAsia="Arial" w:hAnsi="Arial"/>
          <w:sz w:val="18"/>
          <w:szCs w:val="18"/>
          <w:b w:val="1"/>
          <w:bCs w:val="1"/>
          <w:color w:val="auto"/>
        </w:rPr>
        <w:t>Israel</w:t>
      </w:r>
    </w:p>
    <w:p>
      <w:pPr>
        <w:jc w:val="center"/>
        <w:spacing w:after="0"/>
        <w:rPr>
          <w:sz w:val="20"/>
          <w:szCs w:val="20"/>
          <w:color w:val="auto"/>
        </w:rPr>
      </w:pPr>
      <w:r>
        <w:rPr>
          <w:rFonts w:ascii="Arial" w:cs="Arial" w:eastAsia="Arial" w:hAnsi="Arial"/>
          <w:sz w:val="18"/>
          <w:szCs w:val="18"/>
          <w:b w:val="1"/>
          <w:bCs w:val="1"/>
          <w:color w:val="auto"/>
        </w:rPr>
        <w:t>+972 (2) 532-7151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5"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Cogency Global Inc.</w:t>
      </w:r>
    </w:p>
    <w:p>
      <w:pPr>
        <w:ind w:left="4700"/>
        <w:spacing w:after="0" w:line="188" w:lineRule="auto"/>
        <w:rPr>
          <w:sz w:val="20"/>
          <w:szCs w:val="20"/>
          <w:color w:val="auto"/>
        </w:rPr>
      </w:pPr>
      <w:r>
        <w:rPr>
          <w:rFonts w:ascii="Arial" w:cs="Arial" w:eastAsia="Arial" w:hAnsi="Arial"/>
          <w:sz w:val="18"/>
          <w:szCs w:val="18"/>
          <w:b w:val="1"/>
          <w:bCs w:val="1"/>
          <w:color w:val="auto"/>
        </w:rPr>
        <w:t>10 E 40</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Street, 10</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line="219" w:lineRule="auto"/>
        <w:rPr>
          <w:sz w:val="20"/>
          <w:szCs w:val="20"/>
          <w:color w:val="auto"/>
        </w:rPr>
      </w:pPr>
      <w:r>
        <w:rPr>
          <w:rFonts w:ascii="Arial" w:cs="Arial" w:eastAsia="Arial" w:hAnsi="Arial"/>
          <w:sz w:val="18"/>
          <w:szCs w:val="18"/>
          <w:b w:val="1"/>
          <w:bCs w:val="1"/>
          <w:color w:val="auto"/>
        </w:rPr>
        <w:t>New York, New York 10016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tbl>
      <w:tblPr>
        <w:tblLayout w:type="fixed"/>
        <w:tblInd w:w="320" w:type="dxa"/>
        <w:tblCellMar>
          <w:top w:w="0" w:type="dxa"/>
          <w:left w:w="0" w:type="dxa"/>
          <w:bottom w:w="0" w:type="dxa"/>
          <w:right w:w="0" w:type="dxa"/>
        </w:tblCellMar>
      </w:tblPr>
      <w:tr>
        <w:trPr>
          <w:trHeight w:val="158"/>
        </w:trPr>
        <w:tc>
          <w:tcPr>
            <w:tcW w:w="2560" w:type="dxa"/>
            <w:vAlign w:val="bottom"/>
          </w:tcPr>
          <w:p>
            <w:pPr>
              <w:jc w:val="center"/>
              <w:ind w:right="355"/>
              <w:spacing w:after="0" w:line="159" w:lineRule="exact"/>
              <w:rPr>
                <w:sz w:val="20"/>
                <w:szCs w:val="20"/>
                <w:color w:val="auto"/>
              </w:rPr>
            </w:pPr>
            <w:r>
              <w:rPr>
                <w:rFonts w:ascii="Arial" w:cs="Arial" w:eastAsia="Arial" w:hAnsi="Arial"/>
                <w:sz w:val="17"/>
                <w:szCs w:val="17"/>
                <w:b w:val="1"/>
                <w:bCs w:val="1"/>
                <w:color w:val="auto"/>
                <w:w w:val="92"/>
              </w:rPr>
              <w:t>Michael P. Kaplan, Esq.</w:t>
            </w:r>
          </w:p>
        </w:tc>
        <w:tc>
          <w:tcPr>
            <w:tcW w:w="2780" w:type="dxa"/>
            <w:vAlign w:val="bottom"/>
          </w:tcPr>
          <w:p>
            <w:pPr>
              <w:jc w:val="center"/>
              <w:spacing w:after="0" w:line="159" w:lineRule="exact"/>
              <w:rPr>
                <w:sz w:val="20"/>
                <w:szCs w:val="20"/>
                <w:color w:val="auto"/>
              </w:rPr>
            </w:pPr>
            <w:r>
              <w:rPr>
                <w:rFonts w:ascii="Arial" w:cs="Arial" w:eastAsia="Arial" w:hAnsi="Arial"/>
                <w:sz w:val="17"/>
                <w:szCs w:val="17"/>
                <w:b w:val="1"/>
                <w:bCs w:val="1"/>
                <w:color w:val="auto"/>
                <w:w w:val="92"/>
              </w:rPr>
              <w:t>Yair Geva, Adv.</w:t>
            </w:r>
          </w:p>
        </w:tc>
        <w:tc>
          <w:tcPr>
            <w:tcW w:w="2980" w:type="dxa"/>
            <w:vAlign w:val="bottom"/>
          </w:tcPr>
          <w:p>
            <w:pPr>
              <w:jc w:val="center"/>
              <w:spacing w:after="0" w:line="159" w:lineRule="exact"/>
              <w:rPr>
                <w:sz w:val="20"/>
                <w:szCs w:val="20"/>
                <w:color w:val="auto"/>
              </w:rPr>
            </w:pPr>
            <w:r>
              <w:rPr>
                <w:rFonts w:ascii="Arial" w:cs="Arial" w:eastAsia="Arial" w:hAnsi="Arial"/>
                <w:sz w:val="17"/>
                <w:szCs w:val="17"/>
                <w:b w:val="1"/>
                <w:bCs w:val="1"/>
                <w:color w:val="auto"/>
                <w:w w:val="92"/>
              </w:rPr>
              <w:t>Ivan K. Blumenthal, Esq.</w:t>
            </w:r>
          </w:p>
        </w:tc>
        <w:tc>
          <w:tcPr>
            <w:tcW w:w="2260" w:type="dxa"/>
            <w:vAlign w:val="bottom"/>
          </w:tcPr>
          <w:p>
            <w:pPr>
              <w:jc w:val="center"/>
              <w:ind w:left="415"/>
              <w:spacing w:after="0" w:line="159" w:lineRule="exact"/>
              <w:rPr>
                <w:sz w:val="20"/>
                <w:szCs w:val="20"/>
                <w:color w:val="auto"/>
              </w:rPr>
            </w:pPr>
            <w:r>
              <w:rPr>
                <w:rFonts w:ascii="Arial" w:cs="Arial" w:eastAsia="Arial" w:hAnsi="Arial"/>
                <w:sz w:val="17"/>
                <w:szCs w:val="17"/>
                <w:b w:val="1"/>
                <w:bCs w:val="1"/>
                <w:color w:val="auto"/>
                <w:w w:val="93"/>
              </w:rPr>
              <w:t>Chaim Friedland, Adv.</w:t>
            </w:r>
          </w:p>
        </w:tc>
      </w:tr>
      <w:tr>
        <w:trPr>
          <w:trHeight w:val="162"/>
        </w:trPr>
        <w:tc>
          <w:tcPr>
            <w:tcW w:w="2560" w:type="dxa"/>
            <w:vAlign w:val="bottom"/>
          </w:tcPr>
          <w:p>
            <w:pPr>
              <w:jc w:val="center"/>
              <w:ind w:right="355"/>
              <w:spacing w:after="0" w:line="162" w:lineRule="exact"/>
              <w:rPr>
                <w:sz w:val="20"/>
                <w:szCs w:val="20"/>
                <w:color w:val="auto"/>
              </w:rPr>
            </w:pPr>
            <w:r>
              <w:rPr>
                <w:rFonts w:ascii="Arial" w:cs="Arial" w:eastAsia="Arial" w:hAnsi="Arial"/>
                <w:sz w:val="17"/>
                <w:szCs w:val="17"/>
                <w:b w:val="1"/>
                <w:bCs w:val="1"/>
                <w:color w:val="auto"/>
                <w:w w:val="89"/>
              </w:rPr>
              <w:t>Sophia Hudson, Esq.</w:t>
            </w:r>
          </w:p>
        </w:tc>
        <w:tc>
          <w:tcPr>
            <w:tcW w:w="27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0"/>
              </w:rPr>
              <w:t>Ron Ben Menachem, Adv.</w:t>
            </w:r>
          </w:p>
        </w:tc>
        <w:tc>
          <w:tcPr>
            <w:tcW w:w="2980" w:type="dxa"/>
            <w:vAlign w:val="bottom"/>
          </w:tcPr>
          <w:p>
            <w:pPr>
              <w:jc w:val="center"/>
              <w:ind w:right="15"/>
              <w:spacing w:after="0" w:line="162" w:lineRule="exact"/>
              <w:rPr>
                <w:sz w:val="20"/>
                <w:szCs w:val="20"/>
                <w:color w:val="auto"/>
              </w:rPr>
            </w:pPr>
            <w:r>
              <w:rPr>
                <w:rFonts w:ascii="Arial" w:cs="Arial" w:eastAsia="Arial" w:hAnsi="Arial"/>
                <w:sz w:val="17"/>
                <w:szCs w:val="17"/>
                <w:b w:val="1"/>
                <w:bCs w:val="1"/>
                <w:color w:val="auto"/>
                <w:w w:val="94"/>
              </w:rPr>
              <w:t>Mintz, Levin, Cohn, Ferris,</w:t>
            </w:r>
          </w:p>
        </w:tc>
        <w:tc>
          <w:tcPr>
            <w:tcW w:w="2260" w:type="dxa"/>
            <w:vAlign w:val="bottom"/>
          </w:tcPr>
          <w:p>
            <w:pPr>
              <w:jc w:val="center"/>
              <w:ind w:left="435"/>
              <w:spacing w:after="0" w:line="162" w:lineRule="exact"/>
              <w:rPr>
                <w:sz w:val="20"/>
                <w:szCs w:val="20"/>
                <w:color w:val="auto"/>
              </w:rPr>
            </w:pPr>
            <w:r>
              <w:rPr>
                <w:rFonts w:ascii="Arial" w:cs="Arial" w:eastAsia="Arial" w:hAnsi="Arial"/>
                <w:sz w:val="17"/>
                <w:szCs w:val="17"/>
                <w:b w:val="1"/>
                <w:bCs w:val="1"/>
                <w:color w:val="auto"/>
                <w:w w:val="94"/>
              </w:rPr>
              <w:t>Ari Fried, Adv.</w:t>
            </w:r>
          </w:p>
        </w:tc>
      </w:tr>
      <w:tr>
        <w:trPr>
          <w:trHeight w:val="162"/>
        </w:trPr>
        <w:tc>
          <w:tcPr>
            <w:tcW w:w="2560" w:type="dxa"/>
            <w:vAlign w:val="bottom"/>
          </w:tcPr>
          <w:p>
            <w:pPr>
              <w:jc w:val="center"/>
              <w:ind w:right="375"/>
              <w:spacing w:after="0" w:line="162" w:lineRule="exact"/>
              <w:rPr>
                <w:sz w:val="20"/>
                <w:szCs w:val="20"/>
                <w:color w:val="auto"/>
              </w:rPr>
            </w:pPr>
            <w:r>
              <w:rPr>
                <w:rFonts w:ascii="Arial" w:cs="Arial" w:eastAsia="Arial" w:hAnsi="Arial"/>
                <w:sz w:val="17"/>
                <w:szCs w:val="17"/>
                <w:b w:val="1"/>
                <w:bCs w:val="1"/>
                <w:color w:val="auto"/>
                <w:w w:val="95"/>
              </w:rPr>
              <w:t>Davis Polk &amp; Wardwell LLP</w:t>
            </w:r>
          </w:p>
        </w:tc>
        <w:tc>
          <w:tcPr>
            <w:tcW w:w="27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2"/>
              </w:rPr>
              <w:t>Tomer Farkash, Adv.</w:t>
            </w:r>
          </w:p>
        </w:tc>
        <w:tc>
          <w:tcPr>
            <w:tcW w:w="2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0"/>
              </w:rPr>
              <w:t>Glovsky, and Popeo PC</w:t>
            </w:r>
          </w:p>
        </w:tc>
        <w:tc>
          <w:tcPr>
            <w:tcW w:w="2260" w:type="dxa"/>
            <w:vAlign w:val="bottom"/>
          </w:tcPr>
          <w:p>
            <w:pPr>
              <w:jc w:val="center"/>
              <w:ind w:left="435"/>
              <w:spacing w:after="0" w:line="162" w:lineRule="exact"/>
              <w:rPr>
                <w:sz w:val="20"/>
                <w:szCs w:val="20"/>
                <w:color w:val="auto"/>
              </w:rPr>
            </w:pPr>
            <w:r>
              <w:rPr>
                <w:rFonts w:ascii="Arial" w:cs="Arial" w:eastAsia="Arial" w:hAnsi="Arial"/>
                <w:sz w:val="17"/>
                <w:szCs w:val="17"/>
                <w:b w:val="1"/>
                <w:bCs w:val="1"/>
                <w:color w:val="auto"/>
                <w:w w:val="95"/>
              </w:rPr>
              <w:t>Gornitzky &amp; Co.</w:t>
            </w:r>
          </w:p>
        </w:tc>
      </w:tr>
      <w:tr>
        <w:trPr>
          <w:trHeight w:val="162"/>
        </w:trPr>
        <w:tc>
          <w:tcPr>
            <w:tcW w:w="2560" w:type="dxa"/>
            <w:vAlign w:val="bottom"/>
          </w:tcPr>
          <w:p>
            <w:pPr>
              <w:jc w:val="center"/>
              <w:ind w:right="375"/>
              <w:spacing w:after="0" w:line="162" w:lineRule="exact"/>
              <w:rPr>
                <w:sz w:val="20"/>
                <w:szCs w:val="20"/>
                <w:color w:val="auto"/>
              </w:rPr>
            </w:pPr>
            <w:r>
              <w:rPr>
                <w:rFonts w:ascii="Arial" w:cs="Arial" w:eastAsia="Arial" w:hAnsi="Arial"/>
                <w:sz w:val="17"/>
                <w:szCs w:val="17"/>
                <w:b w:val="1"/>
                <w:bCs w:val="1"/>
                <w:color w:val="auto"/>
                <w:w w:val="89"/>
              </w:rPr>
              <w:t>450 Lexington Avenue</w:t>
            </w:r>
          </w:p>
        </w:tc>
        <w:tc>
          <w:tcPr>
            <w:tcW w:w="27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3"/>
              </w:rPr>
              <w:t>Herzog Fox &amp; Neeman</w:t>
            </w:r>
          </w:p>
        </w:tc>
        <w:tc>
          <w:tcPr>
            <w:tcW w:w="2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3"/>
              </w:rPr>
              <w:t>666 Third Avenue</w:t>
            </w:r>
          </w:p>
        </w:tc>
        <w:tc>
          <w:tcPr>
            <w:tcW w:w="2260" w:type="dxa"/>
            <w:vAlign w:val="bottom"/>
          </w:tcPr>
          <w:p>
            <w:pPr>
              <w:jc w:val="center"/>
              <w:ind w:left="415"/>
              <w:spacing w:after="0" w:line="162" w:lineRule="exact"/>
              <w:rPr>
                <w:sz w:val="20"/>
                <w:szCs w:val="20"/>
                <w:color w:val="auto"/>
              </w:rPr>
            </w:pPr>
            <w:r>
              <w:rPr>
                <w:rFonts w:ascii="Arial" w:cs="Arial" w:eastAsia="Arial" w:hAnsi="Arial"/>
                <w:sz w:val="17"/>
                <w:szCs w:val="17"/>
                <w:b w:val="1"/>
                <w:bCs w:val="1"/>
                <w:color w:val="auto"/>
                <w:w w:val="90"/>
              </w:rPr>
              <w:t>Zion House</w:t>
            </w:r>
          </w:p>
        </w:tc>
      </w:tr>
      <w:tr>
        <w:trPr>
          <w:trHeight w:val="162"/>
        </w:trPr>
        <w:tc>
          <w:tcPr>
            <w:tcW w:w="2560" w:type="dxa"/>
            <w:vAlign w:val="bottom"/>
          </w:tcPr>
          <w:p>
            <w:pPr>
              <w:jc w:val="center"/>
              <w:ind w:right="355"/>
              <w:spacing w:after="0" w:line="162" w:lineRule="exact"/>
              <w:rPr>
                <w:sz w:val="20"/>
                <w:szCs w:val="20"/>
                <w:color w:val="auto"/>
              </w:rPr>
            </w:pPr>
            <w:r>
              <w:rPr>
                <w:rFonts w:ascii="Arial" w:cs="Arial" w:eastAsia="Arial" w:hAnsi="Arial"/>
                <w:sz w:val="17"/>
                <w:szCs w:val="17"/>
                <w:b w:val="1"/>
                <w:bCs w:val="1"/>
                <w:color w:val="auto"/>
                <w:w w:val="92"/>
              </w:rPr>
              <w:t>New York, New York 10017</w:t>
            </w:r>
          </w:p>
        </w:tc>
        <w:tc>
          <w:tcPr>
            <w:tcW w:w="27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1"/>
              </w:rPr>
              <w:t>4 Weizmann Street</w:t>
            </w:r>
          </w:p>
        </w:tc>
        <w:tc>
          <w:tcPr>
            <w:tcW w:w="2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2"/>
              </w:rPr>
              <w:t>New York, New York 10017</w:t>
            </w:r>
          </w:p>
        </w:tc>
        <w:tc>
          <w:tcPr>
            <w:tcW w:w="2260" w:type="dxa"/>
            <w:vAlign w:val="bottom"/>
          </w:tcPr>
          <w:p>
            <w:pPr>
              <w:jc w:val="center"/>
              <w:ind w:left="435"/>
              <w:spacing w:after="0" w:line="162" w:lineRule="exact"/>
              <w:rPr>
                <w:sz w:val="20"/>
                <w:szCs w:val="20"/>
                <w:color w:val="auto"/>
              </w:rPr>
            </w:pPr>
            <w:r>
              <w:rPr>
                <w:rFonts w:ascii="Arial" w:cs="Arial" w:eastAsia="Arial" w:hAnsi="Arial"/>
                <w:sz w:val="17"/>
                <w:szCs w:val="17"/>
                <w:b w:val="1"/>
                <w:bCs w:val="1"/>
                <w:color w:val="auto"/>
                <w:w w:val="89"/>
              </w:rPr>
              <w:t>45 Rothschild Blvd.</w:t>
            </w:r>
          </w:p>
        </w:tc>
      </w:tr>
      <w:tr>
        <w:trPr>
          <w:trHeight w:val="162"/>
        </w:trPr>
        <w:tc>
          <w:tcPr>
            <w:tcW w:w="2560" w:type="dxa"/>
            <w:vAlign w:val="bottom"/>
          </w:tcPr>
          <w:p>
            <w:pPr>
              <w:jc w:val="center"/>
              <w:ind w:right="355"/>
              <w:spacing w:after="0" w:line="162" w:lineRule="exact"/>
              <w:rPr>
                <w:sz w:val="20"/>
                <w:szCs w:val="20"/>
                <w:color w:val="auto"/>
              </w:rPr>
            </w:pPr>
            <w:r>
              <w:rPr>
                <w:rFonts w:ascii="Arial" w:cs="Arial" w:eastAsia="Arial" w:hAnsi="Arial"/>
                <w:sz w:val="17"/>
                <w:szCs w:val="17"/>
                <w:b w:val="1"/>
                <w:bCs w:val="1"/>
                <w:color w:val="auto"/>
                <w:w w:val="92"/>
              </w:rPr>
              <w:t>(212) 450-4000</w:t>
            </w:r>
          </w:p>
        </w:tc>
        <w:tc>
          <w:tcPr>
            <w:tcW w:w="27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1"/>
              </w:rPr>
              <w:t>Tel Aviv 6423904, Israel</w:t>
            </w:r>
          </w:p>
        </w:tc>
        <w:tc>
          <w:tcPr>
            <w:tcW w:w="29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92"/>
              </w:rPr>
              <w:t>(212) 935-3000</w:t>
            </w:r>
          </w:p>
        </w:tc>
        <w:tc>
          <w:tcPr>
            <w:tcW w:w="2260" w:type="dxa"/>
            <w:vAlign w:val="bottom"/>
          </w:tcPr>
          <w:p>
            <w:pPr>
              <w:jc w:val="center"/>
              <w:ind w:left="435"/>
              <w:spacing w:after="0" w:line="162" w:lineRule="exact"/>
              <w:rPr>
                <w:sz w:val="20"/>
                <w:szCs w:val="20"/>
                <w:color w:val="auto"/>
              </w:rPr>
            </w:pPr>
            <w:r>
              <w:rPr>
                <w:rFonts w:ascii="Arial" w:cs="Arial" w:eastAsia="Arial" w:hAnsi="Arial"/>
                <w:sz w:val="17"/>
                <w:szCs w:val="17"/>
                <w:b w:val="1"/>
                <w:bCs w:val="1"/>
                <w:color w:val="auto"/>
                <w:w w:val="91"/>
              </w:rPr>
              <w:t>Tel Aviv 6578403, Israel</w:t>
            </w:r>
          </w:p>
        </w:tc>
      </w:tr>
      <w:tr>
        <w:trPr>
          <w:trHeight w:val="222"/>
        </w:trPr>
        <w:tc>
          <w:tcPr>
            <w:tcW w:w="256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7"/>
                <w:szCs w:val="17"/>
                <w:b w:val="1"/>
                <w:bCs w:val="1"/>
                <w:color w:val="auto"/>
                <w:w w:val="92"/>
              </w:rPr>
              <w:t>+972 (3) 692-2020</w:t>
            </w:r>
          </w:p>
        </w:tc>
        <w:tc>
          <w:tcPr>
            <w:tcW w:w="2980" w:type="dxa"/>
            <w:vAlign w:val="bottom"/>
          </w:tcPr>
          <w:p>
            <w:pPr>
              <w:spacing w:after="0"/>
              <w:rPr>
                <w:sz w:val="19"/>
                <w:szCs w:val="19"/>
                <w:color w:val="auto"/>
              </w:rPr>
            </w:pPr>
          </w:p>
        </w:tc>
        <w:tc>
          <w:tcPr>
            <w:tcW w:w="2260" w:type="dxa"/>
            <w:vAlign w:val="bottom"/>
          </w:tcPr>
          <w:p>
            <w:pPr>
              <w:jc w:val="center"/>
              <w:ind w:left="435"/>
              <w:spacing w:after="0"/>
              <w:rPr>
                <w:sz w:val="20"/>
                <w:szCs w:val="20"/>
                <w:color w:val="auto"/>
              </w:rPr>
            </w:pPr>
            <w:r>
              <w:rPr>
                <w:rFonts w:ascii="Arial" w:cs="Arial" w:eastAsia="Arial" w:hAnsi="Arial"/>
                <w:sz w:val="17"/>
                <w:szCs w:val="17"/>
                <w:b w:val="1"/>
                <w:bCs w:val="1"/>
                <w:color w:val="auto"/>
                <w:w w:val="92"/>
              </w:rPr>
              <w:t>+972 (3) 710-9191</w:t>
            </w:r>
          </w:p>
        </w:tc>
      </w:tr>
    </w:tbl>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effectiveness of this registration statement.</w:t>
      </w:r>
    </w:p>
    <w:p>
      <w:pPr>
        <w:spacing w:after="0" w:line="50" w:lineRule="exact"/>
        <w:rPr>
          <w:sz w:val="24"/>
          <w:szCs w:val="24"/>
          <w:color w:val="auto"/>
        </w:rPr>
      </w:pPr>
    </w:p>
    <w:p>
      <w:pPr>
        <w:jc w:val="both"/>
        <w:ind w:right="52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ind w:right="580"/>
        <w:spacing w:after="0" w:line="189"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340"/>
        <w:spacing w:after="0" w:line="189"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320"/>
        <w:spacing w:after="0" w:line="189"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spacing w:after="0" w:line="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0" w:lineRule="exact"/>
        <w:rPr>
          <w:sz w:val="24"/>
          <w:szCs w:val="24"/>
          <w:color w:val="auto"/>
        </w:rPr>
      </w:pPr>
    </w:p>
    <w:p>
      <w:pPr>
        <w:ind w:right="580"/>
        <w:spacing w:after="0" w:line="189"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180" w:right="960" w:hanging="172"/>
        <w:spacing w:after="0" w:line="225"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tbl>
      <w:tblPr>
        <w:tblLayout w:type="fixed"/>
        <w:tblInd w:w="0" w:type="dxa"/>
        <w:tblCellMar>
          <w:top w:w="0" w:type="dxa"/>
          <w:left w:w="0" w:type="dxa"/>
          <w:bottom w:w="0" w:type="dxa"/>
          <w:right w:w="0" w:type="dxa"/>
        </w:tblCellMar>
      </w:tblPr>
      <w:tr>
        <w:trPr>
          <w:trHeight w:val="147"/>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Proposed Maximum</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8"/>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 To</w:t>
            </w:r>
          </w:p>
        </w:tc>
        <w:tc>
          <w:tcPr>
            <w:tcW w:w="1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Aggregate Offering</w:t>
            </w:r>
          </w:p>
        </w:tc>
        <w:tc>
          <w:tcPr>
            <w:tcW w:w="18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Proposed Maximum</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230"/>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Be Registered</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91"/>
              </w:rPr>
              <w:t>Price Per Share</w:t>
            </w:r>
            <w:r>
              <w:rPr>
                <w:rFonts w:ascii="Arial" w:cs="Arial" w:eastAsia="Arial" w:hAnsi="Arial"/>
                <w:sz w:val="21"/>
                <w:szCs w:val="21"/>
                <w:b w:val="1"/>
                <w:bCs w:val="1"/>
                <w:color w:val="auto"/>
                <w:w w:val="91"/>
                <w:vertAlign w:val="superscript"/>
              </w:rPr>
              <w:t>(1)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Aggregate Offering Price</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9"/>
              </w:rPr>
              <w:t>Registration Fee</w:t>
            </w:r>
            <w:r>
              <w:rPr>
                <w:rFonts w:ascii="Arial" w:cs="Arial" w:eastAsia="Arial" w:hAnsi="Arial"/>
                <w:sz w:val="21"/>
                <w:szCs w:val="21"/>
                <w:b w:val="1"/>
                <w:bCs w:val="1"/>
                <w:color w:val="auto"/>
                <w:w w:val="89"/>
                <w:vertAlign w:val="superscript"/>
              </w:rPr>
              <w:t>(3)</w:t>
            </w:r>
          </w:p>
        </w:tc>
      </w:tr>
      <w:tr>
        <w:trPr>
          <w:trHeight w:val="223"/>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Ordinary shares, par value NIS 0.0001117 per share</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16"/>
                <w:szCs w:val="16"/>
                <w:color w:val="auto"/>
                <w:w w:val="91"/>
              </w:rPr>
              <w:t>5,750,000</w:t>
            </w:r>
            <w:r>
              <w:rPr>
                <w:rFonts w:ascii="Arial" w:cs="Arial" w:eastAsia="Arial" w:hAnsi="Arial"/>
                <w:sz w:val="25"/>
                <w:szCs w:val="25"/>
                <w:color w:val="auto"/>
                <w:w w:val="91"/>
                <w:vertAlign w:val="superscript"/>
              </w:rPr>
              <w:t>(2)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5"/>
              <w:spacing w:after="0" w:line="223" w:lineRule="exact"/>
              <w:rPr>
                <w:sz w:val="20"/>
                <w:szCs w:val="20"/>
                <w:color w:val="auto"/>
              </w:rPr>
            </w:pPr>
            <w:r>
              <w:rPr>
                <w:rFonts w:ascii="Arial" w:cs="Arial" w:eastAsia="Arial" w:hAnsi="Arial"/>
                <w:sz w:val="16"/>
                <w:szCs w:val="16"/>
                <w:color w:val="auto"/>
              </w:rPr>
              <w:t>$69,000,000</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$8,591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6231255</wp:posOffset>
            </wp:positionH>
            <wp:positionV relativeFrom="paragraph">
              <wp:posOffset>-153670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-153670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-153670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-153670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7"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750,000 additional ordinary shares that the underwriters have the option to purchase.</w:t>
      </w:r>
    </w:p>
    <w:p>
      <w:pPr>
        <w:spacing w:after="0" w:line="28" w:lineRule="exact"/>
        <w:rPr>
          <w:rFonts w:ascii="Arial" w:cs="Arial" w:eastAsia="Arial" w:hAnsi="Arial"/>
          <w:sz w:val="14"/>
          <w:szCs w:val="14"/>
          <w:color w:val="auto"/>
        </w:rPr>
      </w:pPr>
    </w:p>
    <w:p>
      <w:pPr>
        <w:ind w:left="360" w:hanging="352"/>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 has previously paid $10,062 in connection with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4"/>
          <w:szCs w:val="24"/>
          <w:color w:val="auto"/>
        </w:rPr>
      </w:pPr>
    </w:p>
    <w:p>
      <w:pPr>
        <w:spacing w:after="0" w:line="27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318135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color w:val="FF287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FF2874"/>
        </w:rPr>
        <w:t>PROSPECTUS (Subject to Completion)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FF2874"/>
        </w:rPr>
        <w:t>Dated January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64770</wp:posOffset>
            </wp:positionV>
            <wp:extent cx="2160905" cy="1337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Entera Bio Ltd. is offering 5,000,000 ordinary shares. This is our initial public offering and no public market exists for our shares. We anticipate that the initial public offering price will be between $10.00 and $12.00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83185</wp:posOffset>
            </wp:positionV>
            <wp:extent cx="1724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ordinary shares on the NASDAQ Capital Market under the symbol “ENTX”.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83185</wp:posOffset>
            </wp:positionV>
            <wp:extent cx="1724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and will therefore be subject to reduced reporting requirements.</w:t>
      </w:r>
    </w:p>
    <w:p>
      <w:pPr>
        <w:spacing w:after="0" w:line="54"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involves risks. See “Risk Factors” beginning on page </w:t>
      </w:r>
      <w:hyperlink w:anchor="page16">
        <w:r>
          <w:rPr>
            <w:rFonts w:ascii="Arial" w:cs="Arial" w:eastAsia="Arial" w:hAnsi="Arial"/>
            <w:sz w:val="18"/>
            <w:szCs w:val="18"/>
            <w:b w:val="1"/>
            <w:bCs w:val="1"/>
            <w:u w:val="single" w:color="auto"/>
            <w:color w:val="0000EE"/>
          </w:rPr>
          <w:t>13</w:t>
        </w:r>
      </w:hyperlink>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120650</wp:posOffset>
            </wp:positionV>
            <wp:extent cx="1724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900" w:type="dxa"/>
            <w:vAlign w:val="bottom"/>
            <w:gridSpan w:val="2"/>
          </w:tcPr>
          <w:p>
            <w:pPr>
              <w:ind w:left="3720"/>
              <w:spacing w:after="0"/>
              <w:rPr>
                <w:sz w:val="20"/>
                <w:szCs w:val="20"/>
                <w:color w:val="auto"/>
              </w:rPr>
            </w:pPr>
            <w:r>
              <w:rPr>
                <w:rFonts w:ascii="Arial" w:cs="Arial" w:eastAsia="Arial" w:hAnsi="Arial"/>
                <w:sz w:val="22"/>
                <w:szCs w:val="22"/>
                <w:b w:val="1"/>
                <w:bCs w:val="1"/>
                <w:color w:val="auto"/>
              </w:rPr>
              <w:t>PRICE $</w:t>
            </w:r>
          </w:p>
        </w:tc>
        <w:tc>
          <w:tcPr>
            <w:tcW w:w="3920" w:type="dxa"/>
            <w:vAlign w:val="bottom"/>
            <w:gridSpan w:val="4"/>
          </w:tcPr>
          <w:p>
            <w:pPr>
              <w:ind w:left="340"/>
              <w:spacing w:after="0"/>
              <w:rPr>
                <w:sz w:val="20"/>
                <w:szCs w:val="20"/>
                <w:color w:val="auto"/>
              </w:rPr>
            </w:pPr>
            <w:r>
              <w:rPr>
                <w:rFonts w:ascii="Arial" w:cs="Arial" w:eastAsia="Arial" w:hAnsi="Arial"/>
                <w:sz w:val="22"/>
                <w:szCs w:val="22"/>
                <w:b w:val="1"/>
                <w:bCs w:val="1"/>
                <w:color w:val="auto"/>
              </w:rPr>
              <w:t>PER ORDINARY SHARE</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3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Underwriting</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Discounts and</w:t>
            </w: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Proceeds to</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Price to Public</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Commissions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Company(1)</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gridSpan w:val="2"/>
          </w:tcPr>
          <w:p>
            <w:pPr>
              <w:spacing w:after="0"/>
              <w:rPr>
                <w:sz w:val="2"/>
                <w:szCs w:val="2"/>
                <w:color w:val="auto"/>
              </w:rPr>
            </w:pPr>
          </w:p>
        </w:tc>
        <w:tc>
          <w:tcPr>
            <w:tcW w:w="24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3720" w:type="dxa"/>
            <w:vAlign w:val="bottom"/>
            <w:gridSpan w:val="3"/>
            <w:shd w:val="clear" w:color="auto" w:fill="CCEEFF"/>
          </w:tcPr>
          <w:p>
            <w:pPr>
              <w:jc w:val="center"/>
              <w:ind w:left="230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3"/>
          </w:tcPr>
          <w:p>
            <w:pPr>
              <w:jc w:val="center"/>
              <w:ind w:left="2304"/>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-334010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5600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0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1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agreed to reimburse the underwriter for certain expenses. See “Underwriting” for additional information regarding underwriting compensation.</w:t>
      </w:r>
    </w:p>
    <w:p>
      <w:pPr>
        <w:spacing w:after="0" w:line="11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Entera Bio Ltd. has granted the underwriters the right to purchase up to an additional 750,000 ordinary shares to cover over-allotments, if any, at the initial public offering price less the underwriting discounts and commissions payable by us, for 30 days after the date of this prospectus.</w:t>
      </w:r>
    </w:p>
    <w:p>
      <w:pPr>
        <w:spacing w:after="0" w:line="3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8"/>
              </w:rPr>
              <w:t>The underwriters expect to deliver the ordinary shares to purchasers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274320</wp:posOffset>
            </wp:positionV>
            <wp:extent cx="1724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Sole Bookrunner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Oppenheimer &amp; Co.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Lead Manager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Ladenburg Thalmann</w:t>
      </w:r>
    </w:p>
    <w:p>
      <w:pPr>
        <w:sectPr>
          <w:pgSz w:w="11900" w:h="16838" w:orient="portrait"/>
          <w:cols w:equalWidth="0" w:num="1">
            <w:col w:w="11420"/>
          </w:cols>
          <w:pgMar w:left="240" w:top="131" w:right="239" w:bottom="1440" w:gutter="0" w:footer="0" w:header="0"/>
        </w:sectPr>
      </w:pPr>
    </w:p>
    <w:p>
      <w:pPr>
        <w:spacing w:after="0" w:line="35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265430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Page</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9"/>
        </w:trPr>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720" w:type="dxa"/>
            <w:vAlign w:val="bottom"/>
            <w:gridSpan w:val="10"/>
            <w:shd w:val="clear" w:color="auto" w:fill="CCEEFF"/>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Presentation of Financial Information</w:t>
              </w:r>
            </w:hyperlink>
          </w:p>
        </w:tc>
        <w:tc>
          <w:tcPr>
            <w:tcW w:w="2460" w:type="dxa"/>
            <w:vAlign w:val="bottom"/>
            <w:gridSpan w:val="3"/>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rFonts w:ascii="Arial" w:cs="Arial" w:eastAsia="Arial" w:hAnsi="Arial"/>
                <w:sz w:val="17"/>
                <w:szCs w:val="17"/>
                <w:color w:val="0000EE"/>
                <w:w w:val="70"/>
              </w:rPr>
            </w:pPr>
            <w:hyperlink w:anchor="page3">
              <w:r>
                <w:rPr>
                  <w:rFonts w:ascii="Arial" w:cs="Arial" w:eastAsia="Arial" w:hAnsi="Arial"/>
                  <w:sz w:val="17"/>
                  <w:szCs w:val="17"/>
                  <w:color w:val="0000EE"/>
                  <w:w w:val="70"/>
                </w:rPr>
                <w:t>iii</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Management</w:t>
              </w:r>
            </w:hyperlink>
          </w:p>
        </w:tc>
        <w:tc>
          <w:tcPr>
            <w:tcW w:w="500" w:type="dxa"/>
            <w:vAlign w:val="bottom"/>
            <w:gridSpan w:val="3"/>
            <w:shd w:val="clear" w:color="auto" w:fill="CCEEFF"/>
          </w:tcPr>
          <w:p>
            <w:pPr>
              <w:jc w:val="center"/>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120</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Market and Industry Data</w:t>
              </w:r>
            </w:hyperlink>
          </w:p>
        </w:tc>
        <w:tc>
          <w:tcPr>
            <w:tcW w:w="246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rFonts w:ascii="Arial" w:cs="Arial" w:eastAsia="Arial" w:hAnsi="Arial"/>
                <w:sz w:val="17"/>
                <w:szCs w:val="17"/>
                <w:color w:val="0000EE"/>
                <w:w w:val="70"/>
              </w:rPr>
            </w:pPr>
            <w:hyperlink w:anchor="page3">
              <w:r>
                <w:rPr>
                  <w:rFonts w:ascii="Arial" w:cs="Arial" w:eastAsia="Arial" w:hAnsi="Arial"/>
                  <w:sz w:val="17"/>
                  <w:szCs w:val="17"/>
                  <w:color w:val="0000EE"/>
                  <w:w w:val="70"/>
                </w:rPr>
                <w:t>iii</w:t>
              </w:r>
            </w:hyperlink>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Party Transactions</w:t>
              </w:r>
            </w:hyperlink>
          </w:p>
        </w:tc>
        <w:tc>
          <w:tcPr>
            <w:tcW w:w="500" w:type="dxa"/>
            <w:vAlign w:val="bottom"/>
            <w:gridSpan w:val="3"/>
          </w:tcPr>
          <w:p>
            <w:pPr>
              <w:jc w:val="center"/>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133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860" w:type="dxa"/>
            <w:vAlign w:val="bottom"/>
            <w:gridSpan w:val="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320" w:type="dxa"/>
            <w:vAlign w:val="bottom"/>
            <w:gridSpan w:val="4"/>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80" w:type="dxa"/>
            <w:vAlign w:val="bottom"/>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3840" w:type="dxa"/>
            <w:vAlign w:val="bottom"/>
            <w:gridSpan w:val="13"/>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Principal Shareholders</w:t>
              </w:r>
            </w:hyperlink>
          </w:p>
        </w:tc>
        <w:tc>
          <w:tcPr>
            <w:tcW w:w="11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center"/>
              <w:spacing w:after="0"/>
              <w:rPr>
                <w:rFonts w:ascii="Arial" w:cs="Arial" w:eastAsia="Arial" w:hAnsi="Arial"/>
                <w:sz w:val="18"/>
                <w:szCs w:val="18"/>
                <w:color w:val="0000EE"/>
                <w:w w:val="86"/>
              </w:rPr>
            </w:pPr>
            <w:hyperlink w:anchor="page141">
              <w:r>
                <w:rPr>
                  <w:rFonts w:ascii="Arial" w:cs="Arial" w:eastAsia="Arial" w:hAnsi="Arial"/>
                  <w:sz w:val="18"/>
                  <w:szCs w:val="18"/>
                  <w:color w:val="0000EE"/>
                  <w:w w:val="86"/>
                </w:rPr>
                <w:t>138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80" w:type="dxa"/>
            <w:vAlign w:val="bottom"/>
            <w:gridSpan w:val="2"/>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Description of Share Capital</w:t>
              </w:r>
            </w:hyperlink>
          </w:p>
        </w:tc>
        <w:tc>
          <w:tcPr>
            <w:tcW w:w="500" w:type="dxa"/>
            <w:vAlign w:val="bottom"/>
            <w:gridSpan w:val="3"/>
          </w:tcPr>
          <w:p>
            <w:pPr>
              <w:jc w:val="cente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gridSpan w:val="13"/>
            <w:shd w:val="clear" w:color="auto" w:fill="CCEEFF"/>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Special Note Regarding Forward-Looking Statements</w:t>
              </w:r>
            </w:hyperlink>
          </w:p>
        </w:tc>
        <w:tc>
          <w:tcPr>
            <w:tcW w:w="280" w:type="dxa"/>
            <w:vAlign w:val="bottom"/>
            <w:gridSpan w:val="2"/>
            <w:shd w:val="clear" w:color="auto" w:fill="CCEEFF"/>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80" w:type="dxa"/>
            <w:vAlign w:val="bottom"/>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gridSpan w:val="14"/>
            <w:shd w:val="clear" w:color="auto" w:fill="CCEEFF"/>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Taxation and Government Programs</w:t>
              </w:r>
            </w:hyperlink>
          </w:p>
        </w:tc>
        <w:tc>
          <w:tcPr>
            <w:tcW w:w="500" w:type="dxa"/>
            <w:vAlign w:val="bottom"/>
            <w:gridSpan w:val="3"/>
            <w:shd w:val="clear" w:color="auto" w:fill="CCEEFF"/>
          </w:tcPr>
          <w:p>
            <w:pPr>
              <w:jc w:val="center"/>
              <w:spacing w:after="0" w:line="196" w:lineRule="exact"/>
              <w:rPr>
                <w:rFonts w:ascii="Arial" w:cs="Arial" w:eastAsia="Arial" w:hAnsi="Arial"/>
                <w:sz w:val="18"/>
                <w:szCs w:val="18"/>
                <w:color w:val="0000EE"/>
                <w:w w:val="86"/>
              </w:rPr>
            </w:pPr>
            <w:hyperlink w:anchor="page153">
              <w:r>
                <w:rPr>
                  <w:rFonts w:ascii="Arial" w:cs="Arial" w:eastAsia="Arial" w:hAnsi="Arial"/>
                  <w:sz w:val="18"/>
                  <w:szCs w:val="18"/>
                  <w:color w:val="0000EE"/>
                  <w:w w:val="86"/>
                </w:rPr>
                <w:t>150</w:t>
              </w:r>
            </w:hyperlink>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Use of Proceeds</w:t>
              </w:r>
            </w:hyperlink>
          </w:p>
        </w:tc>
        <w:tc>
          <w:tcPr>
            <w:tcW w:w="1300" w:type="dxa"/>
            <w:vAlign w:val="bottom"/>
            <w:gridSpan w:val="2"/>
          </w:tcPr>
          <w:p>
            <w:pPr>
              <w:spacing w:after="0"/>
              <w:rPr>
                <w:sz w:val="19"/>
                <w:szCs w:val="19"/>
                <w:color w:val="auto"/>
              </w:rPr>
            </w:pPr>
          </w:p>
        </w:tc>
        <w:tc>
          <w:tcPr>
            <w:tcW w:w="28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Shares Eligible for Future Sale</w:t>
              </w:r>
            </w:hyperlink>
          </w:p>
        </w:tc>
        <w:tc>
          <w:tcPr>
            <w:tcW w:w="500" w:type="dxa"/>
            <w:vAlign w:val="bottom"/>
            <w:gridSpan w:val="3"/>
          </w:tcPr>
          <w:p>
            <w:pPr>
              <w:jc w:val="center"/>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159</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Dividend Policy</w:t>
              </w:r>
            </w:hyperlink>
          </w:p>
        </w:tc>
        <w:tc>
          <w:tcPr>
            <w:tcW w:w="280" w:type="dxa"/>
            <w:vAlign w:val="bottom"/>
            <w:gridSpan w:val="2"/>
            <w:shd w:val="clear" w:color="auto" w:fill="CCEEFF"/>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Underwriting</w:t>
              </w:r>
            </w:hyperlink>
          </w:p>
        </w:tc>
        <w:tc>
          <w:tcPr>
            <w:tcW w:w="500" w:type="dxa"/>
            <w:vAlign w:val="bottom"/>
            <w:gridSpan w:val="3"/>
            <w:shd w:val="clear" w:color="auto" w:fill="CCEEFF"/>
          </w:tcPr>
          <w:p>
            <w:pPr>
              <w:jc w:val="center"/>
              <w:spacing w:after="0"/>
              <w:rPr>
                <w:rFonts w:ascii="Arial" w:cs="Arial" w:eastAsia="Arial" w:hAnsi="Arial"/>
                <w:sz w:val="18"/>
                <w:szCs w:val="18"/>
                <w:color w:val="0000EE"/>
                <w:w w:val="86"/>
              </w:rPr>
            </w:pPr>
            <w:hyperlink w:anchor="page165">
              <w:r>
                <w:rPr>
                  <w:rFonts w:ascii="Arial" w:cs="Arial" w:eastAsia="Arial" w:hAnsi="Arial"/>
                  <w:sz w:val="18"/>
                  <w:szCs w:val="18"/>
                  <w:color w:val="0000EE"/>
                  <w:w w:val="86"/>
                </w:rPr>
                <w:t>162</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8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Capitalization</w:t>
              </w:r>
            </w:hyperlink>
          </w:p>
        </w:tc>
        <w:tc>
          <w:tcPr>
            <w:tcW w:w="4000" w:type="dxa"/>
            <w:vAlign w:val="bottom"/>
            <w:gridSpan w:val="7"/>
          </w:tcPr>
          <w:p>
            <w:pPr>
              <w:spacing w:after="0"/>
              <w:rPr>
                <w:sz w:val="19"/>
                <w:szCs w:val="19"/>
                <w:color w:val="auto"/>
              </w:rPr>
            </w:pPr>
          </w:p>
        </w:tc>
        <w:tc>
          <w:tcPr>
            <w:tcW w:w="28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Expenses Related to the Offering</w:t>
              </w:r>
            </w:hyperlink>
          </w:p>
        </w:tc>
        <w:tc>
          <w:tcPr>
            <w:tcW w:w="500" w:type="dxa"/>
            <w:vAlign w:val="bottom"/>
            <w:gridSpan w:val="3"/>
          </w:tcPr>
          <w:p>
            <w:pPr>
              <w:jc w:val="cente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Dilution</w:t>
              </w:r>
            </w:hyperlink>
          </w:p>
        </w:tc>
        <w:tc>
          <w:tcPr>
            <w:tcW w:w="280" w:type="dxa"/>
            <w:vAlign w:val="bottom"/>
            <w:gridSpan w:val="2"/>
            <w:shd w:val="clear" w:color="auto" w:fill="CCEEFF"/>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Validity of Ordinary Shares</w:t>
              </w:r>
            </w:hyperlink>
          </w:p>
        </w:tc>
        <w:tc>
          <w:tcPr>
            <w:tcW w:w="500" w:type="dxa"/>
            <w:vAlign w:val="bottom"/>
            <w:gridSpan w:val="3"/>
            <w:shd w:val="clear" w:color="auto" w:fill="CCEEFF"/>
          </w:tcPr>
          <w:p>
            <w:pPr>
              <w:jc w:val="cente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Exchange Rates</w:t>
              </w:r>
            </w:hyperlink>
          </w:p>
        </w:tc>
        <w:tc>
          <w:tcPr>
            <w:tcW w:w="2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Experts</w:t>
              </w:r>
            </w:hyperlink>
          </w:p>
        </w:tc>
        <w:tc>
          <w:tcPr>
            <w:tcW w:w="500" w:type="dxa"/>
            <w:vAlign w:val="bottom"/>
            <w:gridSpan w:val="3"/>
          </w:tcPr>
          <w:p>
            <w:pPr>
              <w:jc w:val="center"/>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168</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gridSpan w:val="7"/>
            <w:shd w:val="clear" w:color="auto" w:fill="CCEEFF"/>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Selected Financial Data</w:t>
              </w:r>
            </w:hyperlink>
          </w:p>
        </w:tc>
        <w:tc>
          <w:tcPr>
            <w:tcW w:w="3460" w:type="dxa"/>
            <w:vAlign w:val="bottom"/>
            <w:gridSpan w:val="6"/>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c>
          <w:tcPr>
            <w:tcW w:w="8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gridSpan w:val="14"/>
            <w:shd w:val="clear" w:color="auto" w:fill="CCEEFF"/>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Enforceability of Civil Liabilities</w:t>
              </w:r>
            </w:hyperlink>
          </w:p>
        </w:tc>
        <w:tc>
          <w:tcPr>
            <w:tcW w:w="500" w:type="dxa"/>
            <w:vAlign w:val="bottom"/>
            <w:gridSpan w:val="3"/>
            <w:shd w:val="clear" w:color="auto" w:fill="CCEEFF"/>
          </w:tcPr>
          <w:p>
            <w:pPr>
              <w:jc w:val="center"/>
              <w:spacing w:after="0"/>
              <w:rPr>
                <w:rFonts w:ascii="Arial" w:cs="Arial" w:eastAsia="Arial" w:hAnsi="Arial"/>
                <w:sz w:val="18"/>
                <w:szCs w:val="18"/>
                <w:color w:val="0000EE"/>
                <w:w w:val="86"/>
              </w:rPr>
            </w:pPr>
            <w:hyperlink w:anchor="page172">
              <w:r>
                <w:rPr>
                  <w:rFonts w:ascii="Arial" w:cs="Arial" w:eastAsia="Arial" w:hAnsi="Arial"/>
                  <w:sz w:val="18"/>
                  <w:szCs w:val="18"/>
                  <w:color w:val="0000EE"/>
                  <w:w w:val="86"/>
                </w:rPr>
                <w:t>169</w:t>
              </w:r>
            </w:hyperlink>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13"/>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Management’s Discussion and Analysis of Financial Condition and</w:t>
              </w:r>
            </w:hyperlink>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Where You Can Find More Information</w:t>
              </w:r>
            </w:hyperlink>
          </w:p>
        </w:tc>
        <w:tc>
          <w:tcPr>
            <w:tcW w:w="500" w:type="dxa"/>
            <w:vAlign w:val="bottom"/>
            <w:gridSpan w:val="3"/>
          </w:tcPr>
          <w:p>
            <w:pPr>
              <w:jc w:val="center"/>
              <w:spacing w:after="0" w:line="196" w:lineRule="exact"/>
              <w:rPr>
                <w:rFonts w:ascii="Arial" w:cs="Arial" w:eastAsia="Arial" w:hAnsi="Arial"/>
                <w:sz w:val="18"/>
                <w:szCs w:val="18"/>
                <w:color w:val="0000EE"/>
                <w:w w:val="86"/>
              </w:rPr>
            </w:pPr>
            <w:hyperlink w:anchor="page173">
              <w:r>
                <w:rPr>
                  <w:rFonts w:ascii="Arial" w:cs="Arial" w:eastAsia="Arial" w:hAnsi="Arial"/>
                  <w:sz w:val="18"/>
                  <w:szCs w:val="18"/>
                  <w:color w:val="0000EE"/>
                  <w:w w:val="86"/>
                </w:rPr>
                <w:t>170</w:t>
              </w:r>
            </w:hyperlink>
          </w:p>
        </w:tc>
        <w:tc>
          <w:tcPr>
            <w:tcW w:w="0" w:type="dxa"/>
            <w:vAlign w:val="bottom"/>
          </w:tcPr>
          <w:p>
            <w:pPr>
              <w:spacing w:after="0"/>
              <w:rPr>
                <w:sz w:val="1"/>
                <w:szCs w:val="1"/>
                <w:color w:val="auto"/>
              </w:rPr>
            </w:pPr>
          </w:p>
        </w:tc>
      </w:tr>
      <w:tr>
        <w:trPr>
          <w:trHeight w:val="20"/>
        </w:trPr>
        <w:tc>
          <w:tcPr>
            <w:tcW w:w="4860" w:type="dxa"/>
            <w:vAlign w:val="bottom"/>
            <w:tcBorders>
              <w:top w:val="single" w:sz="8" w:color="0000EE"/>
            </w:tcBorders>
            <w:gridSpan w:val="12"/>
            <w:vMerge w:val="restart"/>
          </w:tcPr>
          <w:p>
            <w:pPr>
              <w:ind w:left="18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Results of Operations</w:t>
              </w:r>
            </w:hyperlink>
          </w:p>
        </w:tc>
        <w:tc>
          <w:tcPr>
            <w:tcW w:w="32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gridSpan w:val="1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12"/>
            <w:vMerge w:val="restart"/>
            <w:shd w:val="clear" w:color="auto" w:fill="CCEEFF"/>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Index to Financial Statements</w:t>
              </w:r>
            </w:hyperlink>
          </w:p>
        </w:tc>
        <w:tc>
          <w:tcPr>
            <w:tcW w:w="2160" w:type="dxa"/>
            <w:vAlign w:val="bottom"/>
            <w:gridSpan w:val="2"/>
            <w:vMerge w:val="restart"/>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2"/>
            <w:vMerge w:val="restart"/>
            <w:shd w:val="clear" w:color="auto" w:fill="CCEEFF"/>
          </w:tcPr>
          <w:p>
            <w:pPr>
              <w:jc w:val="center"/>
              <w:ind w:right="120"/>
              <w:spacing w:after="0"/>
              <w:rPr>
                <w:rFonts w:ascii="Arial" w:cs="Arial" w:eastAsia="Arial" w:hAnsi="Arial"/>
                <w:sz w:val="18"/>
                <w:szCs w:val="18"/>
                <w:color w:val="0000EE"/>
                <w:w w:val="88"/>
              </w:rPr>
            </w:pPr>
            <w:hyperlink w:anchor="page174">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60" w:type="dxa"/>
            <w:vAlign w:val="bottom"/>
            <w:tcBorders>
              <w:top w:val="single" w:sz="8" w:color="CCEEFF"/>
            </w:tcBorders>
            <w:gridSpan w:val="12"/>
            <w:vMerge w:val="continue"/>
            <w:shd w:val="clear" w:color="auto" w:fill="CCEEFF"/>
          </w:tcPr>
          <w:p>
            <w:pPr>
              <w:spacing w:after="0"/>
              <w:rPr>
                <w:sz w:val="5"/>
                <w:szCs w:val="5"/>
                <w:color w:val="auto"/>
              </w:rPr>
            </w:pPr>
          </w:p>
        </w:tc>
        <w:tc>
          <w:tcPr>
            <w:tcW w:w="2160" w:type="dxa"/>
            <w:vAlign w:val="bottom"/>
            <w:tcBorders>
              <w:top w:val="single" w:sz="8" w:color="CCEEFF"/>
            </w:tcBorders>
            <w:gridSpan w:val="2"/>
            <w:vMerge w:val="continue"/>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180" w:type="dxa"/>
            <w:vAlign w:val="bottom"/>
            <w:tcBorders>
              <w:top w:val="single" w:sz="8" w:color="CCEEFF"/>
            </w:tcBorders>
            <w:gridSpan w:val="13"/>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Business</w:t>
              </w:r>
            </w:hyperlink>
          </w:p>
        </w:tc>
        <w:tc>
          <w:tcPr>
            <w:tcW w:w="280" w:type="dxa"/>
            <w:vAlign w:val="bottom"/>
            <w:tcBorders>
              <w:top w:val="single" w:sz="8" w:color="CCEEFF"/>
            </w:tcBorders>
            <w:gridSpan w:val="2"/>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231775</wp:posOffset>
            </wp:positionV>
            <wp:extent cx="1724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-2366010</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Neither we nor the underwriters have authorized anyone to provide information other than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You should assume that the information appearing in this prospectus is accurate only as of the date on the front cover of this prospectus, regardless of the time of delivery of this prospectus or any sale of our ordinary shares. This prospectus is not an offer to sell or the solicitation of an offer to buy these ordinary shares in any circumstances under which such offer or solicitation is unlawful.</w:t>
      </w:r>
    </w:p>
    <w:p>
      <w:pPr>
        <w:spacing w:after="0" w:line="5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have not taken any action to permit a public offering of the ordinary shares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2705100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(the “IFRS” and the “IASB”). None of the financial statements were prepared in accordance with generally accepted accounting principles in the United States. We present our financial statements in U.S. dollars. We have made rounding adjustments to some of the figures included in this prospectus. Accordingly, numerical figures shown as totals in some tables may not be an arithmetic aggregation of the figures that precede them.</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Items included in our financial statements are measured using the currency of the primary economic environment in which we operate, the U.S. dollar (“the functional currency”). Our financial statements and other financial information included in this prospectus are presented in U.S. dollars unless otherwise noted. See Note 2 to our financial statements included elsewhere in this prospectus.</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“NIS” are to the legal currency of Israel, “U.S. dollars,” “$” or “dollars” are to United States dollars, “euro” or “€” are to the Euro, the legal currency of certain countries of the European Union.</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MARKET AND INDUSTRY DATA</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prospectus includes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2" w:right="35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SUMMARY</w:t>
      </w:r>
    </w:p>
    <w:p>
      <w:pPr>
        <w:spacing w:after="0" w:line="98" w:lineRule="exact"/>
        <w:rPr>
          <w:sz w:val="20"/>
          <w:szCs w:val="20"/>
          <w:color w:val="auto"/>
        </w:rPr>
      </w:pPr>
    </w:p>
    <w:p>
      <w:pPr>
        <w:ind w:left="280" w:right="20"/>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that you should consider before deciding to invest in our ordinary shares. You should read this entire prospectus carefully, including the “Risk Factors” section and the financial statements included elsewhere in this prospectus and the notes to those financial statements, before making an investment decision. In this prospectus, the terms “Entera,” “we,” “us,” “our,” “the Company” and “our company” refer to Entera Bio Ltd.</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Business</w:t>
      </w:r>
    </w:p>
    <w:p>
      <w:pPr>
        <w:spacing w:after="0" w:line="108" w:lineRule="exact"/>
        <w:rPr>
          <w:sz w:val="20"/>
          <w:szCs w:val="20"/>
          <w:color w:val="auto"/>
        </w:rPr>
      </w:pPr>
    </w:p>
    <w:p>
      <w:pPr>
        <w:ind w:left="280" w:right="20"/>
        <w:spacing w:after="0" w:line="272"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U.S. Food and Drug Administration, or FDA, and the European Medicines Agency, or EMA, have granted EB612 orphan drug designation for the treatment of hypoparathyroidism. We expect to initiate a Phase 2b/3 clinical trial of EB612 in the second half of 2018, and we plan to submit applications for regulatory approval of EB612 in the second half of 2020.</w:t>
      </w:r>
    </w:p>
    <w:p>
      <w:pPr>
        <w:spacing w:after="0" w:line="70" w:lineRule="exact"/>
        <w:rPr>
          <w:sz w:val="20"/>
          <w:szCs w:val="20"/>
          <w:color w:val="auto"/>
        </w:rPr>
      </w:pPr>
    </w:p>
    <w:p>
      <w:pPr>
        <w:ind w:left="280" w:right="40"/>
        <w:spacing w:after="0" w:line="276" w:lineRule="auto"/>
        <w:rPr>
          <w:sz w:val="20"/>
          <w:szCs w:val="20"/>
          <w:color w:val="auto"/>
        </w:rPr>
      </w:pPr>
      <w:r>
        <w:rPr>
          <w:rFonts w:ascii="Arial" w:cs="Arial" w:eastAsia="Arial" w:hAnsi="Arial"/>
          <w:sz w:val="16"/>
          <w:szCs w:val="16"/>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National Institutes of Health, or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74" w:lineRule="exact"/>
        <w:rPr>
          <w:sz w:val="20"/>
          <w:szCs w:val="20"/>
          <w:color w:val="auto"/>
        </w:rPr>
      </w:pPr>
    </w:p>
    <w:p>
      <w:pPr>
        <w:ind w:left="280"/>
        <w:spacing w:after="0" w:line="269"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confirmed related serious or significant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of PTH, including convenience of application, that no special preparations are required and that it can be stored under normal storage conditions (room temperature or refrigeration). Additionally, based on the results of our preliminary study, we believe that EB612 will have an enhanced clinical profile as compared to Natpara, with an additional normalizing effect on elevated urinary calcium, as well as reduced side effects. If our preliminary results are borne out in additional trials, we believe this combination of advantages and long term clinical benefits will be very compelling to both patients and physicians.</w:t>
      </w:r>
    </w:p>
    <w:p>
      <w:pPr>
        <w:sectPr>
          <w:pgSz w:w="11900" w:h="16838" w:orient="portrait"/>
          <w:cols w:equalWidth="0" w:num="1">
            <w:col w:w="11160"/>
          </w:cols>
          <w:pgMar w:left="240" w:top="13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right="320"/>
        <w:spacing w:after="0" w:line="286" w:lineRule="auto"/>
        <w:rPr>
          <w:sz w:val="20"/>
          <w:szCs w:val="20"/>
          <w:color w:val="auto"/>
        </w:rPr>
      </w:pPr>
      <w:r>
        <w:rPr>
          <w:rFonts w:ascii="Arial" w:cs="Arial" w:eastAsia="Arial" w:hAnsi="Arial"/>
          <w:sz w:val="17"/>
          <w:szCs w:val="17"/>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w:t>
      </w:r>
    </w:p>
    <w:p>
      <w:pPr>
        <w:spacing w:after="0" w:line="57" w:lineRule="exact"/>
        <w:rPr>
          <w:sz w:val="20"/>
          <w:szCs w:val="20"/>
          <w:color w:val="auto"/>
        </w:rPr>
      </w:pPr>
    </w:p>
    <w:p>
      <w:pPr>
        <w:ind w:left="280"/>
        <w:spacing w:after="0" w:line="241" w:lineRule="auto"/>
        <w:rPr>
          <w:sz w:val="20"/>
          <w:szCs w:val="20"/>
          <w:color w:val="auto"/>
        </w:rPr>
      </w:pPr>
      <w:r>
        <w:rPr>
          <w:rFonts w:ascii="Arial" w:cs="Arial" w:eastAsia="Arial" w:hAnsi="Arial"/>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27"/>
          <w:szCs w:val="27"/>
          <w:b w:val="1"/>
          <w:bCs w:val="1"/>
          <w:color w:val="auto"/>
          <w:vertAlign w:val="superscript"/>
        </w:rPr>
        <w:t>®</w:t>
      </w:r>
      <w:r>
        <w:rPr>
          <w:rFonts w:ascii="Arial" w:cs="Arial" w:eastAsia="Arial" w:hAnsi="Arial"/>
          <w:sz w:val="18"/>
          <w:szCs w:val="18"/>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seek to collaborate with a strategic partner to further develop and commercialize EB613. We are also preparing to conduct a clinical trial of our oral PTH in non-union fractures, one indication within the field of bone healing.</w:t>
      </w:r>
    </w:p>
    <w:p>
      <w:pPr>
        <w:spacing w:after="0" w:line="100" w:lineRule="exact"/>
        <w:rPr>
          <w:sz w:val="20"/>
          <w:szCs w:val="20"/>
          <w:color w:val="auto"/>
        </w:rPr>
      </w:pPr>
    </w:p>
    <w:p>
      <w:pPr>
        <w:ind w:left="280" w:right="60"/>
        <w:spacing w:after="0" w:line="270"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 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74" w:lineRule="exact"/>
        <w:rPr>
          <w:sz w:val="20"/>
          <w:szCs w:val="20"/>
          <w:color w:val="auto"/>
        </w:rPr>
      </w:pPr>
    </w:p>
    <w:p>
      <w:pPr>
        <w:ind w:left="280" w:right="160"/>
        <w:spacing w:after="0" w:line="257" w:lineRule="auto"/>
        <w:rPr>
          <w:sz w:val="20"/>
          <w:szCs w:val="20"/>
          <w:color w:val="auto"/>
        </w:rPr>
      </w:pPr>
      <w:r>
        <w:rPr>
          <w:rFonts w:ascii="Arial" w:cs="Arial" w:eastAsia="Arial" w:hAnsi="Arial"/>
          <w:sz w:val="18"/>
          <w:szCs w:val="18"/>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80" w:lineRule="exact"/>
        <w:rPr>
          <w:sz w:val="20"/>
          <w:szCs w:val="20"/>
          <w:color w:val="auto"/>
        </w:rPr>
      </w:pPr>
    </w:p>
    <w:p>
      <w:pPr>
        <w:ind w:left="280" w:right="38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9" w:lineRule="exact"/>
        <w:rPr>
          <w:sz w:val="20"/>
          <w:szCs w:val="20"/>
          <w:color w:val="auto"/>
        </w:rPr>
      </w:pPr>
    </w:p>
    <w:p>
      <w:pPr>
        <w:ind w:left="280" w:right="1160"/>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62" w:lineRule="exact"/>
        <w:rPr>
          <w:sz w:val="20"/>
          <w:szCs w:val="20"/>
          <w:color w:val="auto"/>
        </w:rPr>
      </w:pPr>
    </w:p>
    <w:p>
      <w:pPr>
        <w:ind w:left="280" w:right="320"/>
        <w:spacing w:after="0" w:line="277" w:lineRule="auto"/>
        <w:rPr>
          <w:sz w:val="20"/>
          <w:szCs w:val="20"/>
          <w:color w:val="auto"/>
        </w:rPr>
      </w:pPr>
      <w:r>
        <w:rPr>
          <w:rFonts w:ascii="Arial" w:cs="Arial" w:eastAsia="Arial" w:hAnsi="Arial"/>
          <w:sz w:val="18"/>
          <w:szCs w:val="18"/>
          <w:color w:val="auto"/>
        </w:rPr>
        <w:t>While our operations are currently focused in our offices in Israel, we intend eventually to build a substantial U.S. presence to execute on our later stage development of our products, including clinical operations, regulatory operations, and commercialization.</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left="280" w:right="260"/>
        <w:spacing w:after="0" w:line="29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 w:lineRule="exact"/>
        <w:rPr>
          <w:sz w:val="20"/>
          <w:szCs w:val="20"/>
          <w:color w:val="auto"/>
        </w:rPr>
      </w:pPr>
    </w:p>
    <w:p>
      <w:pPr>
        <w:ind w:left="640" w:right="1660" w:hanging="18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our lead product candidate, EB612, through clinical development and into commercialization for the treatment of hypoparathyroidism;</w:t>
      </w:r>
    </w:p>
    <w:p>
      <w:pPr>
        <w:spacing w:after="0" w:line="8" w:lineRule="exact"/>
        <w:rPr>
          <w:rFonts w:ascii="Arial" w:cs="Arial" w:eastAsia="Arial" w:hAnsi="Arial"/>
          <w:sz w:val="18"/>
          <w:szCs w:val="18"/>
          <w:color w:val="auto"/>
        </w:rPr>
      </w:pPr>
    </w:p>
    <w:p>
      <w:pPr>
        <w:ind w:left="640" w:right="360" w:hanging="18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Produce supportive clinical data for our second product candidate, EB613, for the treatment of osteoporosis, before advancing into late-stage clinical trials;</w:t>
      </w:r>
    </w:p>
    <w:p>
      <w:pPr>
        <w:spacing w:after="0" w:line="8" w:lineRule="exact"/>
        <w:rPr>
          <w:rFonts w:ascii="Arial" w:cs="Arial" w:eastAsia="Arial" w:hAnsi="Arial"/>
          <w:sz w:val="18"/>
          <w:szCs w:val="18"/>
          <w:color w:val="auto"/>
        </w:rPr>
      </w:pPr>
    </w:p>
    <w:p>
      <w:pPr>
        <w:ind w:left="640" w:hanging="18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our expertise in the oral delivery of PTH to develop product candidates in additional indications;</w:t>
      </w:r>
    </w:p>
    <w:p>
      <w:pPr>
        <w:spacing w:after="0" w:line="63" w:lineRule="exact"/>
        <w:rPr>
          <w:rFonts w:ascii="Arial" w:cs="Arial" w:eastAsia="Arial" w:hAnsi="Arial"/>
          <w:sz w:val="18"/>
          <w:szCs w:val="18"/>
          <w:color w:val="auto"/>
        </w:rPr>
      </w:pPr>
    </w:p>
    <w:p>
      <w:pPr>
        <w:ind w:left="640" w:hanging="18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efficacy profile of large molecule therapeutics through the application of our proprietary oral delivery technology;</w:t>
      </w:r>
    </w:p>
    <w:p>
      <w:pPr>
        <w:spacing w:after="0" w:line="63" w:lineRule="exact"/>
        <w:rPr>
          <w:rFonts w:ascii="Arial" w:cs="Arial" w:eastAsia="Arial" w:hAnsi="Arial"/>
          <w:sz w:val="18"/>
          <w:szCs w:val="18"/>
          <w:color w:val="auto"/>
        </w:rPr>
      </w:pPr>
    </w:p>
    <w:p>
      <w:pPr>
        <w:ind w:left="640" w:hanging="18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our development and commercialization efforts on indications with significant unmet medical need; and</w:t>
      </w:r>
    </w:p>
    <w:p>
      <w:pPr>
        <w:spacing w:after="0" w:line="63" w:lineRule="exact"/>
        <w:rPr>
          <w:rFonts w:ascii="Arial" w:cs="Arial" w:eastAsia="Arial" w:hAnsi="Arial"/>
          <w:sz w:val="18"/>
          <w:szCs w:val="18"/>
          <w:color w:val="auto"/>
        </w:rPr>
      </w:pPr>
    </w:p>
    <w:p>
      <w:pPr>
        <w:ind w:left="640" w:hanging="18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Initially develop products based on FDA-approved large molecule therapeutics.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Technology</w:t>
      </w:r>
    </w:p>
    <w:p>
      <w:pPr>
        <w:spacing w:after="0" w:line="108" w:lineRule="exact"/>
        <w:rPr>
          <w:sz w:val="20"/>
          <w:szCs w:val="20"/>
          <w:color w:val="auto"/>
        </w:rPr>
      </w:pPr>
    </w:p>
    <w:p>
      <w:pPr>
        <w:ind w:left="280" w:right="140"/>
        <w:spacing w:after="0" w:line="273" w:lineRule="auto"/>
        <w:rPr>
          <w:sz w:val="20"/>
          <w:szCs w:val="20"/>
          <w:color w:val="auto"/>
        </w:rPr>
      </w:pPr>
      <w:r>
        <w:rPr>
          <w:rFonts w:ascii="Arial" w:cs="Arial" w:eastAsia="Arial" w:hAnsi="Arial"/>
          <w:sz w:val="17"/>
          <w:szCs w:val="17"/>
          <w:color w:val="auto"/>
        </w:rPr>
        <w:t>Currently, peptides, proteins and other large molecule therapeutics can only be delivered via injections and other non-oral-pathways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70" w:lineRule="exact"/>
        <w:rPr>
          <w:sz w:val="20"/>
          <w:szCs w:val="20"/>
          <w:color w:val="auto"/>
        </w:rPr>
      </w:pPr>
    </w:p>
    <w:p>
      <w:pPr>
        <w:ind w:left="280" w:right="60"/>
        <w:spacing w:after="0" w:line="273" w:lineRule="auto"/>
        <w:rPr>
          <w:sz w:val="20"/>
          <w:szCs w:val="20"/>
          <w:color w:val="auto"/>
        </w:rPr>
      </w:pPr>
      <w:r>
        <w:rPr>
          <w:rFonts w:ascii="Arial" w:cs="Arial" w:eastAsia="Arial" w:hAnsi="Arial"/>
          <w:sz w:val="17"/>
          <w:szCs w:val="17"/>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 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Product Candidates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Oral PTH Therapeutics</w:t>
      </w:r>
    </w:p>
    <w:p>
      <w:pPr>
        <w:spacing w:after="0" w:line="104" w:lineRule="exact"/>
        <w:rPr>
          <w:sz w:val="20"/>
          <w:szCs w:val="20"/>
          <w:color w:val="auto"/>
        </w:rPr>
      </w:pPr>
    </w:p>
    <w:p>
      <w:pPr>
        <w:ind w:left="280" w:right="220"/>
        <w:spacing w:after="0" w:line="277" w:lineRule="auto"/>
        <w:rPr>
          <w:sz w:val="20"/>
          <w:szCs w:val="20"/>
          <w:color w:val="auto"/>
        </w:rPr>
      </w:pPr>
      <w:r>
        <w:rPr>
          <w:rFonts w:ascii="Arial" w:cs="Arial" w:eastAsia="Arial" w:hAnsi="Arial"/>
          <w:sz w:val="18"/>
          <w:szCs w:val="18"/>
          <w:color w:val="auto"/>
        </w:rPr>
        <w:t>PTH is a hormone that regulates the levels of calcium and phosphorus in the blood. The naturally occurring form of PTH that is found in the human body is composed of 84 amino acids, although only the</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right="40"/>
        <w:spacing w:after="0" w:line="291" w:lineRule="auto"/>
        <w:rPr>
          <w:sz w:val="20"/>
          <w:szCs w:val="20"/>
          <w:color w:val="auto"/>
        </w:rPr>
      </w:pPr>
      <w:r>
        <w:rPr>
          <w:rFonts w:ascii="Arial" w:cs="Arial" w:eastAsia="Arial" w:hAnsi="Arial"/>
          <w:sz w:val="16"/>
          <w:szCs w:val="16"/>
          <w:color w:val="auto"/>
        </w:rPr>
        <w:t>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been approved for the treatment of hypoparathyroidism. We are developing a number of distinct oral PTH (1-34) products, with significant differences in dose and pharmacokinetic, or PK, profile that can be used for a number of proposed indications. We believe that our oral PTH product candidates, if approved, have the potential to become the standard of care for patients with hypoparathyroidism, osteoporosis and non-union bone fractures.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EB612 for Hypoparathyroidism</w:t>
      </w:r>
    </w:p>
    <w:p>
      <w:pPr>
        <w:spacing w:after="0" w:line="104" w:lineRule="exact"/>
        <w:rPr>
          <w:sz w:val="20"/>
          <w:szCs w:val="20"/>
          <w:color w:val="auto"/>
        </w:rPr>
      </w:pPr>
    </w:p>
    <w:p>
      <w:pPr>
        <w:ind w:left="280"/>
        <w:spacing w:after="0" w:line="290" w:lineRule="auto"/>
        <w:rPr>
          <w:sz w:val="20"/>
          <w:szCs w:val="20"/>
          <w:color w:val="auto"/>
        </w:rPr>
      </w:pPr>
      <w:r>
        <w:rPr>
          <w:rFonts w:ascii="Arial" w:cs="Arial" w:eastAsia="Arial" w:hAnsi="Arial"/>
          <w:sz w:val="16"/>
          <w:szCs w:val="16"/>
          <w:color w:val="auto"/>
        </w:rPr>
        <w:t>Our lead product candidate, EB612, is an oral formulation of PTH (1-34). EB612 is a synthetic form of the first 34 amino acids of human PTH to which we have applied our proprietary technology for the oral delivery of large molecule therapeutics. In the third quarter of 2015, we successfully completed our Phase 2a trial. The end points in the trial were met, and 17 subjects completed the four-month trial and reported no serious or significant related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We expect to initiate a Phase 2b/3 clinical trial of EB612 in the second half of 2018 and we plan to submit applications for regulatory approval of EB612 in the second half of 2020. The FDA and EMA have granted EB612 orphan drug designation for the treatment of hypoparathyroidism.</w:t>
      </w:r>
    </w:p>
    <w:p>
      <w:pPr>
        <w:spacing w:after="0" w:line="58" w:lineRule="exact"/>
        <w:rPr>
          <w:sz w:val="20"/>
          <w:szCs w:val="20"/>
          <w:color w:val="auto"/>
        </w:rPr>
      </w:pPr>
    </w:p>
    <w:p>
      <w:pPr>
        <w:ind w:left="280" w:right="180"/>
        <w:spacing w:after="0" w:line="257" w:lineRule="auto"/>
        <w:rPr>
          <w:sz w:val="20"/>
          <w:szCs w:val="20"/>
          <w:color w:val="auto"/>
        </w:rPr>
      </w:pPr>
      <w:r>
        <w:rPr>
          <w:rFonts w:ascii="Arial" w:cs="Arial" w:eastAsia="Arial" w:hAnsi="Arial"/>
          <w:sz w:val="18"/>
          <w:szCs w:val="18"/>
          <w:color w:val="auto"/>
        </w:rPr>
        <w:t>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Acute hypocalcemia can result in cardiac failure, failure of nervous system functions and death. Hyperphosphatemia can result in soft tissue calcium deposition, which may lead to severe issues, including damage to the circulatory system and central nervous system.</w:t>
      </w:r>
    </w:p>
    <w:p>
      <w:pPr>
        <w:spacing w:after="0" w:line="80" w:lineRule="exact"/>
        <w:rPr>
          <w:sz w:val="20"/>
          <w:szCs w:val="20"/>
          <w:color w:val="auto"/>
        </w:rPr>
      </w:pPr>
    </w:p>
    <w:p>
      <w:pPr>
        <w:ind w:left="280"/>
        <w:spacing w:after="0" w:line="279" w:lineRule="auto"/>
        <w:rPr>
          <w:sz w:val="20"/>
          <w:szCs w:val="20"/>
          <w:color w:val="auto"/>
        </w:rPr>
      </w:pPr>
      <w:r>
        <w:rPr>
          <w:rFonts w:ascii="Arial" w:cs="Arial" w:eastAsia="Arial" w:hAnsi="Arial"/>
          <w:sz w:val="17"/>
          <w:szCs w:val="17"/>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w:t>
      </w:r>
    </w:p>
    <w:p>
      <w:pPr>
        <w:spacing w:after="0" w:line="63" w:lineRule="exact"/>
        <w:rPr>
          <w:sz w:val="20"/>
          <w:szCs w:val="20"/>
          <w:color w:val="auto"/>
        </w:rPr>
      </w:pPr>
    </w:p>
    <w:p>
      <w:pPr>
        <w:ind w:left="280" w:right="100"/>
        <w:spacing w:after="0" w:line="272" w:lineRule="auto"/>
        <w:rPr>
          <w:sz w:val="20"/>
          <w:szCs w:val="20"/>
          <w:color w:val="auto"/>
        </w:rPr>
      </w:pPr>
      <w:r>
        <w:rPr>
          <w:rFonts w:ascii="Arial" w:cs="Arial" w:eastAsia="Arial" w:hAnsi="Arial"/>
          <w:sz w:val="17"/>
          <w:szCs w:val="17"/>
          <w:color w:val="auto"/>
        </w:rPr>
        <w:t>If a product receives the first FDA approval for the indication for which it has orphan designation, the product is entitled to orphan drug exclusivity, which means that the FDA may not approve any other application to market the same drug for the same indication for a period of seven years, except in limited circumstances, such as a showing of clinical superiority over the product with orphan exclusivity. In January 2015, the FDA approved Natpara, an injectable form of PTH, for hypoparathyroidism, and awarded Natpara orphan drug exclusivity until January 23, 2022. In order for our biologics license application, or BLA, for EB612 to be approved by the FDA prior to this date, we will need to demonstrate that EB612 is clinically superior to Natpara in that it demonstrates greater effectiveness or safety than Natpara or that it otherwise makes a major contribution to patient care, which we believe we will be able to do.</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EB613 for Osteoporosis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Osteoporosis</w:t>
      </w:r>
    </w:p>
    <w:p>
      <w:pPr>
        <w:spacing w:after="0" w:line="104" w:lineRule="exact"/>
        <w:rPr>
          <w:sz w:val="20"/>
          <w:szCs w:val="20"/>
          <w:color w:val="auto"/>
        </w:rPr>
      </w:pPr>
    </w:p>
    <w:p>
      <w:pPr>
        <w:ind w:left="280" w:right="20"/>
        <w:spacing w:after="0" w:line="277" w:lineRule="auto"/>
        <w:rPr>
          <w:sz w:val="20"/>
          <w:szCs w:val="20"/>
          <w:color w:val="auto"/>
        </w:rPr>
      </w:pPr>
      <w:r>
        <w:rPr>
          <w:rFonts w:ascii="Arial" w:cs="Arial" w:eastAsia="Arial" w:hAnsi="Arial"/>
          <w:sz w:val="18"/>
          <w:szCs w:val="18"/>
          <w:color w:val="auto"/>
        </w:rPr>
        <w:t>We are also developing a distinct oral PTH product candidate, EB613, for the treatment of osteoporosis. We are preparing a Phase 2a trial of EB613 in osteoporosis that we plan to conduct in Israel in the first half of</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right="260"/>
        <w:spacing w:after="0" w:line="308" w:lineRule="auto"/>
        <w:rPr>
          <w:sz w:val="20"/>
          <w:szCs w:val="20"/>
          <w:color w:val="auto"/>
        </w:rPr>
      </w:pPr>
      <w:r>
        <w:rPr>
          <w:rFonts w:ascii="Arial" w:cs="Arial" w:eastAsia="Arial" w:hAnsi="Arial"/>
          <w:sz w:val="17"/>
          <w:szCs w:val="17"/>
          <w:color w:val="auto"/>
        </w:rPr>
        <w:t>2018. Following this Phase 2a trial, we intend to submit an investigational new drug application, or IND, to the FDA for a Phase 2b clinical trial of EB613 in osteoporosis. Prior to submission, we plan to solicit feedback from the FDA on our proposed clinical trial design.</w:t>
      </w:r>
    </w:p>
    <w:p>
      <w:pPr>
        <w:spacing w:after="0" w:line="38" w:lineRule="exact"/>
        <w:rPr>
          <w:sz w:val="20"/>
          <w:szCs w:val="20"/>
          <w:color w:val="auto"/>
        </w:rPr>
      </w:pPr>
    </w:p>
    <w:p>
      <w:pPr>
        <w:ind w:left="280" w:right="20"/>
        <w:spacing w:after="0" w:line="273" w:lineRule="auto"/>
        <w:rPr>
          <w:sz w:val="20"/>
          <w:szCs w:val="20"/>
          <w:color w:val="auto"/>
        </w:rPr>
      </w:pPr>
      <w:r>
        <w:rPr>
          <w:rFonts w:ascii="Arial" w:cs="Arial" w:eastAsia="Arial" w:hAnsi="Arial"/>
          <w:sz w:val="17"/>
          <w:szCs w:val="17"/>
          <w:color w:val="auto"/>
        </w:rPr>
        <w:t>Osteoporosis is a systemic skeletal disease characterized by low bone mass, deterioration of bone tissue and increased bone fragility and susceptibility to fracture. 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due to the use of drugs that induce bone loss, such as chronic use of glucocorticoids and aromatase inhibitors that are increasingly used for breast cancer and the hormone therapies used for prostate cancer.</w:t>
      </w:r>
    </w:p>
    <w:p>
      <w:pPr>
        <w:spacing w:after="0" w:line="70" w:lineRule="exact"/>
        <w:rPr>
          <w:sz w:val="20"/>
          <w:szCs w:val="20"/>
          <w:color w:val="auto"/>
        </w:rPr>
      </w:pPr>
    </w:p>
    <w:p>
      <w:pPr>
        <w:ind w:left="280" w:right="20"/>
        <w:spacing w:after="0" w:line="271" w:lineRule="auto"/>
        <w:rPr>
          <w:sz w:val="20"/>
          <w:szCs w:val="20"/>
          <w:color w:val="auto"/>
        </w:rPr>
      </w:pPr>
      <w:r>
        <w:rPr>
          <w:rFonts w:ascii="Arial" w:cs="Arial" w:eastAsia="Arial" w:hAnsi="Arial"/>
          <w:sz w:val="17"/>
          <w:szCs w:val="17"/>
          <w:color w:val="auto"/>
        </w:rPr>
        <w:t>The NOF has estimated that 10 million people in the United States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Bone Healing/Non-union Fractures</w:t>
      </w:r>
    </w:p>
    <w:p>
      <w:pPr>
        <w:spacing w:after="0" w:line="104" w:lineRule="exact"/>
        <w:rPr>
          <w:sz w:val="20"/>
          <w:szCs w:val="20"/>
          <w:color w:val="auto"/>
        </w:rPr>
      </w:pPr>
    </w:p>
    <w:p>
      <w:pPr>
        <w:jc w:val="both"/>
        <w:ind w:left="280"/>
        <w:spacing w:after="0" w:line="297" w:lineRule="auto"/>
        <w:rPr>
          <w:sz w:val="20"/>
          <w:szCs w:val="20"/>
          <w:color w:val="auto"/>
        </w:rPr>
      </w:pPr>
      <w:r>
        <w:rPr>
          <w:rFonts w:ascii="Arial" w:cs="Arial" w:eastAsia="Arial" w:hAnsi="Arial"/>
          <w:sz w:val="16"/>
          <w:szCs w:val="16"/>
          <w:color w:val="auto"/>
        </w:rPr>
        <w:t>We intend to investigate the efficacy of our oral PTH product candidates for non-union bone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50" w:lineRule="exact"/>
        <w:rPr>
          <w:sz w:val="20"/>
          <w:szCs w:val="20"/>
          <w:color w:val="auto"/>
        </w:rPr>
      </w:pPr>
    </w:p>
    <w:p>
      <w:pPr>
        <w:ind w:left="280" w:right="20"/>
        <w:spacing w:after="0" w:line="257" w:lineRule="auto"/>
        <w:rPr>
          <w:sz w:val="20"/>
          <w:szCs w:val="20"/>
          <w:color w:val="auto"/>
        </w:rPr>
      </w:pPr>
      <w:r>
        <w:rPr>
          <w:rFonts w:ascii="Arial" w:cs="Arial" w:eastAsia="Arial" w:hAnsi="Arial"/>
          <w:sz w:val="18"/>
          <w:szCs w:val="18"/>
          <w:color w:val="auto"/>
        </w:rPr>
        <w:t>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 In the United States, there are approximately seven million new fractures each year, with approximately 300,000 delayed union or non-union fractures. Estimates for the average non-union treatment cost vary from approximately $25,000 to $45,000.</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108" w:lineRule="exact"/>
        <w:rPr>
          <w:sz w:val="20"/>
          <w:szCs w:val="20"/>
          <w:color w:val="auto"/>
        </w:rPr>
      </w:pPr>
    </w:p>
    <w:p>
      <w:pPr>
        <w:ind w:left="280" w:right="80"/>
        <w:spacing w:after="0" w:line="290" w:lineRule="auto"/>
        <w:rPr>
          <w:sz w:val="20"/>
          <w:szCs w:val="20"/>
          <w:color w:val="auto"/>
        </w:rPr>
      </w:pPr>
      <w:r>
        <w:rPr>
          <w:rFonts w:ascii="Arial" w:cs="Arial" w:eastAsia="Arial" w:hAnsi="Arial"/>
          <w:sz w:val="16"/>
          <w:szCs w:val="16"/>
          <w:color w:val="auto"/>
        </w:rPr>
        <w:t>We intend to use our technology as a platform for the oral delivery of protein and other large molecule therapeutics. We have conducted initial feasibility studies with a number of candidates, including human growth hormone, and intend to commence clinical development for our next, non-PTH, product candidate in the first half of 2018.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w:t>
      </w:r>
    </w:p>
    <w:p>
      <w:pPr>
        <w:sectPr>
          <w:pgSz w:w="11900" w:h="16838" w:orient="portrait"/>
          <w:cols w:equalWidth="0" w:num="1">
            <w:col w:w="11120"/>
          </w:cols>
          <w:pgMar w:left="240" w:top="131"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right="280"/>
        <w:spacing w:after="0" w:line="342" w:lineRule="auto"/>
        <w:rPr>
          <w:sz w:val="20"/>
          <w:szCs w:val="20"/>
          <w:color w:val="auto"/>
        </w:rPr>
      </w:pPr>
      <w:r>
        <w:rPr>
          <w:rFonts w:ascii="Arial" w:cs="Arial" w:eastAsia="Arial" w:hAnsi="Arial"/>
          <w:sz w:val="16"/>
          <w:szCs w:val="16"/>
          <w:color w:val="auto"/>
        </w:rPr>
        <w:t>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Chief Medical Officer Appointment</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January 10, 2018, the Company appointed Dr. Eric Lang as the Company’s Chief Medical Officer, effective January 15, 2018. Mr. Lang will</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replace Dr. Miriam Blum, who has served as the Company’s Chief Medical Officer since January 2015. As the Company’s Chief Medical Officer,</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Dr. Lang will be responsible for building and leading our clinical development group, as well as all aspects (including strategy and implementation) of</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clinical development and regulatory strategy.</w:t>
      </w:r>
    </w:p>
    <w:p>
      <w:pPr>
        <w:spacing w:after="0" w:line="103" w:lineRule="exact"/>
        <w:rPr>
          <w:sz w:val="20"/>
          <w:szCs w:val="20"/>
          <w:color w:val="auto"/>
        </w:rPr>
      </w:pPr>
    </w:p>
    <w:p>
      <w:pPr>
        <w:ind w:left="280" w:right="180"/>
        <w:spacing w:after="0" w:line="255" w:lineRule="auto"/>
        <w:rPr>
          <w:sz w:val="20"/>
          <w:szCs w:val="20"/>
          <w:color w:val="auto"/>
        </w:rPr>
      </w:pPr>
      <w:r>
        <w:rPr>
          <w:rFonts w:ascii="Arial" w:cs="Arial" w:eastAsia="Arial" w:hAnsi="Arial"/>
          <w:sz w:val="18"/>
          <w:szCs w:val="18"/>
          <w:color w:val="auto"/>
        </w:rPr>
        <w:t>Dr. Lang has extensive experience in designing drug development programs from early stages through phase III, including the successful filing of several recent INDs and NDAs. From 2012 to 2017, Dr. Lang worked at Covance, Inc., most recently as the Vice President and Global Head of Clinical Drug Development Strategists. From 2010 to 2011, Dr. Lang worked at Grunenthal USA Inc. where he acted as Vice President, US Clinical Development. Prior to these positions, Dr. Lang worked at both Javelin Pharmaceuticals, Novartis Consumer Health and Johnson and Johnson. He received his M.D. from Ben Gurion University of the Negev in Israel, is licensed in both the United States and Israel and is board certified as an Anesthesiologist.</w:t>
      </w:r>
    </w:p>
    <w:p>
      <w:pPr>
        <w:spacing w:after="0" w:line="85" w:lineRule="exact"/>
        <w:rPr>
          <w:sz w:val="20"/>
          <w:szCs w:val="20"/>
          <w:color w:val="auto"/>
        </w:rPr>
      </w:pPr>
    </w:p>
    <w:p>
      <w:pPr>
        <w:jc w:val="both"/>
        <w:ind w:left="280" w:right="140"/>
        <w:spacing w:after="0" w:line="264" w:lineRule="auto"/>
        <w:rPr>
          <w:sz w:val="20"/>
          <w:szCs w:val="20"/>
          <w:color w:val="auto"/>
        </w:rPr>
      </w:pPr>
      <w:r>
        <w:rPr>
          <w:rFonts w:ascii="Arial" w:cs="Arial" w:eastAsia="Arial" w:hAnsi="Arial"/>
          <w:sz w:val="18"/>
          <w:szCs w:val="18"/>
          <w:color w:val="auto"/>
        </w:rPr>
        <w:t>In connection with Dr. Lang’s appointment as the Company’s new Chief Medical Officer, the Company’s Board of Directors approved an increase to the available pool of ordinary shares reserved under the Company’s current share incentive plan and granted Dr. Lang options to purchase 76,075 of our ordinary shares at an exercise price of $9.16 per share.</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Series B Financings</w:t>
      </w:r>
    </w:p>
    <w:p>
      <w:pPr>
        <w:spacing w:after="0" w:line="104" w:lineRule="exact"/>
        <w:rPr>
          <w:sz w:val="20"/>
          <w:szCs w:val="20"/>
          <w:color w:val="auto"/>
        </w:rPr>
      </w:pPr>
    </w:p>
    <w:p>
      <w:pPr>
        <w:ind w:left="280" w:right="180"/>
        <w:spacing w:after="0" w:line="259" w:lineRule="auto"/>
        <w:rPr>
          <w:sz w:val="20"/>
          <w:szCs w:val="20"/>
          <w:color w:val="auto"/>
        </w:rPr>
      </w:pPr>
      <w:r>
        <w:rPr>
          <w:rFonts w:ascii="Arial" w:cs="Arial" w:eastAsia="Arial" w:hAnsi="Arial"/>
          <w:sz w:val="18"/>
          <w:szCs w:val="18"/>
          <w:color w:val="auto"/>
        </w:rPr>
        <w:t>From October to December 2017, we entered into Series B preferred share purchase agreements with certain investors (together, the “Investors”) for the sale of shares of our Series B preferred shares, at a price per share of $908.78, for an aggregate purchase price of $13.0 million (the “Series B Private Placement”). In connection with the Series B Private Placement, the Company issued and sold to the Investors 14,283 Series B preferred shares.</w:t>
      </w:r>
    </w:p>
    <w:p>
      <w:pPr>
        <w:spacing w:after="0" w:line="79" w:lineRule="exact"/>
        <w:rPr>
          <w:sz w:val="20"/>
          <w:szCs w:val="20"/>
          <w:color w:val="auto"/>
        </w:rPr>
      </w:pPr>
    </w:p>
    <w:p>
      <w:pPr>
        <w:ind w:left="280"/>
        <w:spacing w:after="0" w:line="297" w:lineRule="auto"/>
        <w:rPr>
          <w:sz w:val="20"/>
          <w:szCs w:val="20"/>
          <w:color w:val="auto"/>
        </w:rPr>
      </w:pPr>
      <w:r>
        <w:rPr>
          <w:rFonts w:ascii="Arial" w:cs="Arial" w:eastAsia="Arial" w:hAnsi="Arial"/>
          <w:sz w:val="16"/>
          <w:szCs w:val="16"/>
          <w:color w:val="auto"/>
        </w:rPr>
        <w:t>The Series B Private Placement qualified as a Qualified Financing and thus constituted a 2016 Triggering Event under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into a total of 13,229 of our Series B-1 preferred shares at a price per share of $681.585. The rights of the Series B-1 preferred shares are identical in all respects (other than the price per share) to the Series B preferred shares.</w:t>
      </w:r>
    </w:p>
    <w:p>
      <w:pPr>
        <w:spacing w:after="0" w:line="50" w:lineRule="exact"/>
        <w:rPr>
          <w:sz w:val="20"/>
          <w:szCs w:val="20"/>
          <w:color w:val="auto"/>
        </w:rPr>
      </w:pPr>
    </w:p>
    <w:p>
      <w:pPr>
        <w:ind w:left="280" w:right="100"/>
        <w:spacing w:after="0" w:line="264" w:lineRule="auto"/>
        <w:rPr>
          <w:sz w:val="20"/>
          <w:szCs w:val="20"/>
          <w:color w:val="auto"/>
        </w:rPr>
      </w:pPr>
      <w:r>
        <w:rPr>
          <w:rFonts w:ascii="Arial" w:cs="Arial" w:eastAsia="Arial" w:hAnsi="Arial"/>
          <w:sz w:val="18"/>
          <w:szCs w:val="18"/>
          <w:color w:val="auto"/>
        </w:rPr>
        <w:t>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73" w:lineRule="exact"/>
        <w:rPr>
          <w:sz w:val="20"/>
          <w:szCs w:val="20"/>
          <w:color w:val="auto"/>
        </w:rPr>
      </w:pPr>
    </w:p>
    <w:p>
      <w:pPr>
        <w:ind w:left="280" w:right="160"/>
        <w:spacing w:after="0" w:line="259" w:lineRule="auto"/>
        <w:rPr>
          <w:sz w:val="20"/>
          <w:szCs w:val="20"/>
          <w:color w:val="auto"/>
        </w:rPr>
      </w:pPr>
      <w:r>
        <w:rPr>
          <w:rFonts w:ascii="Arial" w:cs="Arial" w:eastAsia="Arial" w:hAnsi="Arial"/>
          <w:sz w:val="18"/>
          <w:szCs w:val="18"/>
          <w:color w:val="auto"/>
        </w:rPr>
        <w:t>In addition, as a result of the Series B Private Placement, the additional warrants (as discussed in “Description of Share Capital — Additional Warrants”) that the Company previously issued in connection with the second amendment to the Centillion preferred share purchase agreement and the first amendment to the additional preferred share purchase agreements with the certain other preferred shareholders became warrants to purchase our Series B-1 preferred shares at an exercise price of $681.585.</w:t>
      </w:r>
    </w:p>
    <w:p>
      <w:pPr>
        <w:spacing w:after="0" w:line="79" w:lineRule="exact"/>
        <w:rPr>
          <w:sz w:val="20"/>
          <w:szCs w:val="20"/>
          <w:color w:val="auto"/>
        </w:rPr>
      </w:pPr>
    </w:p>
    <w:p>
      <w:pPr>
        <w:jc w:val="both"/>
        <w:ind w:left="280" w:right="100"/>
        <w:spacing w:after="0" w:line="279" w:lineRule="auto"/>
        <w:rPr>
          <w:sz w:val="20"/>
          <w:szCs w:val="20"/>
          <w:color w:val="auto"/>
        </w:rPr>
      </w:pPr>
      <w:r>
        <w:rPr>
          <w:rFonts w:ascii="Arial" w:cs="Arial" w:eastAsia="Arial" w:hAnsi="Arial"/>
          <w:sz w:val="17"/>
          <w:szCs w:val="17"/>
          <w:color w:val="auto"/>
        </w:rPr>
        <w:t>Under the terms of the applicable agreements and pursuant to the IPO Transactions (as defined below), the Series B and B-1 preferred shares will be automatically converted into our ordinary shares, and the warrants to purchase Series B and B-1 preferred shares will be automatically converted into warrants to purchase ordinary shares, upon the closing of this offering, which issuances will be adjusted to reflect the 1-for-89.5 split of our ordinary shares that will be effected immediately following the pricing of this offering, as described below.</w:t>
      </w:r>
    </w:p>
    <w:p>
      <w:pPr>
        <w:sectPr>
          <w:pgSz w:w="11900" w:h="16838" w:orient="portrait"/>
          <w:cols w:equalWidth="0" w:num="1">
            <w:col w:w="11140"/>
          </w:cols>
          <w:pgMar w:left="240" w:top="131"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80" w:right="140"/>
        <w:spacing w:after="0" w:line="264" w:lineRule="auto"/>
        <w:rPr>
          <w:sz w:val="20"/>
          <w:szCs w:val="20"/>
          <w:color w:val="auto"/>
        </w:rPr>
      </w:pPr>
      <w:r>
        <w:rPr>
          <w:rFonts w:ascii="Arial" w:cs="Arial" w:eastAsia="Arial" w:hAnsi="Arial"/>
          <w:sz w:val="18"/>
          <w:szCs w:val="18"/>
          <w:color w:val="auto"/>
        </w:rPr>
        <w:t>We refer to the Series B Private Placement and the conversion of the 2016 Convertible Loan and set of the final terms of the 2016 Warrants and the additional warrants as the “Recent Developments Transactions.” For further information, see “Certain Relationships and Related Party Transactions — Preferred Share Purchases — Series B Private Placement.”</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280"/>
        <w:spacing w:after="0" w:line="259"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79" w:lineRule="exact"/>
        <w:rPr>
          <w:sz w:val="20"/>
          <w:szCs w:val="20"/>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640" w:right="600" w:hanging="182"/>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whether we will be able to demonstrate to regulators the clinical superiority of EB612 over Natpara, which is required to overcome Natpara’s drug exclusivity;</w:t>
      </w:r>
    </w:p>
    <w:p>
      <w:pPr>
        <w:spacing w:after="0" w:line="86"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competitive position, if EB612 is approved, especially with respect to Natpara, our key competitor for hypoparathyroidism treatment;</w:t>
      </w:r>
    </w:p>
    <w:p>
      <w:pPr>
        <w:spacing w:after="0" w:line="128" w:lineRule="exact"/>
        <w:rPr>
          <w:rFonts w:ascii="Arial" w:cs="Arial" w:eastAsia="Arial" w:hAnsi="Arial"/>
          <w:sz w:val="17"/>
          <w:szCs w:val="17"/>
          <w:color w:val="auto"/>
        </w:rPr>
      </w:pPr>
    </w:p>
    <w:p>
      <w:pPr>
        <w:ind w:left="640" w:right="380" w:hanging="182"/>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recurring losses from operations, which have raised substantial doubt regarding our ability to continue as a going concern absent access to sources of liquidity;</w:t>
      </w:r>
    </w:p>
    <w:p>
      <w:pPr>
        <w:spacing w:after="0" w:line="75"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of and reimbursement for our product candidates, if approved;</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 and compliance therewith;</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17"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130" w:lineRule="exact"/>
        <w:rPr>
          <w:rFonts w:ascii="Arial" w:cs="Arial" w:eastAsia="Arial" w:hAnsi="Arial"/>
          <w:sz w:val="18"/>
          <w:szCs w:val="18"/>
          <w:color w:val="auto"/>
        </w:rPr>
      </w:pPr>
    </w:p>
    <w:p>
      <w:pPr>
        <w:ind w:left="640" w:hanging="18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280" w:right="80"/>
        <w:spacing w:after="0" w:line="302" w:lineRule="auto"/>
        <w:rPr>
          <w:sz w:val="20"/>
          <w:szCs w:val="20"/>
          <w:color w:val="auto"/>
        </w:rPr>
      </w:pPr>
      <w:r>
        <w:rPr>
          <w:rFonts w:ascii="Arial" w:cs="Arial" w:eastAsia="Arial" w:hAnsi="Arial"/>
          <w:sz w:val="16"/>
          <w:szCs w:val="16"/>
          <w:color w:val="auto"/>
        </w:rPr>
        <w:t>Our legal and commercial name is Entera Bio Ltd. We were incorporated in Israel in September 2009. Our principal executive offices are located at Kiryat Hadassah, Minrav Building — Fifth Floor, Jerusalem 9112002, Israel and our telephone number is +972 (2) 532-7151. Our website address is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trademarks or service marks appearing in this prospectus are trademarks or service marks of others.</w:t>
      </w:r>
    </w:p>
    <w:p>
      <w:pPr>
        <w:sectPr>
          <w:pgSz w:w="11900" w:h="16838" w:orient="portrait"/>
          <w:cols w:equalWidth="0" w:num="1">
            <w:col w:w="11060"/>
          </w:cols>
          <w:pgMar w:left="24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132" w:right="59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08" w:lineRule="exact"/>
        <w:rPr>
          <w:sz w:val="20"/>
          <w:szCs w:val="20"/>
          <w:color w:val="auto"/>
        </w:rPr>
      </w:pPr>
    </w:p>
    <w:p>
      <w:pPr>
        <w:ind w:left="280" w:right="40"/>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41" w:lineRule="exact"/>
        <w:rPr>
          <w:sz w:val="20"/>
          <w:szCs w:val="20"/>
          <w:color w:val="auto"/>
        </w:rPr>
      </w:pPr>
    </w:p>
    <w:p>
      <w:pPr>
        <w:ind w:left="640" w:right="220" w:hanging="182"/>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 in its initial registration statement;</w:t>
      </w:r>
    </w:p>
    <w:p>
      <w:pPr>
        <w:spacing w:after="0" w:line="129" w:lineRule="exact"/>
        <w:rPr>
          <w:rFonts w:ascii="Arial" w:cs="Arial" w:eastAsia="Arial" w:hAnsi="Arial"/>
          <w:sz w:val="18"/>
          <w:szCs w:val="18"/>
          <w:color w:val="auto"/>
        </w:rPr>
      </w:pPr>
    </w:p>
    <w:p>
      <w:pPr>
        <w:ind w:left="640" w:right="720" w:hanging="182"/>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43" w:lineRule="exact"/>
        <w:rPr>
          <w:rFonts w:ascii="Arial" w:cs="Arial" w:eastAsia="Arial" w:hAnsi="Arial"/>
          <w:sz w:val="18"/>
          <w:szCs w:val="18"/>
          <w:color w:val="auto"/>
        </w:rPr>
      </w:pPr>
    </w:p>
    <w:p>
      <w:pPr>
        <w:ind w:left="640" w:right="640" w:hanging="182"/>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or PCAOB, may adopt regarding mandatory audit firm rotation or a supplement to the auditor’s report providing additional information about the audit and the financial statements; and</w:t>
      </w:r>
    </w:p>
    <w:p>
      <w:pPr>
        <w:spacing w:after="0" w:line="140" w:lineRule="exact"/>
        <w:rPr>
          <w:rFonts w:ascii="Arial" w:cs="Arial" w:eastAsia="Arial" w:hAnsi="Arial"/>
          <w:sz w:val="18"/>
          <w:szCs w:val="18"/>
          <w:color w:val="auto"/>
        </w:rPr>
      </w:pPr>
    </w:p>
    <w:p>
      <w:pPr>
        <w:ind w:left="640" w:right="360" w:hanging="182"/>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73" w:lineRule="exact"/>
        <w:rPr>
          <w:sz w:val="20"/>
          <w:szCs w:val="20"/>
          <w:color w:val="auto"/>
        </w:rPr>
      </w:pPr>
    </w:p>
    <w:p>
      <w:pPr>
        <w:ind w:left="280" w:right="10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79" w:lineRule="exact"/>
        <w:rPr>
          <w:sz w:val="20"/>
          <w:szCs w:val="20"/>
          <w:color w:val="auto"/>
        </w:rPr>
      </w:pPr>
    </w:p>
    <w:p>
      <w:pPr>
        <w:ind w:left="280"/>
        <w:spacing w:after="0" w:line="276"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64" w:lineRule="exact"/>
        <w:rPr>
          <w:sz w:val="20"/>
          <w:szCs w:val="20"/>
          <w:color w:val="auto"/>
        </w:rPr>
      </w:pPr>
    </w:p>
    <w:p>
      <w:pPr>
        <w:ind w:left="280" w:right="40"/>
        <w:spacing w:after="0" w:line="259" w:lineRule="auto"/>
        <w:rPr>
          <w:sz w:val="20"/>
          <w:szCs w:val="20"/>
          <w:color w:val="auto"/>
        </w:rPr>
      </w:pPr>
      <w:r>
        <w:rPr>
          <w:rFonts w:ascii="Arial" w:cs="Arial" w:eastAsia="Arial" w:hAnsi="Arial"/>
          <w:sz w:val="18"/>
          <w:szCs w:val="18"/>
          <w:color w:val="auto"/>
        </w:rPr>
        <w:t>Upon consummation of this offering, we will report under the Securities Exchange Act of 1934, as amended, or the Exchange Act, as a non-U.S. company with foreign private issuer, or FPI, status. Even after we no longer qualify as an emerging growth company, as long as we qualify as an FPI under the Exchange Act, we will be exempt from certain provisions of the Exchange Act that are applicable to U.S. domestic public companies, including:</w:t>
      </w:r>
    </w:p>
    <w:p>
      <w:pPr>
        <w:spacing w:after="0" w:line="146" w:lineRule="exact"/>
        <w:rPr>
          <w:sz w:val="20"/>
          <w:szCs w:val="20"/>
          <w:color w:val="auto"/>
        </w:rPr>
      </w:pPr>
    </w:p>
    <w:p>
      <w:pPr>
        <w:ind w:left="640" w:right="260" w:hanging="18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29" w:lineRule="exact"/>
        <w:rPr>
          <w:rFonts w:ascii="Arial" w:cs="Arial" w:eastAsia="Arial" w:hAnsi="Arial"/>
          <w:sz w:val="18"/>
          <w:szCs w:val="18"/>
          <w:color w:val="auto"/>
        </w:rPr>
      </w:pPr>
    </w:p>
    <w:p>
      <w:pPr>
        <w:ind w:left="640" w:right="700" w:hanging="18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43" w:lineRule="exact"/>
        <w:rPr>
          <w:rFonts w:ascii="Arial" w:cs="Arial" w:eastAsia="Arial" w:hAnsi="Arial"/>
          <w:sz w:val="18"/>
          <w:szCs w:val="18"/>
          <w:color w:val="auto"/>
        </w:rPr>
      </w:pPr>
    </w:p>
    <w:p>
      <w:pPr>
        <w:ind w:left="640" w:right="440" w:hanging="18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 and</w:t>
      </w:r>
    </w:p>
    <w:p>
      <w:pPr>
        <w:spacing w:after="0" w:line="140" w:lineRule="exact"/>
        <w:rPr>
          <w:rFonts w:ascii="Arial" w:cs="Arial" w:eastAsia="Arial" w:hAnsi="Arial"/>
          <w:sz w:val="18"/>
          <w:szCs w:val="18"/>
          <w:color w:val="auto"/>
        </w:rPr>
      </w:pPr>
    </w:p>
    <w:p>
      <w:pPr>
        <w:ind w:left="640" w:hanging="18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117"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We do, however, intend to make available to our shareholders quarterly reports containing unaudited financial information for each of the first three quarters of each fiscal year.</w:t>
      </w:r>
    </w:p>
    <w:p>
      <w:pPr>
        <w:sectPr>
          <w:pgSz w:w="11900" w:h="16838" w:orient="portrait"/>
          <w:cols w:equalWidth="0" w:num="1">
            <w:col w:w="11040"/>
          </w:cols>
          <w:pgMar w:left="240" w:top="131"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20"/>
          </w:cols>
          <w:pgMar w:left="240" w:top="13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THE OFFERING</w:t>
      </w:r>
    </w:p>
    <w:p>
      <w:pPr>
        <w:spacing w:after="0" w:line="111"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Ordinary shares offered by us</w:t>
      </w:r>
      <w:r>
        <w:rPr>
          <w:sz w:val="20"/>
          <w:szCs w:val="20"/>
          <w:color w:val="auto"/>
        </w:rPr>
        <w:tab/>
      </w:r>
      <w:r>
        <w:rPr>
          <w:rFonts w:ascii="Arial" w:cs="Arial" w:eastAsia="Arial" w:hAnsi="Arial"/>
          <w:sz w:val="16"/>
          <w:szCs w:val="16"/>
          <w:color w:val="auto"/>
        </w:rPr>
        <w:t>5,000,000 ordinary shares (or 5,750,000 ordinary shares if the underwriters exercise in full their</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option to purchase additional ordinary shares)</w:t>
      </w:r>
    </w:p>
    <w:p>
      <w:pPr>
        <w:spacing w:after="0" w:line="103"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Ordinary shares to be outstanding after this</w:t>
      </w:r>
      <w:r>
        <w:rPr>
          <w:sz w:val="20"/>
          <w:szCs w:val="20"/>
          <w:color w:val="auto"/>
        </w:rPr>
        <w:tab/>
      </w:r>
      <w:r>
        <w:rPr>
          <w:rFonts w:ascii="Arial" w:cs="Arial" w:eastAsia="Arial" w:hAnsi="Arial"/>
          <w:sz w:val="16"/>
          <w:szCs w:val="16"/>
          <w:color w:val="auto"/>
        </w:rPr>
        <w:t>11,897,252 ordinary shares (or 12,647,252 ordinary shares if the underwriters exercise in full their</w:t>
      </w:r>
    </w:p>
    <w:p>
      <w:pPr>
        <w:spacing w:after="0" w:line="23" w:lineRule="exact"/>
        <w:rPr>
          <w:sz w:val="20"/>
          <w:szCs w:val="20"/>
          <w:color w:val="auto"/>
        </w:rPr>
      </w:pPr>
    </w:p>
    <w:p>
      <w:pPr>
        <w:ind w:left="460"/>
        <w:spacing w:after="0"/>
        <w:tabs>
          <w:tab w:leader="none" w:pos="396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option to purchase additional ordinary shares)</w:t>
      </w:r>
    </w:p>
    <w:p>
      <w:pPr>
        <w:spacing w:after="0" w:line="143"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Over-allotment option</w:t>
      </w:r>
      <w:r>
        <w:rPr>
          <w:sz w:val="20"/>
          <w:szCs w:val="20"/>
          <w:color w:val="auto"/>
        </w:rPr>
        <w:tab/>
      </w:r>
      <w:r>
        <w:rPr>
          <w:rFonts w:ascii="Arial" w:cs="Arial" w:eastAsia="Arial" w:hAnsi="Arial"/>
          <w:sz w:val="16"/>
          <w:szCs w:val="16"/>
          <w:color w:val="auto"/>
        </w:rPr>
        <w:t>We have granted the underwriters a 30-day option to purchase up to an additional 750,000 ordinary</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shares from us to cover over-allotments.</w:t>
      </w:r>
    </w:p>
    <w:p>
      <w:pPr>
        <w:spacing w:after="0" w:line="143"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we will receive net proceeds of approximately $49.9 million from our sale of</w:t>
      </w:r>
    </w:p>
    <w:p>
      <w:pPr>
        <w:spacing w:after="0" w:line="23" w:lineRule="exact"/>
        <w:rPr>
          <w:sz w:val="20"/>
          <w:szCs w:val="20"/>
          <w:color w:val="auto"/>
        </w:rPr>
      </w:pPr>
    </w:p>
    <w:p>
      <w:pPr>
        <w:ind w:left="3980" w:right="120"/>
        <w:spacing w:after="0" w:line="271" w:lineRule="auto"/>
        <w:rPr>
          <w:sz w:val="20"/>
          <w:szCs w:val="20"/>
          <w:color w:val="auto"/>
        </w:rPr>
      </w:pPr>
      <w:r>
        <w:rPr>
          <w:rFonts w:ascii="Arial" w:cs="Arial" w:eastAsia="Arial" w:hAnsi="Arial"/>
          <w:sz w:val="17"/>
          <w:szCs w:val="17"/>
          <w:color w:val="auto"/>
        </w:rPr>
        <w:t>ordinary shares in this offering, after deducting the estimated underwriting discount and the estimated offering expenses payable by us. This assumes an offering price of $11.00 per share, which is the midpoint of the estimated offering price range on the cover page of this prospectus. We intend to use the net proceeds from this offering, together with $11.7 million of cash and cash equivalents on hand as of December 31, 2017, as follows:</w:t>
      </w:r>
    </w:p>
    <w:p>
      <w:pPr>
        <w:spacing w:after="0" w:line="111"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  approximately $45.0 million to fund research and development expenses of our oral PTH</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candidate, EB612;</w:t>
      </w:r>
    </w:p>
    <w:p>
      <w:pPr>
        <w:spacing w:after="0" w:line="14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  approximately $1.5 million to fund research and development expenses of our oral PTH</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candidate, EB613;</w:t>
      </w:r>
    </w:p>
    <w:p>
      <w:pPr>
        <w:spacing w:after="0" w:line="143" w:lineRule="exact"/>
        <w:rPr>
          <w:sz w:val="20"/>
          <w:szCs w:val="20"/>
          <w:color w:val="auto"/>
        </w:rPr>
      </w:pPr>
    </w:p>
    <w:p>
      <w:pPr>
        <w:ind w:left="3980" w:right="1040"/>
        <w:spacing w:after="0" w:line="422" w:lineRule="auto"/>
        <w:rPr>
          <w:sz w:val="20"/>
          <w:szCs w:val="20"/>
          <w:color w:val="auto"/>
        </w:rPr>
      </w:pPr>
      <w:r>
        <w:rPr>
          <w:rFonts w:ascii="Arial" w:cs="Arial" w:eastAsia="Arial" w:hAnsi="Arial"/>
          <w:sz w:val="18"/>
          <w:szCs w:val="18"/>
          <w:color w:val="auto"/>
        </w:rPr>
        <w:t>• approximately $2.5 million to fund other research and development expenses; and • the remainder for working capital and general corporate purposes. See “Use of Proceeds.”</w:t>
      </w:r>
    </w:p>
    <w:p>
      <w:pPr>
        <w:spacing w:after="0" w:line="2"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paid or declared any cash dividends on our ordinary shares, and we do not</w:t>
      </w:r>
    </w:p>
    <w:p>
      <w:pPr>
        <w:spacing w:after="0" w:line="23" w:lineRule="exact"/>
        <w:rPr>
          <w:sz w:val="20"/>
          <w:szCs w:val="20"/>
          <w:color w:val="auto"/>
        </w:rPr>
      </w:pPr>
    </w:p>
    <w:p>
      <w:pPr>
        <w:ind w:left="3980" w:right="700"/>
        <w:spacing w:after="0" w:line="261" w:lineRule="auto"/>
        <w:rPr>
          <w:sz w:val="20"/>
          <w:szCs w:val="20"/>
          <w:color w:val="auto"/>
        </w:rPr>
      </w:pPr>
      <w:r>
        <w:rPr>
          <w:rFonts w:ascii="Arial" w:cs="Arial" w:eastAsia="Arial" w:hAnsi="Arial"/>
          <w:sz w:val="18"/>
          <w:szCs w:val="18"/>
          <w:color w:val="auto"/>
        </w:rPr>
        <w:t>anticipate paying any cash dividends on our ordinary shares in the foreseeable future. See “Dividend Policy.”</w:t>
      </w:r>
    </w:p>
    <w:p>
      <w:pPr>
        <w:spacing w:after="0" w:line="116"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other information included in this prospectus for a discussion of factors</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you should carefully consider before deciding to invest in our ordinary shares.</w:t>
      </w:r>
    </w:p>
    <w:p>
      <w:pPr>
        <w:spacing w:after="0" w:line="143" w:lineRule="exact"/>
        <w:rPr>
          <w:sz w:val="20"/>
          <w:szCs w:val="20"/>
          <w:color w:val="auto"/>
        </w:rPr>
      </w:pPr>
    </w:p>
    <w:p>
      <w:pPr>
        <w:ind w:left="280"/>
        <w:spacing w:after="0"/>
        <w:tabs>
          <w:tab w:leader="none" w:pos="3960" w:val="left"/>
        </w:tabs>
        <w:rPr>
          <w:sz w:val="20"/>
          <w:szCs w:val="20"/>
          <w:color w:val="auto"/>
        </w:rPr>
      </w:pPr>
      <w:r>
        <w:rPr>
          <w:rFonts w:ascii="Arial" w:cs="Arial" w:eastAsia="Arial" w:hAnsi="Arial"/>
          <w:sz w:val="18"/>
          <w:szCs w:val="18"/>
          <w:color w:val="auto"/>
        </w:rPr>
        <w:t>Proposed Listing</w:t>
      </w:r>
      <w:r>
        <w:rPr>
          <w:sz w:val="20"/>
          <w:szCs w:val="20"/>
          <w:color w:val="auto"/>
        </w:rPr>
        <w:tab/>
      </w:r>
      <w:r>
        <w:rPr>
          <w:rFonts w:ascii="Arial" w:cs="Arial" w:eastAsia="Arial" w:hAnsi="Arial"/>
          <w:sz w:val="16"/>
          <w:szCs w:val="16"/>
          <w:color w:val="auto"/>
        </w:rPr>
        <w:t>We have applied to list our ordinary shares on the NASDAQ Capital Market under the symbol</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“ENTX”.</w:t>
      </w:r>
    </w:p>
    <w:p>
      <w:pPr>
        <w:spacing w:after="0" w:line="319" w:lineRule="exact"/>
        <w:rPr>
          <w:sz w:val="20"/>
          <w:szCs w:val="20"/>
          <w:color w:val="auto"/>
        </w:rPr>
      </w:pPr>
    </w:p>
    <w:p>
      <w:pPr>
        <w:jc w:val="both"/>
        <w:ind w:left="280" w:right="160"/>
        <w:spacing w:after="0" w:line="264" w:lineRule="auto"/>
        <w:rPr>
          <w:sz w:val="20"/>
          <w:szCs w:val="20"/>
          <w:color w:val="auto"/>
        </w:rPr>
      </w:pPr>
      <w:r>
        <w:rPr>
          <w:rFonts w:ascii="Arial" w:cs="Arial" w:eastAsia="Arial" w:hAnsi="Arial"/>
          <w:sz w:val="18"/>
          <w:szCs w:val="18"/>
          <w:color w:val="auto"/>
        </w:rPr>
        <w:t>We have based the number of our ordinary shares to be outstanding immediately following this offering on 6,897,252 ordinary shares outstanding as of December 31, 2017, after giving effect to the 1-for-89.5 split of our ordinary shares that will be effected immediately following the pricing of this offering (as described below), excluding:</w:t>
      </w:r>
    </w:p>
    <w:p>
      <w:pPr>
        <w:spacing w:after="0" w:line="100" w:lineRule="exact"/>
        <w:rPr>
          <w:sz w:val="20"/>
          <w:szCs w:val="20"/>
          <w:color w:val="auto"/>
        </w:rPr>
      </w:pPr>
    </w:p>
    <w:p>
      <w:pPr>
        <w:ind w:left="640" w:right="540" w:hanging="182"/>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2,365,760 ordinary shares issuable upon the exercise of options consisting of (i) options to purchase 2,098,960 ordinary shares under our 2013 Share Incentive Plan at a weighted average exercise price of $6.67 per share outstanding as of December 31, 2017 and (ii) options to purchase 266,800 ordinary shares to be granted to certain holders of our Series A preferred shares upon the closing of this offering, at a weighted average exercise price of $5.36, as described below;</w:t>
      </w:r>
    </w:p>
    <w:p>
      <w:pPr>
        <w:spacing w:after="0" w:line="119" w:lineRule="exact"/>
        <w:rPr>
          <w:rFonts w:ascii="Arial" w:cs="Arial" w:eastAsia="Arial" w:hAnsi="Arial"/>
          <w:sz w:val="18"/>
          <w:szCs w:val="18"/>
          <w:color w:val="auto"/>
        </w:rPr>
      </w:pPr>
    </w:p>
    <w:p>
      <w:pPr>
        <w:ind w:left="640" w:hanging="18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1,137,821 ordinary shares issuable upon exercise of warrants, as described below; and</w:t>
      </w:r>
    </w:p>
    <w:p>
      <w:pPr>
        <w:sectPr>
          <w:pgSz w:w="11900" w:h="16838" w:orient="portrait"/>
          <w:cols w:equalWidth="0" w:num="1">
            <w:col w:w="11120"/>
          </w:cols>
          <w:pgMar w:left="240" w:top="132"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20"/>
          </w:cols>
          <w:pgMar w:left="240" w:top="132" w:right="53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080"/>
          </w:cols>
          <w:pgMar w:left="240" w:top="13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right="560" w:hanging="182"/>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1,427,670 ordinary shares reserved for future grants under the 2018 Equity Incentive Plan (the “2018 Plan”), which we intend to adopt in connection with this offering.</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Unless we specifically state otherwise, this prospectus reflects and assumes:</w:t>
      </w:r>
    </w:p>
    <w:p>
      <w:pPr>
        <w:spacing w:after="0" w:line="185" w:lineRule="exact"/>
        <w:rPr>
          <w:sz w:val="20"/>
          <w:szCs w:val="20"/>
          <w:color w:val="auto"/>
        </w:rPr>
      </w:pPr>
    </w:p>
    <w:p>
      <w:pPr>
        <w:ind w:left="640" w:hanging="18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w:t>
      </w:r>
    </w:p>
    <w:p>
      <w:pPr>
        <w:spacing w:after="0" w:line="198" w:lineRule="exact"/>
        <w:rPr>
          <w:rFonts w:ascii="Arial" w:cs="Arial" w:eastAsia="Arial" w:hAnsi="Arial"/>
          <w:sz w:val="18"/>
          <w:szCs w:val="18"/>
          <w:color w:val="auto"/>
        </w:rPr>
      </w:pPr>
    </w:p>
    <w:p>
      <w:pPr>
        <w:ind w:left="640" w:right="680" w:hanging="18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initial public offering price of $11.00 per share, which is the midpoint of the estimated offering price range on the cover page of this prospectus; and</w:t>
      </w:r>
    </w:p>
    <w:p>
      <w:pPr>
        <w:spacing w:after="0" w:line="129" w:lineRule="exact"/>
        <w:rPr>
          <w:rFonts w:ascii="Arial" w:cs="Arial" w:eastAsia="Arial" w:hAnsi="Arial"/>
          <w:sz w:val="18"/>
          <w:szCs w:val="18"/>
          <w:color w:val="auto"/>
        </w:rPr>
      </w:pPr>
    </w:p>
    <w:p>
      <w:pPr>
        <w:ind w:left="640" w:hanging="18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underwriters do not exercise their over-allotment option.</w:t>
      </w:r>
    </w:p>
    <w:p>
      <w:pPr>
        <w:spacing w:after="0" w:line="117"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In addition, unless otherwise indicated, this prospectus reflects and assumes that a number of actions will be completed in connection with the closing of this offering, which we refer to as the “IPO Transactions.” These actions include the following:</w:t>
      </w:r>
    </w:p>
    <w:p>
      <w:pPr>
        <w:spacing w:after="0" w:line="130" w:lineRule="exact"/>
        <w:rPr>
          <w:sz w:val="20"/>
          <w:szCs w:val="20"/>
          <w:color w:val="auto"/>
        </w:rPr>
      </w:pPr>
    </w:p>
    <w:p>
      <w:pPr>
        <w:ind w:left="640" w:right="640" w:hanging="18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our Sixth Amended and Restated Articles of Association (the “amended Articles”), immediately upon the closing of this offering, to replace the current Articles;</w:t>
      </w:r>
    </w:p>
    <w:p>
      <w:pPr>
        <w:spacing w:after="0" w:line="129" w:lineRule="exact"/>
        <w:rPr>
          <w:rFonts w:ascii="Arial" w:cs="Arial" w:eastAsia="Arial" w:hAnsi="Arial"/>
          <w:sz w:val="18"/>
          <w:szCs w:val="18"/>
          <w:color w:val="auto"/>
        </w:rPr>
      </w:pPr>
    </w:p>
    <w:p>
      <w:pPr>
        <w:ind w:left="640" w:right="340" w:hanging="18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1-for-89.5 split of our ordinary shares that will be effected immediately following the pricing of this offering (which ordinary share split is not reflected in our historical financial statements included in this prospectus);</w:t>
      </w:r>
    </w:p>
    <w:p>
      <w:pPr>
        <w:spacing w:after="0" w:line="143" w:lineRule="exact"/>
        <w:rPr>
          <w:rFonts w:ascii="Arial" w:cs="Arial" w:eastAsia="Arial" w:hAnsi="Arial"/>
          <w:sz w:val="18"/>
          <w:szCs w:val="18"/>
          <w:color w:val="auto"/>
        </w:rPr>
      </w:pPr>
    </w:p>
    <w:p>
      <w:pPr>
        <w:ind w:left="640" w:right="240" w:hanging="182"/>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all of our issued and outstanding Series A preferred shares, par value NIS 0.01 per share, into 914,869 of our ordinary shares, par value NIS 0.0001117, upon the closing of this offering, as provided in our current Articles; the automatic conversion of all of our issued and outstanding Series B preferred shares, par value NIS 0.01 per share, into 1,278,344 of our ordinary shares, par value NIS 0.0001117, upon the closing of this offering, as provided in our current Articles; the automatic conversion of all of our issued and outstanding Series B-1 Preferred Shares, par value NIS 0.01 per share, into 1,184,000 of our ordinary shares, par value NIS 0.0001117, upon the closing of this offering, as provided in our current Articles; and</w:t>
      </w:r>
    </w:p>
    <w:p>
      <w:pPr>
        <w:spacing w:after="0" w:line="137" w:lineRule="exact"/>
        <w:rPr>
          <w:rFonts w:ascii="Arial" w:cs="Arial" w:eastAsia="Arial" w:hAnsi="Arial"/>
          <w:sz w:val="17"/>
          <w:szCs w:val="17"/>
          <w:color w:val="auto"/>
        </w:rPr>
      </w:pPr>
    </w:p>
    <w:p>
      <w:pPr>
        <w:ind w:left="640" w:right="520" w:hanging="182"/>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all outstanding convertible loans under the Convertible Financing Agreements to which we are a party into 428,348 of our ordinary shares immediately prior to the closing of this offering, as described below in “Certain Relationships and Related Party Transactions”;</w:t>
      </w:r>
    </w:p>
    <w:p>
      <w:pPr>
        <w:spacing w:after="0" w:line="140" w:lineRule="exact"/>
        <w:rPr>
          <w:rFonts w:ascii="Arial" w:cs="Arial" w:eastAsia="Arial" w:hAnsi="Arial"/>
          <w:sz w:val="18"/>
          <w:szCs w:val="18"/>
          <w:color w:val="auto"/>
        </w:rPr>
      </w:pPr>
    </w:p>
    <w:p>
      <w:pPr>
        <w:ind w:left="640" w:right="360" w:hanging="182"/>
        <w:spacing w:after="0" w:line="286"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issuance of options to purchase 266,800 ordinary shares at a weighted average exercise price of $5.36 and warrants to purchase 66,858 ordinary shares at a weighted average exercise price of $5.36 granted to certain holders of our Series A preferred shares upon the closing of this offering, as described below in “Certain Relationships and Related Party Transactions;</w:t>
      </w:r>
    </w:p>
    <w:p>
      <w:pPr>
        <w:spacing w:after="0" w:line="138" w:lineRule="exact"/>
        <w:rPr>
          <w:rFonts w:ascii="Arial" w:cs="Arial" w:eastAsia="Arial" w:hAnsi="Arial"/>
          <w:sz w:val="17"/>
          <w:szCs w:val="17"/>
          <w:color w:val="auto"/>
        </w:rPr>
      </w:pPr>
    </w:p>
    <w:p>
      <w:pPr>
        <w:ind w:left="640" w:right="280" w:hanging="182"/>
        <w:spacing w:after="0" w:line="273"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automatic conversion of warrants to purchase 2,554 of our Series A preferred shares, at an exercise price of $479.38 per share, into warrants to purchase 228,583 of our ordinary shares, at an exercise price of $5.36 per share; the automatic conversion of warrants to purchase 5,818 of our Series B preferred shares, at an exercise price of $908.78 per share, into warrants to purchase 520,716 of our ordinary shares, at an exercise price of $10.15 per share; and the automatic conversion of warrants to purchase 3,594 of our Series B-1 preferred shares, at an exercise price of $681.585 per share, into warrants to purchase 321,664 of our ordinary shares, at an exercise price of $7.62 per share, all upon the closing of this offering, as described below in “Description of Share Capital — Warrants.”</w:t>
      </w:r>
    </w:p>
    <w:p>
      <w:pPr>
        <w:sectPr>
          <w:pgSz w:w="11900" w:h="16838" w:orient="portrait"/>
          <w:cols w:equalWidth="0" w:num="1">
            <w:col w:w="11080"/>
          </w:cols>
          <w:pgMar w:left="240" w:top="13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32" w:right="57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SUMMARY FINANCIAL DATA</w:t>
      </w:r>
    </w:p>
    <w:p>
      <w:pPr>
        <w:spacing w:after="0" w:line="98" w:lineRule="exact"/>
        <w:rPr>
          <w:sz w:val="20"/>
          <w:szCs w:val="20"/>
          <w:color w:val="auto"/>
        </w:rPr>
      </w:pPr>
    </w:p>
    <w:p>
      <w:pPr>
        <w:jc w:val="both"/>
        <w:ind w:left="280" w:right="20"/>
        <w:spacing w:after="0" w:line="279" w:lineRule="auto"/>
        <w:rPr>
          <w:sz w:val="20"/>
          <w:szCs w:val="20"/>
          <w:color w:val="auto"/>
        </w:rPr>
      </w:pPr>
      <w:r>
        <w:rPr>
          <w:rFonts w:ascii="Arial" w:cs="Arial" w:eastAsia="Arial" w:hAnsi="Arial"/>
          <w:sz w:val="17"/>
          <w:szCs w:val="17"/>
          <w:color w:val="auto"/>
        </w:rPr>
        <w:t>The following tables set forth summary financial and other data. You should read the following summary financial and other data in conjunction with “Presentation of Financial Information,”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63" w:lineRule="exact"/>
        <w:rPr>
          <w:sz w:val="20"/>
          <w:szCs w:val="20"/>
          <w:color w:val="auto"/>
        </w:rPr>
      </w:pPr>
    </w:p>
    <w:p>
      <w:pPr>
        <w:ind w:left="280" w:right="220"/>
        <w:spacing w:after="0" w:line="279" w:lineRule="auto"/>
        <w:rPr>
          <w:sz w:val="20"/>
          <w:szCs w:val="20"/>
          <w:color w:val="auto"/>
        </w:rPr>
      </w:pPr>
      <w:r>
        <w:rPr>
          <w:rFonts w:ascii="Arial" w:cs="Arial" w:eastAsia="Arial" w:hAnsi="Arial"/>
          <w:sz w:val="17"/>
          <w:szCs w:val="17"/>
          <w:color w:val="auto"/>
        </w:rPr>
        <w:t>The summary statements of comprehensive loss data for each of the nine month periods ended September 30, 2017 and 2016 and the statement of financial position data as of September 30, 2017 are derived from our unaudited condensed interim financial statements, each included elsewhere in this prospectus. The summary statements of comprehensive loss data for each of the years in the two-year period ended December 31, 2016 are derived from our audited financial statements included elsewhere in this prospectus.</w:t>
      </w:r>
    </w:p>
    <w:p>
      <w:pPr>
        <w:spacing w:after="0" w:line="82"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4"/>
              </w:rPr>
              <w:t>(audited)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40" w:type="dxa"/>
            <w:vAlign w:val="bottom"/>
            <w:gridSpan w:val="9"/>
          </w:tcPr>
          <w:p>
            <w:pPr>
              <w:jc w:val="right"/>
              <w:ind w:right="660"/>
              <w:spacing w:after="0"/>
              <w:rPr>
                <w:sz w:val="20"/>
                <w:szCs w:val="20"/>
                <w:color w:val="auto"/>
              </w:rPr>
            </w:pPr>
            <w:r>
              <w:rPr>
                <w:rFonts w:ascii="Arial" w:cs="Arial" w:eastAsia="Arial" w:hAnsi="Arial"/>
                <w:sz w:val="14"/>
                <w:szCs w:val="14"/>
                <w:color w:val="auto"/>
                <w:w w:val="96"/>
              </w:rPr>
              <w:t>(In thousands, except shares and per share data)</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2,648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operating loss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5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Financial (income) expenses:</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20" w:type="dxa"/>
            <w:vAlign w:val="bottom"/>
            <w:gridSpan w:val="3"/>
          </w:tcPr>
          <w:p>
            <w:pPr>
              <w:spacing w:after="0"/>
              <w:rPr>
                <w:sz w:val="20"/>
                <w:szCs w:val="20"/>
                <w:color w:val="auto"/>
              </w:rPr>
            </w:pPr>
            <w:r>
              <w:rPr>
                <w:rFonts w:ascii="Arial" w:cs="Arial" w:eastAsia="Arial" w:hAnsi="Arial"/>
                <w:sz w:val="18"/>
                <w:szCs w:val="18"/>
                <w:color w:val="auto"/>
              </w:rPr>
              <w:t>(Income) loss from change in fair value of financial liabilities at fair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ind w:left="18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(3,917)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financial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3"/>
          </w:tcPr>
          <w:p>
            <w:pPr>
              <w:spacing w:after="0"/>
              <w:rPr>
                <w:sz w:val="20"/>
                <w:szCs w:val="20"/>
                <w:color w:val="auto"/>
              </w:rPr>
            </w:pPr>
            <w:r>
              <w:rPr>
                <w:rFonts w:ascii="Arial" w:cs="Arial" w:eastAsia="Arial" w:hAnsi="Arial"/>
                <w:sz w:val="18"/>
                <w:szCs w:val="18"/>
                <w:color w:val="auto"/>
              </w:rPr>
              <w:t>Financial (income) expenses, net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(3,805)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Loss per ordinary share(1)</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computing loss</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 share(1)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34,396</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34,409</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34,396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37,098</w:t>
            </w: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51,958</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51,972</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34,396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5620" w:type="dxa"/>
            <w:vAlign w:val="bottom"/>
            <w:gridSpan w:val="3"/>
          </w:tcPr>
          <w:p>
            <w:pPr>
              <w:spacing w:after="0"/>
              <w:rPr>
                <w:sz w:val="20"/>
                <w:szCs w:val="20"/>
                <w:color w:val="auto"/>
              </w:rPr>
            </w:pPr>
            <w:r>
              <w:rPr>
                <w:rFonts w:ascii="Arial" w:cs="Arial" w:eastAsia="Arial" w:hAnsi="Arial"/>
                <w:sz w:val="18"/>
                <w:szCs w:val="18"/>
                <w:color w:val="auto"/>
              </w:rPr>
              <w:t>Pro forma loss per ordinary share(2) (unaudited)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computing</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pro forma loss per share(2) (unaudited)</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5,618,943</w:t>
            </w: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5,071,663</w:t>
            </w: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5,847,526</w:t>
            </w: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5,955,543</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80" w:type="dxa"/>
            <w:vAlign w:val="bottom"/>
            <w:tcBorders>
              <w:bottom w:val="single" w:sz="8" w:color="auto"/>
            </w:tcBorders>
          </w:tcPr>
          <w:p>
            <w:pPr>
              <w:spacing w:after="0"/>
              <w:rPr>
                <w:sz w:val="22"/>
                <w:szCs w:val="22"/>
                <w:color w:val="auto"/>
              </w:rPr>
            </w:pP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right="360" w:hanging="362"/>
        <w:spacing w:after="0" w:line="277"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Basic and diluted loss per ordinary share in 2015 are the same because the financial instruments as described in the financial statements are excluded from the calculation, since their effect was anti-dilutive. See Note 13 to our financial statements included elsewhere in this prospectus for further details on the calculation of basic and diluted loss per ordinary share.</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074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807402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right="300" w:hanging="362"/>
        <w:spacing w:after="0" w:line="308" w:lineRule="auto"/>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 forma basic and diluted loss per ordinary share give effect to the 1-for-89.5 ordinary share split described in this prospectus and the assumed conversion of our outstanding convertible loans and preferred shares into ordinary shares upon the closing of this offering, but not the exercise of any outstanding options or warrants, as though the conversion had occurred as of the beginning of the period or the original date of issuance, if later, and do not reflect the issuance of shares in connection with this offering.</w:t>
      </w:r>
    </w:p>
    <w:p>
      <w:pPr>
        <w:spacing w:after="0" w:line="82"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6"/>
          </w:tcPr>
          <w:p>
            <w:pPr>
              <w:jc w:val="center"/>
              <w:ind w:left="152"/>
              <w:spacing w:after="0"/>
              <w:rPr>
                <w:sz w:val="20"/>
                <w:szCs w:val="20"/>
                <w:color w:val="auto"/>
              </w:rPr>
            </w:pPr>
            <w:r>
              <w:rPr>
                <w:rFonts w:ascii="Arial" w:cs="Arial" w:eastAsia="Arial" w:hAnsi="Arial"/>
                <w:sz w:val="14"/>
                <w:szCs w:val="14"/>
                <w:b w:val="1"/>
                <w:bCs w:val="1"/>
                <w:color w:val="auto"/>
                <w:w w:val="91"/>
              </w:rPr>
              <w:t>As of September 30, 2017</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6"/>
        </w:trPr>
        <w:tc>
          <w:tcPr>
            <w:tcW w:w="2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r>
      <w:tr>
        <w:trPr>
          <w:trHeight w:val="173"/>
        </w:trPr>
        <w:tc>
          <w:tcPr>
            <w:tcW w:w="25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center"/>
              <w:ind w:left="120"/>
              <w:spacing w:after="0"/>
              <w:rPr>
                <w:sz w:val="20"/>
                <w:szCs w:val="20"/>
                <w:color w:val="auto"/>
              </w:rPr>
            </w:pPr>
            <w:r>
              <w:rPr>
                <w:rFonts w:ascii="Arial" w:cs="Arial" w:eastAsia="Arial" w:hAnsi="Arial"/>
                <w:sz w:val="14"/>
                <w:szCs w:val="14"/>
                <w:b w:val="1"/>
                <w:bCs w:val="1"/>
                <w:color w:val="auto"/>
                <w:w w:val="93"/>
              </w:rPr>
              <w:t>Pro forma as</w:t>
            </w:r>
          </w:p>
        </w:tc>
        <w:tc>
          <w:tcPr>
            <w:tcW w:w="1760" w:type="dxa"/>
            <w:vAlign w:val="bottom"/>
            <w:gridSpan w:val="4"/>
          </w:tcPr>
          <w:p>
            <w:pPr>
              <w:jc w:val="center"/>
              <w:ind w:left="37"/>
              <w:spacing w:after="0"/>
              <w:rPr>
                <w:sz w:val="20"/>
                <w:szCs w:val="20"/>
                <w:color w:val="auto"/>
              </w:rPr>
            </w:pPr>
            <w:r>
              <w:rPr>
                <w:rFonts w:ascii="Arial" w:cs="Arial" w:eastAsia="Arial" w:hAnsi="Arial"/>
                <w:sz w:val="14"/>
                <w:szCs w:val="14"/>
                <w:b w:val="1"/>
                <w:bCs w:val="1"/>
                <w:color w:val="auto"/>
                <w:w w:val="93"/>
              </w:rPr>
              <w:t>Pro forma as</w:t>
            </w:r>
          </w:p>
        </w:tc>
      </w:tr>
      <w:tr>
        <w:trPr>
          <w:trHeight w:val="186"/>
        </w:trPr>
        <w:tc>
          <w:tcPr>
            <w:tcW w:w="2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Actual</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Pro forma(1)</w:t>
            </w:r>
          </w:p>
        </w:tc>
        <w:tc>
          <w:tcPr>
            <w:tcW w:w="1640" w:type="dxa"/>
            <w:vAlign w:val="bottom"/>
            <w:gridSpan w:val="4"/>
          </w:tcPr>
          <w:p>
            <w:pPr>
              <w:jc w:val="center"/>
              <w:ind w:left="160"/>
              <w:spacing w:after="0"/>
              <w:rPr>
                <w:sz w:val="20"/>
                <w:szCs w:val="20"/>
                <w:color w:val="auto"/>
              </w:rPr>
            </w:pPr>
            <w:r>
              <w:rPr>
                <w:rFonts w:ascii="Arial" w:cs="Arial" w:eastAsia="Arial" w:hAnsi="Arial"/>
                <w:sz w:val="14"/>
                <w:szCs w:val="14"/>
                <w:b w:val="1"/>
                <w:bCs w:val="1"/>
                <w:color w:val="auto"/>
                <w:w w:val="93"/>
              </w:rPr>
              <w:t>Adjusted(2)</w:t>
            </w:r>
          </w:p>
        </w:tc>
        <w:tc>
          <w:tcPr>
            <w:tcW w:w="1760" w:type="dxa"/>
            <w:vAlign w:val="bottom"/>
            <w:gridSpan w:val="4"/>
          </w:tcPr>
          <w:p>
            <w:pPr>
              <w:jc w:val="center"/>
              <w:ind w:left="77"/>
              <w:spacing w:after="0"/>
              <w:rPr>
                <w:sz w:val="20"/>
                <w:szCs w:val="20"/>
                <w:color w:val="auto"/>
              </w:rPr>
            </w:pPr>
            <w:r>
              <w:rPr>
                <w:rFonts w:ascii="Arial" w:cs="Arial" w:eastAsia="Arial" w:hAnsi="Arial"/>
                <w:sz w:val="14"/>
                <w:szCs w:val="14"/>
                <w:b w:val="1"/>
                <w:bCs w:val="1"/>
                <w:color w:val="auto"/>
                <w:w w:val="95"/>
              </w:rPr>
              <w:t>Further Adjusted(3)</w:t>
            </w:r>
          </w:p>
        </w:tc>
      </w:tr>
      <w:tr>
        <w:trPr>
          <w:trHeight w:val="26"/>
        </w:trPr>
        <w:tc>
          <w:tcPr>
            <w:tcW w:w="2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3"/>
        </w:trPr>
        <w:tc>
          <w:tcPr>
            <w:tcW w:w="25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center"/>
              <w:ind w:right="600"/>
              <w:spacing w:after="0"/>
              <w:rPr>
                <w:sz w:val="20"/>
                <w:szCs w:val="20"/>
                <w:color w:val="auto"/>
              </w:rPr>
            </w:pPr>
            <w:r>
              <w:rPr>
                <w:rFonts w:ascii="Arial" w:cs="Arial" w:eastAsia="Arial" w:hAnsi="Arial"/>
                <w:sz w:val="14"/>
                <w:szCs w:val="14"/>
                <w:color w:val="auto"/>
                <w:w w:val="93"/>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57"/>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Statements of financial position data:</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5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2,899</w:t>
            </w:r>
          </w:p>
        </w:tc>
        <w:tc>
          <w:tcPr>
            <w:tcW w:w="3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$ 13,735</w:t>
            </w:r>
          </w:p>
        </w:tc>
        <w:tc>
          <w:tcPr>
            <w:tcW w:w="1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13,735</w:t>
            </w:r>
          </w:p>
        </w:tc>
        <w:tc>
          <w:tcPr>
            <w:tcW w:w="4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63,760</w:t>
            </w:r>
          </w:p>
        </w:tc>
        <w:tc>
          <w:tcPr>
            <w:tcW w:w="500" w:type="dxa"/>
            <w:vAlign w:val="bottom"/>
          </w:tcPr>
          <w:p>
            <w:pPr>
              <w:spacing w:after="0"/>
              <w:rPr>
                <w:sz w:val="22"/>
                <w:szCs w:val="22"/>
                <w:color w:val="auto"/>
              </w:rPr>
            </w:pPr>
          </w:p>
        </w:tc>
      </w:tr>
      <w:tr>
        <w:trPr>
          <w:trHeight w:val="257"/>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deposits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22"/>
                <w:szCs w:val="22"/>
                <w:color w:val="auto"/>
              </w:rPr>
            </w:pPr>
          </w:p>
        </w:tc>
      </w:tr>
      <w:tr>
        <w:trPr>
          <w:trHeight w:val="264"/>
        </w:trPr>
        <w:tc>
          <w:tcPr>
            <w:tcW w:w="5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4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500" w:type="dxa"/>
            <w:vAlign w:val="bottom"/>
            <w:tcBorders>
              <w:bottom w:val="single" w:sz="8" w:color="CCEEFF"/>
            </w:tcBorders>
          </w:tcPr>
          <w:p>
            <w:pPr>
              <w:spacing w:after="0"/>
              <w:rPr>
                <w:sz w:val="22"/>
                <w:szCs w:val="22"/>
                <w:color w:val="auto"/>
              </w:rPr>
            </w:pPr>
          </w:p>
        </w:tc>
      </w:tr>
      <w:tr>
        <w:trPr>
          <w:trHeight w:val="264"/>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14,187</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64,212</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257"/>
        </w:trPr>
        <w:tc>
          <w:tcPr>
            <w:tcW w:w="528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22"/>
                <w:szCs w:val="22"/>
                <w:color w:val="auto"/>
              </w:rPr>
            </w:pPr>
          </w:p>
        </w:tc>
      </w:tr>
      <w:tr>
        <w:trPr>
          <w:trHeight w:val="264"/>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304"/>
        </w:trPr>
        <w:tc>
          <w:tcPr>
            <w:tcW w:w="5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$ 15,056</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15,056</w:t>
            </w:r>
          </w:p>
        </w:tc>
        <w:tc>
          <w:tcPr>
            <w:tcW w:w="4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65,081</w:t>
            </w:r>
          </w:p>
        </w:tc>
        <w:tc>
          <w:tcPr>
            <w:tcW w:w="500" w:type="dxa"/>
            <w:vAlign w:val="bottom"/>
            <w:tcBorders>
              <w:bottom w:val="single" w:sz="8" w:color="CCEEFF"/>
            </w:tcBorders>
          </w:tcPr>
          <w:p>
            <w:pPr>
              <w:spacing w:after="0"/>
              <w:rPr>
                <w:sz w:val="24"/>
                <w:szCs w:val="24"/>
                <w:color w:val="auto"/>
              </w:rPr>
            </w:pPr>
          </w:p>
        </w:tc>
      </w:tr>
      <w:tr>
        <w:trPr>
          <w:trHeight w:val="230"/>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 Trade and other</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500" w:type="dxa"/>
            <w:vAlign w:val="bottom"/>
            <w:shd w:val="clear" w:color="auto" w:fill="CCEEFF"/>
          </w:tcPr>
          <w:p>
            <w:pPr>
              <w:spacing w:after="0"/>
              <w:rPr>
                <w:sz w:val="20"/>
                <w:szCs w:val="20"/>
                <w:color w:val="auto"/>
              </w:rPr>
            </w:pPr>
          </w:p>
        </w:tc>
      </w:tr>
      <w:tr>
        <w:trPr>
          <w:trHeight w:val="250"/>
        </w:trPr>
        <w:tc>
          <w:tcPr>
            <w:tcW w:w="5280" w:type="dxa"/>
            <w:vAlign w:val="bottom"/>
            <w:gridSpan w:val="3"/>
          </w:tcPr>
          <w:p>
            <w:pPr>
              <w:spacing w:after="0"/>
              <w:rPr>
                <w:sz w:val="20"/>
                <w:szCs w:val="20"/>
                <w:color w:val="auto"/>
              </w:rPr>
            </w:pPr>
            <w:r>
              <w:rPr>
                <w:rFonts w:ascii="Arial" w:cs="Arial" w:eastAsia="Arial" w:hAnsi="Arial"/>
                <w:sz w:val="18"/>
                <w:szCs w:val="18"/>
                <w:color w:val="auto"/>
              </w:rPr>
              <w:t>Receipts on account of sale of Series B preferred shares</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r>
      <w:tr>
        <w:trPr>
          <w:trHeight w:val="270"/>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convertible loans</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11,695</w:t>
            </w:r>
          </w:p>
        </w:tc>
        <w:tc>
          <w:tcPr>
            <w:tcW w:w="3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r>
      <w:tr>
        <w:trPr>
          <w:trHeight w:val="264"/>
        </w:trPr>
        <w:tc>
          <w:tcPr>
            <w:tcW w:w="5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14,273</w:t>
            </w:r>
          </w:p>
        </w:tc>
        <w:tc>
          <w:tcPr>
            <w:tcW w:w="3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4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500" w:type="dxa"/>
            <w:vAlign w:val="bottom"/>
            <w:tcBorders>
              <w:bottom w:val="single" w:sz="8" w:color="CCEEFF"/>
            </w:tcBorders>
          </w:tcPr>
          <w:p>
            <w:pPr>
              <w:spacing w:after="0"/>
              <w:rPr>
                <w:sz w:val="22"/>
                <w:szCs w:val="22"/>
                <w:color w:val="auto"/>
              </w:rPr>
            </w:pPr>
          </w:p>
        </w:tc>
      </w:tr>
      <w:tr>
        <w:trPr>
          <w:trHeight w:val="257"/>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convertible loans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3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r>
      <w:tr>
        <w:trPr>
          <w:trHeight w:val="257"/>
        </w:trPr>
        <w:tc>
          <w:tcPr>
            <w:tcW w:w="5280" w:type="dxa"/>
            <w:vAlign w:val="bottom"/>
            <w:gridSpan w:val="3"/>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8,841</w:t>
            </w:r>
          </w:p>
        </w:tc>
        <w:tc>
          <w:tcPr>
            <w:tcW w:w="3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33,517</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r>
      <w:tr>
        <w:trPr>
          <w:trHeight w:val="257"/>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to purchase preferred shares and shares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3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r>
      <w:tr>
        <w:trPr>
          <w:trHeight w:val="257"/>
        </w:trPr>
        <w:tc>
          <w:tcPr>
            <w:tcW w:w="5280" w:type="dxa"/>
            <w:vAlign w:val="bottom"/>
            <w:gridSpan w:val="3"/>
          </w:tcPr>
          <w:p>
            <w:pPr>
              <w:spacing w:after="0"/>
              <w:rPr>
                <w:sz w:val="20"/>
                <w:szCs w:val="20"/>
                <w:color w:val="auto"/>
              </w:rPr>
            </w:pPr>
            <w:r>
              <w:rPr>
                <w:rFonts w:ascii="Arial" w:cs="Arial" w:eastAsia="Arial" w:hAnsi="Arial"/>
                <w:sz w:val="18"/>
                <w:szCs w:val="18"/>
                <w:color w:val="auto"/>
              </w:rPr>
              <w:t>Liability to issue preferred shares and warrants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r>
      <w:tr>
        <w:trPr>
          <w:trHeight w:val="264"/>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 obligations, net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304"/>
        </w:trPr>
        <w:tc>
          <w:tcPr>
            <w:tcW w:w="52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32,856</w:t>
            </w: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$ 44,759</w:t>
            </w: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4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500" w:type="dxa"/>
            <w:vAlign w:val="bottom"/>
            <w:tcBorders>
              <w:bottom w:val="single" w:sz="8" w:color="CCEEFF"/>
            </w:tcBorders>
          </w:tcPr>
          <w:p>
            <w:pPr>
              <w:spacing w:after="0"/>
              <w:rPr>
                <w:sz w:val="24"/>
                <w:szCs w:val="24"/>
                <w:color w:val="auto"/>
              </w:rPr>
            </w:pPr>
          </w:p>
        </w:tc>
      </w:tr>
      <w:tr>
        <w:trPr>
          <w:trHeight w:val="237"/>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(capital deficiency)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(28,636)</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13,697</w:t>
            </w: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63,722</w:t>
            </w:r>
          </w:p>
        </w:tc>
        <w:tc>
          <w:tcPr>
            <w:tcW w:w="500" w:type="dxa"/>
            <w:vAlign w:val="bottom"/>
            <w:shd w:val="clear" w:color="auto" w:fill="CCEEFF"/>
          </w:tcPr>
          <w:p>
            <w:pPr>
              <w:spacing w:after="0"/>
              <w:rPr>
                <w:sz w:val="20"/>
                <w:szCs w:val="20"/>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Working capital(4)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(10,922)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$ 12,884</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12,884</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62,909</w:t>
            </w:r>
          </w:p>
        </w:tc>
        <w:tc>
          <w:tcPr>
            <w:tcW w:w="500" w:type="dxa"/>
            <w:vAlign w:val="bottom"/>
          </w:tcPr>
          <w:p>
            <w:pPr>
              <w:spacing w:after="0"/>
              <w:rPr>
                <w:sz w:val="20"/>
                <w:szCs w:val="20"/>
                <w:color w:val="auto"/>
              </w:rPr>
            </w:pPr>
          </w:p>
        </w:tc>
      </w:tr>
      <w:tr>
        <w:trPr>
          <w:trHeight w:val="20"/>
        </w:trPr>
        <w:tc>
          <w:tcPr>
            <w:tcW w:w="2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1"/>
        </w:trPr>
        <w:tc>
          <w:tcPr>
            <w:tcW w:w="2580" w:type="dxa"/>
            <w:vAlign w:val="bottom"/>
            <w:tcBorders>
              <w:bottom w:val="single" w:sz="8" w:color="auto"/>
            </w:tcBorders>
          </w:tcPr>
          <w:p>
            <w:pPr>
              <w:spacing w:after="0"/>
              <w:rPr>
                <w:sz w:val="21"/>
                <w:szCs w:val="21"/>
                <w:color w:val="auto"/>
              </w:rPr>
            </w:pPr>
          </w:p>
        </w:tc>
        <w:tc>
          <w:tcPr>
            <w:tcW w:w="2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211" w:lineRule="exact"/>
        <w:rPr>
          <w:sz w:val="20"/>
          <w:szCs w:val="20"/>
          <w:color w:val="auto"/>
        </w:rPr>
      </w:pPr>
    </w:p>
    <w:p>
      <w:pPr>
        <w:ind w:left="640" w:hanging="362"/>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amounts give effect to the Recent Developments Transactions as described in “Summary — Recent Developments.”</w:t>
      </w:r>
    </w:p>
    <w:p>
      <w:pPr>
        <w:spacing w:after="0" w:line="190" w:lineRule="exact"/>
        <w:rPr>
          <w:rFonts w:ascii="Arial" w:cs="Arial" w:eastAsia="Arial" w:hAnsi="Arial"/>
          <w:sz w:val="14"/>
          <w:szCs w:val="14"/>
          <w:color w:val="auto"/>
        </w:rPr>
      </w:pPr>
    </w:p>
    <w:p>
      <w:pPr>
        <w:ind w:left="640" w:hanging="362"/>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as adjusted amounts give effect to the Recent Developments Transactions and IPO Transactions as described in “Summary — The Offering.”</w:t>
      </w:r>
    </w:p>
    <w:p>
      <w:pPr>
        <w:spacing w:after="0" w:line="190" w:lineRule="exact"/>
        <w:rPr>
          <w:rFonts w:ascii="Arial" w:cs="Arial" w:eastAsia="Arial" w:hAnsi="Arial"/>
          <w:sz w:val="14"/>
          <w:szCs w:val="14"/>
          <w:color w:val="auto"/>
        </w:rPr>
      </w:pPr>
    </w:p>
    <w:p>
      <w:pPr>
        <w:ind w:left="640" w:right="580" w:hanging="362"/>
        <w:spacing w:after="0" w:line="308"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 forma as further adjusted amounts give effect to (a) the IPO Transactions (b) the Recent Developments Transactions and (c) our sale of 5,000,000 ordinary shares at an assumed initial public offering price of $11.00 per ordinary share, which is the midpoint of the estimated offering price range on the cover page of this prospectus, and after deducting the estimated underwriting discounts and commissions and estimated offering expenses payable by us (of which $106,000 was paid as of September 30, 2017).</w:t>
      </w:r>
    </w:p>
    <w:p>
      <w:pPr>
        <w:spacing w:after="0" w:line="126" w:lineRule="exact"/>
        <w:rPr>
          <w:rFonts w:ascii="Arial" w:cs="Arial" w:eastAsia="Arial" w:hAnsi="Arial"/>
          <w:sz w:val="13"/>
          <w:szCs w:val="13"/>
          <w:color w:val="auto"/>
        </w:rPr>
      </w:pPr>
    </w:p>
    <w:p>
      <w:pPr>
        <w:ind w:left="640" w:hanging="362"/>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Working capital is defined as total current assets minus total current liabilities.</w:t>
      </w:r>
    </w:p>
    <w:p>
      <w:pPr>
        <w:sectPr>
          <w:pgSz w:w="11900" w:h="16838" w:orient="portrait"/>
          <w:cols w:equalWidth="0" w:num="1">
            <w:col w:w="11140"/>
          </w:cols>
          <w:pgMar w:left="240" w:top="13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Any investment in our securities involves a high degree of risk. You should consider carefully the risks described below and all other information contained in this prospectus before you make a decision to invest in our ordinary shares. If any of the following risks actually occurs, our business, prospects, financial condition and results of operations could be materially and adversely affected. In that event, the trading price of our ordinary shares could decline, and you might lose all or part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9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b w:val="1"/>
          <w:bCs w:val="1"/>
          <w:color w:val="auto"/>
        </w:rPr>
        <w:t>We are a research and development stage company with a history of operating losses and negative cash flow, and we may never achieve or maintain profitability.</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research and development stage company with no revenues from our research and development activities. Consequently, we have incurred net losses and negative cash flows since our inception in 2009, including operating losses of $4.1 million and $7.0 million for the nine months ended September 30, 2016 and 2017, respectively, and $3.7 million and $5.4 million for the years ended December 31, 2015 and 2016. As of September 30, 2017, we had an accumulated deficit of $38.0 million.</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audited financial statements for the year ended December 31, 2016 and our unaudited condensed interim financial statements for the nine months ended September 30, 2017, each included elsewhere in this prospectus, note that there is substantial doubt about our ability to continue as a going concern, absent sources of additional liquidity. From October to December 2017, we raised $13.0 million from sales of our Series B preferred shares. In order to fund further operations, we may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have no product revenues and may not succeed in developing or commercializing any products that could generate revenues.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In addition, development of our product candidates requires a process of preclinical and clinical testing, during which our products could fail. We may not be able to enter into agreements with one or more companies experienced in the manufacturing and marketing of therapeutic drugs and, to the extent that we are unable to do so, we will not be able to market our product candidates. Our eventual profitability will depend on our success in developing, manufacturing, and marketing our product candidates, and we cannot assure you that we will be able to achieve profitability in the future.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the EMA or other regulators to perform trials in addition to those that we currently expect to perform, or if there are any delays in completing our currently planned clinical trials or in the development of any of our product candidates.</w:t>
      </w:r>
    </w:p>
    <w:p>
      <w:pPr>
        <w:spacing w:after="0" w:line="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market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66" w:lineRule="exact"/>
        <w:rPr>
          <w:sz w:val="20"/>
          <w:szCs w:val="20"/>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for which we complete clinical trials;</w:t>
      </w:r>
    </w:p>
    <w:p>
      <w:pPr>
        <w:spacing w:after="0" w:line="130" w:lineRule="exact"/>
        <w:rPr>
          <w:rFonts w:ascii="Arial" w:cs="Arial" w:eastAsia="Arial" w:hAnsi="Arial"/>
          <w:sz w:val="18"/>
          <w:szCs w:val="18"/>
          <w:color w:val="auto"/>
        </w:rPr>
      </w:pPr>
    </w:p>
    <w:p>
      <w:pPr>
        <w:ind w:left="360" w:right="480" w:hanging="172"/>
        <w:spacing w:after="0" w:line="264"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00"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either directly or with a collaborator or distributor;</w:t>
      </w:r>
    </w:p>
    <w:p>
      <w:pPr>
        <w:spacing w:after="0" w:line="142" w:lineRule="exact"/>
        <w:rPr>
          <w:rFonts w:ascii="Arial" w:cs="Arial" w:eastAsia="Arial" w:hAnsi="Arial"/>
          <w:sz w:val="17"/>
          <w:szCs w:val="17"/>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in the United States;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for any of our product candidates that receive marketing approval, if any, as viable treatment options;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44" w:lineRule="exact"/>
        <w:rPr>
          <w:rFonts w:ascii="Arial" w:cs="Arial" w:eastAsia="Arial" w:hAnsi="Arial"/>
          <w:sz w:val="18"/>
          <w:szCs w:val="18"/>
          <w:color w:val="auto"/>
        </w:rPr>
      </w:pPr>
    </w:p>
    <w:p>
      <w:pPr>
        <w:ind w:left="360" w:right="440" w:hanging="172"/>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 and</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7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b w:val="1"/>
          <w:bCs w:val="1"/>
          <w:color w:val="auto"/>
        </w:rPr>
        <w:t>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w:t>
      </w:r>
    </w:p>
    <w:p>
      <w:pPr>
        <w:spacing w:after="0" w:line="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we anticipate that our available resources, excluding the proceeds from this offering, will be sufficient to meet our anticipated working capital needs for at least the next six months, we believe that we would need to raise approximately $12.0 million in additional funds in order to fund our operations for the next 12 months, mainly to support our research and development programs for EB612 and EB613. We anticipate that our current resources, together with the proceeds from this offering, will be sufficient to meet our anticipated working capital needs for at least the next two years, although we expect that we would still need to raise additional funds to support the execution of our long-term growth strategy, including further development and commercialization of our product candidates. We may require substantial additional financing at various intervals in order to continue our research and development programs, including significant requirements for operating expenses including intellectual property protection and enforcement, pursuit of regulatory approvals, and commercialization of our products. We can provide no assurance that additional funding will be available on a timely basis, on terms acceptable to us, or at all. Because successful development of our product candidates is uncertain, we are unable to estimate the actual financing we will require to complete research and development and to commercialize our product candidates.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Our future financing requirements will depend on many factors, including but not limited to:</w:t>
      </w:r>
    </w:p>
    <w:p>
      <w:pPr>
        <w:spacing w:after="0" w:line="131" w:lineRule="exact"/>
        <w:rPr>
          <w:sz w:val="20"/>
          <w:szCs w:val="20"/>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130" w:lineRule="exact"/>
        <w:rPr>
          <w:rFonts w:ascii="Arial" w:cs="Arial" w:eastAsia="Arial" w:hAnsi="Arial"/>
          <w:sz w:val="18"/>
          <w:szCs w:val="18"/>
          <w:color w:val="auto"/>
        </w:rPr>
      </w:pPr>
    </w:p>
    <w:p>
      <w:pPr>
        <w:ind w:left="360" w:right="400" w:hanging="172"/>
        <w:spacing w:after="0" w:line="26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86"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technologies;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30" w:lineRule="exact"/>
        <w:rPr>
          <w:rFonts w:ascii="Arial" w:cs="Arial" w:eastAsia="Arial" w:hAnsi="Arial"/>
          <w:sz w:val="18"/>
          <w:szCs w:val="18"/>
          <w:color w:val="auto"/>
        </w:rPr>
      </w:pPr>
    </w:p>
    <w:p>
      <w:pPr>
        <w:ind w:left="360" w:right="420" w:hanging="17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revenues, if any, we receive from commercial sales of any product candidates for which we receive marketing approval in the future;</w:t>
      </w:r>
    </w:p>
    <w:p>
      <w:pPr>
        <w:spacing w:after="0" w:line="75" w:lineRule="exact"/>
        <w:rPr>
          <w:rFonts w:ascii="Arial" w:cs="Arial" w:eastAsia="Arial" w:hAnsi="Arial"/>
          <w:sz w:val="18"/>
          <w:szCs w:val="18"/>
          <w:color w:val="auto"/>
        </w:rPr>
      </w:pPr>
    </w:p>
    <w:p>
      <w:pPr>
        <w:ind w:left="360" w:right="400" w:hanging="17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support our operations as a public company; and</w:t>
      </w:r>
    </w:p>
    <w:p>
      <w:pPr>
        <w:spacing w:after="0" w:line="75" w:lineRule="exact"/>
        <w:rPr>
          <w:rFonts w:ascii="Arial" w:cs="Arial" w:eastAsia="Arial" w:hAnsi="Arial"/>
          <w:sz w:val="18"/>
          <w:szCs w:val="18"/>
          <w:color w:val="auto"/>
        </w:rPr>
      </w:pPr>
    </w:p>
    <w:p>
      <w:pPr>
        <w:ind w:left="360" w:right="580" w:hanging="172"/>
        <w:spacing w:after="0" w:line="308"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economic and other terms, timing of and success of any collaboration, licensing, or other arrangements into which we may enter in the future, including the timing of achievement of milestones and receipt of any milestone or royalty payments under these agreements.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financing on acceptable terms are not available when needed, or at all, we could be forced to significantly reduce operating expenses and delay, scale back or eliminate one or more of our development programs or our business operations or even go bankrupt.</w:t>
      </w:r>
    </w:p>
    <w:p>
      <w:pPr>
        <w:spacing w:after="0" w:line="169" w:lineRule="exact"/>
        <w:rPr>
          <w:sz w:val="20"/>
          <w:szCs w:val="20"/>
          <w:color w:val="auto"/>
        </w:rPr>
      </w:pPr>
    </w:p>
    <w:p>
      <w:pPr>
        <w:jc w:val="both"/>
        <w:ind w:right="180"/>
        <w:spacing w:after="0" w:line="236" w:lineRule="auto"/>
        <w:rPr>
          <w:sz w:val="20"/>
          <w:szCs w:val="20"/>
          <w:color w:val="auto"/>
        </w:rPr>
      </w:pPr>
      <w:r>
        <w:rPr>
          <w:rFonts w:ascii="Arial" w:cs="Arial" w:eastAsia="Arial" w:hAnsi="Arial"/>
          <w:sz w:val="18"/>
          <w:szCs w:val="18"/>
          <w:b w:val="1"/>
          <w:bCs w:val="1"/>
          <w:color w:val="auto"/>
        </w:rPr>
        <w:t>Raising additional capital may cause dilution to our shareholders, including purchasers of ordinary shares in this offering, and these financings, or disputes with pre-IPO shareholders in connection therewith, may restrict our operations or require us to relinquish substantial rights or otherwise be costly.</w:t>
      </w:r>
    </w:p>
    <w:p>
      <w:pPr>
        <w:spacing w:after="0" w:line="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will adversely impact our financial condition.</w:t>
      </w:r>
    </w:p>
    <w:p>
      <w:pPr>
        <w:spacing w:after="0" w:line="59"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In the past we have incurred indebtedness that may convert into equity securities, including our ordinary shares, upon the election of the lender or upon certain automatic triggering events. Any such conversion may cause our shareholders to experience substantial dilution of their ownership interest. In addition, if such convertible indebtedness is not converted before maturity upon the triggering events, we will be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required to repay such indebtedness, which may adversely affect our liquidity. See “Dilution” and “Management’s Discussion and Analysis of Financial Condition and Results of Operations — Contractual Obligations and Commitments — Convertible Loans.” In addition, shareholders who invested prior to the Company’s initial public offering may raise claims concerning their pre-existing contractual rights as lenders or shareholders or oppose actions taken by the Company with respect to the terms of existing or future financing transactions. Any such dispute could be time-consuming or costly to the Company or require us to seek alternative financing arrangements.</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71"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b w:val="1"/>
          <w:bCs w:val="1"/>
          <w:color w:val="auto"/>
        </w:rPr>
        <w:t>We have a limited operating history and no history of commercializing pharmaceutical products, which may make it difficult to evaluate the prospects for our future viability.</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71"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b w:val="1"/>
          <w:b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Following the completion of this offering, we will be required to comply with various regulatory and reporting requirements, including those required by the Securities and Exchange Commission, or the SEC. Complying with these reporting and regulatory requirements will be time consuming, result in increased costs to us and could have a negative effect on our business, results of operations and financial condition.</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will be implementing additional procedures and processes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8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an “emerging growth company,” as defined in the Jumpstart Our Business Startups Act, or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We cannot predict or estimate the amount of additional costs we may incur as a result of becoming a public company or the timing of such costs.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applied to list our ordinary shares on the NASDAQ Capital Market and, although no assurance can be given that our application will be approved, we expect that our ordinary shares will be listed on the NASDAQ Capital Market prior to the completion of this offering. As a public company listed on the NASDAQ Capital Market, we will incur significant legal, accounting and other expenses that we did not incur prior to the listing of our ordinary shares on the NASDAQ Capital Market.</w:t>
      </w:r>
    </w:p>
    <w:p>
      <w:pPr>
        <w:spacing w:after="0" w:line="7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publicly traded company in the United States and being subject to U.S.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qualified executive officers.</w:t>
      </w:r>
    </w:p>
    <w:p>
      <w:pPr>
        <w:spacing w:after="0" w:line="161" w:lineRule="exact"/>
        <w:rPr>
          <w:sz w:val="20"/>
          <w:szCs w:val="20"/>
          <w:color w:val="auto"/>
        </w:rPr>
      </w:pPr>
    </w:p>
    <w:p>
      <w:pPr>
        <w:ind w:right="660"/>
        <w:spacing w:after="0" w:line="251" w:lineRule="auto"/>
        <w:rPr>
          <w:sz w:val="20"/>
          <w:szCs w:val="20"/>
          <w:color w:val="auto"/>
        </w:rPr>
      </w:pPr>
      <w:r>
        <w:rPr>
          <w:rFonts w:ascii="Arial" w:cs="Arial" w:eastAsia="Arial" w:hAnsi="Arial"/>
          <w:sz w:val="18"/>
          <w:szCs w:val="18"/>
          <w:b w:val="1"/>
          <w:b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currently depend upon the efforts and abilities of our senior executives, including Dr. Phillip Schwartz, our Chief Executive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technologies. The loss of our senior executives or senior scientists could delay our research and development activities. We do not maintain “key man” life insurance policies for any of our employees.</w:t>
      </w:r>
    </w:p>
    <w:p>
      <w:pPr>
        <w:spacing w:after="0" w:line="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Recruiting and retaining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these individuals for any significant period of time or our inability to attract and retain qualified skilled personnel could have a material adverse effect on our business, technology, prospects, financial condition and results of operations.</w:t>
      </w:r>
    </w:p>
    <w:p>
      <w:pPr>
        <w:spacing w:after="0" w:line="1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b w:val="1"/>
          <w:bCs w:val="1"/>
          <w:color w:val="auto"/>
        </w:rPr>
        <w:t>We expect to grow our organization, particularly in the United States, specifically to supplement and expand our management, clinical development and regulatory capabilities and marketing infrastructure, and we may experience difficulties in managing these changes and this growth, which could disrupt our operations.</w:t>
      </w:r>
    </w:p>
    <w:p>
      <w:pPr>
        <w:spacing w:after="0" w:line="82"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As our clinical development and commercialization plans and strategies develop, we expect to supplement and expand our employee base, particularly in the United States, for clinical development, regulatory, operational, sales, marketing, financial and other capabilities and with senior managers with U.S. public company experience. The need to identify, recruit, maintain, motivate and integrate additional employees and senior members of management is expected to impose significant responsibilities on our senior executives and may divert a disproportionate amount of their attention away from our day-to-day activities. The addition of such employees and managers may have an impact on the decisions that we make over time.</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addition of these employees and managers, we intend to grow our company. Due to our limited financial resources and the limited experience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the NASDAQ Capital Market listing requirements, and in accordance with the applicable transition rules, we will be required to appoint additional independent directors, which may result in a change in the company’s direction over time, as discussed in further detail in “Management —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Clinical Development of Our Product Candidates</w:t>
      </w:r>
    </w:p>
    <w:p>
      <w:pPr>
        <w:spacing w:after="0" w:line="19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research, testing, manufacturing, labeling, approval, selling, marketing and distribution of drug products are subject to extensive regulation by the U.S. Food and Drug Administration, or FDA, European Union, and EU Member State legislators and agencies, such as the European Medicines Agency, or EMA, and other non-U.S. regulatory authorities, which enforce regulations that differ from country to country. We are not permitted to market our product candidates in the United States until we receive approval of a BLA from the FDA or in any other country until we receive marketing approval from applicable regulatory authorities outside the United States. Our product candidates are in various stages of development and are subject to the risks of failure inherent in drug development. We have not submitted an application, or received marketing approval, for any of our product candidates. We have limited experience in conducting and managing the clinical trials necessary to obtain regulatory approvals, including approval by the FDA or the EMA. Obtaining approval of a BLA or other marketing application can be a lengthy, expensive and uncertain process.</w:t>
      </w:r>
    </w:p>
    <w:p>
      <w:pPr>
        <w:spacing w:after="0" w:line="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present, our lead product candidate is EB612, our oral PTH (1-34) tablet, which is under development for the treatment of hypoparathyroidism. We are also developing EB613, a distinct oral PTH (1-34) product candidate, with significant modifications to dose and formulation, for the treatment of osteoporosis. Each of our oral PTH product candidates, including EB612 and EB613, are in an early stage of clinical development and face a variety of risks and uncertainties, including the following:</w:t>
      </w:r>
    </w:p>
    <w:p>
      <w:pPr>
        <w:spacing w:after="0" w:line="119" w:lineRule="exact"/>
        <w:rPr>
          <w:sz w:val="20"/>
          <w:szCs w:val="20"/>
          <w:color w:val="auto"/>
        </w:rPr>
      </w:pPr>
    </w:p>
    <w:p>
      <w:pPr>
        <w:ind w:left="360" w:right="560" w:hanging="172"/>
        <w:spacing w:after="0" w:line="342"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clinical trial results may show that our oral PTH (1-34) is not effective for many reasons, including if our drug delivery technology is not effective, our product candidates are not effective, our clinical trial designs are flawed or clinical trial subjects do not comply with trial protocols;</w:t>
      </w:r>
    </w:p>
    <w:p>
      <w:pPr>
        <w:spacing w:after="0" w:line="56" w:lineRule="exact"/>
        <w:rPr>
          <w:rFonts w:ascii="Arial" w:cs="Arial" w:eastAsia="Arial" w:hAnsi="Arial"/>
          <w:sz w:val="16"/>
          <w:szCs w:val="16"/>
          <w:color w:val="auto"/>
        </w:rPr>
      </w:pPr>
    </w:p>
    <w:p>
      <w:pPr>
        <w:ind w:left="360" w:hanging="17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be well tolerated or may cause negative side effects;</w:t>
      </w:r>
    </w:p>
    <w:p>
      <w:pPr>
        <w:spacing w:after="0" w:line="157" w:lineRule="exact"/>
        <w:rPr>
          <w:rFonts w:ascii="Arial" w:cs="Arial" w:eastAsia="Arial" w:hAnsi="Arial"/>
          <w:sz w:val="18"/>
          <w:szCs w:val="18"/>
          <w:color w:val="auto"/>
        </w:rPr>
      </w:pPr>
    </w:p>
    <w:p>
      <w:pPr>
        <w:jc w:val="both"/>
        <w:ind w:left="360" w:right="700" w:hanging="172"/>
        <w:spacing w:after="0" w:line="264"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100" w:lineRule="exact"/>
        <w:rPr>
          <w:rFonts w:ascii="Arial" w:cs="Arial" w:eastAsia="Arial" w:hAnsi="Arial"/>
          <w:sz w:val="18"/>
          <w:szCs w:val="18"/>
          <w:color w:val="auto"/>
        </w:rPr>
      </w:pPr>
    </w:p>
    <w:p>
      <w:pPr>
        <w:ind w:left="360" w:right="580" w:hanging="172"/>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102" w:lineRule="exact"/>
        <w:rPr>
          <w:rFonts w:ascii="Arial" w:cs="Arial" w:eastAsia="Arial" w:hAnsi="Arial"/>
          <w:sz w:val="18"/>
          <w:szCs w:val="18"/>
          <w:color w:val="auto"/>
        </w:rPr>
      </w:pPr>
    </w:p>
    <w:p>
      <w:pPr>
        <w:ind w:left="360" w:right="540" w:hanging="172"/>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there is no guarantee that there will be market acceptance;</w:t>
      </w:r>
    </w:p>
    <w:p>
      <w:pPr>
        <w:spacing w:after="0" w:line="102" w:lineRule="exact"/>
        <w:rPr>
          <w:rFonts w:ascii="Arial" w:cs="Arial" w:eastAsia="Arial" w:hAnsi="Arial"/>
          <w:sz w:val="18"/>
          <w:szCs w:val="18"/>
          <w:color w:val="auto"/>
        </w:rPr>
      </w:pPr>
    </w:p>
    <w:p>
      <w:pPr>
        <w:ind w:left="360" w:right="480" w:hanging="172"/>
        <w:spacing w:after="0" w:line="264"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for the treatment of hypoparathyroidism, there is no guarantee that we will successfully develop and commercialize it for other indications, including osteoporosis and nonunion fractures; and</w:t>
      </w:r>
    </w:p>
    <w:p>
      <w:pPr>
        <w:spacing w:after="0" w:line="113" w:lineRule="exact"/>
        <w:rPr>
          <w:rFonts w:ascii="Arial" w:cs="Arial" w:eastAsia="Arial" w:hAnsi="Arial"/>
          <w:sz w:val="18"/>
          <w:szCs w:val="18"/>
          <w:color w:val="auto"/>
        </w:rPr>
      </w:pPr>
    </w:p>
    <w:p>
      <w:pPr>
        <w:ind w:left="360" w:right="300" w:hanging="172"/>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are unsuccessful in dealing with any of these risks, or if we are unable to successfully commercialize our oral PTH for some other reason,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commencement and completion of clinical trials can be delayed or prevented for a number of reasons.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to initiate a Phase 2b/3 clinical trial of EB612 in hypoparathyroidism in the second half of 2018 and we plan to submit applications for regulatory approval of EB612 in the second half of 2020. For osteoporosis, we intend to commence a Phase 2a clinical trial of EB613 in the first half of 2018 followed by an additional Phase 2b clinical trial in the United States. We also plan to conduct clinical trials of a formulation of oral PTH for the treatment of non-union fractures. Drug development is a long, expensive and uncertain process, and delay or failure can occur at any stage of any of our clinical trials. Clinical trials can be delayed or prevented for a number of reasons, including:</w:t>
      </w:r>
    </w:p>
    <w:p>
      <w:pPr>
        <w:spacing w:after="0" w:line="94" w:lineRule="exact"/>
        <w:rPr>
          <w:sz w:val="20"/>
          <w:szCs w:val="20"/>
          <w:color w:val="auto"/>
        </w:rPr>
      </w:pPr>
    </w:p>
    <w:p>
      <w:pPr>
        <w:ind w:left="360" w:right="380" w:hanging="172"/>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62" w:lineRule="exact"/>
        <w:rPr>
          <w:rFonts w:ascii="Arial" w:cs="Arial" w:eastAsia="Arial" w:hAnsi="Arial"/>
          <w:sz w:val="18"/>
          <w:szCs w:val="18"/>
          <w:color w:val="auto"/>
        </w:rPr>
      </w:pPr>
    </w:p>
    <w:p>
      <w:pPr>
        <w:ind w:left="360" w:right="840" w:hanging="172"/>
        <w:spacing w:after="0" w:line="308" w:lineRule="auto"/>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contract manufacturing organizations, and trial sites, the terms of which can be subject to extensive negotiation and may vary significantly;</w:t>
      </w:r>
    </w:p>
    <w:p>
      <w:pPr>
        <w:spacing w:after="0" w:line="51" w:lineRule="exact"/>
        <w:rPr>
          <w:rFonts w:ascii="Arial" w:cs="Arial" w:eastAsia="Arial" w:hAnsi="Arial"/>
          <w:sz w:val="17"/>
          <w:szCs w:val="17"/>
          <w:color w:val="auto"/>
        </w:rPr>
      </w:pPr>
    </w:p>
    <w:p>
      <w:pPr>
        <w:ind w:left="360" w:right="820" w:hanging="172"/>
        <w:spacing w:after="0" w:line="27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such as contract research organizations and contract manufacturing organizations, or our investigators to comply with regulatory requirements or otherwise meet their contractual obligations in a timely manner;</w:t>
      </w:r>
    </w:p>
    <w:p>
      <w:pPr>
        <w:spacing w:after="0" w:line="62"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or ethics committee approval to conduct a clinical trial at a prospective site;</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EMA or other regulatory authority requiring alterations to any of our study designs, our pre-clinical strategy or our manufacturing plans;</w:t>
      </w:r>
    </w:p>
    <w:p>
      <w:pPr>
        <w:spacing w:after="0" w:line="128" w:lineRule="exact"/>
        <w:rPr>
          <w:rFonts w:ascii="Arial" w:cs="Arial" w:eastAsia="Arial" w:hAnsi="Arial"/>
          <w:sz w:val="17"/>
          <w:szCs w:val="17"/>
          <w:color w:val="auto"/>
        </w:rPr>
      </w:pPr>
    </w:p>
    <w:p>
      <w:pPr>
        <w:ind w:left="360" w:right="380" w:hanging="172"/>
        <w:spacing w:after="0" w:line="25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92"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agencies.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Changes in regulatory requirements and guidance may also occur and we may need to significantly amend clinical trial protocols or submit new clinical trial protocols with appropriate regulatory authorities to reflect these changes. Amendments may require us to renegotiate terms with contract research organizations, or CROs, or resubmit clinical trial protocols to IRBs or ethics committees for re-examination, which may impact the costs, timing or successful completion of a clinical trial. Our clinical trials may be suspended or terminated at any time by the FDA, other regulatory authorities, the IRB or ethics committee overseeing the clinical trial at issue, any of our clinical trial sites with respect to that site, or us, due to a number of factors, including:</w:t>
      </w:r>
    </w:p>
    <w:p>
      <w:pPr>
        <w:spacing w:after="0" w:line="50" w:lineRule="exact"/>
        <w:rPr>
          <w:sz w:val="20"/>
          <w:szCs w:val="20"/>
          <w:color w:val="auto"/>
        </w:rPr>
      </w:pPr>
    </w:p>
    <w:p>
      <w:pPr>
        <w:ind w:left="360" w:hanging="17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findings of an inspection of the clinical trial operations or trial sites by the FDA or other regulatory authorities;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420" w:hanging="172"/>
        <w:spacing w:after="0" w:line="27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issues, including serious adverse events associated with a product candidate, or lack of effectiveness or any determination that a clinical trial presents unacceptable health risks;</w:t>
      </w:r>
    </w:p>
    <w:p>
      <w:pPr>
        <w:spacing w:after="0" w:line="75" w:lineRule="exact"/>
        <w:rPr>
          <w:rFonts w:ascii="Arial" w:cs="Arial" w:eastAsia="Arial" w:hAnsi="Arial"/>
          <w:sz w:val="18"/>
          <w:szCs w:val="18"/>
          <w:color w:val="auto"/>
        </w:rPr>
      </w:pPr>
    </w:p>
    <w:p>
      <w:pPr>
        <w:ind w:left="360" w:hanging="17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130" w:lineRule="exact"/>
        <w:rPr>
          <w:rFonts w:ascii="Arial" w:cs="Arial" w:eastAsia="Arial" w:hAnsi="Arial"/>
          <w:sz w:val="18"/>
          <w:szCs w:val="18"/>
          <w:color w:val="auto"/>
        </w:rPr>
      </w:pPr>
    </w:p>
    <w:p>
      <w:pPr>
        <w:ind w:left="360" w:right="440" w:hanging="172"/>
        <w:spacing w:after="0" w:line="27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we do not succeed in conducting and managing our preclinical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preclinical testing. We will be required to 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preclinical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7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In addition, we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affect efficacy.</w:t>
      </w:r>
    </w:p>
    <w:p>
      <w:pPr>
        <w:spacing w:after="0" w:line="5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clinical trial participants. While our oral PTH product candidates have exhibited no serious related adverse events in our clinical trials to date, we may need to change future trial design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169"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b w:val="1"/>
          <w:bCs w:val="1"/>
          <w:color w:val="auto"/>
        </w:rPr>
        <w:t>We depend on enrollment of patients in our clinical trials for our product candidates. If we are unable to enroll patients in our clinical trials, our research and development efforts could be materially adversely affected.</w:t>
      </w:r>
    </w:p>
    <w:p>
      <w:pPr>
        <w:spacing w:after="0" w:line="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subjects.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availability of competing clinical trials, the availability of drugs approved for the indication the clinical trial is investigating, and clinicians’ and patients’ perceptions as to the potential advantages of the product being studied in relation to other available therapies. Our product candidate EB612 has orphan drug designation for the treatment of hypoparathyroidism, which means that the potential patient population is limited. In addition, there may be other marketed drugs or drugs in development for hypoparathyroidism, and we may compete for patients with such marketed drugs, such as Natpara, or the sponsors of trials for drugs in development. These factors may make it difficult for us to enroll enough subjects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use and expand our drug delivery technology to other product candidates.</w:t>
      </w:r>
    </w:p>
    <w:p>
      <w:pPr>
        <w:spacing w:after="0" w:line="9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 key element of our strategy is to use and expand our oral drug delivery technology platform to build a pipeline of product candidates and progress these product candidates through clinical development for the treatment of a variety of different types of diseases. Our strategy is to focus on the development of our oral drug delivery technology in combination with a known active pharmaceutical ingredient, or API, to validate our platform and potentially minimize risk and development timelines. We intend, by utilizing this approach, to both validate and enhance the credibility of our platform. We intend to use our technology as a platform for the oral delivery of other protein and large molecule APIs.</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initial product candidates combine our oral drug delivery technology with PTH, a hormone that has been used in injectable form for many years for osteoporosis.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EB612, we may be unsuccessful in leveraging our oral drug delivery technology for use with other APIs. In addition, we must significantly modify the formulation of EB612 to develop new formulations for applications in osteoporosis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 due to the small size of the population with hypoparathyroidism.</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technology makes use of synthetically bioengineered ingredients. Our oral PTH is a synthetic form of the first 34 amino acids of human PTH to which we have applied our proprietary drug delivery technology. Although our product candidates utilize a synthesized PTH molecule with a known mechanism of action, they may cause patients to exhibit safety or immune responses that do not match the biological effect of a human protein. Such responses could result in increased regulatory scrutiny, delays or other impediments to our planned development or the public acceptance and commercialization of our products.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Even if we are successful in expanding our drug delivery technology to other APIs for other indications, the potential product candidates that we identify may not be suitable for clinical development, including as 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result of being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16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Our product candidates may have serious adverse, undesirable or unacceptable side effects that may delay or prevent marketing approval. If any such side effects are identified during the development of our product candidates or following any regulatory approval, we may need to abandon our development of such product candidates, any approved label may be limited or we may be subject to other significant negative consequences following regulatory approval.</w:t>
      </w:r>
    </w:p>
    <w:p>
      <w:pPr>
        <w:spacing w:after="0" w:line="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all of our product candidates have undergone or will undergo safety testing to the extent possible and agreed with health authorities, not all adverse effects of drugs can be predicted or anticipated. Unforeseen side effects from any of our product candidates could arise either during clinical development or, if such side effects are more rare, after our product candidates have been approved by regulatory authorities and the approved product has been marketed, resulting in the exposure of additional patients. All of our product candidates are still in clinical or preclinical development. While our oral PTH has exhibited no serious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94" w:lineRule="exact"/>
        <w:rPr>
          <w:sz w:val="20"/>
          <w:szCs w:val="20"/>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57" w:lineRule="exact"/>
        <w:rPr>
          <w:rFonts w:ascii="Arial" w:cs="Arial" w:eastAsia="Arial" w:hAnsi="Arial"/>
          <w:sz w:val="18"/>
          <w:szCs w:val="18"/>
          <w:color w:val="auto"/>
        </w:rPr>
      </w:pPr>
    </w:p>
    <w:p>
      <w:pPr>
        <w:ind w:left="360" w:right="1020" w:hanging="172"/>
        <w:spacing w:after="0" w:line="277"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16" w:lineRule="exact"/>
        <w:rPr>
          <w:rFonts w:ascii="Arial" w:cs="Arial" w:eastAsia="Arial" w:hAnsi="Arial"/>
          <w:sz w:val="18"/>
          <w:szCs w:val="18"/>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64"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b w:val="1"/>
          <w:bCs w:val="1"/>
          <w:color w:val="auto"/>
        </w:rPr>
        <w:t>Due to our limited resources and access to capital, we must and have in the past decided to prioritize development of certain product candidates; these decisions may prove to have been wrong and may adversely affect our revenues.</w:t>
      </w:r>
    </w:p>
    <w:p>
      <w:pPr>
        <w:spacing w:after="0" w:line="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As such, we are currently primarily focused on the development of EB612 and EB613 for the treatment of hypoparathyroidism and osteoporosis,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disruption of our drug development programs.</w:t>
      </w:r>
    </w:p>
    <w:p>
      <w:pPr>
        <w:spacing w:after="0" w:line="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Approval of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regulatory approval even after clinical trials that are believed to be successful is an uncertain process.</w:t>
      </w:r>
    </w:p>
    <w:p>
      <w:pPr>
        <w:spacing w:after="0" w:line="1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regulatory approval is an extensive, lengthy, expensive and uncertain process, and the FDA, EMA and other regulatory agencies may delay, limit or deny approval of our oral PTH for many reasons, including:</w:t>
      </w:r>
    </w:p>
    <w:p>
      <w:pPr>
        <w:spacing w:after="0" w:line="100" w:lineRule="exact"/>
        <w:rPr>
          <w:sz w:val="20"/>
          <w:szCs w:val="20"/>
          <w:color w:val="auto"/>
        </w:rPr>
      </w:pPr>
    </w:p>
    <w:p>
      <w:pPr>
        <w:ind w:left="360" w:right="40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EMA or other regulatory agencies that our oral PTH is safe and effective for any indication;</w:t>
      </w:r>
    </w:p>
    <w:p>
      <w:pPr>
        <w:spacing w:after="0" w:line="75" w:lineRule="exact"/>
        <w:rPr>
          <w:rFonts w:ascii="Arial" w:cs="Arial" w:eastAsia="Arial" w:hAnsi="Arial"/>
          <w:sz w:val="18"/>
          <w:szCs w:val="18"/>
          <w:color w:val="auto"/>
        </w:rPr>
      </w:pPr>
    </w:p>
    <w:p>
      <w:pPr>
        <w:ind w:left="360" w:right="46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EMA or other regulatory agencies for approval;</w:t>
      </w:r>
    </w:p>
    <w:p>
      <w:pPr>
        <w:spacing w:after="0" w:line="75" w:lineRule="exact"/>
        <w:rPr>
          <w:rFonts w:ascii="Arial" w:cs="Arial" w:eastAsia="Arial" w:hAnsi="Arial"/>
          <w:sz w:val="18"/>
          <w:szCs w:val="18"/>
          <w:color w:val="auto"/>
        </w:rPr>
      </w:pPr>
    </w:p>
    <w:p>
      <w:pPr>
        <w:ind w:left="360" w:right="32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regulatory agencies may require that EB613 meet additional requirements to obtain regulatory approval for the treatment of osteoporosis, a much larger indication than hypoparathyroidism;</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the number, design, size, conduct or implementation of our clinical trials;</w:t>
      </w:r>
    </w:p>
    <w:p>
      <w:pPr>
        <w:spacing w:after="0" w:line="130" w:lineRule="exact"/>
        <w:rPr>
          <w:rFonts w:ascii="Arial" w:cs="Arial" w:eastAsia="Arial" w:hAnsi="Arial"/>
          <w:sz w:val="18"/>
          <w:szCs w:val="18"/>
          <w:color w:val="auto"/>
        </w:rPr>
      </w:pPr>
    </w:p>
    <w:p>
      <w:pPr>
        <w:ind w:left="360" w:right="40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regulatory agencies may not find the data from pre-clinical studies and clinical trials sufficient to demonstrate that our oral PTH’s clinical and other benefits outweigh its safety risks;</w:t>
      </w:r>
    </w:p>
    <w:p>
      <w:pPr>
        <w:spacing w:after="0" w:line="75" w:lineRule="exact"/>
        <w:rPr>
          <w:rFonts w:ascii="Arial" w:cs="Arial" w:eastAsia="Arial" w:hAnsi="Arial"/>
          <w:sz w:val="18"/>
          <w:szCs w:val="18"/>
          <w:color w:val="auto"/>
        </w:rPr>
      </w:pPr>
    </w:p>
    <w:p>
      <w:pPr>
        <w:ind w:left="360" w:right="76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our interpretation of data from pre-clinical studies or clinical trials, or may not accept data generated at our clinical trial sites;</w:t>
      </w:r>
    </w:p>
    <w:p>
      <w:pPr>
        <w:spacing w:after="0" w:line="89" w:lineRule="exact"/>
        <w:rPr>
          <w:rFonts w:ascii="Arial" w:cs="Arial" w:eastAsia="Arial" w:hAnsi="Arial"/>
          <w:sz w:val="18"/>
          <w:szCs w:val="18"/>
          <w:color w:val="auto"/>
        </w:rPr>
      </w:pPr>
    </w:p>
    <w:p>
      <w:pPr>
        <w:ind w:left="360" w:right="52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regulatory agencies may not recognize a synthesized molecule like the synthesized PTH molecule that is used in our oral PTH formulation;</w:t>
      </w:r>
    </w:p>
    <w:p>
      <w:pPr>
        <w:spacing w:after="0" w:line="75" w:lineRule="exact"/>
        <w:rPr>
          <w:rFonts w:ascii="Arial" w:cs="Arial" w:eastAsia="Arial" w:hAnsi="Arial"/>
          <w:sz w:val="18"/>
          <w:szCs w:val="18"/>
          <w:color w:val="auto"/>
        </w:rPr>
      </w:pPr>
    </w:p>
    <w:p>
      <w:pPr>
        <w:ind w:left="360" w:right="480" w:hanging="17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our oral PTH may not be sufficient to support the submission of an application for regulatory approval;</w:t>
      </w:r>
    </w:p>
    <w:p>
      <w:pPr>
        <w:spacing w:after="0" w:line="75" w:lineRule="exact"/>
        <w:rPr>
          <w:rFonts w:ascii="Arial" w:cs="Arial" w:eastAsia="Arial" w:hAnsi="Arial"/>
          <w:sz w:val="18"/>
          <w:szCs w:val="18"/>
          <w:color w:val="auto"/>
        </w:rPr>
      </w:pPr>
    </w:p>
    <w:p>
      <w:pPr>
        <w:ind w:left="360" w:right="500" w:hanging="172"/>
        <w:spacing w:after="0" w:line="264"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00" w:lineRule="exact"/>
        <w:rPr>
          <w:rFonts w:ascii="Arial" w:cs="Arial" w:eastAsia="Arial" w:hAnsi="Arial"/>
          <w:sz w:val="18"/>
          <w:szCs w:val="18"/>
          <w:color w:val="auto"/>
        </w:rPr>
      </w:pPr>
    </w:p>
    <w:p>
      <w:pPr>
        <w:ind w:left="360" w:hanging="17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420" w:hanging="172"/>
        <w:spacing w:after="0" w:line="27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or other regulatory agencies may identify deficiencies in the manufacturing processes or facilities of third party manufacturers with which we enter into agreements for clinical and commercial supplies;</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EMA or other regulatory agencies may change their approval policies or adopt new regulations; and</w:t>
      </w:r>
    </w:p>
    <w:p>
      <w:pPr>
        <w:spacing w:after="0" w:line="144" w:lineRule="exact"/>
        <w:rPr>
          <w:rFonts w:ascii="Arial" w:cs="Arial" w:eastAsia="Arial" w:hAnsi="Arial"/>
          <w:sz w:val="18"/>
          <w:szCs w:val="18"/>
          <w:color w:val="auto"/>
        </w:rPr>
      </w:pPr>
    </w:p>
    <w:p>
      <w:pPr>
        <w:ind w:left="360" w:right="600" w:hanging="172"/>
        <w:spacing w:after="0" w:line="308"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EMA or other regulatory agencies may require simultaneous approval for both adults and for children and adolescents delaying needed approvals, or we may have successful clinical trial results for adults but not children and adolescents, or vice versa.</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Before we can submit an application for regulatory approval in the United States, we must conduct a pivotal trial that will be substantially broader than our completed Phase 2a trial. We will also need to agree on a protocol with the FDA for a clinical trial before commencing the trial. Phase 3 clinical trials frequently produce unsatisfactory results even though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the EMA or other non-U.S. regulatory authorities may disagree with our trial design and our interpretation of data from preclinical studies and clinical trials. Moreover, there is no FDA guidance on the acceptable level of variability in orally delivered products with large molecule APIs, and, therefore we are unable to be certain that we are designing our product candidates or clinical trials to satisfy the FDA in this regard. In addition, any of these regulatory authorities may change requirements for the approval of a product candidate even after reviewing and providing comments or advice on a protocol for a clinical trial. The FDA, EMA or other regulatory agencies may require that we conduct additional clinical, nonclinical,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(1-34) tablet.</w:t>
      </w:r>
    </w:p>
    <w:p>
      <w:pPr>
        <w:spacing w:after="0" w:line="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not accept the labeling claims that we believe would be necessary or desirable for the successful commercialization of our product candidates.</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color w:val="auto"/>
        </w:rPr>
        <w:t>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w:t>
      </w:r>
    </w:p>
    <w:p>
      <w:pPr>
        <w:spacing w:after="0" w:line="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European Union, the European Commission may designate a product candidate as an orphan medicinal product if it is a medicine for the diagnosis, prevention or treatment of life-threatening or very serious conditions that affects not more than five in 10,000 persons in the European Union,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We have received orphan drug designation for oral PTH for the treatment of hypoparathyroidism from the FDA, but orphan drug designation may not ensure that we have market exclusivity in a particular market and there is no</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assurance we will be able to receive orphan drug designation for any additional product candidates. Further, the granting of a request for orphan drug designation does not alter the standard regulatory requirements and process for obtaining marketing approval, including the development time or regulatory review time of a drug.</w:t>
      </w:r>
    </w:p>
    <w:p>
      <w:pPr>
        <w:spacing w:after="0" w:line="7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subject to certain exceptions, precludes the FDA from approving another drug with the same active moiety for the same indication for that time period or precludes the EMA, and other national drug regulators in the European Union, from accepting the marketing application for a similar medicinal product for the same indication. The applicable period is seven years in the United States and</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10 years in the European Union.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European Union,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makes a major contribution to patient care. In the European Union,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85"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We believe that our key competitor in hypoparathyroidism treatment is Shire plc, whose product Natpara, an injectable bioengineered recombinant form of PTH (1-84), was approved by the FDA in January 2015. Natpara has been granted orphan drug designation for hypoparathyroidism by the FDA and, as the first approved product for this indication, has orphan drug market exclusivity for seven years in the United States and, if Natpara is approved by the EMA,</w:t>
      </w:r>
    </w:p>
    <w:p>
      <w:pPr>
        <w:spacing w:after="0" w:line="269" w:lineRule="auto"/>
        <w:rPr>
          <w:sz w:val="20"/>
          <w:szCs w:val="20"/>
          <w:color w:val="auto"/>
        </w:rPr>
      </w:pPr>
      <w:r>
        <w:rPr>
          <w:rFonts w:ascii="Arial" w:cs="Arial" w:eastAsia="Arial" w:hAnsi="Arial"/>
          <w:sz w:val="17"/>
          <w:szCs w:val="17"/>
          <w:color w:val="auto"/>
        </w:rPr>
        <w:t>10 years after receipt of market approval in the European Union.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 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under the applicable FDA and EMA standards and obtain regulatory approval, even if EB612 would otherwise satisfy each regulator’s standards for approval.</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 if we obtain regulatory approval of EB612, we may not enjoy the benefits of our orphan designation for EB612 for hypoparathyroidism. For example, even if we were to overcome Natpara’s exclusivity,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makes a major contribution to patient care.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03" w:lineRule="exact"/>
        <w:rPr>
          <w:sz w:val="20"/>
          <w:szCs w:val="20"/>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 or take similar enforcement actions;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144" w:lineRule="exact"/>
        <w:rPr>
          <w:rFonts w:ascii="Arial" w:cs="Arial" w:eastAsia="Arial" w:hAnsi="Arial"/>
          <w:sz w:val="18"/>
          <w:szCs w:val="18"/>
          <w:color w:val="auto"/>
        </w:rPr>
      </w:pPr>
    </w:p>
    <w:p>
      <w:pPr>
        <w:ind w:left="360" w:right="620" w:hanging="172"/>
        <w:spacing w:after="0" w:line="277"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exclude products from federal healthcare programs, or request that we initiate a product recall; or</w:t>
      </w:r>
    </w:p>
    <w:p>
      <w:pPr>
        <w:spacing w:after="0" w:line="102" w:lineRule="exact"/>
        <w:rPr>
          <w:rFonts w:ascii="Arial" w:cs="Arial" w:eastAsia="Arial" w:hAnsi="Arial"/>
          <w:sz w:val="18"/>
          <w:szCs w:val="18"/>
          <w:color w:val="auto"/>
        </w:rPr>
      </w:pPr>
    </w:p>
    <w:p>
      <w:pPr>
        <w:ind w:left="360" w:hanging="17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legislative changes may harm our business and future prospects.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7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President Trump and the majorities of both houses of Congress have stated their intention to repeal and replace the ACA. In May 2017, the House of Representatives voted to pass the American Healthcare Act of 2017, which repeals certain portions of the ACA and adds material new provisions. On June 22, 2017, the Senate introduced its own healthcare reform bill. In addition, the Senate considered proposed healthcare reform legislation known as the Graham-Cassidy bill. Although none of these measures have been enacted by Congress to date, Congress may consider other legislation to repeal and replace all or elements of the ACA. In December 2017, the Tax Cuts and Jobs Act was enacted and signed into law, one part of which repeals the “individual mandate” introduced by the ACA starting in 2019. The repeal of the “individual mandate” may have an adverse effect on ACA insurance markets and lead to further legislative changes. Congress will likely consider other legislation to replace elements of the ACA, during the next Congressional session.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8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73" w:lineRule="exact"/>
        <w:rPr>
          <w:sz w:val="20"/>
          <w:szCs w:val="20"/>
          <w:color w:val="auto"/>
        </w:rPr>
      </w:pPr>
    </w:p>
    <w:p>
      <w:pPr>
        <w:ind w:left="360" w:right="380" w:hanging="172"/>
        <w:spacing w:after="0" w:line="273"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97" w:lineRule="exact"/>
        <w:rPr>
          <w:rFonts w:ascii="Arial" w:cs="Arial" w:eastAsia="Arial" w:hAnsi="Arial"/>
          <w:sz w:val="17"/>
          <w:szCs w:val="17"/>
          <w:color w:val="auto"/>
        </w:rPr>
      </w:pPr>
    </w:p>
    <w:p>
      <w:pPr>
        <w:jc w:val="both"/>
        <w:ind w:left="360" w:right="800" w:hanging="172"/>
        <w:spacing w:after="0" w:line="264"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jc w:val="both"/>
        <w:ind w:left="360" w:right="560" w:hanging="172"/>
        <w:spacing w:after="0" w:line="312"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65" w:lineRule="exact"/>
        <w:rPr>
          <w:rFonts w:ascii="Arial" w:cs="Arial" w:eastAsia="Arial" w:hAnsi="Arial"/>
          <w:sz w:val="16"/>
          <w:szCs w:val="16"/>
          <w:color w:val="auto"/>
        </w:rPr>
      </w:pPr>
    </w:p>
    <w:p>
      <w:pPr>
        <w:ind w:left="360" w:right="460" w:hanging="172"/>
        <w:spacing w:after="0" w:line="277"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89" w:lineRule="exact"/>
        <w:rPr>
          <w:rFonts w:ascii="Arial" w:cs="Arial" w:eastAsia="Arial" w:hAnsi="Arial"/>
          <w:sz w:val="18"/>
          <w:szCs w:val="18"/>
          <w:color w:val="auto"/>
        </w:rPr>
      </w:pPr>
    </w:p>
    <w:p>
      <w:pPr>
        <w:ind w:left="360" w:right="520" w:hanging="172"/>
        <w:spacing w:after="0" w:line="286"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70" w:lineRule="exact"/>
        <w:rPr>
          <w:rFonts w:ascii="Arial" w:cs="Arial" w:eastAsia="Arial" w:hAnsi="Arial"/>
          <w:sz w:val="17"/>
          <w:szCs w:val="17"/>
          <w:color w:val="auto"/>
        </w:rPr>
      </w:pPr>
    </w:p>
    <w:p>
      <w:pPr>
        <w:ind w:left="360" w:right="380" w:hanging="172"/>
        <w:spacing w:after="0" w:line="279"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90" w:lineRule="exact"/>
        <w:rPr>
          <w:rFonts w:ascii="Arial" w:cs="Arial" w:eastAsia="Arial" w:hAnsi="Arial"/>
          <w:sz w:val="17"/>
          <w:szCs w:val="17"/>
          <w:color w:val="auto"/>
        </w:rPr>
      </w:pPr>
    </w:p>
    <w:p>
      <w:pPr>
        <w:ind w:left="360" w:right="360" w:hanging="172"/>
        <w:spacing w:after="0" w:line="286"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60" w:lineRule="exact"/>
        <w:rPr>
          <w:sz w:val="20"/>
          <w:szCs w:val="20"/>
          <w:color w:val="auto"/>
        </w:rPr>
      </w:pPr>
    </w:p>
    <w:p>
      <w:pPr>
        <w:ind w:left="360" w:right="560" w:hanging="172"/>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Commercialization of Our Product Candidates</w:t>
      </w:r>
    </w:p>
    <w:p>
      <w:pPr>
        <w:spacing w:after="0" w:line="1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6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See “— In order to obtain FDA approval for EB612 prior to the expiration of Natpara’s orphan drug exclusivity in 2022, we need to show that EB612 is clinically superior to Natpara. Moreover, although we have obtained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Ascendis’ oral PTH product is currently in preclinical development, and Ascendis has reported that it plans to initiate a Phase 1 trial for the drug in the third quarter of 2017.</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serious side effects, as well as the introduction of newly developed pharmacological treatments. Many of the new drugs have serious side effects of their own. Eli Lilly’s Forteo, an injectable PTH (1-34), is one of the most effective osteoporosis medications. We anticipate that our product candidate EB613, if approved, will compete with Forteo and the rest of the pharmacological treatments for osteoporosis. Many of these products are available on a generic basis, and EB613 may not demonstrate sufficient additional clinical benefits to physicians, patients or payors to justify a higher price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manufacturing risks that could substantially increase our costs and limit supply of our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several risks, including:</w:t>
      </w:r>
    </w:p>
    <w:p>
      <w:pPr>
        <w:spacing w:after="0" w:line="144" w:lineRule="exact"/>
        <w:rPr>
          <w:sz w:val="20"/>
          <w:szCs w:val="20"/>
          <w:color w:val="auto"/>
        </w:rPr>
      </w:pPr>
    </w:p>
    <w:p>
      <w:pPr>
        <w:ind w:left="360" w:right="440" w:hanging="172"/>
        <w:spacing w:after="0" w:line="291"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do not have experience in manufacturing our product candidates at commercial scale. We may not succeed in the scaling up of our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99" w:lineRule="exact"/>
        <w:rPr>
          <w:rFonts w:ascii="Arial" w:cs="Arial" w:eastAsia="Arial" w:hAnsi="Arial"/>
          <w:sz w:val="16"/>
          <w:szCs w:val="16"/>
          <w:color w:val="auto"/>
        </w:rPr>
      </w:pPr>
    </w:p>
    <w:p>
      <w:pPr>
        <w:ind w:left="360" w:right="480" w:hanging="172"/>
        <w:spacing w:after="0" w:line="255"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process for biologics is more complex and subject to greater regulation than that of other drugs.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08" w:lineRule="exact"/>
        <w:rPr>
          <w:rFonts w:ascii="Arial" w:cs="Arial" w:eastAsia="Arial" w:hAnsi="Arial"/>
          <w:sz w:val="18"/>
          <w:szCs w:val="18"/>
          <w:color w:val="auto"/>
        </w:rPr>
      </w:pPr>
    </w:p>
    <w:p>
      <w:pPr>
        <w:ind w:left="360" w:right="540" w:hanging="172"/>
        <w:spacing w:after="0" w:line="277"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102" w:lineRule="exact"/>
        <w:rPr>
          <w:rFonts w:ascii="Arial" w:cs="Arial" w:eastAsia="Arial" w:hAnsi="Arial"/>
          <w:sz w:val="18"/>
          <w:szCs w:val="18"/>
          <w:color w:val="auto"/>
        </w:rPr>
      </w:pPr>
    </w:p>
    <w:p>
      <w:pPr>
        <w:ind w:left="360" w:right="380" w:hanging="172"/>
        <w:spacing w:after="0" w:line="29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62" w:lineRule="exact"/>
        <w:rPr>
          <w:sz w:val="20"/>
          <w:szCs w:val="20"/>
          <w:color w:val="auto"/>
        </w:rPr>
      </w:pPr>
    </w:p>
    <w:p>
      <w:pPr>
        <w:ind w:left="360" w:right="480" w:hanging="172"/>
        <w:spacing w:after="0" w:line="259"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46" w:lineRule="exact"/>
        <w:rPr>
          <w:rFonts w:ascii="Arial" w:cs="Arial" w:eastAsia="Arial" w:hAnsi="Arial"/>
          <w:sz w:val="18"/>
          <w:szCs w:val="18"/>
          <w:color w:val="auto"/>
        </w:rPr>
      </w:pPr>
    </w:p>
    <w:p>
      <w:pPr>
        <w:ind w:left="360" w:right="540" w:hanging="172"/>
        <w:spacing w:after="0" w:line="259"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169"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b w:val="1"/>
          <w:b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not yet established sales, marketing or distribution operations because our product candidates are in early clinical development. Prior to receiving regulatory approval for EB612, we plan to build a focused sales and marketing organization in the United States and other jurisdictions where we anticipate obtaining approval to sell EB612. This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Alternatively, we may consider entering into a collaboration to commercialize EB612, and we anticipate seeking a collaborator to develop EB613 and that any such collaborator would be responsible for, or substantially support, late stage clinical trials of EB613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6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extent of coverage and reimbursement from managed care plans and other third-party payors;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171" w:lineRule="exact"/>
        <w:rPr>
          <w:rFonts w:ascii="Arial" w:cs="Arial" w:eastAsia="Arial" w:hAnsi="Arial"/>
          <w:sz w:val="18"/>
          <w:szCs w:val="18"/>
          <w:color w:val="auto"/>
        </w:rPr>
      </w:pPr>
    </w:p>
    <w:p>
      <w:pPr>
        <w:ind w:left="360" w:right="780" w:hanging="172"/>
        <w:spacing w:after="0" w:line="27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third-party payors, including managed care organizations;</w:t>
      </w:r>
    </w:p>
    <w:p>
      <w:pPr>
        <w:spacing w:after="0" w:line="116" w:lineRule="exact"/>
        <w:rPr>
          <w:rFonts w:ascii="Arial" w:cs="Arial" w:eastAsia="Arial" w:hAnsi="Arial"/>
          <w:sz w:val="18"/>
          <w:szCs w:val="18"/>
          <w:color w:val="auto"/>
        </w:rPr>
      </w:pPr>
    </w:p>
    <w:p>
      <w:pPr>
        <w:ind w:left="360" w:right="740" w:hanging="172"/>
        <w:spacing w:after="0" w:line="27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116"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48" w:lineRule="exact"/>
        <w:rPr>
          <w:sz w:val="20"/>
          <w:szCs w:val="20"/>
          <w:color w:val="auto"/>
        </w:rPr>
      </w:pPr>
    </w:p>
    <w:p>
      <w:pPr>
        <w:ind w:right="400"/>
        <w:spacing w:after="0" w:line="236" w:lineRule="auto"/>
        <w:rPr>
          <w:sz w:val="20"/>
          <w:szCs w:val="20"/>
          <w:color w:val="auto"/>
        </w:rPr>
      </w:pPr>
      <w:r>
        <w:rPr>
          <w:rFonts w:ascii="Arial" w:cs="Arial" w:eastAsia="Arial" w:hAnsi="Arial"/>
          <w:sz w:val="18"/>
          <w:szCs w:val="18"/>
          <w:b w:val="1"/>
          <w:bCs w:val="1"/>
          <w:color w:val="auto"/>
        </w:rPr>
        <w:t>Even if we obtain regulatory approval of any of our product candidates in a major pharmaceutical market such as the United States or the European Union, we may never obtain approval or commercialize our products in other major markets, which would limit our ability to realize their full market potential.</w:t>
      </w:r>
    </w:p>
    <w:p>
      <w:pPr>
        <w:spacing w:after="0" w:line="8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b w:val="1"/>
          <w:b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5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6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 events described above occur, this could have a material adverse effect on our business, financial condition and results of operations.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highly dependent upon our ability to enter into agreements with collaborators to develop, commercialize and market our products.</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may enter into collaborations with third parties that we believe could provide us with valuable funding and other benefits. For example, we anticipate seeking a collaborator to develop EB613 for osteoporosis and that any such collaborator would be responsible for, or substantially support, late stage clinical trials of EB613 as well as regulatory approvals and registrations.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 we enter into may pose a number of risks, including the following:</w:t>
      </w:r>
    </w:p>
    <w:p>
      <w:pPr>
        <w:spacing w:after="0" w:line="131" w:lineRule="exact"/>
        <w:rPr>
          <w:sz w:val="20"/>
          <w:szCs w:val="20"/>
          <w:color w:val="auto"/>
        </w:rPr>
      </w:pPr>
    </w:p>
    <w:p>
      <w:pPr>
        <w:ind w:left="360" w:hanging="17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360" w:hanging="17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360" w:right="620" w:hanging="172"/>
        <w:spacing w:after="0" w:line="286"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360" w:right="500" w:hanging="172"/>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360" w:right="380" w:hanging="172"/>
        <w:spacing w:after="0" w:line="264"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360" w:right="700" w:hanging="172"/>
        <w:spacing w:after="0" w:line="308"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360" w:right="680" w:hanging="172"/>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360" w:hanging="172"/>
        <w:spacing w:after="0" w:line="312"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38" w:lineRule="exact"/>
        <w:rPr>
          <w:rFonts w:ascii="Arial" w:cs="Arial" w:eastAsia="Arial" w:hAnsi="Arial"/>
          <w:sz w:val="16"/>
          <w:szCs w:val="16"/>
          <w:color w:val="auto"/>
        </w:rPr>
      </w:pPr>
    </w:p>
    <w:p>
      <w:pPr>
        <w:jc w:val="both"/>
        <w:ind w:left="360" w:right="420" w:hanging="172"/>
        <w:spacing w:after="0" w:line="342"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360" w:right="340" w:hanging="17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75" w:lineRule="exact"/>
        <w:rPr>
          <w:rFonts w:ascii="Arial" w:cs="Arial" w:eastAsia="Arial" w:hAnsi="Arial"/>
          <w:sz w:val="18"/>
          <w:szCs w:val="18"/>
          <w:color w:val="auto"/>
        </w:rPr>
      </w:pPr>
    </w:p>
    <w:p>
      <w:pPr>
        <w:ind w:left="360" w:right="1080" w:hanging="17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laws, rules or regulations when performing services for us, which may expose us to legal proceedings and potential liability; and</w:t>
      </w:r>
    </w:p>
    <w:p>
      <w:pPr>
        <w:spacing w:after="0" w:line="62" w:lineRule="exact"/>
        <w:rPr>
          <w:rFonts w:ascii="Arial" w:cs="Arial" w:eastAsia="Arial" w:hAnsi="Arial"/>
          <w:sz w:val="18"/>
          <w:szCs w:val="18"/>
          <w:color w:val="auto"/>
        </w:rPr>
      </w:pPr>
    </w:p>
    <w:p>
      <w:pPr>
        <w:ind w:left="360" w:right="540" w:hanging="172"/>
        <w:spacing w:after="0" w:line="264"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for convenience by the collaborator and, if terminated, we could be required to raise additional capital to pursue further development or commercialization of the applicable product candidates, we may suffer from negative publicity and we may find it more difficult to attract new collaborators.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any of our future program collaborators.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and maintain research institutions to conduct our clinical trials.</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or if any resulting agreement is terminated, we may be unable to quickly replace the research institution with another qualified institution on acceptable terms. Furthermore, we may not be able to secure and maintain suitable research institutions to conduct our clinical trials.</w:t>
      </w:r>
    </w:p>
    <w:p>
      <w:pPr>
        <w:spacing w:after="0" w:line="14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color w:val="auto"/>
        </w:rPr>
        <w:t>Independent clinical investigators and CROs that we engage to conduct our clinical trials may not devote sufficient time or attention to our clinical trials or be able to repeat their past success.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164" w:lineRule="exact"/>
        <w:rPr>
          <w:sz w:val="20"/>
          <w:szCs w:val="20"/>
          <w:color w:val="auto"/>
        </w:rPr>
      </w:pPr>
    </w:p>
    <w:p>
      <w:pPr>
        <w:jc w:val="both"/>
        <w:ind w:right="160"/>
        <w:spacing w:after="0" w:line="232" w:lineRule="auto"/>
        <w:rPr>
          <w:sz w:val="20"/>
          <w:szCs w:val="20"/>
          <w:color w:val="auto"/>
        </w:rPr>
      </w:pPr>
      <w:r>
        <w:rPr>
          <w:rFonts w:ascii="Arial" w:cs="Arial" w:eastAsia="Arial" w:hAnsi="Arial"/>
          <w:sz w:val="18"/>
          <w:szCs w:val="18"/>
          <w:b w:val="1"/>
          <w:b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 BLA or grant a marketing authorization for the product candidate manufactured at that facility. We will depend on these third-party manufacturers for compliance with the FDA’s and the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75" w:lineRule="exact"/>
        <w:rPr>
          <w:sz w:val="20"/>
          <w:szCs w:val="20"/>
          <w:color w:val="auto"/>
        </w:rPr>
      </w:pPr>
    </w:p>
    <w:p>
      <w:pPr>
        <w:ind w:left="360" w:hanging="17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63" w:lineRule="exact"/>
        <w:rPr>
          <w:rFonts w:ascii="Arial" w:cs="Arial" w:eastAsia="Arial" w:hAnsi="Arial"/>
          <w:sz w:val="18"/>
          <w:szCs w:val="18"/>
          <w:color w:val="auto"/>
        </w:rPr>
      </w:pPr>
    </w:p>
    <w:p>
      <w:pPr>
        <w:ind w:left="360" w:right="600" w:hanging="172"/>
        <w:spacing w:after="0" w:line="277"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8" w:lineRule="exact"/>
        <w:rPr>
          <w:rFonts w:ascii="Arial" w:cs="Arial" w:eastAsia="Arial" w:hAnsi="Arial"/>
          <w:sz w:val="18"/>
          <w:szCs w:val="18"/>
          <w:color w:val="auto"/>
        </w:rPr>
      </w:pPr>
    </w:p>
    <w:p>
      <w:pPr>
        <w:ind w:left="360" w:right="480" w:hanging="172"/>
        <w:spacing w:after="0" w:line="277"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94"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b w:val="1"/>
          <w:b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protection with respect to our intellectual property and proprietary technology. Our product candidates utilize our proprietary technology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relating to the oral 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Japan, China, Israel and Russia. Related patent applications are pending in the United States, the European Union, Hong Kong, Brazil, India, Israel, Canada, New Zealand and Russia. We have also filed five patent applications in various jurisdictions and one Patent Cooperation Treaty (PCT) application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provide any assurance that any of our issued patents or any patents that may issue to us in the future will provide sufficient protections for our technology or product candidates, in whole or in part, or will effectively prevent competitors from commercializing similar or identical technologies and products.</w:t>
      </w:r>
    </w:p>
    <w:p>
      <w:pPr>
        <w:spacing w:after="0" w:line="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5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future, we may enter into collaborative agreements or license agreements with third parties which may subject us to obligations that must be fulfilled and require us to manage complex relationships with third parties. If we are unable to meet our obligations or 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49" w:lineRule="exact"/>
        <w:rPr>
          <w:sz w:val="20"/>
          <w:szCs w:val="20"/>
          <w:color w:val="auto"/>
        </w:rPr>
      </w:pPr>
    </w:p>
    <w:p>
      <w:pPr>
        <w:ind w:right="580"/>
        <w:spacing w:after="0" w:line="251" w:lineRule="auto"/>
        <w:rPr>
          <w:sz w:val="20"/>
          <w:szCs w:val="20"/>
          <w:color w:val="auto"/>
        </w:rPr>
      </w:pPr>
      <w:r>
        <w:rPr>
          <w:rFonts w:ascii="Arial" w:cs="Arial" w:eastAsia="Arial" w:hAnsi="Arial"/>
          <w:sz w:val="18"/>
          <w:szCs w:val="18"/>
          <w:b w:val="1"/>
          <w:bCs w:val="1"/>
          <w:color w:val="auto"/>
        </w:rPr>
        <w:t>We may become involved in proceedings to protect or enforce our proprietary rights, which could be expensive and time consuming, and may ultimately be unsuccessful.</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6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we may be subject to third-party challenges regarding our exclusive ownership of our intellectual property. If a third party were successful in challenging our exclusive ownership of any of our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Emisphere Technologies, Inc., or Emisphere, has notified us that it believes that it is the exclusive owner of certain U.S. and related foreign patents and patent applications we acquired from Oramed Ltd. We are in the early stages of investigating this claim. If Emisphere were to initiate a legal proceeding against us regarding its claim, we would vigorously defend against such claim. However, if Emisphere were ultimately successful in obtaining ownership of the patent rights that are the subject of its claim, then we may lose our ability to enforce such patent rights against any third party infringers. Moreover, if Emisphere were 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commercial success depends significantly on our ability to operate without infringing the patents and other proprietary rights of third parties.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claims that we are violating the intellectual property rights of others.</w:t>
      </w:r>
    </w:p>
    <w:p>
      <w:pPr>
        <w:spacing w:after="0" w:line="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 with certainty that our oral PTH (1-34) tablet or any other product candidate, or our commercialization thereof, does not and will not infringe or otherwise violate any third party’s intellectual property.</w:t>
      </w:r>
    </w:p>
    <w:p>
      <w:pPr>
        <w:spacing w:after="0" w:line="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and enforce our intellectual property rights throughout the world.</w:t>
      </w:r>
    </w:p>
    <w:p>
      <w:pPr>
        <w:spacing w:after="0" w:line="1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third parties. Furthermore, many countries limit the enforceability of patents against third parties, including government agencies or government contractors. In these countries, patents may provide limited or no benefit.</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changes in the law and legal decisions by courts in the United States and foreign countries may affect our ability to obtain adequate protection for our technology and to enforce our intellectual property.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U.S. patent law could diminish the value of our future patents, if issued, thereby impairing our ability to protect our product candidates.</w:t>
      </w:r>
    </w:p>
    <w:p>
      <w:pPr>
        <w:spacing w:after="0" w:line="13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169"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color w:val="auto"/>
        </w:rPr>
        <w:t>Intellectual property litigation may lead to unfavorable publicity that harms our reputation and causes the market price of our ordinary shares to decline.</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54" w:lineRule="exact"/>
        <w:rPr>
          <w:sz w:val="20"/>
          <w:szCs w:val="20"/>
          <w:color w:val="auto"/>
        </w:rPr>
      </w:pPr>
    </w:p>
    <w:p>
      <w:pPr>
        <w:jc w:val="both"/>
        <w:ind w:right="360"/>
        <w:spacing w:after="0" w:line="23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If we are required to pay additional compensation or face disputes relating to service inventions, our results of operations could be adversely affected.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the confidentiality of our technology, which, if disseminated, could negatively impact our plan of operations.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14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b w:val="1"/>
          <w:b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7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own or use any registered trademarks for our product candidates.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Ordinary Shares and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price of our ordinary shares may be volatile, and you may not be able to resell your shares at or above the initial public offering price.</w:t>
      </w:r>
    </w:p>
    <w:p>
      <w:pPr>
        <w:spacing w:after="0" w:line="11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share price of publicly traded emerging biopharmaceutical and drug discovery and development companies has been highly volatile and is likely to remain highly volatile in the future. These fluctuations may result from a variety of factors, many of which are beyond our control. These factors include:</w:t>
      </w:r>
    </w:p>
    <w:p>
      <w:pPr>
        <w:spacing w:after="0" w:line="83" w:lineRule="exact"/>
        <w:rPr>
          <w:sz w:val="20"/>
          <w:szCs w:val="20"/>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 results and the timing of the release of such results;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171" w:lineRule="exact"/>
        <w:rPr>
          <w:rFonts w:ascii="Arial" w:cs="Arial" w:eastAsia="Arial" w:hAnsi="Arial"/>
          <w:sz w:val="18"/>
          <w:szCs w:val="18"/>
          <w:color w:val="auto"/>
        </w:rPr>
      </w:pPr>
    </w:p>
    <w:p>
      <w:pPr>
        <w:ind w:left="360" w:right="340" w:hanging="172"/>
        <w:spacing w:after="0" w:line="277"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or acquisitions or expansion plans by us or our competitors;</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184" w:lineRule="exact"/>
        <w:rPr>
          <w:rFonts w:ascii="Arial" w:cs="Arial" w:eastAsia="Arial" w:hAnsi="Arial"/>
          <w:sz w:val="18"/>
          <w:szCs w:val="18"/>
          <w:color w:val="auto"/>
        </w:rPr>
      </w:pPr>
    </w:p>
    <w:p>
      <w:pPr>
        <w:ind w:left="360" w:right="1220" w:hanging="172"/>
        <w:spacing w:after="0" w:line="277"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related to proprietary rights, including patents, litigation matters and our ability to obtain intellectual property protection for our technologies;</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or other securities in the future;</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being developed;</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b w:val="1"/>
          <w:bCs w:val="1"/>
          <w:color w:val="auto"/>
        </w:rPr>
        <w:t>There was no public market for our ordinary shares prior to this offering, and an active market in our ordinary shares may not develop in which investors can resell our ordinary shares.</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this offering there was no public market for our ordinary shares. Although we have applied to list our ordinary shares on the NASDAQ Capital Market and expect that our ordinary shares will be listed on the NASDAQ Capital Market prior to the completion of this offering, we cannot predict the extent to which an active market for our ordinary shares will develop or be sustained after this offering, or how the development of such a market might affect the market price for our ordinary shares. The initial public offering price of our ordinary shares in this offering was agreed between us and the underwriters based on a number of factors, including market conditions in effect at the time of this offering, which may not be indicative of the price at which our ordinary shares will trade following completion of this offering. Investors may not be able to sell their ordinary shares at or above the initial public offering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by our shareholders may adversely affect our stock price and our ability to raise funds in new stock offerings.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of our ordinary shares in the public market following this offering could lower the market price of our ordinary shares. Sales may also make it more difficult for us to sell equity securities or equity-related securities in the future at a time and price that our management deems acceptable or at all. Most of our outstanding ordinary shares will be restricted from resale immediately after the consummation of this offering. In the event of a sale of ordinary shares offered by selling shareholders, the price of our ordinary shares could decline, and such decline could be material.</w:t>
      </w:r>
    </w:p>
    <w:p>
      <w:pPr>
        <w:spacing w:after="0" w:line="15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b w:val="1"/>
          <w:bCs w:val="1"/>
          <w:color w:val="auto"/>
        </w:rPr>
        <w:t>Immediately following this offering, D.N.A Biomedical will beneficially own approximately 23.0% of our ordinary shares and may therefore be able to significantly influence the outcome of matters requiring shareholder approval.</w:t>
      </w:r>
    </w:p>
    <w:p>
      <w:pPr>
        <w:spacing w:after="0" w:line="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Immediately following this offering, D.N.A Biomedical Solutions Ltd., or D.N.A Biomedical, will beneficially own approximately 23.0% of our outstanding shares. Accordingly, subject to special approvals required by Israeli law for transactions involving controlling shareholders, D.N.A Biomedical may be able to exercise significant influence over all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control of our company to another party without your consent.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ordinary shares could be negatively affected by future sales of our ordinary shares.</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this offering, we will have 11,897,252 ordinary shares outstanding. If we or our shareholders sell substantial amounts of our ordinary shares or if there is a public perception that these sales may occur in the future, the market price of our ordinary shares may decline. We, together with our directors, officers and our significant shareholders that, in the aggregate beneficially own approximately 95.5% of our outstanding ordinary shares as of December 31, 2017, have agreed with the underwriters of this offering not to sell any ordinary shares, other than the shares offered through this prospectus, for a period of 180 days following the date of this prospectus, subject to certain exceptions. See “Shares Eligible for Future Sale” and “Underwriters.”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10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intend to allocate the net proceeds from this offering to our different areas of activity. Our management may not apply the net proceeds in ways that ultimately increase the value of your investment in our ordinary shares. They will have broad discretion in the application of the use of proceeds from this offering, and you will be relying on the judgment of our management regarding the application of these proceeds. If we do not invest or apply the net proceeds from this offering in ways that enhance shareholder value, we may fail to achieve expected financial results, which could cause the price of our ordinary shares to decline.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ordinary shares in this offering, you will suffer immediate dilution of your investment.</w:t>
      </w:r>
    </w:p>
    <w:p>
      <w:pPr>
        <w:spacing w:after="0" w:line="10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you purchase ordinary shares in this offering, you will pay a price per ordinary share that exceeds our pro forma as further adjusted net tangible book value per ordinary share. You will experience immediate dilution of $5.70 per ordinary share, representing the difference between our pro forma as further adjusted net tangible book value per ordinary share of $5.30 as of September 30, 2017 and the assumed initial public offering price of $11.00 per ordinary share (the midpoint of the estimated offering price range on the cover of this prospectus). Purchasers of ordinary shares in this offering will have contributed approximately 64% of the aggregate price paid by all purchasers of our ordinary shares but will own only approximately 42% of our ordinary shares outstanding after this offering. To the extent options or warrants for our ordinary shares are exercised, you will incur further dilution. See “Dilution.”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w:t>
      </w:r>
    </w:p>
    <w:p>
      <w:pPr>
        <w:spacing w:after="0" w:line="1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never declared or paid any cash dividends on our ordinary shares. In addition, Israeli law may limit our declaration or payment of dividends, and may subject our dividends to Israeli withholding taxes. We currently intend to retain any future earnings to finance operations and to expand our business and, therefore, do not expect to pay any cash dividends in the foreseeable future.</w:t>
      </w:r>
    </w:p>
    <w:p>
      <w:pPr>
        <w:spacing w:after="0" w:line="164"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b w:val="1"/>
          <w:b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4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Upon consummation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do, however, intend to make available to our shareholders quarterly reports containing unaudited financial information for each of the first three quarters of each fiscal year. In addition, foreign private issuers are not required to file their annual report on Form 20-F until</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2" w:lineRule="exact"/>
        <w:rPr>
          <w:sz w:val="20"/>
          <w:szCs w:val="20"/>
          <w:color w:val="auto"/>
        </w:rPr>
      </w:pPr>
    </w:p>
    <w:p>
      <w:pPr>
        <w:ind w:right="560"/>
        <w:spacing w:after="0" w:line="251" w:lineRule="auto"/>
        <w:rPr>
          <w:sz w:val="20"/>
          <w:szCs w:val="20"/>
          <w:color w:val="auto"/>
        </w:rPr>
      </w:pPr>
      <w:r>
        <w:rPr>
          <w:rFonts w:ascii="Arial" w:cs="Arial" w:eastAsia="Arial" w:hAnsi="Arial"/>
          <w:sz w:val="18"/>
          <w:szCs w:val="18"/>
          <w:b w:val="1"/>
          <w:bCs w:val="1"/>
          <w:color w:val="auto"/>
        </w:rPr>
        <w:t>As a foreign private issuer and as permitted by the listing requirements of the NASDAQ Capital Market, we will follow certain home country governance practices rather than the corporate governance requirements of the NASDAQ Capital Market.</w:t>
      </w:r>
    </w:p>
    <w:p>
      <w:pPr>
        <w:spacing w:after="0" w:line="7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As a foreign private issuer, we have the option to follow certain Israeli corporate governance practices rather than those of the NASDAQ Capital Market, except to the extent that such laws would be contrary to U.S. securities laws, and provided that we disclose the requirements we are not following and describe the home country practices we follow instead. We intend to rely on this “foreign private issuer exemption” with respect to the NASDAQ Capital Market shareholder approval requirements in respect of equity issuances and equity-based compensation plans and the quorum requirement for meetings of our shareholders. In addition, we intend to rely on the “foreign private issuer exemption” with respect to the NASDAQ Capital Market compensation committee requirements, independent approval of board nominations, the requirement to have a majority of independent directors on our board and the requirement for independent directors to hold executive sessions. We may in the future elect to follow home country practices in Israel with regard to other matters. As a result, our shareholders may not have the same protections afforded to shareholders of companies that are subject to all NASDAQ Capital Market corporate governance requirements.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b w:val="1"/>
          <w:bCs w:val="1"/>
          <w:color w:val="auto"/>
        </w:rPr>
        <w:t>We may lose our status as a foreign private issuer, which would increase our compliance costs and could thereby negatively impact our results of operations.</w:t>
      </w:r>
    </w:p>
    <w:p>
      <w:pPr>
        <w:spacing w:after="0" w:line="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We will not maintain our current status as a foreign private issuer, if (a) a majority of our ordinary shares is not either directly or indirectly owned of record by non-residents of the United States and (b) one of the following applies: (i) a majority of our executive officers or directors are United States citizens or residents, (ii) more than 50 percent of our assets are located in the United States or (iii) our business is administered principally inside the United States.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 governance requirements on the NASDAQ Capital Market that are available to foreign private issuers.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25"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b w:val="1"/>
          <w:bCs w:val="1"/>
          <w:color w:val="auto"/>
        </w:rPr>
        <w:t>There is a risk that we will be a passive foreign investment company, or a PFIC, for U.S. federal income tax purposes for any taxable year, which generally would result in certain adverse U.S. federal income tax consequences to our U.S. shareholders.</w:t>
      </w:r>
    </w:p>
    <w:p>
      <w:pPr>
        <w:spacing w:after="0" w:line="3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general, a non-U.S. corporation is a “passive foreign investment company,” or a PFIC, for any taxable year in which (i) 75% or more of its gross income consists of passive income, or the income test, or (ii) 50% or more of the average quarterly value of its assets consists of assets that produce, or are held for the production of, passive income, or the assets test. Generally, “passive income” includes interest, dividends, rents, royalties and certain gains, and cash (including cash raised in this offering) is a passive asset for PFIC purposes. 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 If we were a PFIC for any taxable year during which a U.S. investor owned our ordinary shares, such U.S. shareholder generally will be subject to certain adverse U.S. federal income tax consequences, including increased tax liability on gains from dispositions of the ordinary shares and certain distributions and a requirement to file annual reports with the Internal Revenue Service. See “Taxation and Government Programs — Material U.S. Federal Income Tax Considerations for U.S. Holders — Passive Foreign Investment Company Rules” for more information.</w:t>
      </w:r>
    </w:p>
    <w:p>
      <w:pPr>
        <w:spacing w:after="0" w:line="106"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b w:val="1"/>
          <w:bCs w:val="1"/>
          <w:color w:val="auto"/>
        </w:rPr>
        <w:t>We are an “emerging growth company” and we cannot be certain whether the reduced requirements applicable to “emerging growth companies” will make our ordinary shares less attractive to investors.</w:t>
      </w:r>
    </w:p>
    <w:p>
      <w:pPr>
        <w:spacing w:after="0" w:line="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requirements that are applicable to other public companies that are not “emerging</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growth companies.” For instance, for so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We have also elected to include two years of audited financial statements and selected financial data, as permitted for an “emerging growth company” compared to three and five years, respectively, for comparable data reported by other public companies. In general, these reduced reporting requirements may allow us to refrain from disclosing information that you may find important.</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ordinary shares held by non-affiliates exceeds $700 million as of any June 30 (the end of our second fiscal quarter) before that time,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color w:val="auto"/>
        </w:rPr>
        <w:t>We have not yet determined whether our existing internal control over financial reporting is compliant with Section 404 of the Sarbanes-Oxley Act, and we cannot provide any assurance that there are no material weaknesses or significant deficiencies in our existing internal controls.</w:t>
      </w:r>
    </w:p>
    <w:p>
      <w:pPr>
        <w:spacing w:after="0" w:line="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or Section 404,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only initially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about our business, our share price and trading volume could decline.</w:t>
      </w:r>
    </w:p>
    <w:p>
      <w:pPr>
        <w:spacing w:after="0" w:line="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trading market for our ordinary shares will depend in part on the research and reports that securities or industry analysts publish about us or our business. We do not currently have and may never obtain research coverage by securities and industry analysts. If securities or industry analysts do not commence coverage of our company, the trading price for our shares would be negatively affected. In the event we obtain securities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Incorporation and Location in Israel</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5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research and development efforts have been financed, in part, through the grants that we have received from the Israeli Innovation Authority (formerly known as the Office of Chief Scientist of the Israeli Ministry of Economy), or the IIA. Pursuant to these grants, we must comply with the requirements of the Encouragement of Industrial Research, Development and Technological Innovation in Industry Law 5744-1984,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plus interest, depending on the manufacturing volume that is performed outside of Israel. This restriction may impair our ability to outsource manufacturing or engage in our own manufacturing operations for those products or technologies. See “Business — The Israeli Innovation Authority Grant” for additional information.</w:t>
      </w:r>
    </w:p>
    <w:p>
      <w:pPr>
        <w:spacing w:after="0" w:line="8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Additionally, under the Research Law, we are prohibited from transferring in any manner (including by way of license), the IIA-financed technologies and related rights (including know-how and other intellectual property rights) outside of the State of Israel, except under limited circumstances and only with the approval of the IIA Research Committee. We may not receive the required approvals for any proposed transfer and, even if received, we may be required to pay the IIA a portion of the consideration that we receive upon any transfer of such technology to a non-Israeli entity up to 600% of the grant amounts plus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(including by way of an initial public offering) that would make a non-Israeli citizen or resident an “interested party,” as defined in the Israeli Securities Law, 5728-1968, as amended, or the Securities Law, requires written notice to the IIA, and our failure to comply with this requirement could result in monetary fines. Such non-Israeli interested parties, which include 5%</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1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These restrictions will continue to apply even after we have repaid the full amount of the grants. If we fail to satisfy the conditions of the Research Law, we may be required to refund certain grants previously received together with interest and penalties, and may become subject to criminal charges.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political and economic instability in the Middle East may harm our business.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principal offices and research and development facilities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hostilities involving Israel or the interruption or curtailment of trade between Israel and its present trading partners could have a material adverse effect on our business. Although such hostilities did not in the past have a material adverse impact on our business,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restrict business with Israel and Israeli companies, which could have an adverse effect on our business.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disrupted by the obligations of personnel to perform military service.</w:t>
      </w:r>
    </w:p>
    <w:p>
      <w:pPr>
        <w:spacing w:after="0" w:line="10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employees in Israel, including executive officers, may be called upon to perform up to 36 days (and in some cases more) of annual military reserve duty until they reach the age of 40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color w:val="auto"/>
        </w:rPr>
        <w:t>Our business is subject to currency exchange risk and fluctuations between the U.S. dollar and other currencies may negatively affect our earnings and results of operations.</w:t>
      </w:r>
    </w:p>
    <w:p>
      <w:pPr>
        <w:spacing w:after="0" w:line="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are incurred in NIS. Consequently, inflation in Israel will have the effect of increasing the cost of our operations in Israel unless it is offset on a timely basis by a devaluation of the NIS relative to the 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w:t>
      </w:r>
    </w:p>
    <w:p>
      <w:pPr>
        <w:spacing w:after="0" w:line="7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to enforce a U.S. judgment against us or our officers and directors and to assert U.S. securities laws claims in Israel.</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our directors and officers and the Israeli experts, if any, named in this prospectus, substantially all of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it may be difficult for an investor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entitled “Enforceability of Civil Liabilities.”</w:t>
      </w:r>
    </w:p>
    <w:p>
      <w:pPr>
        <w:spacing w:after="0" w:line="176"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color w:val="auto"/>
        </w:rPr>
        <w:t>Provisions of Israeli law and our amended Articles may give rise to withholding obligations or delay, prevent or make difficult a change of control and therefore depress the price of our shares.</w:t>
      </w:r>
    </w:p>
    <w:p>
      <w:pPr>
        <w:spacing w:after="0" w:line="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Israeli Companies Law, 5759-1999,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For additional information regarding the regulation of mergers and tender offers under the Israeli Companies Law, see “Description of Share Capital — Anti-Takeover Provisions; Mergers and Acquisitions.”</w:t>
      </w:r>
    </w:p>
    <w:p>
      <w:pPr>
        <w:spacing w:after="0" w:line="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amended Articles provide that our directors (other than external directors) are elected on a staggered basis such that a potential acquirer cannot readily replace our entire board of directors at a single general shareholders meeting.</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the IPO Transactions that will be completed in connection with the closing of this offering may be treated, for Israeli income tax purposes, as taxable exchanges, which may give rise to withholding obligations applicable to us, absent a ruling or other written instructions issued by the Israel Tax Authority providing otherwise. We have not applied to the Israel Tax Authority for a ruling or other instructions with respect to any potential withholding obligations we may have in connection with such IPO Transactions. In the event that it is determined that we failed to withhold any applicable withholding tax in connection with such IPO Transactions, in addition to the liability to pay such taxes, we may be liable for payment of interest, and certain penalties and fines.</w:t>
      </w:r>
    </w:p>
    <w:p>
      <w:pPr>
        <w:spacing w:after="0" w:line="176" w:lineRule="exact"/>
        <w:rPr>
          <w:sz w:val="20"/>
          <w:szCs w:val="20"/>
          <w:color w:val="auto"/>
        </w:rPr>
      </w:pPr>
    </w:p>
    <w:p>
      <w:pPr>
        <w:ind w:right="1040"/>
        <w:spacing w:after="0" w:line="251" w:lineRule="auto"/>
        <w:rPr>
          <w:sz w:val="20"/>
          <w:szCs w:val="20"/>
          <w:color w:val="auto"/>
        </w:rPr>
      </w:pPr>
      <w:r>
        <w:rPr>
          <w:rFonts w:ascii="Arial" w:cs="Arial" w:eastAsia="Arial" w:hAnsi="Arial"/>
          <w:sz w:val="18"/>
          <w:szCs w:val="18"/>
          <w:b w:val="1"/>
          <w:bCs w:val="1"/>
          <w:color w:val="auto"/>
        </w:rPr>
        <w:t>Your rights and responsibilities as a shareholder will be governed by Israeli law, which may differ in some respects from the rights and responsibilities of shareholders of U.S. companies.</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then-current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 See “Description of Share Capital — Our Ordinary Shares.”</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include all statements that are not historical facts and can be identified by words such as, but not limited to, “believe,” “expect,” “anticipate,” “estimate,” “intend,” “plan,” “targets,” “likely,” “will,” “would,” “could,” and similar expressions or phrases. We have based these forward-looking statements largely on our management’s current expectations and future events and financial trends that we believe may affect our financial condition, results of operations, business strategy and financial needs. Forward-looking statements include, but are not limited to, statements about:</w:t>
      </w:r>
    </w:p>
    <w:p>
      <w:pPr>
        <w:spacing w:after="0" w:line="151" w:lineRule="exact"/>
        <w:rPr>
          <w:sz w:val="20"/>
          <w:szCs w:val="20"/>
          <w:color w:val="auto"/>
        </w:rPr>
      </w:pPr>
    </w:p>
    <w:p>
      <w:pPr>
        <w:ind w:left="360" w:right="360" w:hanging="172"/>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 and our ability to fund our operations going forward;</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360" w:right="700" w:hanging="172"/>
        <w:spacing w:after="0" w:line="264"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that we will be able to demonstrate to regulators the clinical superiority of EB612 over Natpara, which is required to overcome Natpara’s drug exclusivity;</w:t>
      </w:r>
    </w:p>
    <w:p>
      <w:pPr>
        <w:spacing w:after="0" w:line="15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competitive position, especially with respect to Natpara, our key competitor for hypoparathyroidism treatment;</w:t>
      </w:r>
    </w:p>
    <w:p>
      <w:pPr>
        <w:spacing w:after="0" w:line="184" w:lineRule="exact"/>
        <w:rPr>
          <w:rFonts w:ascii="Arial" w:cs="Arial" w:eastAsia="Arial" w:hAnsi="Arial"/>
          <w:sz w:val="18"/>
          <w:szCs w:val="18"/>
          <w:color w:val="auto"/>
        </w:rPr>
      </w:pPr>
    </w:p>
    <w:p>
      <w:pPr>
        <w:ind w:left="360" w:right="560" w:hanging="172"/>
        <w:spacing w:after="0" w:line="277"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recurring losses from operations have raised substantial doubt regarding our ability to continue as a going concern absent access to sources of liquidity;</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forward-looking statements involve risks, assumptions and uncertainties. You should not rely upon forward-looking statements as predictors of future events. The occurrence of the events described, and the achievement of expected results, depend on many events, some or all of which are not predictable or within our control. Actual results may differ materially from expected results. See the sections below “Risk Factors” and “Management’s Discussion and Analysis of Financial Condition and Results of Operations”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All of the forward-looking statements we have included in this prospectus are based on information available to us on the date of this prospectus. We undertake no obligation, and specifically decline any obligation, to update publicly or revise any forward-looking statements, whether as a result of new information, future events or otherwise. In light of these risks, uncertainties and assumptions, the forward-looking events discussed in this prospectus might not occur.</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estimate that we will receive net proceeds of approximately $49.9 million from our sale of ordinary shares in this offering (or approximately $57.7 million if the underwriters fully exercise their over-allotment option), after deducting the estimated underwriting discounts and commissions and the estimated offering expenses payable by us. This assumes an initial public offering price of $11.00 per ordinary share, which is the midpoint of the estimated offering price range on the cover page of this prospectus.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2017, we had cash and cash equivalents of $11.7 million. We intend to use the net proceeds from this offering, together with our cash and cash equivalents, as follows:</w:t>
      </w:r>
    </w:p>
    <w:p>
      <w:pPr>
        <w:spacing w:after="0" w:line="116" w:lineRule="exact"/>
        <w:rPr>
          <w:sz w:val="20"/>
          <w:szCs w:val="20"/>
          <w:color w:val="auto"/>
        </w:rPr>
      </w:pPr>
    </w:p>
    <w:p>
      <w:pPr>
        <w:ind w:left="360" w:hanging="17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$45.0 million to fund research and development expenses of our oral PTH candidate, EB612;</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$1.5 million to fund research and development expenses of our oral PTH candidate, EB613;</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$2.5 million to fund other research and development expenses;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revenues, if any, received from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Based on our planned use of the net proceeds of this offering and our current cash and cash equivalents described above, we estimate that such funds will be sufficient to enable us to fund our operating expenses and capital expenditure requirements for at least the next two years. Following the completion of this offering, we anticipate that we will eventually need additional capital for the marketing and sales development for our oral PTH candidate, EB612, if approved. We have based these estimates on assumptions that may prove to be incorrect, and we could use our available capital resources sooner than we currently expect. For additional information regarding our capital requirements, see “Even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 under the heading “Risk Factors.”</w:t>
      </w:r>
    </w:p>
    <w:p>
      <w:pPr>
        <w:spacing w:after="0" w:line="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financial assets and certificates of deposit.</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$1.00 increase (decrease) in the assumed initial public offering price of $11.00 per ordinary share, the midpoint of the range set forth on the cover page of this prospectus, would increase (decrease) our net proceeds from this offering by approximately $4.7 million (or $5.3 million if the underwriters fully exercise their over-allotment option), assuming the number of ordinary shares offered by us remains the same.</w:t>
      </w:r>
    </w:p>
    <w:p>
      <w:pPr>
        <w:spacing w:after="0" w:line="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also increase or decrease the number of ordinary shares we are offering. An increase (decrease) of 1,000,000 ordinary shares offered by us would increase (decrease) our net proceeds from this offering by $10.2 million, assuming the public offering price per ordinary share remains the same. The information on net proceeds payable to us discussed above is illustrative only and will adjust based on the actual initial public offering price, the actual number of ordinary shares offered by us, and other terms of the offering determined at pricing.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DIVIDEND POLICY</w:t>
      </w:r>
    </w:p>
    <w:p>
      <w:pPr>
        <w:spacing w:after="0" w:line="9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which may include future earnings, capital requirements, financial condition and future prospects and other factors the board of directors may deem relevant. Our ability to distribute dividends is limited under Israeli law, as described below under “Description of Share Capital — Our Ordinary Shares — Dividends and Liquidation Rights.”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2017:</w:t>
      </w:r>
    </w:p>
    <w:p>
      <w:pPr>
        <w:spacing w:after="0" w:line="198" w:lineRule="exact"/>
        <w:rPr>
          <w:sz w:val="20"/>
          <w:szCs w:val="20"/>
          <w:color w:val="auto"/>
        </w:rPr>
      </w:pPr>
    </w:p>
    <w:p>
      <w:pPr>
        <w:ind w:left="360" w:hanging="17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basis to give effect to the Recent Developments Transactions, as described in “Summary — Recent Developments”;</w:t>
      </w:r>
    </w:p>
    <w:p>
      <w:pPr>
        <w:spacing w:after="0" w:line="184" w:lineRule="exact"/>
        <w:rPr>
          <w:rFonts w:ascii="Arial" w:cs="Arial" w:eastAsia="Arial" w:hAnsi="Arial"/>
          <w:sz w:val="18"/>
          <w:szCs w:val="18"/>
          <w:color w:val="auto"/>
        </w:rPr>
      </w:pPr>
    </w:p>
    <w:p>
      <w:pPr>
        <w:ind w:left="360" w:right="340" w:hanging="172"/>
        <w:spacing w:after="0" w:line="277"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the Recent Developments Transactions and the IPO Transactions, as described in “Summary — The Offering”; and</w:t>
      </w:r>
    </w:p>
    <w:p>
      <w:pPr>
        <w:spacing w:after="0" w:line="143" w:lineRule="exact"/>
        <w:rPr>
          <w:rFonts w:ascii="Arial" w:cs="Arial" w:eastAsia="Arial" w:hAnsi="Arial"/>
          <w:sz w:val="18"/>
          <w:szCs w:val="18"/>
          <w:color w:val="auto"/>
        </w:rPr>
      </w:pPr>
    </w:p>
    <w:p>
      <w:pPr>
        <w:ind w:left="360" w:right="480" w:hanging="172"/>
        <w:spacing w:after="0" w:line="257" w:lineRule="auto"/>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pro forma as further adjusted basis to give effect to (a) the IPO Transactions (b) the Recent Developments Transactions and (c) our sale in this offering of 5,000,000 ordinary shares (which does not include the 30-day option to purchase up to an additional 750,000 ordinary shares that we have granted to the underwriters to cover over-allotments, if any) at an assumed initial public offering price of $11.00 per share, which is the midpoint of the estimated offering price range on the cover page of this prospectus, after deducting the estimated underwriting discounts and commissions and estimated offering expenses payable by us.</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You should read this table together with our financial statements and the related notes included elsewhere in this prospectus and the “Management’s Discussion and Analysis of Financial Condition and Results of Operations” and “Certain Relationships and Related Party Transactions” sections and other information contained in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490"/>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0"/>
              </w:rPr>
              <w:t>As of September 30, 2017</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73"/>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Pro forma as</w:t>
            </w:r>
          </w:p>
        </w:tc>
        <w:tc>
          <w:tcPr>
            <w:tcW w:w="16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Pro forma as</w:t>
            </w:r>
          </w:p>
        </w:tc>
      </w:tr>
      <w:tr>
        <w:trPr>
          <w:trHeight w:val="186"/>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w w:val="88"/>
              </w:rPr>
              <w:t>Actual</w:t>
            </w:r>
          </w:p>
        </w:tc>
        <w:tc>
          <w:tcPr>
            <w:tcW w:w="11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Pro forma</w:t>
            </w:r>
          </w:p>
        </w:tc>
        <w:tc>
          <w:tcPr>
            <w:tcW w:w="1700" w:type="dxa"/>
            <w:vAlign w:val="bottom"/>
            <w:gridSpan w:val="2"/>
          </w:tcPr>
          <w:p>
            <w:pPr>
              <w:ind w:left="640"/>
              <w:spacing w:after="0"/>
              <w:rPr>
                <w:sz w:val="20"/>
                <w:szCs w:val="20"/>
                <w:color w:val="auto"/>
              </w:rPr>
            </w:pPr>
            <w:r>
              <w:rPr>
                <w:rFonts w:ascii="Arial" w:cs="Arial" w:eastAsia="Arial" w:hAnsi="Arial"/>
                <w:sz w:val="14"/>
                <w:szCs w:val="14"/>
                <w:b w:val="1"/>
                <w:bCs w:val="1"/>
                <w:color w:val="auto"/>
              </w:rPr>
              <w:t>Adjusted</w:t>
            </w:r>
          </w:p>
        </w:tc>
        <w:tc>
          <w:tcPr>
            <w:tcW w:w="16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Further Adjusted</w:t>
            </w:r>
          </w:p>
        </w:tc>
      </w:tr>
      <w:tr>
        <w:trPr>
          <w:trHeight w:val="26"/>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gridSpan w:val="2"/>
          </w:tcPr>
          <w:p>
            <w:pPr>
              <w:jc w:val="center"/>
              <w:ind w:right="470"/>
              <w:spacing w:after="0"/>
              <w:rPr>
                <w:sz w:val="20"/>
                <w:szCs w:val="20"/>
                <w:color w:val="auto"/>
              </w:rPr>
            </w:pPr>
            <w:r>
              <w:rPr>
                <w:rFonts w:ascii="Arial" w:cs="Arial" w:eastAsia="Arial" w:hAnsi="Arial"/>
                <w:sz w:val="14"/>
                <w:szCs w:val="14"/>
                <w:color w:val="auto"/>
                <w:w w:val="91"/>
              </w:rPr>
              <w:t>(In thousands)</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2,899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13,735</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7"/>
              </w:rPr>
              <w:t>13,735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7"/>
              </w:rPr>
              <w:t>63,760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Convertible loans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15,614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3,919</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A preferred shares of NIS 0.01 par value; 25,000 authorized, 10,222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issued and outstanding, actual; 25,000 authorized, 10,222 issued and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outstanding, pro forma; no shares authorized, issued and outstanding,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 and pro forma as further adjusted</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8,841</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8,841</w:t>
            </w: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w w:val="89"/>
              </w:rPr>
              <w:t>Series B preferred shares of NIS 0.01 par value; 35,000 authorized, no shares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7"/>
              </w:rPr>
              <w:t>issued and outstanding, actual; 35,000 authorized, 14,283 issued and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6"/>
              </w:rPr>
              <w:t>outstanding, pro forma; no shares authorized, issued and outstanding,</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8"/>
                <w:szCs w:val="18"/>
                <w:color w:val="auto"/>
              </w:rPr>
              <w:t>pro forma as adjusted and pro forma as further adjusted</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12,980</w:t>
            </w:r>
          </w:p>
        </w:tc>
        <w:tc>
          <w:tcPr>
            <w:tcW w:w="7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3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6"/>
              </w:rPr>
              <w:t>Series B-1 preferred shares of NIS 0.01 par value; 17,000 authorized, no</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issued and outstanding, actual; 17,000 authorized, 13,229 issued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and outstanding, pro forma; no shares authorized, issued and outstanding,</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 and pro forma as further adjusted</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11,695</w:t>
            </w:r>
          </w:p>
        </w:tc>
        <w:tc>
          <w:tcPr>
            <w:tcW w:w="7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Warrants to purchase preferred shares and shares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4,723</w:t>
            </w:r>
          </w:p>
        </w:tc>
        <w:tc>
          <w:tcPr>
            <w:tcW w:w="440" w:type="dxa"/>
            <w:vAlign w:val="bottom"/>
          </w:tcPr>
          <w:p>
            <w:pPr>
              <w:spacing w:after="0"/>
              <w:rPr>
                <w:sz w:val="22"/>
                <w:szCs w:val="22"/>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4,921</w:t>
            </w:r>
          </w:p>
        </w:tc>
        <w:tc>
          <w:tcPr>
            <w:tcW w:w="720" w:type="dxa"/>
            <w:vAlign w:val="bottom"/>
          </w:tcPr>
          <w:p>
            <w:pPr>
              <w:spacing w:after="0"/>
              <w:rPr>
                <w:sz w:val="22"/>
                <w:szCs w:val="22"/>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Liability to issue preferred shares and warrants</w:t>
            </w: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1,044</w:t>
            </w:r>
          </w:p>
        </w:tc>
        <w:tc>
          <w:tcPr>
            <w:tcW w:w="4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1,044</w:t>
            </w:r>
          </w:p>
        </w:tc>
        <w:tc>
          <w:tcPr>
            <w:tcW w:w="7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r>
      <w:tr>
        <w:trPr>
          <w:trHeight w:val="486"/>
        </w:trPr>
        <w:tc>
          <w:tcPr>
            <w:tcW w:w="5600" w:type="dxa"/>
            <w:vAlign w:val="bottom"/>
          </w:tcPr>
          <w:p>
            <w:pPr>
              <w:spacing w:after="0"/>
              <w:rPr>
                <w:sz w:val="24"/>
                <w:szCs w:val="2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56</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5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-3086735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-3086735</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-3086735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6"/>
        </w:trPr>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00" w:type="dxa"/>
            <w:vAlign w:val="bottom"/>
            <w:gridSpan w:val="5"/>
          </w:tcPr>
          <w:p>
            <w:pPr>
              <w:jc w:val="center"/>
              <w:ind w:left="134"/>
              <w:spacing w:after="0"/>
              <w:rPr>
                <w:sz w:val="20"/>
                <w:szCs w:val="20"/>
                <w:color w:val="auto"/>
              </w:rPr>
            </w:pPr>
            <w:r>
              <w:rPr>
                <w:rFonts w:ascii="Arial" w:cs="Arial" w:eastAsia="Arial" w:hAnsi="Arial"/>
                <w:sz w:val="14"/>
                <w:szCs w:val="14"/>
                <w:b w:val="1"/>
                <w:bCs w:val="1"/>
                <w:color w:val="auto"/>
                <w:w w:val="91"/>
              </w:rPr>
              <w:t>As of September 30, 2017</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6"/>
        </w:trPr>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173"/>
        </w:trPr>
        <w:tc>
          <w:tcPr>
            <w:tcW w:w="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Pro forma as</w:t>
            </w:r>
          </w:p>
        </w:tc>
        <w:tc>
          <w:tcPr>
            <w:tcW w:w="1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Pro forma as</w:t>
            </w:r>
          </w:p>
        </w:tc>
      </w:tr>
      <w:tr>
        <w:trPr>
          <w:trHeight w:val="186"/>
        </w:trPr>
        <w:tc>
          <w:tcPr>
            <w:tcW w:w="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Pro forma</w:t>
            </w:r>
          </w:p>
        </w:tc>
        <w:tc>
          <w:tcPr>
            <w:tcW w:w="60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Adjusted</w:t>
            </w:r>
          </w:p>
        </w:tc>
        <w:tc>
          <w:tcPr>
            <w:tcW w:w="1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Further Adjusted</w:t>
            </w:r>
          </w:p>
        </w:tc>
      </w:tr>
      <w:tr>
        <w:trPr>
          <w:trHeight w:val="26"/>
        </w:trPr>
        <w:tc>
          <w:tcPr>
            <w:tcW w:w="1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3"/>
        </w:trPr>
        <w:tc>
          <w:tcPr>
            <w:tcW w:w="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color w:val="auto"/>
                <w:w w:val="93"/>
              </w:rPr>
              <w:t>(In thousands)</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57"/>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(capital deficiency):</w:t>
            </w:r>
          </w:p>
        </w:tc>
        <w:tc>
          <w:tcPr>
            <w:tcW w:w="6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9"/>
        </w:trPr>
        <w:tc>
          <w:tcPr>
            <w:tcW w:w="5900" w:type="dxa"/>
            <w:vAlign w:val="bottom"/>
            <w:gridSpan w:val="4"/>
          </w:tcPr>
          <w:p>
            <w:pPr>
              <w:spacing w:after="0"/>
              <w:rPr>
                <w:sz w:val="20"/>
                <w:szCs w:val="20"/>
                <w:color w:val="auto"/>
              </w:rPr>
            </w:pPr>
            <w:r>
              <w:rPr>
                <w:rFonts w:ascii="Arial" w:cs="Arial" w:eastAsia="Arial" w:hAnsi="Arial"/>
                <w:sz w:val="18"/>
                <w:szCs w:val="18"/>
                <w:color w:val="auto"/>
              </w:rPr>
              <w:t>Ordinary shares; 1,000,000 authorized, 34,544 issued and outstanding,</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actual, of NIS 0.01 par value; 1,000,000 authorized, 35,544 issued and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outstanding, pro forma of NIS 0.01 par value; 89,500,000 authorized,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6,897,252 issued and outstanding, pro forma as adjusted of NIS</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0.0001117 par value; 89,500,000 authorized, 11,897,252 issued and</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7"/>
        </w:trPr>
        <w:tc>
          <w:tcPr>
            <w:tcW w:w="140" w:type="dxa"/>
            <w:vAlign w:val="bottom"/>
          </w:tcPr>
          <w:p>
            <w:pPr>
              <w:spacing w:after="0"/>
              <w:rPr>
                <w:sz w:val="20"/>
                <w:szCs w:val="20"/>
                <w:color w:val="auto"/>
              </w:rPr>
            </w:pPr>
          </w:p>
        </w:tc>
        <w:tc>
          <w:tcPr>
            <w:tcW w:w="5760" w:type="dxa"/>
            <w:vAlign w:val="bottom"/>
            <w:gridSpan w:val="3"/>
          </w:tcPr>
          <w:p>
            <w:pPr>
              <w:ind w:left="40"/>
              <w:spacing w:after="0"/>
              <w:rPr>
                <w:sz w:val="20"/>
                <w:szCs w:val="20"/>
                <w:color w:val="auto"/>
              </w:rPr>
            </w:pPr>
            <w:r>
              <w:rPr>
                <w:rFonts w:ascii="Arial" w:cs="Arial" w:eastAsia="Arial" w:hAnsi="Arial"/>
                <w:sz w:val="18"/>
                <w:szCs w:val="18"/>
                <w:color w:val="auto"/>
              </w:rPr>
              <w:t>outstanding, pro forma as further adjusted of NIS 0.0001117 par value</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r>
      <w:tr>
        <w:trPr>
          <w:trHeight w:val="263"/>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22"/>
                <w:szCs w:val="22"/>
                <w:color w:val="auto"/>
              </w:rPr>
            </w:pPr>
          </w:p>
        </w:tc>
      </w:tr>
      <w:tr>
        <w:trPr>
          <w:trHeight w:val="257"/>
        </w:trPr>
        <w:tc>
          <w:tcPr>
            <w:tcW w:w="5900" w:type="dxa"/>
            <w:vAlign w:val="bottom"/>
            <w:gridSpan w:val="4"/>
          </w:tcPr>
          <w:p>
            <w:pPr>
              <w:spacing w:after="0"/>
              <w:rPr>
                <w:sz w:val="20"/>
                <w:szCs w:val="20"/>
                <w:color w:val="auto"/>
              </w:rPr>
            </w:pPr>
            <w:r>
              <w:rPr>
                <w:rFonts w:ascii="Arial" w:cs="Arial" w:eastAsia="Arial" w:hAnsi="Arial"/>
                <w:sz w:val="18"/>
                <w:szCs w:val="18"/>
                <w:color w:val="auto"/>
              </w:rPr>
              <w:t>Other reserves</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6,876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6,876</w:t>
            </w: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12,841</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12,841</w:t>
            </w:r>
          </w:p>
        </w:tc>
      </w:tr>
      <w:tr>
        <w:trPr>
          <w:trHeight w:val="257"/>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2,485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39,920</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89,945</w:t>
            </w:r>
          </w:p>
        </w:tc>
      </w:tr>
      <w:tr>
        <w:trPr>
          <w:trHeight w:val="263"/>
        </w:trPr>
        <w:tc>
          <w:tcPr>
            <w:tcW w:w="59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(38,038)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(39,105)</w:t>
            </w:r>
          </w:p>
        </w:tc>
        <w:tc>
          <w:tcPr>
            <w:tcW w:w="1680" w:type="dxa"/>
            <w:vAlign w:val="bottom"/>
            <w:gridSpan w:val="3"/>
          </w:tcPr>
          <w:p>
            <w:pPr>
              <w:jc w:val="right"/>
              <w:ind w:right="360"/>
              <w:spacing w:after="0"/>
              <w:rPr>
                <w:sz w:val="20"/>
                <w:szCs w:val="20"/>
                <w:color w:val="auto"/>
              </w:rPr>
            </w:pPr>
            <w:r>
              <w:rPr>
                <w:rFonts w:ascii="Arial" w:cs="Arial" w:eastAsia="Arial" w:hAnsi="Arial"/>
                <w:sz w:val="18"/>
                <w:szCs w:val="18"/>
                <w:color w:val="auto"/>
              </w:rPr>
              <w:t>(39,105)</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(39,105)</w:t>
            </w:r>
          </w:p>
        </w:tc>
      </w:tr>
      <w:tr>
        <w:trPr>
          <w:trHeight w:val="20"/>
        </w:trPr>
        <w:tc>
          <w:tcPr>
            <w:tcW w:w="1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63"/>
        </w:trPr>
        <w:tc>
          <w:tcPr>
            <w:tcW w:w="140" w:type="dxa"/>
            <w:vAlign w:val="bottom"/>
            <w:shd w:val="clear" w:color="auto" w:fill="CCEEFF"/>
          </w:tcPr>
          <w:p>
            <w:pPr>
              <w:spacing w:after="0"/>
              <w:rPr>
                <w:sz w:val="22"/>
                <w:szCs w:val="22"/>
                <w:color w:val="auto"/>
              </w:rPr>
            </w:pPr>
          </w:p>
        </w:tc>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 (capital deficiency)</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(28,636)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(29,703)</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13,697</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63,722</w:t>
            </w:r>
          </w:p>
        </w:tc>
      </w:tr>
      <w:tr>
        <w:trPr>
          <w:trHeight w:val="20"/>
        </w:trPr>
        <w:tc>
          <w:tcPr>
            <w:tcW w:w="2700" w:type="dxa"/>
            <w:vAlign w:val="bottom"/>
            <w:gridSpan w:val="2"/>
            <w:shd w:val="clear" w:color="auto" w:fill="CCEEFF"/>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257"/>
        </w:trPr>
        <w:tc>
          <w:tcPr>
            <w:tcW w:w="590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1,586</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$ 13,697</w:t>
            </w:r>
          </w:p>
        </w:tc>
        <w:tc>
          <w:tcPr>
            <w:tcW w:w="160" w:type="dxa"/>
            <w:vAlign w:val="bottom"/>
          </w:tcPr>
          <w:p>
            <w:pPr>
              <w:spacing w:after="0"/>
              <w:rPr>
                <w:sz w:val="22"/>
                <w:szCs w:val="22"/>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$ 13,697</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$ 63,722</w:t>
            </w:r>
          </w:p>
        </w:tc>
      </w:tr>
      <w:tr>
        <w:trPr>
          <w:trHeight w:val="20"/>
        </w:trPr>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1"/>
        </w:trPr>
        <w:tc>
          <w:tcPr>
            <w:tcW w:w="1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320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8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5760" w:type="dxa"/>
            <w:vAlign w:val="bottom"/>
            <w:gridSpan w:val="3"/>
          </w:tcPr>
          <w:p>
            <w:pPr>
              <w:ind w:left="220"/>
              <w:spacing w:after="0"/>
              <w:rPr>
                <w:sz w:val="20"/>
                <w:szCs w:val="20"/>
                <w:color w:val="auto"/>
              </w:rPr>
            </w:pPr>
            <w:r>
              <w:rPr>
                <w:rFonts w:ascii="Arial" w:cs="Arial" w:eastAsia="Arial" w:hAnsi="Arial"/>
                <w:sz w:val="14"/>
                <w:szCs w:val="14"/>
                <w:color w:val="auto"/>
              </w:rPr>
              <w:t>represents an amount less than one thousand</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3"/>
        </w:trPr>
        <w:tc>
          <w:tcPr>
            <w:tcW w:w="5900" w:type="dxa"/>
            <w:vAlign w:val="bottom"/>
            <w:gridSpan w:val="4"/>
          </w:tcPr>
          <w:p>
            <w:pPr>
              <w:spacing w:after="0"/>
              <w:rPr>
                <w:sz w:val="20"/>
                <w:szCs w:val="20"/>
                <w:color w:val="auto"/>
              </w:rPr>
            </w:pPr>
            <w:r>
              <w:rPr>
                <w:rFonts w:ascii="Arial" w:cs="Arial" w:eastAsia="Arial" w:hAnsi="Arial"/>
                <w:sz w:val="18"/>
                <w:szCs w:val="18"/>
                <w:color w:val="auto"/>
              </w:rPr>
              <w:t>The number of shares listed in the table above does not reflect: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-1011555</wp:posOffset>
            </wp:positionV>
            <wp:extent cx="300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-1011555</wp:posOffset>
            </wp:positionV>
            <wp:extent cx="643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5462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-2812415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-2812415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-2812415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360" w:right="420" w:hanging="172"/>
        <w:spacing w:after="0" w:line="277"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2,365,760 ordinary shares issuable upon the exercise of options outstanding as of December 31, 2017 and issuable upon the closing of this offering, at a weighted average exercise price of $6.52 per share; or</w:t>
      </w:r>
    </w:p>
    <w:p>
      <w:pPr>
        <w:spacing w:after="0" w:line="129" w:lineRule="exact"/>
        <w:rPr>
          <w:rFonts w:ascii="Arial" w:cs="Arial" w:eastAsia="Arial" w:hAnsi="Arial"/>
          <w:sz w:val="18"/>
          <w:szCs w:val="18"/>
          <w:color w:val="auto"/>
        </w:rPr>
      </w:pPr>
    </w:p>
    <w:p>
      <w:pPr>
        <w:ind w:left="360" w:right="320" w:hanging="172"/>
        <w:spacing w:after="0" w:line="277"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1,137,821 ordinary shares issuable upon the exercise of warrants outstanding as of December 31, 2017 and issuable upon the closing of this offering, at a weighted average exercise price of $8.19 per share.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DILUTION</w:t>
      </w:r>
    </w:p>
    <w:p>
      <w:pPr>
        <w:spacing w:after="0" w:line="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historical net tangible book value (deficit) as of September 30, 2017, was ($29.3 million), or ($9.47) per share. Historical net tangible book value (deficit) per share is calculated by subtracting our total liabilities from our total tangible assets, which is total assets less intangible assets, and dividing this amount by the 3,091,691 issued and outstanding ordinary shares as of September 30, 2017.</w:t>
      </w:r>
    </w:p>
    <w:p>
      <w:pPr>
        <w:spacing w:after="0" w:line="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pro forma net tangible book value (deficit) as of September 30, 2017, was ($30.4 million), or ($9.82) per share. Pro forma net tangible book value (deficit) per share is calculated by subtracting our total liabilities from our total tangible assets which is total assets less intangible assets, and dividing this amount by the 3,091,691 issued and outstanding ordinary shares as of September 30, 2017, after giving pro forma effect to the Recent Developments Transactions, as described in “Summary — Recent Developments.”</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pro forma as adjusted net tangible book value as of September 30, 2017, was $13.0 million, or $1.89 per share. Pro forma as adjusted net tangible book value per share is calculated by subtracting our total liabilities from our total tangible assets which is total assets less intangible assets, and dividing this amount by the 6,897,252 issued and outstanding ordinary shares as of September 30, 2017, after giving pro forma effect to the Recent Developments Transactions and the IPO Transactions, as described in “Summary — The Offering.”</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After giving effect to the Recent Developments Transactions, the IPO transactions and the sale by us of the 5,000,000 ordinary shares in this offering (which does not include the 30-day option to purchase up to an additional 750,000 ordinary shares that we have granted to the underwriters to cover over-allotments, if any), at an assumed initial public offering price of $11.00 per share, the midpoint of the estimated offering price range set forth on the cover page of this prospectus, our pro forma as further adjusted net tangible book value at September 30, 2017, would have been $63.1 million, or $5.30 per share. This represents an immediate increase in pro forma as further adjusted net tangible book value to existing shareholders of $3.41 per share and immediate dilution to new investors of $5.70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The following table illustrates this per share dilution on a per share basis:</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9"/>
        </w:trPr>
        <w:tc>
          <w:tcPr>
            <w:tcW w:w="9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97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rPr>
              <w:t>Assumed initial public offering price</w:t>
            </w:r>
          </w:p>
        </w:tc>
        <w:tc>
          <w:tcPr>
            <w:tcW w:w="11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w w:val="84"/>
              </w:rPr>
              <w:t>11.00</w:t>
            </w:r>
          </w:p>
        </w:tc>
      </w:tr>
      <w:tr>
        <w:trPr>
          <w:trHeight w:val="257"/>
        </w:trPr>
        <w:tc>
          <w:tcPr>
            <w:tcW w:w="9700" w:type="dxa"/>
            <w:vAlign w:val="bottom"/>
          </w:tcPr>
          <w:p>
            <w:pPr>
              <w:ind w:left="540"/>
              <w:spacing w:after="0"/>
              <w:rPr>
                <w:sz w:val="20"/>
                <w:szCs w:val="20"/>
                <w:color w:val="auto"/>
              </w:rPr>
            </w:pPr>
            <w:r>
              <w:rPr>
                <w:rFonts w:ascii="Arial" w:cs="Arial" w:eastAsia="Arial" w:hAnsi="Arial"/>
                <w:sz w:val="18"/>
                <w:szCs w:val="18"/>
                <w:color w:val="auto"/>
              </w:rPr>
              <w:t>Pro forma as adjusted net tangible book value (deficit) per ordinary share</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9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Increase in pro forma net tangible book value (deficit) per share attributable to this offering</w:t>
            </w:r>
          </w:p>
        </w:tc>
        <w:tc>
          <w:tcPr>
            <w:tcW w:w="10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
        </w:trPr>
        <w:tc>
          <w:tcPr>
            <w:tcW w:w="97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9700" w:type="dxa"/>
            <w:vAlign w:val="bottom"/>
          </w:tcPr>
          <w:p>
            <w:pPr>
              <w:ind w:left="540"/>
              <w:spacing w:after="0"/>
              <w:rPr>
                <w:sz w:val="20"/>
                <w:szCs w:val="20"/>
                <w:color w:val="auto"/>
              </w:rPr>
            </w:pPr>
            <w:r>
              <w:rPr>
                <w:rFonts w:ascii="Arial" w:cs="Arial" w:eastAsia="Arial" w:hAnsi="Arial"/>
                <w:sz w:val="18"/>
                <w:szCs w:val="18"/>
                <w:color w:val="auto"/>
              </w:rPr>
              <w:t>Pro forma as further adjusted net tangible book value (deficit) per ordinary share after this offering</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$5.30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9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Dilution per ordinary share to new investors in this offering</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$1.00 increase (decrease) in the assumed initial public offering price of $11.00 per share, the midpoint of the estimated offering price range set forth on the cover page of this prospectus, would increase (decrease) the pro forma as further adjusted net tangible book value at September 30, 2017 by approximately $4.65 million, or approximately $0.39 per share and the dilution to new investors of $0.61 per share, assuming that the number of shares offered by us remains the same.</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also increase or decrease the number of shares we are offering. An increase of 1,000,000 shares in the number of shares offered by us would result in pro forma as further adjusted net tangible book value at September 30, 2017 of approximately $73.3 million, or $5.68 per share, and dilution to new investors of $5.32 per share, assuming the public offering price per share remains the same. Similarly, a decrease of 1,000,000 shares in the number of shares offered by us would result in pro forma as adjusted net tangible book value at September 30, 2017 of approximately $52.8 million, or $4.85 per share, and dilution to new investors of $6.15 per share, assuming the public offering price per share remains the same. The dilution information discussed above is illustrative only and will change based on the actual public offering price and other terms of this offering determined at pricing.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sets forth, as of September 30, 2017, on a pro forma as further adjusted basis, the number of ordinary shares purchased from us, the total consideration paid, or to be paid, and the average price per share paid, or to be paid, by existing shareholders and by the new investors, at an assumed initial public offering price of $11.00 per share, the midpoint of the estimated offering price range set forth on the cover page of this prospectus, before deducting estimated underwriting discounts and commissions and offering expenses payable by 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Total Consideration</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left="299"/>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4"/>
          </w:tcPr>
          <w:p>
            <w:pPr>
              <w:ind w:left="140"/>
              <w:spacing w:after="0"/>
              <w:rPr>
                <w:sz w:val="20"/>
                <w:szCs w:val="20"/>
                <w:color w:val="auto"/>
              </w:rPr>
            </w:pPr>
            <w:r>
              <w:rPr>
                <w:rFonts w:ascii="Arial" w:cs="Arial" w:eastAsia="Arial" w:hAnsi="Arial"/>
                <w:sz w:val="14"/>
                <w:szCs w:val="14"/>
                <w:b w:val="1"/>
                <w:bCs w:val="1"/>
                <w:color w:val="auto"/>
              </w:rPr>
              <w:t>Number</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Percent</w:t>
            </w: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7"/>
                <w:szCs w:val="17"/>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6,897,252</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$30,532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5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$ 4.40</w:t>
            </w: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11,897,252</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85,532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6985635</wp:posOffset>
            </wp:positionH>
            <wp:positionV relativeFrom="paragraph">
              <wp:posOffset>-196850</wp:posOffset>
            </wp:positionV>
            <wp:extent cx="2660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663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-539750</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-539750</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44253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25315" cy="8890"/>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-539750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foregoing tables assume no exercise of the underwriters’ over-allotment option or of outstanding options or warrants to purchase our shares after September 30, 2017. At December 31, 2017 and after giving effect to the IPO Transactions and the stock split, 2,365,760 ordinary shares were subject to outstanding options at a weighted average exercise price of $6.52; warrants to purchase 295,441 ordinary shares were outstanding, at an exercise price of $5.36 per share; warrants to purchase 520,716 ordinary shares were outstanding, at an exercise price of $10.15 per share; and warrants to purchase 321,664 ordinary shares were outstanding, at an exercise price of $7.62 per share. See “Summary — The Offering.” To the extent these options and warrants are exercised there will be further dilution to new investors.</w:t>
      </w:r>
    </w:p>
    <w:p>
      <w:pPr>
        <w:spacing w:after="0" w:line="8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If the underwriters exercise the over-allotment option in full in this offering, our pro forma as further adjusted net tangible book value will be $70.7 million, or $5.59 per share, representing an immediate increase in pro forma as adjusted net tangible book value of approximately $0.29 per share attributable to this offering to our existing shareholders and immediate dilution of $0.29 per share to new investors purchasing ordinary shares in the offering.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RATES</w:t>
      </w:r>
    </w:p>
    <w:p>
      <w:pPr>
        <w:spacing w:after="0" w:line="9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table sets forth, for the periods indicated, the high, low, average and period-end exchange rates for the purchase of U.S. dollars expressed in NIS per U.S. dollar. The average rate is calculated by using the average of the Bank of Israel’s reported exchange rates on each day during a monthly period and on the last day of each month during an annual period. On January 4, 2018, the exchange rate as reported by the Bank of Israel was NIS 3.4480 to $1.00.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Average for</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6"/>
        </w:trPr>
        <w:tc>
          <w:tcPr>
            <w:tcW w:w="40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Period-end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920" w:type="dxa"/>
            <w:vAlign w:val="bottom"/>
          </w:tcPr>
          <w:p>
            <w:pPr>
              <w:jc w:val="center"/>
              <w:ind w:left="11"/>
              <w:spacing w:after="0"/>
              <w:rPr>
                <w:sz w:val="20"/>
                <w:szCs w:val="20"/>
                <w:color w:val="auto"/>
              </w:rPr>
            </w:pPr>
            <w:r>
              <w:rPr>
                <w:rFonts w:ascii="Arial" w:cs="Arial" w:eastAsia="Arial" w:hAnsi="Arial"/>
                <w:sz w:val="14"/>
                <w:szCs w:val="14"/>
                <w:b w:val="1"/>
                <w:bCs w:val="1"/>
                <w:color w:val="auto"/>
                <w:w w:val="96"/>
              </w:rPr>
              <w:t>High</w:t>
            </w:r>
          </w:p>
        </w:tc>
      </w:tr>
      <w:tr>
        <w:trPr>
          <w:trHeight w:val="26"/>
        </w:trPr>
        <w:tc>
          <w:tcPr>
            <w:tcW w:w="40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0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60" w:type="dxa"/>
            <w:vAlign w:val="bottom"/>
            <w:gridSpan w:val="2"/>
          </w:tcPr>
          <w:p>
            <w:pPr>
              <w:ind w:left="460"/>
              <w:spacing w:after="0"/>
              <w:rPr>
                <w:sz w:val="20"/>
                <w:szCs w:val="20"/>
                <w:color w:val="auto"/>
              </w:rPr>
            </w:pPr>
            <w:r>
              <w:rPr>
                <w:rFonts w:ascii="Arial" w:cs="Arial" w:eastAsia="Arial" w:hAnsi="Arial"/>
                <w:sz w:val="14"/>
                <w:szCs w:val="14"/>
                <w:color w:val="auto"/>
              </w:rPr>
              <w:t>(NIS per U.S. dollar)</w:t>
            </w:r>
          </w:p>
        </w:tc>
        <w:tc>
          <w:tcPr>
            <w:tcW w:w="920" w:type="dxa"/>
            <w:vAlign w:val="bottom"/>
          </w:tcPr>
          <w:p>
            <w:pPr>
              <w:spacing w:after="0"/>
              <w:rPr>
                <w:sz w:val="17"/>
                <w:szCs w:val="17"/>
                <w:color w:val="auto"/>
              </w:rPr>
            </w:pPr>
          </w:p>
        </w:tc>
      </w:tr>
      <w:tr>
        <w:trPr>
          <w:trHeight w:val="263"/>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29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2012</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3.7330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3.8438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3.7000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4.0840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3.4710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3.6023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3.4710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3.7910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2014</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3.8890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3.5928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3.4020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3.9940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3.9020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3.8869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3.7610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4.0530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2016</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3.8450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3.8406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3.7460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3.9830</w:t>
            </w:r>
          </w:p>
        </w:tc>
      </w:tr>
      <w:tr>
        <w:trPr>
          <w:trHeight w:val="365"/>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w:t>
            </w:r>
          </w:p>
        </w:tc>
        <w:tc>
          <w:tcPr>
            <w:tcW w:w="29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2016</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3.7580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3.8432</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3.7460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3.9830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3.5290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3.5375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3.5040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3.5840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Month Ended:</w:t>
            </w:r>
          </w:p>
        </w:tc>
        <w:tc>
          <w:tcPr>
            <w:tcW w:w="2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July 31, 2017</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3.5580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3.5509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3.4930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3.5900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August 31, 2017</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3.5960</w:t>
            </w:r>
          </w:p>
        </w:tc>
        <w:tc>
          <w:tcPr>
            <w:tcW w:w="1280" w:type="dxa"/>
            <w:vAlign w:val="bottom"/>
          </w:tcPr>
          <w:p>
            <w:pPr>
              <w:jc w:val="right"/>
              <w:ind w:right="293"/>
              <w:spacing w:after="0"/>
              <w:rPr>
                <w:sz w:val="20"/>
                <w:szCs w:val="20"/>
                <w:color w:val="auto"/>
              </w:rPr>
            </w:pPr>
            <w:r>
              <w:rPr>
                <w:rFonts w:ascii="Arial" w:cs="Arial" w:eastAsia="Arial" w:hAnsi="Arial"/>
                <w:sz w:val="18"/>
                <w:szCs w:val="18"/>
                <w:color w:val="auto"/>
              </w:rPr>
              <w:t>3.6011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3.5740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3.6280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3.5290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3.5375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3.5040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3.5840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October 31, 2017</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3.5210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3.5124</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3.4910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3.5420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November 30, 2017</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3.5190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3.5210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3.5060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3.5440</w:t>
            </w: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December 31, 2017</w:t>
            </w:r>
          </w:p>
        </w:tc>
        <w:tc>
          <w:tcPr>
            <w:tcW w:w="4060" w:type="dxa"/>
            <w:vAlign w:val="bottom"/>
            <w:gridSpan w:val="2"/>
          </w:tcPr>
          <w:p>
            <w:pPr>
              <w:jc w:val="center"/>
              <w:ind w:left="2710"/>
              <w:spacing w:after="0"/>
              <w:rPr>
                <w:sz w:val="20"/>
                <w:szCs w:val="20"/>
                <w:color w:val="auto"/>
              </w:rPr>
            </w:pPr>
            <w:r>
              <w:rPr>
                <w:rFonts w:ascii="Arial" w:cs="Arial" w:eastAsia="Arial" w:hAnsi="Arial"/>
                <w:sz w:val="18"/>
                <w:szCs w:val="18"/>
                <w:color w:val="auto"/>
                <w:w w:val="90"/>
              </w:rPr>
              <w:t>3.4670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3.5035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3.4670</w:t>
            </w:r>
          </w:p>
        </w:tc>
        <w:tc>
          <w:tcPr>
            <w:tcW w:w="920" w:type="dxa"/>
            <w:vAlign w:val="bottom"/>
          </w:tcPr>
          <w:p>
            <w:pPr>
              <w:jc w:val="center"/>
              <w:ind w:left="11"/>
              <w:spacing w:after="0"/>
              <w:rPr>
                <w:sz w:val="20"/>
                <w:szCs w:val="20"/>
                <w:color w:val="auto"/>
              </w:rPr>
            </w:pPr>
            <w:r>
              <w:rPr>
                <w:rFonts w:ascii="Arial" w:cs="Arial" w:eastAsia="Arial" w:hAnsi="Arial"/>
                <w:sz w:val="18"/>
                <w:szCs w:val="18"/>
                <w:color w:val="auto"/>
                <w:w w:val="90"/>
              </w:rPr>
              <w:t>3.5500</w:t>
            </w: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January (through January 4, 2018)</w:t>
            </w:r>
          </w:p>
        </w:tc>
        <w:tc>
          <w:tcPr>
            <w:tcW w:w="4060" w:type="dxa"/>
            <w:vAlign w:val="bottom"/>
            <w:gridSpan w:val="2"/>
            <w:shd w:val="clear" w:color="auto" w:fill="CCEEFF"/>
          </w:tcPr>
          <w:p>
            <w:pPr>
              <w:jc w:val="center"/>
              <w:ind w:left="2710"/>
              <w:spacing w:after="0"/>
              <w:rPr>
                <w:sz w:val="20"/>
                <w:szCs w:val="20"/>
                <w:color w:val="auto"/>
              </w:rPr>
            </w:pPr>
            <w:r>
              <w:rPr>
                <w:rFonts w:ascii="Arial" w:cs="Arial" w:eastAsia="Arial" w:hAnsi="Arial"/>
                <w:sz w:val="18"/>
                <w:szCs w:val="18"/>
                <w:color w:val="auto"/>
                <w:w w:val="90"/>
              </w:rPr>
              <w:t>3.4480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3.4550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3.4480</w:t>
            </w:r>
          </w:p>
        </w:tc>
        <w:tc>
          <w:tcPr>
            <w:tcW w:w="9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3.4600</w:t>
            </w:r>
          </w:p>
        </w:tc>
      </w:tr>
      <w:tr>
        <w:trPr>
          <w:trHeight w:val="486"/>
        </w:trPr>
        <w:tc>
          <w:tcPr>
            <w:tcW w:w="4080" w:type="dxa"/>
            <w:vAlign w:val="bottom"/>
          </w:tcPr>
          <w:p>
            <w:pPr>
              <w:spacing w:after="0"/>
              <w:rPr>
                <w:sz w:val="24"/>
                <w:szCs w:val="24"/>
                <w:color w:val="auto"/>
              </w:rPr>
            </w:pP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5"/>
        </w:trPr>
        <w:tc>
          <w:tcPr>
            <w:tcW w:w="4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-3549650</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-3549650</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-3549650</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FINANCIAL DATA</w:t>
      </w:r>
    </w:p>
    <w:p>
      <w:pPr>
        <w:spacing w:after="0" w:line="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tables set forth our selected financial data. You should read the following selected financial and other data in conjunction with “Summary Financial Data”,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selected statements of comprehensive loss (income) data for each of the nine month periods ended September 30, 2017 and 2016 and the statement of financial position data for the nine months ended September 30, 2017 is derived from our unaudited condensed interim financial statements included elsewhere in this prospectus. The selected statements of comprehensive loss data for each of the years in the two-year period ended December 31, 2016 is derived from our audited financial statements included elsewhere in this prospectus.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4"/>
              </w:rPr>
              <w:t>(audited)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8"/>
          </w:tcPr>
          <w:p>
            <w:pPr>
              <w:jc w:val="right"/>
              <w:spacing w:after="0"/>
              <w:rPr>
                <w:sz w:val="20"/>
                <w:szCs w:val="20"/>
                <w:color w:val="auto"/>
              </w:rPr>
            </w:pPr>
            <w:r>
              <w:rPr>
                <w:rFonts w:ascii="Arial" w:cs="Arial" w:eastAsia="Arial" w:hAnsi="Arial"/>
                <w:sz w:val="14"/>
                <w:szCs w:val="14"/>
                <w:color w:val="auto"/>
              </w:rPr>
              <w:t>(In thousands, except shares and per share data)</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8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1,851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Total operating loss</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6,953</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4,147</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5,367</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(income) expense:</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gridSpan w:val="4"/>
          </w:tcPr>
          <w:p>
            <w:pPr>
              <w:spacing w:after="0"/>
              <w:rPr>
                <w:sz w:val="20"/>
                <w:szCs w:val="20"/>
                <w:color w:val="auto"/>
              </w:rPr>
            </w:pPr>
            <w:r>
              <w:rPr>
                <w:rFonts w:ascii="Arial" w:cs="Arial" w:eastAsia="Arial" w:hAnsi="Arial"/>
                <w:sz w:val="18"/>
                <w:szCs w:val="18"/>
                <w:color w:val="auto"/>
              </w:rPr>
              <w:t>(Income) loss from change in fair value of financial liabilities at fair</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(3,917)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(4,311)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expenses, net</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gridSpan w:val="4"/>
          </w:tcPr>
          <w:p>
            <w:pPr>
              <w:spacing w:after="0"/>
              <w:rPr>
                <w:sz w:val="20"/>
                <w:szCs w:val="20"/>
                <w:color w:val="auto"/>
              </w:rPr>
            </w:pPr>
            <w:r>
              <w:rPr>
                <w:rFonts w:ascii="Arial" w:cs="Arial" w:eastAsia="Arial" w:hAnsi="Arial"/>
                <w:sz w:val="18"/>
                <w:szCs w:val="18"/>
                <w:color w:val="auto"/>
              </w:rPr>
              <w:t>Financial (income) expenses, net</w:t>
            </w:r>
          </w:p>
        </w:tc>
        <w:tc>
          <w:tcPr>
            <w:tcW w:w="1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(3,805)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(4,168)</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4"/>
            <w:vMerge w:val="restart"/>
          </w:tcPr>
          <w:p>
            <w:pPr>
              <w:spacing w:after="0"/>
              <w:rPr>
                <w:sz w:val="20"/>
                <w:szCs w:val="20"/>
                <w:color w:val="auto"/>
              </w:rPr>
            </w:pPr>
            <w:r>
              <w:rPr>
                <w:rFonts w:ascii="Arial" w:cs="Arial" w:eastAsia="Arial" w:hAnsi="Arial"/>
                <w:sz w:val="18"/>
                <w:szCs w:val="18"/>
                <w:color w:val="auto"/>
              </w:rPr>
              <w:t>Loss per ordinary share(1)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8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ordinary shares used in computing basic</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right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loss per ordinary share(1)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34,544</w:t>
            </w: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34,396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34,409</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34,396</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Weighted average number of ordinary shares used in computing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3"/>
          </w:tcPr>
          <w:p>
            <w:pPr>
              <w:ind w:left="160"/>
              <w:spacing w:after="0"/>
              <w:rPr>
                <w:sz w:val="20"/>
                <w:szCs w:val="20"/>
                <w:color w:val="auto"/>
              </w:rPr>
            </w:pPr>
            <w:r>
              <w:rPr>
                <w:rFonts w:ascii="Arial" w:cs="Arial" w:eastAsia="Arial" w:hAnsi="Arial"/>
                <w:sz w:val="18"/>
                <w:szCs w:val="18"/>
                <w:color w:val="auto"/>
              </w:rPr>
              <w:t>loss per ordinary share(1)</w:t>
            </w: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37,098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51,958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51,972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2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-1525905</wp:posOffset>
            </wp:positionV>
            <wp:extent cx="171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-1525905</wp:posOffset>
            </wp:positionV>
            <wp:extent cx="4800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58400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-3206750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-3206750</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-3206750</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360" w:right="500" w:hanging="352"/>
        <w:spacing w:after="0" w:line="334" w:lineRule="auto"/>
        <w:tabs>
          <w:tab w:leader="none" w:pos="3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Basic and diluted loss per ordinary share in 2015 are the same because the financial instruments as described in the financial statements excluded from the calculation since their effect was anti-dilutive. See Note 13 to our financial statements included elsewhere in this prospectus for further details on the calculation of basic and diluted loss per ordinary share.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4"/>
              </w:rPr>
              <w:t>(unaudited)</w:t>
            </w:r>
          </w:p>
        </w:tc>
      </w:tr>
      <w:tr>
        <w:trPr>
          <w:trHeight w:val="186"/>
        </w:trPr>
        <w:tc>
          <w:tcPr>
            <w:tcW w:w="27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4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0"/>
              </w:rPr>
              <w:t>As of September 30, 2017</w:t>
            </w:r>
          </w:p>
        </w:tc>
      </w:tr>
      <w:tr>
        <w:trPr>
          <w:trHeight w:val="26"/>
        </w:trPr>
        <w:tc>
          <w:tcPr>
            <w:tcW w:w="2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270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480" w:type="dxa"/>
            <w:vAlign w:val="bottom"/>
            <w:gridSpan w:val="6"/>
          </w:tcPr>
          <w:p>
            <w:pPr>
              <w:jc w:val="center"/>
              <w:ind w:right="20"/>
              <w:spacing w:after="0"/>
              <w:rPr>
                <w:sz w:val="20"/>
                <w:szCs w:val="20"/>
                <w:color w:val="auto"/>
              </w:rPr>
            </w:pPr>
            <w:r>
              <w:rPr>
                <w:rFonts w:ascii="Arial" w:cs="Arial" w:eastAsia="Arial" w:hAnsi="Arial"/>
                <w:sz w:val="14"/>
                <w:szCs w:val="14"/>
                <w:color w:val="auto"/>
                <w:w w:val="91"/>
              </w:rPr>
              <w:t>(In thousands)</w:t>
            </w:r>
          </w:p>
        </w:tc>
      </w:tr>
      <w:tr>
        <w:trPr>
          <w:trHeight w:val="257"/>
        </w:trPr>
        <w:tc>
          <w:tcPr>
            <w:tcW w:w="89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Statements of financial position data:</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2,899</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Restricted deposits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Intangible assets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04"/>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4,220</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9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payable-Trade and other</w:t>
            </w:r>
          </w:p>
        </w:tc>
        <w:tc>
          <w:tcPr>
            <w:tcW w:w="9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Receipts on account of sale of Series B preferred shares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Short term convertible loans</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11,695</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64"/>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Total current liabilities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14,273</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Long term convertible loans</w:t>
            </w:r>
          </w:p>
        </w:tc>
        <w:tc>
          <w:tcPr>
            <w:tcW w:w="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Preferred shares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8,841</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8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Warrants to purchase preferred shares and shares</w:t>
            </w: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7"/>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Liability to issue preferred shares and warrants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8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Severance pay obligations, net</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304"/>
        </w:trPr>
        <w:tc>
          <w:tcPr>
            <w:tcW w:w="89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32,856</w:t>
            </w:r>
          </w:p>
        </w:tc>
        <w:tc>
          <w:tcPr>
            <w:tcW w:w="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237"/>
        </w:trPr>
        <w:tc>
          <w:tcPr>
            <w:tcW w:w="8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Capital deficiency</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89"/>
              </w:rPr>
              <w:t>(28,636)</w:t>
            </w:r>
          </w:p>
        </w:tc>
        <w:tc>
          <w:tcPr>
            <w:tcW w:w="20" w:type="dxa"/>
            <w:vAlign w:val="bottom"/>
            <w:shd w:val="clear" w:color="auto" w:fill="CCEEFF"/>
          </w:tcPr>
          <w:p>
            <w:pPr>
              <w:spacing w:after="0"/>
              <w:rPr>
                <w:sz w:val="20"/>
                <w:szCs w:val="20"/>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Working capital(1)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3"/>
          </w:tcPr>
          <w:p>
            <w:pPr>
              <w:jc w:val="right"/>
              <w:ind w:right="840"/>
              <w:spacing w:after="0"/>
              <w:rPr>
                <w:sz w:val="20"/>
                <w:szCs w:val="20"/>
                <w:color w:val="auto"/>
              </w:rPr>
            </w:pPr>
            <w:r>
              <w:rPr>
                <w:rFonts w:ascii="Arial" w:cs="Arial" w:eastAsia="Arial" w:hAnsi="Arial"/>
                <w:sz w:val="18"/>
                <w:szCs w:val="18"/>
                <w:color w:val="auto"/>
                <w:w w:val="89"/>
              </w:rPr>
              <w:t>(10,922)</w:t>
            </w:r>
          </w:p>
        </w:tc>
        <w:tc>
          <w:tcPr>
            <w:tcW w:w="20" w:type="dxa"/>
            <w:vAlign w:val="bottom"/>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6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(1)</w:t>
        <w:tab/>
        <w:t>Working capital is defined as total current assets minus total current liabilities.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MANAGEMENT’S DISCUSSION AND ANALYSIS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FINANCIAL CONDITION AND RESULTS OF OPERATIONS</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 included elsewhere in this prospectus. We have prepared our financial statements in accordance with IFRS as issued by IASB.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second half of 2018, and we plan to submit applications for regulatory approval of EB612 in the second half of 2020. We are also developing a distinct oral PTH product candidate, EB613, for the treatment of osteoporosis. We intend to commence a Phase 2a clinical trial of EB613 in the first half of 2018 followed by an additional Phase 2b clinical trial in the United States. We also are preparing to conduct a clinical trial of our oral PTH in bone healing. In addition, we intend to use our technology as a platform for the oral delivery of other protein and large molecule therapeutics as well as novel therapeutics.</w:t>
      </w:r>
    </w:p>
    <w:p>
      <w:pPr>
        <w:spacing w:after="0" w:line="5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we have funded our operations through sales of ordinary shares, preferred shares and warrants, and the incurrence of convertible loans and receipt of government grants. We have no products that have received regulatory approval and have never generated revenue. From our inception, we have raised an aggregate of $31.3 million to fund our operations, including $7.2 million from sales of our ordinary shares, Series A preferred shares and warrants,</w:t>
      </w:r>
    </w:p>
    <w:p>
      <w:pPr>
        <w:spacing w:after="0" w:line="270" w:lineRule="auto"/>
        <w:rPr>
          <w:sz w:val="20"/>
          <w:szCs w:val="20"/>
          <w:color w:val="auto"/>
        </w:rPr>
      </w:pPr>
      <w:r>
        <w:rPr>
          <w:rFonts w:ascii="Arial" w:cs="Arial" w:eastAsia="Arial" w:hAnsi="Arial"/>
          <w:sz w:val="17"/>
          <w:szCs w:val="17"/>
          <w:color w:val="auto"/>
        </w:rPr>
        <w:t>$10.6 million from convertible loans (of which an amount of approximately $1.0 million ($1.1 million including interest) was repaid in February 2017) and $8.5 million ($9.0 million including interest) was converted in October 2017 into Series B-1 preferred shares, $13.0 million from sales of our Series B preferred shares from October to December 2017 and approximately $0.5 million of government grants. We were originally capitalized with $0.6 million of cash from D.N.A Biomedical Solutions Ltd., and a license to certain patent rights relating to the oral administration of proteins from Oramed Ltd., or Oramed, a subsidiary of Oramed Pharmaceuticals, Inc., and accordingly $0.6 million was recorded on our statements of financial position as an intangible asset based on the fair value of the ordinary shares issued in exchange for the license.</w:t>
      </w:r>
    </w:p>
    <w:p>
      <w:pPr>
        <w:spacing w:after="0" w:line="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Since inception, we have incurred significant losses. For the nine months ended September 30, 2016 and 2017, our operating losses were $4.1 million and $7.0 million, respectively, and $3.7 million and $5.4 million for the years ended December 31, 2015 and 2016, respectively. We expect to continue to incur significant expenses and losses for the next several years. As of September 30, 2017, we had an accumulated deficit of $38.0 million. Our losses may fluctuate significantly from quarter to quarter and year to year, depending on the timing of our clinical trials, our expenditures on any other research and development activities, the receipt of government grants and payments under any future collaborations into which we may enter.</w:t>
      </w:r>
    </w:p>
    <w:p>
      <w:pPr>
        <w:spacing w:after="0" w:line="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December 31, 2017, we had cash and cash equivalents of $11.7 million. In order to fund further operations, we expect that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Our audited financial statements for the year ended December 31, 2016 and our unaudited condensed interim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nine months ended September 30, 2017, each included elsewhere in this prospectus, note that there is substantial doubt about our ability to continue as a going concern absent sources of additional liquidity. The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“Risk Factors — Risks Related to Our Financial Position and Need for Additional Capital.”</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we had 16 employees and one consultant who provides consulting services to us on a full-time basis. In addition, we have entered into service agreements with three of our directors. Our operations are located in a single facility in Jerusalem, Israel.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Transfer Agreement and Grant Funding</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Oramed Patent Transfer Agreement</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See “Business — Oramed Patent Transfer Agreement.”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Israeli Innovation Authority Grant (formerly: the Office of the Chief Scientist)</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In addition, as disclosed under “Business — 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paying any royalties due, we must abide by other restrictions associated with receiving such grants under the Research Law that continue to apply following repayment to the IIA. See “Business — The Israeli Innovation Authority Grant.”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date, we have not generated any revenue. We do not expect to receive any revenue from any product candidates that we develop unless and until we obtain regulatory approval and successfully commercialize our products or enter into collaborative agreements with third parties.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expenses consist of costs incurred for the development of our drug delivery technology and our product candidates. Those expenses include:</w:t>
      </w:r>
    </w:p>
    <w:p>
      <w:pPr>
        <w:spacing w:after="0" w:line="116" w:lineRule="exact"/>
        <w:rPr>
          <w:sz w:val="20"/>
          <w:szCs w:val="20"/>
          <w:color w:val="auto"/>
        </w:rPr>
      </w:pPr>
    </w:p>
    <w:p>
      <w:pPr>
        <w:ind w:left="360" w:right="300" w:hanging="172"/>
        <w:spacing w:after="0" w:line="277"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and share-based compensation expenses for employees and service providers in research and development functions;</w:t>
      </w:r>
    </w:p>
    <w:p>
      <w:pPr>
        <w:spacing w:after="0" w:line="102" w:lineRule="exact"/>
        <w:rPr>
          <w:rFonts w:ascii="Arial" w:cs="Arial" w:eastAsia="Arial" w:hAnsi="Arial"/>
          <w:sz w:val="18"/>
          <w:szCs w:val="18"/>
          <w:color w:val="auto"/>
        </w:rPr>
      </w:pPr>
    </w:p>
    <w:p>
      <w:pPr>
        <w:ind w:left="360" w:hanging="17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in operating our laboratories and small-scale manufacturing facility;</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investigative sites that conduct our clinical trials;</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expenses relating to outsourced and contracted services, such as external laboratories, consulting and advisory services;</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supply, development and manufacturing costs relating to clinical trial materials; and</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costs associated with pre-clinical and clinical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significantly increase in absolute dollars in future periods as we continue to invest in research and development activities related to the development of our product candidates.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expenses are recognized as incurred. An intangible asset arising from the development of our product candidates is recognized if certain capitalization conditions are met. During the years ended December 31, 2015 and 2016 and during the nine months ended September 30, 2017, we did not capitalize any development costs.</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For the nine months ended September 30, 2017, our research and development expenses were $1.7 million. For the years ended December 31, 2015 and December 31, 2016, our research and development expenses were $2.1 million and $2.6 million, respectively. Research and development expenses in the nine months ended September 30, 2017 and in the years ended December 31, 2015 and 2016 were primarily for the development of EB612. Research and development expenses are expected to increase as we advance the clinical development of EB612 and EB613 and our preclinical work on additional product candidates. We currently anticipate such expenses in the last quarter of 2017 to be in the range of $2.5 million to $2.7 million.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124" w:lineRule="exact"/>
        <w:rPr>
          <w:sz w:val="20"/>
          <w:szCs w:val="20"/>
          <w:color w:val="auto"/>
        </w:rPr>
      </w:pPr>
    </w:p>
    <w:p>
      <w:pPr>
        <w:ind w:left="360" w:hanging="17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nonclinical testing and other related activities;</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cost of manufacturing clinical supplies and establishing commercial supplies of our product candidates and any products that we may develop;</w:t>
      </w:r>
    </w:p>
    <w:p>
      <w:pPr>
        <w:spacing w:after="0" w:line="182" w:lineRule="exact"/>
        <w:rPr>
          <w:rFonts w:ascii="Arial" w:cs="Arial" w:eastAsia="Arial" w:hAnsi="Arial"/>
          <w:sz w:val="17"/>
          <w:szCs w:val="17"/>
          <w:color w:val="auto"/>
        </w:rPr>
      </w:pPr>
    </w:p>
    <w:p>
      <w:pPr>
        <w:ind w:left="360" w:hanging="17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57" w:lineRule="exact"/>
        <w:rPr>
          <w:rFonts w:ascii="Arial" w:cs="Arial" w:eastAsia="Arial" w:hAnsi="Arial"/>
          <w:sz w:val="18"/>
          <w:szCs w:val="18"/>
          <w:color w:val="auto"/>
        </w:rPr>
      </w:pPr>
    </w:p>
    <w:p>
      <w:pPr>
        <w:ind w:left="360" w:right="540" w:hanging="172"/>
        <w:spacing w:after="0" w:line="277" w:lineRule="auto"/>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change in the outcome of any of these variables with respect to the development of EB612, EB613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 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consist principally of salaries and related costs for directors and personnel in executive and finance functions, such as salaries, benefits and share-based compensation. Other general and administrative expenses include facility costs, communication expenses and professional fees for legal services, patent counseling and portfolio maintenance, consulting, auditing and accounting services.</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following the completion of this offering due to many factors, the most significant of which include increased expenses associated with maintaining compliance with listing rules and SEC requirements as a result of becoming a publicly traded company, such as increased legal and accounting services, transfer agent and printing fees, addition of new headcount to support compliance and communication needs and increased insurance premiums.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(Income) Expenses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Financial (income) expenses are comprised mainly of gains or losses resulting from the re-measurement of our convertible loan, Series A preferred shares, warrants to purchase Series A preferred shares and ordinary shares and liability to issue Series A preferred shares and warrants. From October to December 2017, we issued Series B preferred shares and converted the 2016 Convertible Loans into Series B-1 preferred shares. We will continue to record adjustments to the estimated fair value of the convertible loans, preferred shares, warrants to issue preferred shares and ordinary shares and liability to issue preferred shares and warrants until each are converted into our ordinary shares, after which we will no longer record any related periodic fair value adjustments.</w:t>
      </w:r>
    </w:p>
    <w:p>
      <w:pPr>
        <w:spacing w:after="0" w:line="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Prior to the consummation of this offering, we will adjust our convertible loan liability and our liability to issue preferred shares and warrants to their fair value, evaluated based on the estimated public offering price. We expect to record additional financial expenses or income from the revaluation of our convertible loan liability, preferred shares, warrants and liability to issue preferred shares and warrants. Under the terms of the applicable agreements and pursuant to the IPO Transactions, the convertible loans and preferred shares will be automatically converted into our ordinary shares, and the warrants to purchase preferred shares will be automatically converted into warrants to purchase ordinary shares, upon the closing of this offering. From October to December 2017, we raised a total of $13.0 million from sales of our Series B preferred shares. In connection with the Series B Private Placement, the 2016 Convertible Loans were converted to our Series B-1 preferred shares. For further discussion, see “Summary — Recent Developments.”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expenses are comprised mainly of exchange rate differences of certain currencies against our functional currency.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1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not generated taxable income since our inception and as of December 31, 2016 had carry-forward tax losses of $9.9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recognize deferred tax assets on losses for tax purposes carried forward to subsequent years if utilization of the related tax benefit against a future taxable income is probable. We have not created deferred tax assets on our tax loss carryforwards because their utilization is not expected in the foreseeable future.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describe our significant accounting policies more fully in Note 2 to our audited financial statements included elsewhere in this prospectus. We believe that the accounting policies below are critical in order to fully understand and evaluate our financial condition and results of operations.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Estimates and judgments are continually evaluated and are based on historical experience and other factors, including expectations of future events that are believed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adopted a share-based compensation plan for employees, directors and service providers. As part of the plan,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vesting period of the options, which is the period during which all vesting conditions are expected to be met.</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lack of a public market for the trading of our shares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options granted in 2015, 2016 and in the nine month period ended September 30, 2017, the fair value per ordinary share used in the Black-Scholes option pricing model was evaluated using a hybrid model that uses an option pricing model within each applicable exit scenario of our company. These valuations are highly subjective.</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purpose of determining our enterprise value,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 For the purpose of that valuation, we applied the applicable discount rate, projected commencement of sales and the probability of reaching sales. Following the Series B Private Placement, the fair value of our ordinary shares was based on the market approach and used a price per share of $908.78 per Series B preferred share from the Company’s preferred share issuance starting in October 2017 as a basis for fair market value.</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this offering, the fair value of our ordinary shares will be determined based on the closing price of our ordinary shares on the NASDAQ Capital Market.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our share-based compensation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201"/>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94"/>
              </w:rPr>
              <w:t>(audited)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2"/>
              </w:rPr>
              <w:t>Nine Months ended</w:t>
            </w:r>
          </w:p>
        </w:tc>
        <w:tc>
          <w:tcPr>
            <w:tcW w:w="100" w:type="dxa"/>
            <w:vAlign w:val="bottom"/>
          </w:tcPr>
          <w:p>
            <w:pPr>
              <w:spacing w:after="0"/>
              <w:rPr>
                <w:sz w:val="14"/>
                <w:szCs w:val="14"/>
                <w:color w:val="auto"/>
              </w:rPr>
            </w:pPr>
          </w:p>
        </w:tc>
        <w:tc>
          <w:tcPr>
            <w:tcW w:w="96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2"/>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6"/>
                <w:szCs w:val="16"/>
                <w:color w:val="auto"/>
              </w:rPr>
            </w:pPr>
          </w:p>
        </w:tc>
        <w:tc>
          <w:tcPr>
            <w:tcW w:w="10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7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2017</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7"/>
                <w:szCs w:val="17"/>
                <w:color w:val="auto"/>
              </w:rPr>
            </w:pPr>
          </w:p>
        </w:tc>
      </w:tr>
      <w:tr>
        <w:trPr>
          <w:trHeight w:val="175"/>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7"/>
          </w:tcPr>
          <w:p>
            <w:pPr>
              <w:jc w:val="center"/>
              <w:ind w:right="720"/>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5"/>
                <w:szCs w:val="15"/>
                <w:color w:val="auto"/>
              </w:rPr>
            </w:pPr>
          </w:p>
        </w:tc>
        <w:tc>
          <w:tcPr>
            <w:tcW w:w="1060" w:type="dxa"/>
            <w:vAlign w:val="bottom"/>
            <w:gridSpan w:val="3"/>
          </w:tcPr>
          <w:p>
            <w:pPr>
              <w:jc w:val="center"/>
              <w:ind w:left="41"/>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43"/>
        </w:trPr>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3,890</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1,132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1,360</w:t>
            </w: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360</w:t>
            </w:r>
          </w:p>
        </w:tc>
        <w:tc>
          <w:tcPr>
            <w:tcW w:w="140" w:type="dxa"/>
            <w:vAlign w:val="bottom"/>
            <w:tcBorders>
              <w:bottom w:val="single" w:sz="8" w:color="CCEEFF"/>
            </w:tcBorders>
          </w:tcPr>
          <w:p>
            <w:pPr>
              <w:spacing w:after="0"/>
              <w:rPr>
                <w:sz w:val="21"/>
                <w:szCs w:val="21"/>
                <w:color w:val="auto"/>
              </w:rPr>
            </w:pPr>
          </w:p>
        </w:tc>
      </w:tr>
      <w:tr>
        <w:trPr>
          <w:trHeight w:val="237"/>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4,032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-187960</wp:posOffset>
            </wp:positionV>
            <wp:extent cx="94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6920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-599440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-599440</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of Financial Liabilities Through Profit or Loss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Series A preferred shares and warrants to purchase Series A preferred shares are classified as financial liabilities because of the liquidation rights and conversion rights associated with the Series A preferred shares and therefore are accounted for at fair value through profit or loss at each balance sheet date. The liability to issue Series A preferred shares and warrants are classified as contingent forward contracts and therefore are also accounted for at fair value through profit or loss at each balance sheet date. To determine the fair value of the convertible loans, Series A preferred shares, warrants and liability to issue Series A preferred shares and warrants, we use our judgment to select a variety of methods and make assumptions that are mainly based on market conditions existing at the end of each reporting period. The estimated fair value of these liabilities might have been different if we had used different estimates and assumptions.</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 determine the fair value of the convertible loans, which is a valuation that is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or those of D.N.A Biomedical, in each case subject to adjustment) and warrants to purchase additional shares upon conversion of the applicable convertible loans, were evaluated based on a combination of the probability weighted expected return method and the back solve option pricing method model.</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September 30, 2017, the valuation of the Company’s financial liabilities was based on the market approach and used a price per share of $908.78 per Series B preferred share from the Company’s preferred share issuance starting in October 2017 as a basis for fair market value. The following parameters were used: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486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r>
      <w:tr>
        <w:trPr>
          <w:trHeight w:val="216"/>
        </w:trPr>
        <w:tc>
          <w:tcPr>
            <w:tcW w:w="4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Series B preferred price per share</w:t>
            </w:r>
          </w:p>
        </w:tc>
        <w:tc>
          <w:tcPr>
            <w:tcW w:w="65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$908.78</w:t>
            </w:r>
          </w:p>
        </w:tc>
        <w:tc>
          <w:tcPr>
            <w:tcW w:w="20" w:type="dxa"/>
            <w:vAlign w:val="bottom"/>
            <w:shd w:val="clear" w:color="auto" w:fill="CCEEFF"/>
          </w:tcPr>
          <w:p>
            <w:pPr>
              <w:spacing w:after="0"/>
              <w:rPr>
                <w:sz w:val="18"/>
                <w:szCs w:val="18"/>
                <w:color w:val="auto"/>
              </w:rPr>
            </w:pPr>
          </w:p>
        </w:tc>
      </w:tr>
      <w:tr>
        <w:trPr>
          <w:trHeight w:val="216"/>
        </w:trPr>
        <w:tc>
          <w:tcPr>
            <w:tcW w:w="4860" w:type="dxa"/>
            <w:vAlign w:val="bottom"/>
          </w:tcPr>
          <w:p>
            <w:pPr>
              <w:ind w:left="520"/>
              <w:spacing w:after="0"/>
              <w:rPr>
                <w:sz w:val="20"/>
                <w:szCs w:val="20"/>
                <w:color w:val="auto"/>
              </w:rPr>
            </w:pPr>
            <w:r>
              <w:rPr>
                <w:rFonts w:ascii="Arial" w:cs="Arial" w:eastAsia="Arial" w:hAnsi="Arial"/>
                <w:sz w:val="18"/>
                <w:szCs w:val="18"/>
                <w:color w:val="auto"/>
              </w:rPr>
              <w:t>Volatility</w:t>
            </w:r>
          </w:p>
        </w:tc>
        <w:tc>
          <w:tcPr>
            <w:tcW w:w="6540" w:type="dxa"/>
            <w:vAlign w:val="bottom"/>
            <w:gridSpan w:val="2"/>
          </w:tcPr>
          <w:p>
            <w:pPr>
              <w:jc w:val="right"/>
              <w:ind w:right="208"/>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4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Probability of entering Phase 2b/3 trial for EB612</w:t>
            </w:r>
          </w:p>
        </w:tc>
        <w:tc>
          <w:tcPr>
            <w:tcW w:w="65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r>
      <w:tr>
        <w:trPr>
          <w:trHeight w:val="243"/>
        </w:trPr>
        <w:tc>
          <w:tcPr>
            <w:tcW w:w="4860" w:type="dxa"/>
            <w:vAlign w:val="bottom"/>
          </w:tcPr>
          <w:p>
            <w:pPr>
              <w:ind w:left="520"/>
              <w:spacing w:after="0"/>
              <w:rPr>
                <w:sz w:val="20"/>
                <w:szCs w:val="20"/>
                <w:color w:val="auto"/>
              </w:rPr>
            </w:pPr>
            <w:r>
              <w:rPr>
                <w:rFonts w:ascii="Arial" w:cs="Arial" w:eastAsia="Arial" w:hAnsi="Arial"/>
                <w:sz w:val="18"/>
                <w:szCs w:val="18"/>
                <w:color w:val="auto"/>
              </w:rPr>
              <w:t>Probability for IPO/shares registration</w:t>
            </w:r>
          </w:p>
        </w:tc>
        <w:tc>
          <w:tcPr>
            <w:tcW w:w="6540" w:type="dxa"/>
            <w:vAlign w:val="bottom"/>
            <w:gridSpan w:val="2"/>
          </w:tcPr>
          <w:p>
            <w:pPr>
              <w:jc w:val="right"/>
              <w:ind w:right="208"/>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r>
      <w:tr>
        <w:trPr>
          <w:trHeight w:val="473"/>
        </w:trPr>
        <w:tc>
          <w:tcPr>
            <w:tcW w:w="4860" w:type="dxa"/>
            <w:vAlign w:val="bottom"/>
          </w:tcPr>
          <w:p>
            <w:pPr>
              <w:spacing w:after="0"/>
              <w:rPr>
                <w:sz w:val="24"/>
                <w:szCs w:val="24"/>
                <w:color w:val="auto"/>
              </w:rPr>
            </w:pPr>
          </w:p>
        </w:tc>
        <w:tc>
          <w:tcPr>
            <w:tcW w:w="5080" w:type="dxa"/>
            <w:vAlign w:val="bottom"/>
          </w:tcPr>
          <w:p>
            <w:pPr>
              <w:jc w:val="right"/>
              <w:ind w:right="4050"/>
              <w:spacing w:after="0"/>
              <w:rPr>
                <w:sz w:val="20"/>
                <w:szCs w:val="20"/>
                <w:color w:val="auto"/>
              </w:rPr>
            </w:pPr>
            <w:r>
              <w:rPr>
                <w:rFonts w:ascii="Arial" w:cs="Arial" w:eastAsia="Arial" w:hAnsi="Arial"/>
                <w:sz w:val="18"/>
                <w:szCs w:val="18"/>
                <w:color w:val="auto"/>
              </w:rPr>
              <w:t>68</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48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following parameters were used: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6"/>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16"/>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WACC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520" w:type="dxa"/>
            <w:vAlign w:val="bottom"/>
          </w:tcPr>
          <w:p>
            <w:pPr>
              <w:ind w:left="540"/>
              <w:spacing w:after="0"/>
              <w:rPr>
                <w:sz w:val="20"/>
                <w:szCs w:val="20"/>
                <w:color w:val="auto"/>
              </w:rPr>
            </w:pPr>
            <w:r>
              <w:rPr>
                <w:rFonts w:ascii="Arial" w:cs="Arial" w:eastAsia="Arial" w:hAnsi="Arial"/>
                <w:sz w:val="18"/>
                <w:szCs w:val="18"/>
                <w:color w:val="auto"/>
              </w:rPr>
              <w:t>Value of equity*</w:t>
            </w:r>
          </w:p>
        </w:tc>
        <w:tc>
          <w:tcPr>
            <w:tcW w:w="1940" w:type="dxa"/>
            <w:vAlign w:val="bottom"/>
            <w:gridSpan w:val="3"/>
          </w:tcPr>
          <w:p>
            <w:pPr>
              <w:ind w:left="480"/>
              <w:spacing w:after="0"/>
              <w:rPr>
                <w:sz w:val="20"/>
                <w:szCs w:val="20"/>
                <w:color w:val="auto"/>
              </w:rPr>
            </w:pPr>
            <w:r>
              <w:rPr>
                <w:rFonts w:ascii="Arial" w:cs="Arial" w:eastAsia="Arial" w:hAnsi="Arial"/>
                <w:sz w:val="18"/>
                <w:szCs w:val="18"/>
                <w:color w:val="auto"/>
              </w:rPr>
              <w:t>$71 million</w:t>
            </w:r>
          </w:p>
        </w:tc>
        <w:tc>
          <w:tcPr>
            <w:tcW w:w="960" w:type="dxa"/>
            <w:vAlign w:val="bottom"/>
          </w:tcPr>
          <w:p>
            <w:pPr>
              <w:jc w:val="right"/>
              <w:spacing w:after="0"/>
              <w:rPr>
                <w:sz w:val="20"/>
                <w:szCs w:val="20"/>
                <w:color w:val="auto"/>
              </w:rPr>
            </w:pPr>
            <w:r>
              <w:rPr>
                <w:rFonts w:ascii="Arial" w:cs="Arial" w:eastAsia="Arial" w:hAnsi="Arial"/>
                <w:sz w:val="18"/>
                <w:szCs w:val="18"/>
                <w:color w:val="auto"/>
              </w:rPr>
              <w:t>$76 million</w:t>
            </w:r>
          </w:p>
        </w:tc>
      </w:tr>
      <w:tr>
        <w:trPr>
          <w:trHeight w:val="216"/>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Volatility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520" w:type="dxa"/>
            <w:vAlign w:val="bottom"/>
          </w:tcPr>
          <w:p>
            <w:pPr>
              <w:ind w:left="540"/>
              <w:spacing w:after="0"/>
              <w:rPr>
                <w:sz w:val="20"/>
                <w:szCs w:val="20"/>
                <w:color w:val="auto"/>
              </w:rPr>
            </w:pPr>
            <w:r>
              <w:rPr>
                <w:rFonts w:ascii="Arial" w:cs="Arial" w:eastAsia="Arial" w:hAnsi="Arial"/>
                <w:sz w:val="18"/>
                <w:szCs w:val="18"/>
                <w:color w:val="auto"/>
              </w:rPr>
              <w:t>Commencement of sales</w:t>
            </w: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2021 – 2025</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2018 – 2020</w:t>
            </w:r>
          </w:p>
        </w:tc>
      </w:tr>
      <w:tr>
        <w:trPr>
          <w:trHeight w:val="216"/>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Probability for success in phase 2</w:t>
            </w: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520" w:type="dxa"/>
            <w:vAlign w:val="bottom"/>
          </w:tcPr>
          <w:p>
            <w:pPr>
              <w:ind w:left="540"/>
              <w:spacing w:after="0"/>
              <w:rPr>
                <w:sz w:val="20"/>
                <w:szCs w:val="20"/>
                <w:color w:val="auto"/>
              </w:rPr>
            </w:pPr>
            <w:r>
              <w:rPr>
                <w:rFonts w:ascii="Arial" w:cs="Arial" w:eastAsia="Arial" w:hAnsi="Arial"/>
                <w:sz w:val="18"/>
                <w:szCs w:val="18"/>
                <w:color w:val="auto"/>
              </w:rPr>
              <w:t>Probability of entering Phase 2b/3 trial for EB612</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Probability for IPO/shares registration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6388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151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60" w:right="600" w:hanging="352"/>
        <w:spacing w:after="0" w:line="293"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of equity as of December 31, 2016 and 2015 was based on the valuation of cash generating unit based on DCF. The primary assumptions used in the DCF valuations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18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r>
      <w:tr>
        <w:trPr>
          <w:trHeight w:val="26"/>
        </w:trPr>
        <w:tc>
          <w:tcPr>
            <w:tcW w:w="8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8200" w:type="dxa"/>
            <w:vAlign w:val="bottom"/>
          </w:tcPr>
          <w:p>
            <w:pPr>
              <w:spacing w:after="0"/>
              <w:rPr>
                <w:sz w:val="17"/>
                <w:szCs w:val="17"/>
                <w:color w:val="auto"/>
              </w:rPr>
            </w:pPr>
          </w:p>
        </w:tc>
        <w:tc>
          <w:tcPr>
            <w:tcW w:w="1660" w:type="dxa"/>
            <w:vAlign w:val="bottom"/>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6"/>
        </w:trPr>
        <w:tc>
          <w:tcPr>
            <w:tcW w:w="8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WACC</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8200" w:type="dxa"/>
            <w:vAlign w:val="bottom"/>
          </w:tcPr>
          <w:p>
            <w:pPr>
              <w:ind w:left="540"/>
              <w:spacing w:after="0"/>
              <w:rPr>
                <w:sz w:val="20"/>
                <w:szCs w:val="20"/>
                <w:color w:val="auto"/>
              </w:rPr>
            </w:pPr>
            <w:r>
              <w:rPr>
                <w:rFonts w:ascii="Arial" w:cs="Arial" w:eastAsia="Arial" w:hAnsi="Arial"/>
                <w:sz w:val="18"/>
                <w:szCs w:val="18"/>
                <w:color w:val="auto"/>
              </w:rPr>
              <w:t>Commencement of sales</w:t>
            </w:r>
          </w:p>
        </w:tc>
        <w:tc>
          <w:tcPr>
            <w:tcW w:w="2180" w:type="dxa"/>
            <w:vAlign w:val="bottom"/>
            <w:gridSpan w:val="3"/>
          </w:tcPr>
          <w:p>
            <w:pPr>
              <w:jc w:val="right"/>
              <w:ind w:right="520"/>
              <w:spacing w:after="0"/>
              <w:rPr>
                <w:sz w:val="20"/>
                <w:szCs w:val="20"/>
                <w:color w:val="auto"/>
              </w:rPr>
            </w:pPr>
            <w:r>
              <w:rPr>
                <w:rFonts w:ascii="Arial" w:cs="Arial" w:eastAsia="Arial" w:hAnsi="Arial"/>
                <w:sz w:val="18"/>
                <w:szCs w:val="18"/>
                <w:color w:val="auto"/>
              </w:rPr>
              <w:t>2021 – 2025</w:t>
            </w:r>
          </w:p>
        </w:tc>
        <w:tc>
          <w:tcPr>
            <w:tcW w:w="1040" w:type="dxa"/>
            <w:vAlign w:val="bottom"/>
          </w:tcPr>
          <w:p>
            <w:pPr>
              <w:jc w:val="right"/>
              <w:spacing w:after="0"/>
              <w:rPr>
                <w:sz w:val="20"/>
                <w:szCs w:val="20"/>
                <w:color w:val="auto"/>
              </w:rPr>
            </w:pPr>
            <w:r>
              <w:rPr>
                <w:rFonts w:ascii="Arial" w:cs="Arial" w:eastAsia="Arial" w:hAnsi="Arial"/>
                <w:sz w:val="18"/>
                <w:szCs w:val="18"/>
                <w:color w:val="auto"/>
              </w:rPr>
              <w:t>2018 – 2020</w:t>
            </w:r>
          </w:p>
        </w:tc>
      </w:tr>
      <w:tr>
        <w:trPr>
          <w:trHeight w:val="257"/>
        </w:trPr>
        <w:tc>
          <w:tcPr>
            <w:tcW w:w="8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Probability of reaching sales</w:t>
            </w:r>
          </w:p>
        </w:tc>
        <w:tc>
          <w:tcPr>
            <w:tcW w:w="2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20.1% – 37.9%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63976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weighted average cost of capital, or the discount rate, was calculated by using the Capital Asset Pricing Model to determine the required return on equity and is based on certain assumptions used to determine the appropriate cost of debt and capital structure, as follows:</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Risk free(1)</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Market premium(2)</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Specific risk(3)</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Beta(4)</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7151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32385</wp:posOffset>
            </wp:positionV>
            <wp:extent cx="15951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32385</wp:posOffset>
            </wp:positionV>
            <wp:extent cx="72466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0.99%</w:t>
      </w:r>
      <w:r>
        <w:rPr>
          <w:sz w:val="20"/>
          <w:szCs w:val="20"/>
          <w:color w:val="auto"/>
        </w:rPr>
        <w:tab/>
      </w:r>
      <w:r>
        <w:rPr>
          <w:rFonts w:ascii="Arial" w:cs="Arial" w:eastAsia="Arial" w:hAnsi="Arial"/>
          <w:sz w:val="16"/>
          <w:szCs w:val="16"/>
          <w:color w:val="auto"/>
        </w:rPr>
        <w:t>0.81%</w:t>
      </w:r>
    </w:p>
    <w:p>
      <w:pPr>
        <w:spacing w:after="0" w:line="50"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5.69%</w:t>
      </w:r>
      <w:r>
        <w:rPr>
          <w:sz w:val="20"/>
          <w:szCs w:val="20"/>
          <w:color w:val="auto"/>
        </w:rPr>
        <w:tab/>
      </w:r>
      <w:r>
        <w:rPr>
          <w:rFonts w:ascii="Arial" w:cs="Arial" w:eastAsia="Arial" w:hAnsi="Arial"/>
          <w:sz w:val="16"/>
          <w:szCs w:val="16"/>
          <w:color w:val="auto"/>
        </w:rPr>
        <w:t>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14605</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16.29%</w:t>
      </w:r>
      <w:r>
        <w:rPr>
          <w:sz w:val="20"/>
          <w:szCs w:val="20"/>
          <w:color w:val="auto"/>
        </w:rPr>
        <w:tab/>
      </w:r>
      <w:r>
        <w:rPr>
          <w:rFonts w:ascii="Arial" w:cs="Arial" w:eastAsia="Arial" w:hAnsi="Arial"/>
          <w:sz w:val="16"/>
          <w:szCs w:val="16"/>
          <w:color w:val="auto"/>
        </w:rPr>
        <w:t>12.12%</w:t>
      </w:r>
    </w:p>
    <w:p>
      <w:pPr>
        <w:spacing w:after="0" w:line="50"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0.84</w:t>
      </w:r>
      <w:r>
        <w:rPr>
          <w:sz w:val="20"/>
          <w:szCs w:val="20"/>
          <w:color w:val="auto"/>
        </w:rPr>
        <w:tab/>
      </w:r>
      <w:r>
        <w:rPr>
          <w:rFonts w:ascii="Arial" w:cs="Arial" w:eastAsia="Arial" w:hAnsi="Arial"/>
          <w:sz w:val="16"/>
          <w:szCs w:val="16"/>
          <w:color w:val="auto"/>
        </w:rPr>
        <w:t>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14605</wp:posOffset>
            </wp:positionV>
            <wp:extent cx="72466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both"/>
        <w:ind w:left="24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19%</w:t>
      </w:r>
    </w:p>
    <w:p>
      <w:pPr>
        <w:spacing w:after="0" w:line="200" w:lineRule="exact"/>
        <w:rPr>
          <w:sz w:val="20"/>
          <w:szCs w:val="20"/>
          <w:color w:val="auto"/>
        </w:rPr>
      </w:pPr>
    </w:p>
    <w:p>
      <w:pPr>
        <w:sectPr>
          <w:pgSz w:w="11900" w:h="16838" w:orient="portrait"/>
          <w:cols w:equalWidth="0" w:num="2">
            <w:col w:w="8480" w:space="720"/>
            <w:col w:w="2220"/>
          </w:cols>
          <w:pgMar w:left="240" w:top="132" w:right="239" w:bottom="1440" w:gutter="0" w:footer="0" w:header="0"/>
          <w:type w:val="continuous"/>
        </w:sectPr>
      </w:pPr>
    </w:p>
    <w:p>
      <w:pPr>
        <w:spacing w:after="0" w:line="304"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U.S. Treasury Real Long-Term Rate.</w:t>
      </w:r>
    </w:p>
    <w:p>
      <w:pPr>
        <w:spacing w:after="0" w:line="190" w:lineRule="exact"/>
        <w:rPr>
          <w:rFonts w:ascii="Arial" w:cs="Arial" w:eastAsia="Arial" w:hAnsi="Arial"/>
          <w:sz w:val="14"/>
          <w:szCs w:val="14"/>
          <w:color w:val="auto"/>
        </w:rPr>
      </w:pP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publicly available estimates.</w:t>
      </w:r>
    </w:p>
    <w:p>
      <w:pPr>
        <w:spacing w:after="0" w:line="203" w:lineRule="exact"/>
        <w:rPr>
          <w:rFonts w:ascii="Arial" w:cs="Arial" w:eastAsia="Arial" w:hAnsi="Arial"/>
          <w:sz w:val="14"/>
          <w:szCs w:val="14"/>
          <w:color w:val="auto"/>
        </w:rPr>
      </w:pPr>
    </w:p>
    <w:p>
      <w:pPr>
        <w:ind w:left="360" w:right="800" w:hanging="352"/>
        <w:spacing w:after="0" w:line="293" w:lineRule="auto"/>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publicly available estimates and specific risk premium added, based on external appraiser opinion regarding the risk related to the capital raising required to execute our business plan.</w:t>
      </w:r>
    </w:p>
    <w:p>
      <w:pPr>
        <w:spacing w:after="0" w:line="133" w:lineRule="exact"/>
        <w:rPr>
          <w:rFonts w:ascii="Arial" w:cs="Arial" w:eastAsia="Arial" w:hAnsi="Arial"/>
          <w:sz w:val="14"/>
          <w:szCs w:val="14"/>
          <w:color w:val="auto"/>
        </w:rPr>
      </w:pP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a number of publicly traded companies which operate in the pharmaceuticals industry.</w:t>
      </w:r>
    </w:p>
    <w:p>
      <w:pPr>
        <w:spacing w:after="0" w:line="1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probability of reaching sales was determined based on a publicly available research studies of a large number of clinical trials in various size and stages and indications and their associated success rates based on stage of clinical trials.</w:t>
      </w:r>
    </w:p>
    <w:p>
      <w:pPr>
        <w:spacing w:after="0" w:line="6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To determine the fair value of the Series A preferred shares, warrants to purchase Series A preferred shares and shares and liability to issue Series A preferred shares and warrants to purchase Series A preferred shares, we prepared a valuation of the fair value of each of these components. The three components were evaluated using a combination of the probability weighted expected return method and the back solve option pricing method model.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September 30, 2017 the valuation of the Company’s financial liabilities was based on the market approach and used a price per share of $908.78 per Series B preferred share from the Company’s preferred share issuance starting in October 2017 as a basis for fair market value. The following parameters were used: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7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2017</w:t>
            </w:r>
          </w:p>
        </w:tc>
      </w:tr>
      <w:tr>
        <w:trPr>
          <w:trHeight w:val="26"/>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Series B preferred price per share</w:t>
            </w: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$908.78</w:t>
            </w:r>
          </w:p>
        </w:tc>
      </w:tr>
      <w:tr>
        <w:trPr>
          <w:trHeight w:val="257"/>
        </w:trPr>
        <w:tc>
          <w:tcPr>
            <w:tcW w:w="8480" w:type="dxa"/>
            <w:vAlign w:val="bottom"/>
            <w:gridSpan w:val="3"/>
          </w:tcPr>
          <w:p>
            <w:pPr>
              <w:ind w:left="540"/>
              <w:spacing w:after="0"/>
              <w:rPr>
                <w:sz w:val="20"/>
                <w:szCs w:val="20"/>
                <w:color w:val="auto"/>
              </w:rPr>
            </w:pPr>
            <w:r>
              <w:rPr>
                <w:rFonts w:ascii="Arial" w:cs="Arial" w:eastAsia="Arial" w:hAnsi="Arial"/>
                <w:sz w:val="18"/>
                <w:szCs w:val="18"/>
                <w:color w:val="auto"/>
              </w:rPr>
              <w:t>Volatility</w:t>
            </w: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18"/>
                <w:szCs w:val="18"/>
                <w:color w:val="auto"/>
              </w:rPr>
              <w:t>65%</w:t>
            </w:r>
          </w:p>
        </w:tc>
      </w:tr>
      <w:tr>
        <w:trPr>
          <w:trHeight w:val="257"/>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Probability of entering Phase 2b/3 trial for EB612</w:t>
            </w:r>
          </w:p>
        </w:tc>
        <w:tc>
          <w:tcPr>
            <w:tcW w:w="13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70%</w:t>
            </w:r>
          </w:p>
        </w:tc>
      </w:tr>
      <w:tr>
        <w:trPr>
          <w:trHeight w:val="257"/>
        </w:trPr>
        <w:tc>
          <w:tcPr>
            <w:tcW w:w="8480" w:type="dxa"/>
            <w:vAlign w:val="bottom"/>
            <w:gridSpan w:val="3"/>
          </w:tcPr>
          <w:p>
            <w:pPr>
              <w:ind w:left="540"/>
              <w:spacing w:after="0"/>
              <w:rPr>
                <w:sz w:val="20"/>
                <w:szCs w:val="20"/>
                <w:color w:val="auto"/>
              </w:rPr>
            </w:pPr>
            <w:r>
              <w:rPr>
                <w:rFonts w:ascii="Arial" w:cs="Arial" w:eastAsia="Arial" w:hAnsi="Arial"/>
                <w:sz w:val="18"/>
                <w:szCs w:val="18"/>
                <w:color w:val="auto"/>
              </w:rPr>
              <w:t>Probability for IPO/shares registration</w:t>
            </w: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176"/>
              <w:spacing w:after="0"/>
              <w:rPr>
                <w:sz w:val="20"/>
                <w:szCs w:val="20"/>
                <w:color w:val="auto"/>
              </w:rPr>
            </w:pPr>
            <w:r>
              <w:rPr>
                <w:rFonts w:ascii="Arial" w:cs="Arial" w:eastAsia="Arial" w:hAnsi="Arial"/>
                <w:sz w:val="18"/>
                <w:szCs w:val="18"/>
                <w:color w:val="auto"/>
              </w:rPr>
              <w:t>85%</w:t>
            </w:r>
          </w:p>
        </w:tc>
      </w:tr>
      <w:tr>
        <w:trPr>
          <w:trHeight w:val="419"/>
        </w:trPr>
        <w:tc>
          <w:tcPr>
            <w:tcW w:w="8480" w:type="dxa"/>
            <w:vAlign w:val="bottom"/>
            <w:gridSpan w:val="3"/>
          </w:tcPr>
          <w:p>
            <w:pPr>
              <w:spacing w:after="0"/>
              <w:rPr>
                <w:sz w:val="20"/>
                <w:szCs w:val="20"/>
                <w:color w:val="auto"/>
              </w:rPr>
            </w:pPr>
            <w:r>
              <w:rPr>
                <w:rFonts w:ascii="Arial" w:cs="Arial" w:eastAsia="Arial" w:hAnsi="Arial"/>
                <w:sz w:val="18"/>
                <w:szCs w:val="18"/>
                <w:color w:val="auto"/>
              </w:rPr>
              <w:t>As of December 31, 2016 and 2015, the following parameters were used:</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9"/>
        </w:trPr>
        <w:tc>
          <w:tcPr>
            <w:tcW w:w="7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
        </w:trPr>
        <w:tc>
          <w:tcPr>
            <w:tcW w:w="7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198"/>
        </w:trPr>
        <w:tc>
          <w:tcPr>
            <w:tcW w:w="7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1400" w:type="dxa"/>
            <w:vAlign w:val="bottom"/>
            <w:gridSpan w:val="2"/>
          </w:tcPr>
          <w:p>
            <w:pPr>
              <w:ind w:left="580"/>
              <w:spacing w:after="0"/>
              <w:rPr>
                <w:sz w:val="20"/>
                <w:szCs w:val="20"/>
                <w:color w:val="auto"/>
              </w:rPr>
            </w:pPr>
            <w:r>
              <w:rPr>
                <w:rFonts w:ascii="Arial" w:cs="Arial" w:eastAsia="Arial" w:hAnsi="Arial"/>
                <w:sz w:val="14"/>
                <w:szCs w:val="14"/>
                <w:b w:val="1"/>
                <w:bCs w:val="1"/>
                <w:color w:val="auto"/>
              </w:rPr>
              <w:t>2015</w:t>
            </w:r>
          </w:p>
        </w:tc>
      </w:tr>
      <w:tr>
        <w:trPr>
          <w:trHeight w:val="26"/>
        </w:trPr>
        <w:tc>
          <w:tcPr>
            <w:tcW w:w="7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WACC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8480" w:type="dxa"/>
            <w:vAlign w:val="bottom"/>
            <w:gridSpan w:val="3"/>
          </w:tcPr>
          <w:p>
            <w:pPr>
              <w:ind w:left="540"/>
              <w:spacing w:after="0"/>
              <w:rPr>
                <w:sz w:val="20"/>
                <w:szCs w:val="20"/>
                <w:color w:val="auto"/>
              </w:rPr>
            </w:pPr>
            <w:r>
              <w:rPr>
                <w:rFonts w:ascii="Arial" w:cs="Arial" w:eastAsia="Arial" w:hAnsi="Arial"/>
                <w:sz w:val="18"/>
                <w:szCs w:val="18"/>
                <w:color w:val="auto"/>
              </w:rPr>
              <w:t>Value of equity*</w:t>
            </w: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rPr>
              <w:t>$71 million</w:t>
            </w:r>
          </w:p>
        </w:tc>
        <w:tc>
          <w:tcPr>
            <w:tcW w:w="40" w:type="dxa"/>
            <w:vAlign w:val="bottom"/>
          </w:tcPr>
          <w:p>
            <w:pPr>
              <w:spacing w:after="0"/>
              <w:rPr>
                <w:sz w:val="22"/>
                <w:szCs w:val="22"/>
                <w:color w:val="auto"/>
              </w:rPr>
            </w:pPr>
          </w:p>
        </w:tc>
        <w:tc>
          <w:tcPr>
            <w:tcW w:w="1360" w:type="dxa"/>
            <w:vAlign w:val="bottom"/>
          </w:tcPr>
          <w:p>
            <w:pPr>
              <w:ind w:left="520"/>
              <w:spacing w:after="0"/>
              <w:rPr>
                <w:sz w:val="20"/>
                <w:szCs w:val="20"/>
                <w:color w:val="auto"/>
              </w:rPr>
            </w:pPr>
            <w:r>
              <w:rPr>
                <w:rFonts w:ascii="Arial" w:cs="Arial" w:eastAsia="Arial" w:hAnsi="Arial"/>
                <w:sz w:val="18"/>
                <w:szCs w:val="18"/>
                <w:color w:val="auto"/>
                <w:w w:val="95"/>
              </w:rPr>
              <w:t>$76 million</w:t>
            </w:r>
          </w:p>
        </w:tc>
      </w:tr>
      <w:tr>
        <w:trPr>
          <w:trHeight w:val="257"/>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8480" w:type="dxa"/>
            <w:vAlign w:val="bottom"/>
            <w:gridSpan w:val="3"/>
          </w:tcPr>
          <w:p>
            <w:pPr>
              <w:ind w:left="540"/>
              <w:spacing w:after="0"/>
              <w:rPr>
                <w:sz w:val="20"/>
                <w:szCs w:val="20"/>
                <w:color w:val="auto"/>
              </w:rPr>
            </w:pPr>
            <w:r>
              <w:rPr>
                <w:rFonts w:ascii="Arial" w:cs="Arial" w:eastAsia="Arial" w:hAnsi="Arial"/>
                <w:sz w:val="18"/>
                <w:szCs w:val="18"/>
                <w:color w:val="auto"/>
              </w:rPr>
              <w:t>Commencement of sales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2021 – 2025</w:t>
            </w:r>
          </w:p>
        </w:tc>
        <w:tc>
          <w:tcPr>
            <w:tcW w:w="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2018 – 2020</w:t>
            </w:r>
          </w:p>
        </w:tc>
      </w:tr>
      <w:tr>
        <w:trPr>
          <w:trHeight w:val="257"/>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Probability for success in phase 2</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8480" w:type="dxa"/>
            <w:vAlign w:val="bottom"/>
            <w:gridSpan w:val="3"/>
          </w:tcPr>
          <w:p>
            <w:pPr>
              <w:ind w:left="540"/>
              <w:spacing w:after="0"/>
              <w:rPr>
                <w:sz w:val="20"/>
                <w:szCs w:val="20"/>
                <w:color w:val="auto"/>
              </w:rPr>
            </w:pPr>
            <w:r>
              <w:rPr>
                <w:rFonts w:ascii="Arial" w:cs="Arial" w:eastAsia="Arial" w:hAnsi="Arial"/>
                <w:sz w:val="18"/>
                <w:szCs w:val="18"/>
                <w:color w:val="auto"/>
              </w:rPr>
              <w:t>Probability of entering Phase 2b/3 trial for EB612</w:t>
            </w: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8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Probability for IPO/shares registration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63544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63804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0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12" w:lineRule="exact"/>
        <w:rPr>
          <w:sz w:val="20"/>
          <w:szCs w:val="20"/>
          <w:color w:val="auto"/>
        </w:rPr>
      </w:pPr>
    </w:p>
    <w:p>
      <w:pPr>
        <w:ind w:left="360" w:right="360" w:hanging="352"/>
        <w:spacing w:after="0" w:line="293" w:lineRule="auto"/>
        <w:tabs>
          <w:tab w:leader="none" w:pos="3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value of equity as of December 31, 2016 and 2015 was based on the valuation of the cash generating unit based on DCF . The value of equity and primary assumptions are described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Nine Month Period Ended September 30, 2017 and 2016</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6"/>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w w:val="91"/>
              </w:rPr>
              <w:t>September 30,</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Increase (Decrease)</w:t>
            </w:r>
          </w:p>
        </w:tc>
      </w:tr>
      <w:tr>
        <w:trPr>
          <w:trHeight w:val="26"/>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8"/>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7"/>
                <w:szCs w:val="17"/>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r>
      <w:tr>
        <w:trPr>
          <w:trHeight w:val="26"/>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3"/>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00" w:type="dxa"/>
            <w:vAlign w:val="bottom"/>
            <w:gridSpan w:val="8"/>
          </w:tcPr>
          <w:p>
            <w:pPr>
              <w:jc w:val="right"/>
              <w:ind w:right="300"/>
              <w:spacing w:after="0"/>
              <w:rPr>
                <w:sz w:val="20"/>
                <w:szCs w:val="20"/>
                <w:color w:val="auto"/>
              </w:rPr>
            </w:pPr>
            <w:r>
              <w:rPr>
                <w:rFonts w:ascii="Arial" w:cs="Arial" w:eastAsia="Arial" w:hAnsi="Arial"/>
                <w:sz w:val="14"/>
                <w:szCs w:val="14"/>
                <w:color w:val="auto"/>
                <w:w w:val="97"/>
              </w:rPr>
              <w:t>(In thousands, except for percentage information)</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7"/>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520" w:type="dxa"/>
            <w:vAlign w:val="bottom"/>
            <w:tcBorders>
              <w:right w:val="single" w:sz="8" w:color="CCEEFF"/>
            </w:tcBorders>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5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$1,686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1,851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 (165)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63"/>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2,296</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2,971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129.4%</w:t>
            </w:r>
          </w:p>
        </w:tc>
      </w:tr>
      <w:tr>
        <w:trPr>
          <w:trHeight w:val="20"/>
        </w:trPr>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520" w:type="dxa"/>
            <w:vAlign w:val="bottom"/>
          </w:tcPr>
          <w:p>
            <w:pPr>
              <w:jc w:val="right"/>
              <w:spacing w:after="0"/>
              <w:rPr>
                <w:sz w:val="20"/>
                <w:szCs w:val="20"/>
                <w:color w:val="auto"/>
              </w:rPr>
            </w:pPr>
            <w:r>
              <w:rPr>
                <w:rFonts w:ascii="Arial" w:cs="Arial" w:eastAsia="Arial" w:hAnsi="Arial"/>
                <w:sz w:val="18"/>
                <w:szCs w:val="18"/>
                <w:color w:val="auto"/>
              </w:rPr>
              <w:t>6,953</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4,147</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2,806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r>
      <w:tr>
        <w:trPr>
          <w:trHeight w:val="263"/>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(income) expenses, net</w:t>
            </w:r>
          </w:p>
        </w:tc>
        <w:tc>
          <w:tcPr>
            <w:tcW w:w="26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(3,805)</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4,274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7,422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7,080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-1165860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-1165860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-1165860</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2017 were $1.7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for the nine months ended September 30, 2016, a decrease of $0.2 million, or 8.9%. The decrease in research and development expenses was primarily due to a decrease of $0.3 million in expenses for subcontractors and CROs for our ongoing Phase 1 study and certain toxicology studies, offset by an increase of $0.1 million for salaries and related employee expenses.</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for the nine months ended September 30, 2017 were $5.3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for the nine months ended September 30, 2016, an increase of $3.0 million, or 129.4%. The increase in general and administrative expenses was primarily due to an increase of $3.0 million in salaries and related employee expenses of which $2.8 million resulted from an increase in share-based compensation expenses.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Financial income, net. </w:t>
      </w:r>
      <w:r>
        <w:rPr>
          <w:rFonts w:ascii="Arial" w:cs="Arial" w:eastAsia="Arial" w:hAnsi="Arial"/>
          <w:sz w:val="18"/>
          <w:szCs w:val="18"/>
          <w:color w:val="auto"/>
        </w:rPr>
        <w:t>Financial expenses, net for the nine months ended September 30, 2017 was $0.5 million, compared to a financial income,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for the nine month period ended September 30, 2016. Financial expenses, net for the nine months ended September 30, 2017 resulted mainly from the change in the fair value of convertible loans, Series A preferred shares, warrants to purchase Series A preferred shares and liability to issue Series A preferred shares and warrants that were recorded as a financial liability at fair value through profit or loss. During the nine months ended September 30, 2017 and 2016, we recorded a loss of $0.4 million and a gain of $3.9 million, respectively, on the fair value of financial liabilities. For the assumptions used in the valuation of the convertible loans and preferred shares components, see “— Critical Accounting Policies and Estimate — Fair Value of Financial Liabilities Through Profit or Loss.”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Increase (Decrease)</w:t>
            </w:r>
          </w:p>
        </w:tc>
      </w:tr>
      <w:tr>
        <w:trPr>
          <w:trHeight w:val="26"/>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6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7"/>
                <w:szCs w:val="17"/>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7"/>
                <w:szCs w:val="17"/>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20" w:type="dxa"/>
            <w:vAlign w:val="bottom"/>
            <w:gridSpan w:val="7"/>
          </w:tcPr>
          <w:p>
            <w:pPr>
              <w:jc w:val="right"/>
              <w:ind w:right="380"/>
              <w:spacing w:after="0"/>
              <w:rPr>
                <w:sz w:val="20"/>
                <w:szCs w:val="20"/>
                <w:color w:val="auto"/>
              </w:rPr>
            </w:pPr>
            <w:r>
              <w:rPr>
                <w:rFonts w:ascii="Arial" w:cs="Arial" w:eastAsia="Arial" w:hAnsi="Arial"/>
                <w:sz w:val="14"/>
                <w:szCs w:val="14"/>
                <w:color w:val="auto"/>
                <w:w w:val="95"/>
              </w:rPr>
              <w:t>(In thousands, except for percentage information)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w w:val="89"/>
              </w:rPr>
              <w:t>$ 2,648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$2,115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  533</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25.2%</w:t>
            </w:r>
          </w:p>
        </w:tc>
      </w:tr>
      <w:tr>
        <w:trPr>
          <w:trHeight w:val="257"/>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2,719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1,133</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71.4%</w:t>
            </w:r>
          </w:p>
        </w:tc>
      </w:tr>
      <w:tr>
        <w:trPr>
          <w:trHeight w:val="257"/>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rPr>
              <w:t>5,367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3,701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1,666</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45.0%</w:t>
            </w: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(income) expenses, net</w:t>
            </w: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(4,168)</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(4,749)</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r>
      <w:tr>
        <w:trPr>
          <w:trHeight w:val="257"/>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Net loss (income)</w:t>
            </w:r>
          </w:p>
        </w:tc>
        <w:tc>
          <w:tcPr>
            <w:tcW w:w="1320" w:type="dxa"/>
            <w:vAlign w:val="bottom"/>
            <w:gridSpan w:val="2"/>
          </w:tcPr>
          <w:p>
            <w:pPr>
              <w:jc w:val="right"/>
              <w:ind w:right="688"/>
              <w:spacing w:after="0"/>
              <w:rPr>
                <w:sz w:val="20"/>
                <w:szCs w:val="20"/>
                <w:color w:val="auto"/>
              </w:rPr>
            </w:pPr>
            <w:r>
              <w:rPr>
                <w:rFonts w:ascii="Arial" w:cs="Arial" w:eastAsia="Arial" w:hAnsi="Arial"/>
                <w:sz w:val="18"/>
                <w:szCs w:val="18"/>
                <w:color w:val="auto"/>
                <w:w w:val="89"/>
              </w:rPr>
              <w:t>$ 1,199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(3,083)</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-1148715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-1148715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-1148715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year ended December 31, 2016 were $2.6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 million for the year ended December 31, 2015, an increase of $0.5 million, or 25.2%. The increase in research and development expenses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increase of $0.5 million in expenses for salaries and related employee expenses resulting from an increase in the number of employees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represented an increase in share-based compensation expenses), an increase of $0.3 million primarily due to expenses for materials and decrease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$0.3 million in expenses for subcontractors and CROs due to the successful completion of our Phase 2a trial in the third quarter of 2015.</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for the year ended December 31, 2016 were $2.7 million, compared to</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$1.6 million for the year ended December 31, 2015, an increase of $1.1 million, or 71.4%. The increase in general and administrative expenses was primarily due to an increase of $1.1 million in salaries and related employee expenses of which $1.0 million resulted from an increase in share-based compensation expenses.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(income) expenses, net</w:t>
      </w:r>
      <w:r>
        <w:rPr>
          <w:rFonts w:ascii="Arial" w:cs="Arial" w:eastAsia="Arial" w:hAnsi="Arial"/>
          <w:sz w:val="16"/>
          <w:szCs w:val="16"/>
          <w:color w:val="auto"/>
        </w:rPr>
        <w:t>.  Financial income, net for the year ended December 31, 2016 was $4.2 million, compared to financial expenses, net of</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$0.6 million for the year ended December 31, 2015. Financial income, net for the year ended December 31, 2016 resulted mainly from the change in the fair value of convertible loans, Series A preferred shares, warrants to purchase Series A preferred shares and shares and liability to issue Series A preferred shares and warrants that were recorded as a financial liability at fair value through profit or loss. During the years ended December 31, 2016 and 2015, we recorded a gain of $4.3 million and a loss of $447,000, respectively, on the fair value of financial liabilities. For the assumptions used in the valuation of the convertible loans and preferred shares components see “— Critical Accounting Policies and Estimate — Fair Value of Financial Liabilities Through Profit or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Since inception, we have incurred significant losses. For the nine months ended September 30, 2016 and 2017, our operating losses were $4.1 million and $7.0 million, respectively, and $3.7 million and $5.4 million for the years ended December 31, 2015 and 2016, respectively. In addition, during the years ended December 31, 2016 and 2015 and currently, we have been cash constrained due to our limited funds. We expect to continue to incur significant expenses and losses for the next several years. As of</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we had an accumulated deficit of $38.0 million. Since our inception and through September 30, 2017, we have raised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$7.2 million from sales of our ordinary shares, Series A preferred shares and warrants, of which $0.6 million was recorded as an intangible asset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fair value of ordinary shares issued in exchange. In addition, we have raised $10.6 million from convertible loans (of which an amount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($1.1 million including interest) was repaid in February 2017 and an amount of $8.5 million ($9.0 million including interest) was converted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2017 to Series B-1 preferred shares), and $0.5 million from IIA grants. From October to December 2017, we raised a total of $13.0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our Series B preferred shares. As of December 31, 2017, we had cash and cash equivalents of $11.7 million. Our primary uses of cash have been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 research and development and working capital requirements, and we expect these will continue to be our primary uses of cash.</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that the net proceeds from this offering and our existing cash and cash equivalents will enable us to fund our research and development expenses, and working capital requirements for at least two years after the closing of this offering and will be sufficient to enable us to undertake the following:</w:t>
      </w:r>
    </w:p>
    <w:p>
      <w:pPr>
        <w:spacing w:after="0" w:line="70" w:lineRule="exact"/>
        <w:rPr>
          <w:sz w:val="20"/>
          <w:szCs w:val="20"/>
          <w:color w:val="auto"/>
        </w:rPr>
      </w:pPr>
    </w:p>
    <w:p>
      <w:pPr>
        <w:ind w:left="360" w:hanging="17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complete our planned Phase 2b/3 clinical trials of EB612;</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complete our planned Phase 2a clinical trial of EB613;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expand our headcount and operations and operate as a public company.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34" w:lineRule="exact"/>
        <w:rPr>
          <w:sz w:val="20"/>
          <w:szCs w:val="20"/>
          <w:color w:val="auto"/>
        </w:rPr>
      </w:pPr>
    </w:p>
    <w:p>
      <w:pPr>
        <w:ind w:left="360" w:hanging="172"/>
        <w:spacing w:after="0"/>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costs, timing and outcome of clinical trials for, and regulatory review of, EB612, EB613 and any other product candidates we may develop;</w:t>
      </w:r>
    </w:p>
    <w:p>
      <w:pPr>
        <w:spacing w:after="0" w:line="182" w:lineRule="exact"/>
        <w:rPr>
          <w:rFonts w:ascii="Arial" w:cs="Arial" w:eastAsia="Arial" w:hAnsi="Arial"/>
          <w:sz w:val="17"/>
          <w:szCs w:val="17"/>
          <w:color w:val="auto"/>
        </w:rPr>
      </w:pPr>
    </w:p>
    <w:p>
      <w:pPr>
        <w:ind w:left="360" w:hanging="17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development activities for any other product candidates we may pursue;</w:t>
      </w:r>
    </w:p>
    <w:p>
      <w:pPr>
        <w:spacing w:after="0" w:line="171" w:lineRule="exact"/>
        <w:rPr>
          <w:rFonts w:ascii="Arial" w:cs="Arial" w:eastAsia="Arial" w:hAnsi="Arial"/>
          <w:sz w:val="18"/>
          <w:szCs w:val="18"/>
          <w:color w:val="auto"/>
        </w:rPr>
      </w:pPr>
    </w:p>
    <w:p>
      <w:pPr>
        <w:ind w:left="360" w:right="1040" w:hanging="172"/>
        <w:spacing w:after="0" w:line="277"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16" w:lineRule="exact"/>
        <w:rPr>
          <w:rFonts w:ascii="Arial" w:cs="Arial" w:eastAsia="Arial" w:hAnsi="Arial"/>
          <w:sz w:val="18"/>
          <w:szCs w:val="18"/>
          <w:color w:val="auto"/>
        </w:rPr>
      </w:pPr>
    </w:p>
    <w:p>
      <w:pPr>
        <w:ind w:left="360" w:hanging="17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Until such time, if any, as we can generate substantial product revenue, we expect to finance our cash needs through a combination of private and public equity offerings, debt financings, government grants, strategic collaborations and licensing arrangements.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holder of our ordinary shares.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audited financial statements for the year ended December 31, 2016 and our unaudited condensed interim financial statements for the nine months ended September 30, 2017, each included elsewhere in this prospectus, note that there is substantial doubt about our ability to continue as a going concern as of such date; and in its report accompanying our audited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substantial doubt about our ability to continue our operations without an additional infusion of capital from external sources. The audited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in this offering would lose all or a part of their investment.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Nine Months Ended September 30, 2017 Compared to Nine Months Ended September 30, 2016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149"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22225</wp:posOffset>
            </wp:positionV>
            <wp:extent cx="14147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9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r>
      <w:tr>
        <w:trPr>
          <w:trHeight w:val="183"/>
        </w:trPr>
        <w:tc>
          <w:tcPr>
            <w:tcW w:w="9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4"/>
          </w:tcPr>
          <w:p>
            <w:pPr>
              <w:jc w:val="right"/>
              <w:ind w:right="700"/>
              <w:spacing w:after="0"/>
              <w:rPr>
                <w:sz w:val="20"/>
                <w:szCs w:val="20"/>
                <w:color w:val="auto"/>
              </w:rPr>
            </w:pPr>
            <w:r>
              <w:rPr>
                <w:rFonts w:ascii="Arial" w:cs="Arial" w:eastAsia="Arial" w:hAnsi="Arial"/>
                <w:sz w:val="14"/>
                <w:szCs w:val="14"/>
                <w:color w:val="auto"/>
              </w:rPr>
              <w:t>(in thousands)</w:t>
            </w:r>
          </w:p>
        </w:tc>
      </w:tr>
      <w:tr>
        <w:trPr>
          <w:trHeight w:val="257"/>
        </w:trPr>
        <w:tc>
          <w:tcPr>
            <w:tcW w:w="9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used in operating activities</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$(2,865)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$(2,224)</w:t>
            </w:r>
          </w:p>
        </w:tc>
      </w:tr>
      <w:tr>
        <w:trPr>
          <w:trHeight w:val="257"/>
        </w:trPr>
        <w:tc>
          <w:tcPr>
            <w:tcW w:w="9400" w:type="dxa"/>
            <w:vAlign w:val="bottom"/>
            <w:gridSpan w:val="2"/>
          </w:tcPr>
          <w:p>
            <w:pPr>
              <w:ind w:left="520"/>
              <w:spacing w:after="0"/>
              <w:rPr>
                <w:sz w:val="20"/>
                <w:szCs w:val="20"/>
                <w:color w:val="auto"/>
              </w:rPr>
            </w:pPr>
            <w:r>
              <w:rPr>
                <w:rFonts w:ascii="Arial" w:cs="Arial" w:eastAsia="Arial" w:hAnsi="Arial"/>
                <w:sz w:val="18"/>
                <w:szCs w:val="18"/>
                <w:color w:val="auto"/>
              </w:rPr>
              <w:t>Cash provided by (used in) investing activities</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1,006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r>
      <w:tr>
        <w:trPr>
          <w:trHeight w:val="257"/>
        </w:trPr>
        <w:tc>
          <w:tcPr>
            <w:tcW w:w="9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(used in) provided by financing activities</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w:t>
            </w:r>
          </w:p>
        </w:tc>
      </w:tr>
      <w:tr>
        <w:trPr>
          <w:trHeight w:val="264"/>
        </w:trPr>
        <w:tc>
          <w:tcPr>
            <w:tcW w:w="9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Foreign exchange differences on cash and cash equivalents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r>
      <w:tr>
        <w:trPr>
          <w:trHeight w:val="257"/>
        </w:trPr>
        <w:tc>
          <w:tcPr>
            <w:tcW w:w="9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(decrease) increase in cash and cash equivalents</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(1,264)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$ 3,890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-985520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for the nine months ended September 30, 2017 was $2.9 million, consisting primarily of our operating loss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$7.0 million arising mainly from research and development expenses and general and administrative expenses, partially offset by $4.0 million of share-based compensation and by a $0.1 million decrease in working capital.</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for the nine months ended September 30, 2016 was $2.2 million, consisting primarily of our operating loss of</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$4.1 million arising mainly from research and development expenses and general and administrative expenses, partially offset by $1.2 million of share-based compensation, a $0.3 million decrease in working capital and $0.4 million in transaction expenses related to the 2016 Convertible Loan presented in cash provided by financing activities.</w:t>
      </w:r>
    </w:p>
    <w:p>
      <w:pPr>
        <w:spacing w:after="0" w:line="8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increase in cash used in operating activities for the nine months ended September 30, 2017 compared to the same period of 2016, was mainly due to an increase of $0.4 million in expenses for salaries and related employee expenses in addition to an increase for professional services of $0.4 million.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0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Net Cash Provided by investing activities for the nine months ended September 30, 2017 consisted primarily of a decrease in restricted deposits of $1.1 million used for the payment of a portion of the 2015 Convertible Loan.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2016 consisted primarily of an investment in restricted deposits of $1.1 million to secure the repayment of short-term convertible loans.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Provided (Used in) by Financing Activities</w:t>
      </w:r>
    </w:p>
    <w:p>
      <w:pPr>
        <w:spacing w:after="0" w:line="104"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Net Cash used in financing activities for the nine months ended September 30, 2017 resulted from a $1.6 million increase on account of receipts of the amounts from the issuance of Series B preferred shares and a $1.0 million decrease from the repayment of a portion of the 2015 Convertible Loan.</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2016 resulted from net proceeds of $7.2 million from convertible loans and warrants to purchase our shares.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149"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(audited)</w:t>
      </w:r>
    </w:p>
    <w:p>
      <w:pPr>
        <w:spacing w:after="0" w:line="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22225</wp:posOffset>
            </wp:positionV>
            <wp:extent cx="15951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6"/>
                <w:szCs w:val="16"/>
                <w:color w:val="auto"/>
              </w:rPr>
            </w:pPr>
          </w:p>
        </w:tc>
      </w:tr>
      <w:tr>
        <w:trPr>
          <w:trHeight w:val="26"/>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3"/>
        </w:trPr>
        <w:tc>
          <w:tcPr>
            <w:tcW w:w="8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57"/>
        </w:trPr>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used in operating activities</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9"/>
              </w:rPr>
              <w:t>$(3,142)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(3,495)</w:t>
            </w:r>
          </w:p>
        </w:tc>
      </w:tr>
      <w:tr>
        <w:trPr>
          <w:trHeight w:val="257"/>
        </w:trPr>
        <w:tc>
          <w:tcPr>
            <w:tcW w:w="9200" w:type="dxa"/>
            <w:vAlign w:val="bottom"/>
            <w:gridSpan w:val="2"/>
          </w:tcPr>
          <w:p>
            <w:pPr>
              <w:ind w:left="520"/>
              <w:spacing w:after="0"/>
              <w:rPr>
                <w:sz w:val="20"/>
                <w:szCs w:val="20"/>
                <w:color w:val="auto"/>
              </w:rPr>
            </w:pPr>
            <w:r>
              <w:rPr>
                <w:rFonts w:ascii="Arial" w:cs="Arial" w:eastAsia="Arial" w:hAnsi="Arial"/>
                <w:sz w:val="18"/>
                <w:szCs w:val="18"/>
                <w:color w:val="auto"/>
              </w:rPr>
              <w:t>Cash used in investing activities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r>
      <w:tr>
        <w:trPr>
          <w:trHeight w:val="257"/>
        </w:trPr>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provided by financing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4,465</w:t>
            </w:r>
          </w:p>
        </w:tc>
      </w:tr>
      <w:tr>
        <w:trPr>
          <w:trHeight w:val="263"/>
        </w:trPr>
        <w:tc>
          <w:tcPr>
            <w:tcW w:w="9200" w:type="dxa"/>
            <w:vAlign w:val="bottom"/>
            <w:gridSpan w:val="2"/>
          </w:tcPr>
          <w:p>
            <w:pPr>
              <w:ind w:left="520"/>
              <w:spacing w:after="0"/>
              <w:rPr>
                <w:sz w:val="20"/>
                <w:szCs w:val="20"/>
                <w:color w:val="auto"/>
              </w:rPr>
            </w:pPr>
            <w:r>
              <w:rPr>
                <w:rFonts w:ascii="Arial" w:cs="Arial" w:eastAsia="Arial" w:hAnsi="Arial"/>
                <w:sz w:val="18"/>
                <w:szCs w:val="18"/>
                <w:color w:val="auto"/>
              </w:rPr>
              <w:t>Foreign exchange differences on 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r>
      <w:tr>
        <w:trPr>
          <w:trHeight w:val="20"/>
        </w:trPr>
        <w:tc>
          <w:tcPr>
            <w:tcW w:w="89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9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$ 2,958</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-985520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$3.1 million and consisted primarily of our operating loss of $5.4 million arising mainly from research and development expenses and general and administrative expenses, partially offset by $1.5 million of share-based compensation and by a $0.4 million decrease in working capital.</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Cash used in operating activities for the year ended December 31, 2015 was $3.5 million and consisted primarily of our operating loss of $3.7 million arising primarily from research and development activities and general and administrative expenses partially offset by $0.4 million of share-based compensation. The decrease in cash used in operating activities from 2015 to 2016 was mainly due to a change in our working capital due to a decrease in prepaid expenses in the amount of $0.5 million of which $0.2 was for inventory of materials and $0.2 million for professional services, partially offset by $0.2 million decrease in account payables.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2016 consisted primarily of an investment in restricted deposits of $1.1 million to secure the repayment of short-term convertible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for the year ended December 31, 2015 was immaterial and resulted from the purchase of fixed assets.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2016 resulted from net proceeds of $7.2 million from convertible loans and warrants to purchase our shares.</w:t>
      </w:r>
    </w:p>
    <w:p>
      <w:pPr>
        <w:spacing w:after="0" w:line="6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2015 in the amount of $4.5 million resulted from proceeds of $2.5 million from the issuance of Series A preferred shares and warrants and $2.0 million from the incurrence of convertible loans and issuance of warrants.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contractual obligations and commitments as of December 31, 2016 that will affect our future liquidity: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tcPr>
          <w:p>
            <w:pPr>
              <w:jc w:val="center"/>
              <w:ind w:left="135"/>
              <w:spacing w:after="0"/>
              <w:rPr>
                <w:sz w:val="20"/>
                <w:szCs w:val="20"/>
                <w:color w:val="auto"/>
              </w:rPr>
            </w:pPr>
            <w:r>
              <w:rPr>
                <w:rFonts w:ascii="Arial" w:cs="Arial" w:eastAsia="Arial" w:hAnsi="Arial"/>
                <w:sz w:val="14"/>
                <w:szCs w:val="14"/>
                <w:b w:val="1"/>
                <w:bCs w:val="1"/>
                <w:color w:val="auto"/>
                <w:w w:val="91"/>
              </w:rPr>
              <w:t>Payments due by period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17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3"/>
          </w:tcPr>
          <w:p>
            <w:pPr>
              <w:ind w:left="340"/>
              <w:spacing w:after="0"/>
              <w:rPr>
                <w:sz w:val="20"/>
                <w:szCs w:val="20"/>
                <w:color w:val="auto"/>
              </w:rPr>
            </w:pPr>
            <w:r>
              <w:rPr>
                <w:rFonts w:ascii="Arial" w:cs="Arial" w:eastAsia="Arial" w:hAnsi="Arial"/>
                <w:sz w:val="14"/>
                <w:szCs w:val="14"/>
                <w:b w:val="1"/>
                <w:bCs w:val="1"/>
                <w:color w:val="auto"/>
                <w:w w:val="94"/>
              </w:rPr>
              <w:t>Less than</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1 - 3</w:t>
            </w:r>
          </w:p>
        </w:tc>
        <w:tc>
          <w:tcPr>
            <w:tcW w:w="4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3 - 5</w:t>
            </w:r>
          </w:p>
        </w:tc>
        <w:tc>
          <w:tcPr>
            <w:tcW w:w="28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More than</w:t>
            </w:r>
          </w:p>
        </w:tc>
      </w:tr>
      <w:tr>
        <w:trPr>
          <w:trHeight w:val="186"/>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1 year</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rPr>
              <w:t>years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5 years</w:t>
            </w:r>
          </w:p>
        </w:tc>
      </w:tr>
      <w:tr>
        <w:trPr>
          <w:trHeight w:val="26"/>
        </w:trPr>
        <w:tc>
          <w:tcPr>
            <w:tcW w:w="6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57"/>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 for facility and vehicles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gridSpan w:val="3"/>
          </w:tcPr>
          <w:p>
            <w:pPr>
              <w:spacing w:after="0"/>
              <w:rPr>
                <w:sz w:val="20"/>
                <w:szCs w:val="20"/>
                <w:color w:val="auto"/>
              </w:rPr>
            </w:pPr>
            <w:r>
              <w:rPr>
                <w:rFonts w:ascii="Arial" w:cs="Arial" w:eastAsia="Arial" w:hAnsi="Arial"/>
                <w:sz w:val="18"/>
                <w:szCs w:val="18"/>
                <w:color w:val="auto"/>
              </w:rPr>
              <w:t>2012 Convertible loan</w:t>
            </w:r>
          </w:p>
        </w:tc>
        <w:tc>
          <w:tcPr>
            <w:tcW w:w="1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1,288</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1,254</w:t>
            </w:r>
          </w:p>
        </w:tc>
      </w:tr>
      <w:tr>
        <w:trPr>
          <w:trHeight w:val="257"/>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2015 Convertible loan</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1,053</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63"/>
        </w:trPr>
        <w:tc>
          <w:tcPr>
            <w:tcW w:w="6500" w:type="dxa"/>
            <w:vAlign w:val="bottom"/>
            <w:gridSpan w:val="3"/>
          </w:tcPr>
          <w:p>
            <w:pPr>
              <w:spacing w:after="0"/>
              <w:rPr>
                <w:sz w:val="20"/>
                <w:szCs w:val="20"/>
                <w:color w:val="auto"/>
              </w:rPr>
            </w:pPr>
            <w:r>
              <w:rPr>
                <w:rFonts w:ascii="Arial" w:cs="Arial" w:eastAsia="Arial" w:hAnsi="Arial"/>
                <w:sz w:val="18"/>
                <w:szCs w:val="18"/>
                <w:color w:val="auto"/>
              </w:rPr>
              <w:t>2016 Convertible loan</w:t>
            </w:r>
          </w:p>
        </w:tc>
        <w:tc>
          <w:tcPr>
            <w:tcW w:w="100" w:type="dxa"/>
            <w:vAlign w:val="bottom"/>
          </w:tcPr>
          <w:p>
            <w:pPr>
              <w:spacing w:after="0"/>
              <w:rPr>
                <w:sz w:val="22"/>
                <w:szCs w:val="2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9,135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9,135</w:t>
            </w:r>
          </w:p>
        </w:tc>
        <w:tc>
          <w:tcPr>
            <w:tcW w:w="540" w:type="dxa"/>
            <w:vAlign w:val="bottom"/>
          </w:tcPr>
          <w:p>
            <w:pPr>
              <w:spacing w:after="0"/>
              <w:rPr>
                <w:sz w:val="22"/>
                <w:szCs w:val="22"/>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11,511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10,257</w:t>
            </w:r>
          </w:p>
        </w:tc>
        <w:tc>
          <w:tcPr>
            <w:tcW w:w="5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-196850</wp:posOffset>
            </wp:positionV>
            <wp:extent cx="1714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7576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-985520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-985520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-985520</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-985520</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Loans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2012 Convertible Loan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8, 2012 and December 31, 2012, we entered into loan agreements with certain lenders, or the 2012 Convertible Loans. Pursuant to these agreements, the lenders loaned us an aggregate amount of $1.2 million. The 2012 Convertible Loans bear interest at a rate of 0.6% per year, which is to be paid every five years, and are due and payable after a term of 20 years. Interest expenses of $138,000 to be incurred through maturity are included in the table above. Each of the lenders has the right during the term to convert its respective loan amount into our ordinary shares at a conversion price of $240.26 per ordinary share (subject to adjustment), and for a period of the initial five years of the term of the loan agreement to exchange all such ordinary shares received into ordinary shares of D.N.A Biomedical at the rate of one of our ordinary shares for 5,590 ordinary shares of D.N.A Biomedical (subject to adjustment). Under the terms of the 2012 Convertible Loans, the outstanding loan amounts will be automatically converted into our ordinary shares upon the closing of this offering, and therefore these loans will no longer be outstanding after this offering.</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2015 Convertible Loan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5, 2015, we entered into a Convertible Promissory Note and Loan Agreement with certain lenders, or the 2015 Convertible Loan. Pursuant to the loan agreement for the 2015 Convertible Loan, the lenders loaned us an aggregate amount of $2.005 million. The 2015 Convertible Loan bore interest at a rate of 5% per year. Under its terms, the 2015 Convertible Loan was to be automatically converted into shares upon the occurrence of the following events, each a 2015 Triggering Event: an initial public offering, a private placement of equity securities or securities convertible into equity securities in an aggregate amount of no less than $10 million or a change of control. In connection with any such 2015 Triggering Event, the 2015 Convertible Loans would have been converted into the equity securities and/or securities convertible into equity securities of the Company that were issued in such a transaction, at a 25% discount.</w:t>
      </w:r>
    </w:p>
    <w:p>
      <w:pPr>
        <w:spacing w:after="0" w:line="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we issued to each lender under the 2015 Convertible Loan warrants, or the 2015 Warrants, to purchase an additional 40% of the amount of our securities that would have been issued to such lender as a result of the automatic conversion upon a 2015 Triggering Event at an exercise price of 125% of the applicable price per share. The 2015 Warrants were exercisable for the earlier of two years from the warrant issuance date or one year from the consummation of an initial public offering. As part of the 2016 Convertible Loan as discussed below, we granted the lenders a right to roll-over the 2015 Convertible Loan into the 2016 Convertible Loan. The lenders elected to roll-over an amount of $1.057 million into the 2016 Convertible Loan and the remainder, in an amount of $1.053 million (including interest and principal), was repaid by us in February 2017. There are no amounts outstanding under the 2015 Convertible Loans, and none of the 2015 Warrants remain outstanding, and as a result, the 2015 Convertible Loan agreement is no longer in force.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2016 Convertible Loan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or the 2016 Convertible Loan.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2016 Convertible Loan was to be automatically converted into shares upon the occurrence of any of the following events, each a 2016 Triggering 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initial public offering in which we raise at least $20 million, a private placement of our equity securities in an aggregate amount of not less than</w:t>
      </w:r>
    </w:p>
    <w:p>
      <w:pPr>
        <w:spacing w:after="0" w:line="21"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$10 million, or a change of control. In addition, we issued to each lender under the 2016 Convertible Loan warrants to purchase an additional 40% of the amount of our securities issued to such lender as a result of the automatic conversion following a 2016 Triggering Event.</w:t>
      </w:r>
    </w:p>
    <w:p>
      <w:pPr>
        <w:spacing w:after="0" w:line="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Following the completion of the Series B preferred shares purchase agreement (as discussed below), which constituted a 2016 Triggering Event, the loan amount, together with all accrued interest, was converted into Series B-1 preferred shares. In addition, the Series B preferred shares purchase agreement set the price and the amount of shares for which the holders of the previously issued 2016 Warrants (as described below) are entitled to exercise their 2016 Warrants. The 2016 Warrants are exercisable until June 2020, and will be exercisable into an aggregate of 473,639 ordinary shares following the completion of this offering.</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Severance Obligations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September 30, 2017, our severance pay liability, net was $56,000. Because the timing of any such payments is not fixed and determinable, we have not included these liabilities in the table above.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obligations to make future payments to third parties that become due and payable on the achievement of certain milestones, such as royalties upon sale of products. We have not included these commitments in our statements of financial position or in the table above because the achievement and timing of these milestones is not fixed and determinable. These potential future commitments include:</w:t>
      </w:r>
    </w:p>
    <w:p>
      <w:pPr>
        <w:spacing w:after="0" w:line="154" w:lineRule="exact"/>
        <w:rPr>
          <w:sz w:val="20"/>
          <w:szCs w:val="20"/>
          <w:color w:val="auto"/>
        </w:rPr>
      </w:pPr>
    </w:p>
    <w:p>
      <w:pPr>
        <w:ind w:left="360" w:right="740" w:hanging="172"/>
        <w:spacing w:after="0" w:line="277"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commitment to pay Oramed royalties equal to 3% of our net revenues pursuant to the terms of the Patent Transfer Agreement between us and Oramed; and</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commitment to pay royalties to the IIA. See “— Patent Transfer Agreement and Grant Funding.”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Risk</w:t>
      </w:r>
    </w:p>
    <w:p>
      <w:pPr>
        <w:spacing w:after="0" w:line="10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functional currency and reporting currency is the U.S. dollar. Fluctuations in the New Israel Shekel, or NIS, to U.S. dollar exchange rate may affect our results because some of our assets and liabilities are linked to the NIS and a portion of our operating expenses are denominated in NIS. In the future, we also may be exposed to additional currency fluctuations against the U.S. dollar. We do not hedge our foreign currency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two fiscal years. If our costs were to become subject to significant inflationary pressures, we may not be able to fully offset such higher costs through hedging transactions. Our inability or failure to do so could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IFRS 9 “Financial Instruments”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We are currently evaluating the impact of adoption of this standard on our financial statements.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IFRS 16 “Leases”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We are currently evaluating the impact of adoption of this standard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Exemptions</w:t>
      </w:r>
    </w:p>
    <w:p>
      <w:pPr>
        <w:spacing w:after="0" w:line="1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w:t>
      </w:r>
    </w:p>
    <w:p>
      <w:pPr>
        <w:spacing w:after="0" w:line="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FDA and the EMA have granted EB612 orphan drug designation for the treatment of hypoparathyroidism. We expect to initiate a Phase 2b/3 clinical trial of EB612 in the second half of 2018, and we plan to submit applications for regulatory approval of EB612 in the second half of 2020.</w:t>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Arial" w:cs="Arial" w:eastAsia="Arial" w:hAnsi="Arial"/>
          <w:sz w:val="26"/>
          <w:szCs w:val="26"/>
          <w:color w:val="auto"/>
          <w:vertAlign w:val="superscript"/>
        </w:rPr>
        <w:t>®</w:t>
      </w:r>
      <w:r>
        <w:rPr>
          <w:rFonts w:ascii="Arial" w:cs="Arial" w:eastAsia="Arial" w:hAnsi="Arial"/>
          <w:sz w:val="17"/>
          <w:szCs w:val="17"/>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related adverse events.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still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including convenience of application, that no special preparations are required and that it can be stored under normal storage conditions (room temperature or refrigeration).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consultations with key opinion leaders in the hypoparathyroidism field who have reviewed our Phase 2a results and are familiar with the REPLACE study are planning for a Phase 2b/3 trial, designed to possibly be a pivotal study for registration. This Phase 2b/3 study will be designed to repeat the REPLACE study in virtually every aspect, as well as to achieve a reduction in urinary calcium.</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511810</wp:posOffset>
            </wp:positionV>
            <wp:extent cx="5213985" cy="12433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Proposed design for EB612 Phase 2b/3 pivotal trial</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already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26"/>
          <w:szCs w:val="26"/>
          <w:color w:val="auto"/>
          <w:vertAlign w:val="superscript"/>
        </w:rPr>
        <w:t>®</w:t>
      </w:r>
      <w:r>
        <w:rPr>
          <w:rFonts w:ascii="Arial" w:cs="Arial" w:eastAsia="Arial" w:hAnsi="Arial"/>
          <w:sz w:val="17"/>
          <w:szCs w:val="17"/>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oral, we believe it will reduce the treatment burden on patients and lead to significantly higher patient and physician acceptance compared to an injectable form of PTH. We intend to commence a Phase 2a clinical trial of EB613 in the first half of 2018. After completing this trial, we intend to collaborate with a strategic partner to further develop and commercialize EB613. We also are preparing to conduct a clinical trial of our oral PTH in non-union fractures, one indication within the field of bone healing.</w:t>
      </w:r>
    </w:p>
    <w:p>
      <w:pPr>
        <w:spacing w:after="0" w:line="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by the end of 2018.</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21590</wp:posOffset>
            </wp:positionV>
            <wp:extent cx="5042535" cy="16205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4253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While our operations are currently focused in our offices in Israel, we intend to build a substantial U.S. presence to execute on our later stage development of our products, including clinical operations, regulatory operations, and commercialization. 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79" w:lineRule="exact"/>
        <w:rPr>
          <w:sz w:val="20"/>
          <w:szCs w:val="20"/>
          <w:color w:val="auto"/>
        </w:rPr>
      </w:pPr>
    </w:p>
    <w:p>
      <w:pPr>
        <w:ind w:left="360" w:hanging="17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Advance our lead product candidate, EB612, through clinical development and into commercialization for the treatment of</w:t>
      </w:r>
    </w:p>
    <w:p>
      <w:pPr>
        <w:spacing w:after="0" w:line="23" w:lineRule="exact"/>
        <w:rPr>
          <w:rFonts w:ascii="Arial" w:cs="Arial" w:eastAsia="Arial" w:hAnsi="Arial"/>
          <w:sz w:val="18"/>
          <w:szCs w:val="18"/>
          <w:color w:val="auto"/>
        </w:rPr>
      </w:pPr>
    </w:p>
    <w:p>
      <w:pPr>
        <w:ind w:left="360" w:right="38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hypoparathyroidism</w:t>
      </w:r>
      <w:r>
        <w:rPr>
          <w:rFonts w:ascii="Arial" w:cs="Arial" w:eastAsia="Arial" w:hAnsi="Arial"/>
          <w:sz w:val="18"/>
          <w:szCs w:val="18"/>
          <w:color w:val="auto"/>
        </w:rPr>
        <w:t>: We completed a Phase 2a clinical trial of EB612 for the treatment of hypoparathyroidism and reported supportive results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2015. We plan to initiate a Phase 2b/3 clinical trial of EB612 in hypoparathyroidism commencing in the second half of 2018 and the filing of a BLA with the FDA for approval of EB612 in 2020.</w:t>
      </w:r>
    </w:p>
    <w:p>
      <w:pPr>
        <w:spacing w:after="0" w:line="122" w:lineRule="exact"/>
        <w:rPr>
          <w:rFonts w:ascii="Arial" w:cs="Arial" w:eastAsia="Arial" w:hAnsi="Arial"/>
          <w:sz w:val="18"/>
          <w:szCs w:val="18"/>
          <w:color w:val="auto"/>
        </w:rPr>
      </w:pPr>
    </w:p>
    <w:p>
      <w:pPr>
        <w:ind w:left="360" w:right="420" w:hanging="172"/>
        <w:spacing w:after="0" w:line="264"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Produce supportive clinical data for our second product candidate, EB613, for the treatment of osteoporosis, before advancing into late-stage clinical trials</w:t>
      </w:r>
      <w:r>
        <w:rPr>
          <w:rFonts w:ascii="Arial" w:cs="Arial" w:eastAsia="Arial" w:hAnsi="Arial"/>
          <w:sz w:val="18"/>
          <w:szCs w:val="18"/>
          <w:color w:val="auto"/>
        </w:rPr>
        <w:t>: We are currently preparing to commence a Phase 2a clinical trial of EB613 in the first half of 2018. After we complete this trial,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collaborate with a strategic partner to further develop and commercialize the product.</w:t>
      </w:r>
    </w:p>
    <w:p>
      <w:pPr>
        <w:spacing w:after="0" w:line="100" w:lineRule="exact"/>
        <w:rPr>
          <w:rFonts w:ascii="Arial" w:cs="Arial" w:eastAsia="Arial" w:hAnsi="Arial"/>
          <w:sz w:val="18"/>
          <w:szCs w:val="18"/>
          <w:color w:val="auto"/>
        </w:rPr>
      </w:pPr>
    </w:p>
    <w:p>
      <w:pPr>
        <w:ind w:left="360" w:right="360" w:hanging="172"/>
        <w:spacing w:after="0" w:line="255"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Leverage our expertise in the oral delivery of PTH to develop product candidates in additional indications</w:t>
      </w:r>
      <w:r>
        <w:rPr>
          <w:rFonts w:ascii="Arial" w:cs="Arial" w:eastAsia="Arial" w:hAnsi="Arial"/>
          <w:sz w:val="18"/>
          <w:szCs w:val="18"/>
          <w:color w:val="auto"/>
        </w:rPr>
        <w:t>: We intend to conduct exploratory</w:t>
      </w:r>
      <w:r>
        <w:rPr>
          <w:rFonts w:ascii="Arial" w:cs="Arial" w:eastAsia="Arial" w:hAnsi="Arial"/>
          <w:sz w:val="18"/>
          <w:szCs w:val="18"/>
          <w:i w:val="1"/>
          <w:iCs w:val="1"/>
          <w:color w:val="auto"/>
        </w:rPr>
        <w:t xml:space="preserve"> </w:t>
      </w:r>
      <w:r>
        <w:rPr>
          <w:rFonts w:ascii="Arial" w:cs="Arial" w:eastAsia="Arial" w:hAnsi="Arial"/>
          <w:sz w:val="18"/>
          <w:szCs w:val="18"/>
          <w:color w:val="auto"/>
        </w:rPr>
        <w:t>Phase 2 studies for the use of our oral PTH candidates in additional indications in which PTH plays a key biological role, including non-union fractures, one indication within the field of bone healing. We plan to use EB613, or a further modified formulation if studies suggest we could achieve a PK profile that is more efficacious, for these indications. We also plan to apply our drug delivery technology to other large molecules with chemical and other characteristics that would be advantageous with our technology in order to target orphan indications and other areas with significant unmet medical need.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320" w:hanging="172"/>
        <w:spacing w:after="0" w:line="297"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Improve the efficacy profile of large molecule therapeutics through the application of our proprietary oral delivery technology</w:t>
      </w:r>
      <w:r>
        <w:rPr>
          <w:rFonts w:ascii="Arial" w:cs="Arial" w:eastAsia="Arial" w:hAnsi="Arial"/>
          <w:sz w:val="16"/>
          <w:szCs w:val="16"/>
          <w:color w:val="auto"/>
        </w:rPr>
        <w:t>: Oral drug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lowers the treatment burden on patients relative to injectable drugs, leading to higher patient and physician acceptance. However, peptides, proteins and other large molecule therapeutics can currently only be delivered via injections and other non-oral pathways because oral administration leads to negligible absorption into the blood stream as well as enzymatic degradation within the gastrointestinal tract. Our technology is designed to overcome both of these issues by enabling enhanced systemic absorption of large molecules and slowing their enzymatic degradation.</w:t>
      </w:r>
    </w:p>
    <w:p>
      <w:pPr>
        <w:spacing w:after="0" w:line="117" w:lineRule="exact"/>
        <w:rPr>
          <w:rFonts w:ascii="Arial" w:cs="Arial" w:eastAsia="Arial" w:hAnsi="Arial"/>
          <w:sz w:val="16"/>
          <w:szCs w:val="16"/>
          <w:color w:val="auto"/>
        </w:rPr>
      </w:pPr>
    </w:p>
    <w:p>
      <w:pPr>
        <w:ind w:left="360" w:right="340" w:hanging="172"/>
        <w:spacing w:after="0" w:line="272" w:lineRule="auto"/>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Focus our development and commercialization efforts on indications with significant unmet medical need</w:t>
      </w:r>
      <w:r>
        <w:rPr>
          <w:rFonts w:ascii="Arial" w:cs="Arial" w:eastAsia="Arial" w:hAnsi="Arial"/>
          <w:sz w:val="17"/>
          <w:szCs w:val="17"/>
          <w:color w:val="auto"/>
        </w:rPr>
        <w:t>: We are focused on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orally delivered large molecule therapeutics for the treatment of orphan indications and other indications with significant unmet medical need. Between 1993 and 2004, large-molecule clinical approval success rates have outpaced small molecules by about two-to-one and there are a wide range of large-molecules candidates within the orphan space for potential use with our oral drug delivery technology. For product candidates that target orphan indications, we intend to retain commercialization rights within key territories, including the United States, because of the ability to commercialize with a small sales force. For product candidates that target indications with larger patient populations, we may choose to partner with larger biopharmaceutical companies ahead of late stage development and commercialization.</w:t>
      </w:r>
    </w:p>
    <w:p>
      <w:pPr>
        <w:spacing w:after="0" w:line="137" w:lineRule="exact"/>
        <w:rPr>
          <w:rFonts w:ascii="Arial" w:cs="Arial" w:eastAsia="Arial" w:hAnsi="Arial"/>
          <w:sz w:val="17"/>
          <w:szCs w:val="17"/>
          <w:color w:val="auto"/>
        </w:rPr>
      </w:pPr>
    </w:p>
    <w:p>
      <w:pPr>
        <w:ind w:left="360" w:right="600" w:hanging="172"/>
        <w:spacing w:after="0" w:line="259"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Initially develop products based on FDA-approved large molecule therapeutics</w:t>
      </w:r>
      <w:r>
        <w:rPr>
          <w:rFonts w:ascii="Arial" w:cs="Arial" w:eastAsia="Arial" w:hAnsi="Arial"/>
          <w:sz w:val="18"/>
          <w:szCs w:val="18"/>
          <w:color w:val="auto"/>
        </w:rPr>
        <w:t>: By initially focusing on the development of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apply our technology to FDA-approved large molecule therapeutic agents with known mechanisms of action, we believe we can reduce the development risks associated with our product candidates. We believe this will allow us to advance our product candidates efficiently and predictably through the development cycle.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focused on the development and commercialization of product candidates that leverage our proprietary technology for the oral delivery of large molecule therapeutics. Recently,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Currently, peptides, proteins and other large molecule therapeutics can only be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carrier molecule is designed to create a weak association with our chosen large molecule therapeutic,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 and occurs spontaneously by simple dilution on entering the blood. We selected protease inhibitors that act by specifically inhibiting a number of gastrointestinal enzymes designed to assist in the degradation and digestion of proteins without interfering with normal gastrointestinal activity.</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for large molecule therapeutics to be benefit from the use of our oral delivery technology, they must demonstrate a number of specific characteristics, including:</w:t>
      </w:r>
    </w:p>
    <w:p>
      <w:pPr>
        <w:spacing w:after="0" w:line="143" w:lineRule="exact"/>
        <w:rPr>
          <w:sz w:val="20"/>
          <w:szCs w:val="20"/>
          <w:color w:val="auto"/>
        </w:rPr>
      </w:pPr>
    </w:p>
    <w:p>
      <w:pPr>
        <w:ind w:left="360" w:hanging="17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size, as measured by molecular weight, and other chemical/physical characteristics;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mechanism of action that favors delivery through the gastrointestinal tract rather than through injections, and;</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dosing schedule that requires dosing one or more times per day for at least three months.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these criteria, the first product candidate we chose to pursue was PTH, which has the potential for therapeutic use in a number of indications including hypoparathyroidism, osteoporosis and non-union fractures.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3"/>
          </w:tcPr>
          <w:p>
            <w:pPr>
              <w:ind w:left="200"/>
              <w:spacing w:after="0"/>
              <w:rPr>
                <w:sz w:val="20"/>
                <w:szCs w:val="20"/>
                <w:color w:val="auto"/>
              </w:rPr>
            </w:pPr>
            <w:r>
              <w:rPr>
                <w:rFonts w:ascii="Arial" w:cs="Arial" w:eastAsia="Arial" w:hAnsi="Arial"/>
                <w:sz w:val="14"/>
                <w:szCs w:val="14"/>
                <w:b w:val="1"/>
                <w:bCs w:val="1"/>
                <w:color w:val="auto"/>
              </w:rPr>
              <w:t>Stage of</w:t>
            </w:r>
          </w:p>
        </w:tc>
        <w:tc>
          <w:tcPr>
            <w:tcW w:w="2940" w:type="dxa"/>
            <w:vAlign w:val="bottom"/>
          </w:tcPr>
          <w:p>
            <w:pPr>
              <w:spacing w:after="0"/>
              <w:rPr>
                <w:sz w:val="14"/>
                <w:szCs w:val="14"/>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Program</w:t>
            </w:r>
          </w:p>
        </w:tc>
        <w:tc>
          <w:tcPr>
            <w:tcW w:w="3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Indication</w:t>
            </w: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Development</w:t>
            </w:r>
          </w:p>
        </w:tc>
        <w:tc>
          <w:tcPr>
            <w:tcW w:w="2940" w:type="dxa"/>
            <w:vAlign w:val="bottom"/>
          </w:tcPr>
          <w:p>
            <w:pPr>
              <w:spacing w:after="0"/>
              <w:rPr>
                <w:sz w:val="20"/>
                <w:szCs w:val="20"/>
                <w:color w:val="auto"/>
              </w:rPr>
            </w:pPr>
            <w:r>
              <w:rPr>
                <w:rFonts w:ascii="Arial" w:cs="Arial" w:eastAsia="Arial" w:hAnsi="Arial"/>
                <w:sz w:val="14"/>
                <w:szCs w:val="14"/>
                <w:b w:val="1"/>
                <w:bCs w:val="1"/>
                <w:color w:val="auto"/>
              </w:rPr>
              <w:t>Status</w:t>
            </w:r>
          </w:p>
        </w:tc>
      </w:tr>
      <w:tr>
        <w:trPr>
          <w:trHeight w:val="26"/>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b w:val="1"/>
                <w:bCs w:val="1"/>
                <w:color w:val="auto"/>
              </w:rPr>
              <w:t>EB612</w:t>
            </w:r>
          </w:p>
        </w:tc>
        <w:tc>
          <w:tcPr>
            <w:tcW w:w="3000" w:type="dxa"/>
            <w:vAlign w:val="bottom"/>
            <w:gridSpan w:val="2"/>
          </w:tcPr>
          <w:p>
            <w:pPr>
              <w:ind w:left="220"/>
              <w:spacing w:after="0"/>
              <w:rPr>
                <w:sz w:val="20"/>
                <w:szCs w:val="20"/>
                <w:color w:val="auto"/>
              </w:rPr>
            </w:pPr>
            <w:r>
              <w:rPr>
                <w:rFonts w:ascii="Arial" w:cs="Arial" w:eastAsia="Arial" w:hAnsi="Arial"/>
                <w:sz w:val="18"/>
                <w:szCs w:val="18"/>
                <w:color w:val="auto"/>
              </w:rPr>
              <w:t>Hypoparathyroidism</w:t>
            </w: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Oral PTH (1-34)</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Phase 2a completed</w:t>
            </w:r>
          </w:p>
        </w:tc>
        <w:tc>
          <w:tcPr>
            <w:tcW w:w="2940" w:type="dxa"/>
            <w:vAlign w:val="bottom"/>
          </w:tcPr>
          <w:p>
            <w:pPr>
              <w:spacing w:after="0"/>
              <w:rPr>
                <w:sz w:val="20"/>
                <w:szCs w:val="20"/>
                <w:color w:val="auto"/>
              </w:rPr>
            </w:pPr>
            <w:r>
              <w:rPr>
                <w:rFonts w:ascii="Arial" w:cs="Arial" w:eastAsia="Arial" w:hAnsi="Arial"/>
                <w:sz w:val="18"/>
                <w:szCs w:val="18"/>
                <w:color w:val="auto"/>
                <w:w w:val="88"/>
              </w:rPr>
              <w:t>Phase 2a successfully completed; results</w:t>
            </w:r>
          </w:p>
        </w:tc>
      </w:tr>
      <w:tr>
        <w:trPr>
          <w:trHeight w:val="230"/>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reported Q3 2015</w:t>
            </w:r>
          </w:p>
        </w:tc>
      </w:tr>
      <w:tr>
        <w:trPr>
          <w:trHeight w:val="242"/>
        </w:trPr>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Pharmacokinetic/pharmacodynamic, or</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0"/>
              </w:rPr>
              <w:t>PK/PD, study head to head with Natpara</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in hypoparathyroid patients expected in</w:t>
            </w:r>
          </w:p>
        </w:tc>
      </w:tr>
      <w:tr>
        <w:trPr>
          <w:trHeight w:val="230"/>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H1 2018</w:t>
            </w:r>
          </w:p>
        </w:tc>
      </w:tr>
      <w:tr>
        <w:trPr>
          <w:trHeight w:val="242"/>
        </w:trPr>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Phase 2b/3 initiation in United States,</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United Kingdom, Europe, Israel and</w:t>
            </w:r>
          </w:p>
        </w:tc>
      </w:tr>
      <w:tr>
        <w:trPr>
          <w:trHeight w:val="230"/>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Canada expected H2 2018</w:t>
            </w:r>
          </w:p>
        </w:tc>
      </w:tr>
      <w:tr>
        <w:trPr>
          <w:trHeight w:val="257"/>
        </w:trPr>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Topline data expected H1 2020</w:t>
            </w:r>
          </w:p>
        </w:tc>
      </w:tr>
      <w:tr>
        <w:trPr>
          <w:trHeight w:val="500"/>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85"/>
        </w:trPr>
        <w:tc>
          <w:tcPr>
            <w:tcW w:w="1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3"/>
          </w:tcPr>
          <w:p>
            <w:pPr>
              <w:ind w:left="200"/>
              <w:spacing w:after="0"/>
              <w:rPr>
                <w:sz w:val="20"/>
                <w:szCs w:val="20"/>
                <w:color w:val="auto"/>
              </w:rPr>
            </w:pPr>
            <w:r>
              <w:rPr>
                <w:rFonts w:ascii="Arial" w:cs="Arial" w:eastAsia="Arial" w:hAnsi="Arial"/>
                <w:sz w:val="14"/>
                <w:szCs w:val="14"/>
                <w:b w:val="1"/>
                <w:bCs w:val="1"/>
                <w:color w:val="auto"/>
              </w:rPr>
              <w:t>Stage of</w:t>
            </w:r>
          </w:p>
        </w:tc>
        <w:tc>
          <w:tcPr>
            <w:tcW w:w="2940" w:type="dxa"/>
            <w:vAlign w:val="bottom"/>
          </w:tcPr>
          <w:p>
            <w:pPr>
              <w:spacing w:after="0"/>
              <w:rPr>
                <w:sz w:val="14"/>
                <w:szCs w:val="14"/>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Program</w:t>
            </w:r>
          </w:p>
        </w:tc>
        <w:tc>
          <w:tcPr>
            <w:tcW w:w="3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Indication</w:t>
            </w: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Development</w:t>
            </w:r>
          </w:p>
        </w:tc>
        <w:tc>
          <w:tcPr>
            <w:tcW w:w="2940" w:type="dxa"/>
            <w:vAlign w:val="bottom"/>
          </w:tcPr>
          <w:p>
            <w:pPr>
              <w:spacing w:after="0"/>
              <w:rPr>
                <w:sz w:val="20"/>
                <w:szCs w:val="20"/>
                <w:color w:val="auto"/>
              </w:rPr>
            </w:pPr>
            <w:r>
              <w:rPr>
                <w:rFonts w:ascii="Arial" w:cs="Arial" w:eastAsia="Arial" w:hAnsi="Arial"/>
                <w:sz w:val="14"/>
                <w:szCs w:val="14"/>
                <w:b w:val="1"/>
                <w:bCs w:val="1"/>
                <w:color w:val="auto"/>
              </w:rPr>
              <w:t>Status</w:t>
            </w:r>
          </w:p>
        </w:tc>
      </w:tr>
      <w:tr>
        <w:trPr>
          <w:trHeight w:val="26"/>
        </w:trPr>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spacing w:after="0"/>
              <w:rPr>
                <w:sz w:val="20"/>
                <w:szCs w:val="20"/>
                <w:color w:val="auto"/>
              </w:rPr>
            </w:pPr>
            <w:r>
              <w:rPr>
                <w:rFonts w:ascii="Arial" w:cs="Arial" w:eastAsia="Arial" w:hAnsi="Arial"/>
                <w:sz w:val="18"/>
                <w:szCs w:val="18"/>
                <w:b w:val="1"/>
                <w:bCs w:val="1"/>
                <w:color w:val="auto"/>
              </w:rPr>
              <w:t>EB613</w:t>
            </w:r>
          </w:p>
        </w:tc>
        <w:tc>
          <w:tcPr>
            <w:tcW w:w="3000" w:type="dxa"/>
            <w:vAlign w:val="bottom"/>
            <w:gridSpan w:val="2"/>
          </w:tcPr>
          <w:p>
            <w:pPr>
              <w:ind w:left="220"/>
              <w:spacing w:after="0"/>
              <w:rPr>
                <w:sz w:val="20"/>
                <w:szCs w:val="20"/>
                <w:color w:val="auto"/>
              </w:rPr>
            </w:pPr>
            <w:r>
              <w:rPr>
                <w:rFonts w:ascii="Arial" w:cs="Arial" w:eastAsia="Arial" w:hAnsi="Arial"/>
                <w:sz w:val="18"/>
                <w:szCs w:val="18"/>
                <w:color w:val="auto"/>
              </w:rPr>
              <w:t>Osteoporosis</w:t>
            </w: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Oral PTH (1-34)</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Phase 1</w:t>
            </w:r>
          </w:p>
        </w:tc>
        <w:tc>
          <w:tcPr>
            <w:tcW w:w="2940" w:type="dxa"/>
            <w:vAlign w:val="bottom"/>
          </w:tcPr>
          <w:p>
            <w:pPr>
              <w:spacing w:after="0"/>
              <w:rPr>
                <w:sz w:val="20"/>
                <w:szCs w:val="20"/>
                <w:color w:val="auto"/>
              </w:rPr>
            </w:pPr>
            <w:r>
              <w:rPr>
                <w:rFonts w:ascii="Arial" w:cs="Arial" w:eastAsia="Arial" w:hAnsi="Arial"/>
                <w:sz w:val="18"/>
                <w:szCs w:val="18"/>
                <w:color w:val="auto"/>
                <w:w w:val="97"/>
              </w:rPr>
              <w:t>Phase 2a initiation expected H1 2018</w:t>
            </w:r>
          </w:p>
        </w:tc>
      </w:tr>
      <w:tr>
        <w:trPr>
          <w:trHeight w:val="242"/>
        </w:trPr>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In 2019, intend to partner with a larger</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biopharmaceutical company for the</w:t>
            </w: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clinical development and</w:t>
            </w:r>
          </w:p>
        </w:tc>
      </w:tr>
      <w:tr>
        <w:trPr>
          <w:trHeight w:val="230"/>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commercialization</w:t>
            </w:r>
          </w:p>
        </w:tc>
      </w:tr>
      <w:tr>
        <w:trPr>
          <w:trHeight w:val="257"/>
        </w:trPr>
        <w:tc>
          <w:tcPr>
            <w:tcW w:w="1720" w:type="dxa"/>
            <w:vAlign w:val="bottom"/>
          </w:tcPr>
          <w:p>
            <w:pPr>
              <w:spacing w:after="0"/>
              <w:rPr>
                <w:sz w:val="20"/>
                <w:szCs w:val="20"/>
                <w:color w:val="auto"/>
              </w:rPr>
            </w:pPr>
            <w:r>
              <w:rPr>
                <w:rFonts w:ascii="Arial" w:cs="Arial" w:eastAsia="Arial" w:hAnsi="Arial"/>
                <w:sz w:val="18"/>
                <w:szCs w:val="18"/>
                <w:b w:val="1"/>
                <w:bCs w:val="1"/>
                <w:color w:val="auto"/>
              </w:rPr>
              <w:t>Oral PTH</w:t>
            </w:r>
          </w:p>
        </w:tc>
        <w:tc>
          <w:tcPr>
            <w:tcW w:w="3000" w:type="dxa"/>
            <w:vAlign w:val="bottom"/>
            <w:gridSpan w:val="2"/>
          </w:tcPr>
          <w:p>
            <w:pPr>
              <w:ind w:left="220"/>
              <w:spacing w:after="0"/>
              <w:rPr>
                <w:sz w:val="20"/>
                <w:szCs w:val="20"/>
                <w:color w:val="auto"/>
              </w:rPr>
            </w:pPr>
            <w:r>
              <w:rPr>
                <w:rFonts w:ascii="Arial" w:cs="Arial" w:eastAsia="Arial" w:hAnsi="Arial"/>
                <w:sz w:val="18"/>
                <w:szCs w:val="18"/>
                <w:color w:val="auto"/>
              </w:rPr>
              <w:t>Non-union fractures</w:t>
            </w: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Oral PTH (1-34)</w:t>
            </w:r>
          </w:p>
        </w:tc>
        <w:tc>
          <w:tcPr>
            <w:tcW w:w="1980" w:type="dxa"/>
            <w:vAlign w:val="bottom"/>
            <w:gridSpan w:val="3"/>
          </w:tcPr>
          <w:p>
            <w:pPr>
              <w:ind w:left="200"/>
              <w:spacing w:after="0"/>
              <w:rPr>
                <w:sz w:val="20"/>
                <w:szCs w:val="20"/>
                <w:color w:val="auto"/>
              </w:rPr>
            </w:pPr>
            <w:r>
              <w:rPr>
                <w:rFonts w:ascii="Arial" w:cs="Arial" w:eastAsia="Arial" w:hAnsi="Arial"/>
                <w:sz w:val="18"/>
                <w:szCs w:val="18"/>
                <w:color w:val="auto"/>
              </w:rPr>
              <w:t>Preclinical</w:t>
            </w:r>
          </w:p>
        </w:tc>
        <w:tc>
          <w:tcPr>
            <w:tcW w:w="2940" w:type="dxa"/>
            <w:vAlign w:val="bottom"/>
          </w:tcPr>
          <w:p>
            <w:pPr>
              <w:spacing w:after="0"/>
              <w:rPr>
                <w:sz w:val="20"/>
                <w:szCs w:val="20"/>
                <w:color w:val="auto"/>
              </w:rPr>
            </w:pPr>
            <w:r>
              <w:rPr>
                <w:rFonts w:ascii="Arial" w:cs="Arial" w:eastAsia="Arial" w:hAnsi="Arial"/>
                <w:sz w:val="18"/>
                <w:szCs w:val="18"/>
                <w:color w:val="auto"/>
                <w:w w:val="97"/>
              </w:rPr>
              <w:t>Phase 2a initiation expected H2 2018</w:t>
            </w:r>
          </w:p>
        </w:tc>
      </w:tr>
    </w:tbl>
    <w:p>
      <w:pPr>
        <w:spacing w:after="0" w:line="35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Oral PTH Therapeutics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recently been approved for the treatment of hypoparathyroidism. We are developing a number of distinct oral PTH (1-34) tablets, with significant differences in dose and pharmacokinetic, or PK, profile that can be used for a number of proposed indications. We believe that our oral PTH product candidates, if approved, have the potential to become the standard of care for patients with hypoparathyroidism, osteoporosis and non-union fractures.</w:t>
      </w:r>
    </w:p>
    <w:p>
      <w:pPr>
        <w:spacing w:after="0" w:line="4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PTH regulates calcium and phosphate homeostasis and bone metabolism in the body. In normal healthy individuals, PTH is generally produced at a very low basal level of 15 – 25 pg/ml (pg = 10</w:t>
      </w:r>
      <w:r>
        <w:rPr>
          <w:rFonts w:ascii="Arial" w:cs="Arial" w:eastAsia="Arial" w:hAnsi="Arial"/>
          <w:sz w:val="24"/>
          <w:szCs w:val="24"/>
          <w:color w:val="auto"/>
          <w:vertAlign w:val="superscript"/>
        </w:rPr>
        <w:t>-12</w:t>
      </w:r>
      <w:r>
        <w:rPr>
          <w:rFonts w:ascii="Arial" w:cs="Arial" w:eastAsia="Arial" w:hAnsi="Arial"/>
          <w:sz w:val="16"/>
          <w:szCs w:val="16"/>
          <w:color w:val="auto"/>
        </w:rPr>
        <w:t xml:space="preserve"> g). On top of the basal PTH levels, there are physiological pulses two to three times per day presented as transient increases in PTH levels reaching up to 35 pg/ml. While the basal level helps maintain calcium and phosphate homeostasis, the pulses help encourage bone turnover through activation of both osteoblasts and osteoclasts, the two main types of cells that are responsible for the process through which bones are constantly being remodeled. Absent these pulses, it is difficult for the body to regulate normal homeostatic processes.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EB612 for Hypoparathyroidism</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Hypoparathyroidism</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focused on the development of oral PTH (1-34) for hypoparathyroidism, which, if approved, we believe has the potential to become the standard of care for hypoparathyroidism. Hypoparathyroidism is a rare condition in which the parathyroid glands fail to produce sufficient amounts of PTH or the PTH produced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 can result in cardiac failure, failure of nervous system functions and death. Hyperphosphatemia can result in soft tissue calcium deposition, which may lead to severe issues, including damage to the circulatory system and central nervous system. The most common cause of hypoparathyroidism is damage to, or removal of, the parathyroid glands due to surgery for another condition. Hypoparathyroidism can also be caused by an autoimmune process, or idiopathic reasons or occur in association with a number of different underlying disorders. In rare cases, hypoparathyroidism may occur as a genetic disorder.</w:t>
      </w:r>
    </w:p>
    <w:p>
      <w:pPr>
        <w:spacing w:after="0" w:line="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prevalence of hypoparathyroidism is estimated to be 37 per 100,000 in the United States, with 78% of cases caused by surgery, 7% due to genetic disorder and 6% due to idiopathic origin. Although incidence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3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Historically, the treatments for hypoparathyroidism have been calcium supplements, vitamin D supplements and phosphate binders. Although calcium and vitamin D can help alleviate hypocalcemia, their chronic use results in many serious side effects with significant costs to the healthcare system. Hypoparathyroid patients often need to take large doses of calcium throughout the day in order to maintain calcium homeostasis in the serum, or blood plasma, throughout the day for normal body functioning. It then falls upon the kidneys to dispose of excess calcium and maintain precise control of serum calcium levels. Over potentially years of treatment, kidney stones may develop, and ultimately kidney failure may occur. Even with the use of calcium and vitamin D supplements and other medications, the majority of patients with hypoparathyroidism continue to experience multiple severe physical and cognitive symptoms.</w:t>
      </w:r>
    </w:p>
    <w:p>
      <w:pPr>
        <w:spacing w:after="0" w:line="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Until recently, hypoparathyroidism was the only hormonal insufficiency state that did not have an approved hormone replacement therapy. NPS Pharmaceuticals, Inc., a biopharmaceutical company that was acquired by Shire plc in February 2015, developed Natpara, a recombinant form of human PTH (1-84), as an injectable hormone replacement therapy for the underlying cause of hypoparathyroidism, lack of PTH. Natpara is administered once daily with a pre-set injection pen. Natpara was approved by the FDA in January 2015 launched commercially in the United States later in 2015.</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2014, an advisory committee of the FDA reviewed the Natpara BLA. This advisory committee review of Natpara highlighted a number of observations. In its briefing to the advisory committee, the FDA noted that Natpara had limited clinical benefit in controlling excessive calcium in the urine, or hypercalciuria, a condition commonly associated with hypoparathyroidism and the most commonly identifiable cause of calcium kidney stone disease. 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believe EB612 is differentiated from Natpara for the following reasons:</w:t>
      </w:r>
    </w:p>
    <w:p>
      <w:pPr>
        <w:spacing w:after="0" w:line="198" w:lineRule="exact"/>
        <w:rPr>
          <w:sz w:val="20"/>
          <w:szCs w:val="20"/>
          <w:color w:val="auto"/>
        </w:rPr>
      </w:pPr>
    </w:p>
    <w:p>
      <w:pPr>
        <w:ind w:left="360" w:right="460" w:hanging="172"/>
        <w:spacing w:after="0" w:line="302"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EB612 is designed to be dosed multiple times a day</w:t>
      </w:r>
      <w:r>
        <w:rPr>
          <w:rFonts w:ascii="Arial" w:cs="Arial" w:eastAsia="Arial" w:hAnsi="Arial"/>
          <w:sz w:val="16"/>
          <w:szCs w:val="16"/>
          <w:color w:val="auto"/>
        </w:rPr>
        <w:t>. Studies performed by the NIH have shown that dosing PTH multiple times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113" w:lineRule="exact"/>
        <w:rPr>
          <w:rFonts w:ascii="Arial" w:cs="Arial" w:eastAsia="Arial" w:hAnsi="Arial"/>
          <w:sz w:val="16"/>
          <w:szCs w:val="16"/>
          <w:color w:val="auto"/>
        </w:rPr>
      </w:pPr>
    </w:p>
    <w:p>
      <w:pPr>
        <w:jc w:val="both"/>
        <w:ind w:left="360" w:right="720" w:hanging="172"/>
        <w:spacing w:after="0" w:line="264"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according to patient needs</w:t>
      </w:r>
      <w:r>
        <w:rPr>
          <w:rFonts w:ascii="Arial" w:cs="Arial" w:eastAsia="Arial" w:hAnsi="Arial"/>
          <w:sz w:val="18"/>
          <w:szCs w:val="18"/>
          <w:color w:val="auto"/>
        </w:rPr>
        <w:t>. The hypoparathyroid population is heterogeneous and patients have highly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responsiveness to PTH. Therefore, the ability to customize PTH dosing throughout the day with an oral tablet is an advantage over a once-daily preset injection pen.</w:t>
      </w:r>
    </w:p>
    <w:p>
      <w:pPr>
        <w:spacing w:after="0" w:line="140" w:lineRule="exact"/>
        <w:rPr>
          <w:rFonts w:ascii="Arial" w:cs="Arial" w:eastAsia="Arial" w:hAnsi="Arial"/>
          <w:sz w:val="18"/>
          <w:szCs w:val="18"/>
          <w:color w:val="auto"/>
        </w:rPr>
      </w:pPr>
    </w:p>
    <w:p>
      <w:pPr>
        <w:ind w:left="360" w:right="420" w:hanging="172"/>
        <w:spacing w:after="0" w:line="257"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EB612 is expected to have less adverse events of hypercalcemia</w:t>
      </w:r>
      <w:r>
        <w:rPr>
          <w:rFonts w:ascii="Arial" w:cs="Arial" w:eastAsia="Arial" w:hAnsi="Arial"/>
          <w:sz w:val="18"/>
          <w:szCs w:val="18"/>
          <w:color w:val="auto"/>
        </w:rPr>
        <w:t>. Our planned treatment regimen would be increased gradually and in parallel as</w:t>
      </w:r>
      <w:r>
        <w:rPr>
          <w:rFonts w:ascii="Arial" w:cs="Arial" w:eastAsia="Arial" w:hAnsi="Arial"/>
          <w:sz w:val="18"/>
          <w:szCs w:val="18"/>
          <w:i w:val="1"/>
          <w:iCs w:val="1"/>
          <w:color w:val="auto"/>
        </w:rPr>
        <w:t xml:space="preserve"> </w:t>
      </w:r>
      <w:r>
        <w:rPr>
          <w:rFonts w:ascii="Arial" w:cs="Arial" w:eastAsia="Arial" w:hAnsi="Arial"/>
          <w:sz w:val="18"/>
          <w:szCs w:val="18"/>
          <w:color w:val="auto"/>
        </w:rPr>
        <w:t>serum calcium increases slightly. As a result, calcium and vitamin D supplements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risk of prolonged hypercalcemia compared to EB612.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360" w:right="440" w:hanging="172"/>
        <w:spacing w:after="0" w:line="264"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EB612 can be administered in a more convenient manner</w:t>
      </w:r>
      <w:r>
        <w:rPr>
          <w:rFonts w:ascii="Arial" w:cs="Arial" w:eastAsia="Arial" w:hAnsi="Arial"/>
          <w:sz w:val="18"/>
          <w:szCs w:val="18"/>
          <w:color w:val="auto"/>
        </w:rPr>
        <w:t>. Natpara must be stored under restrictive conditions (refrigeration requiring no freezing</w:t>
      </w:r>
      <w:r>
        <w:rPr>
          <w:rFonts w:ascii="Arial" w:cs="Arial" w:eastAsia="Arial" w:hAnsi="Arial"/>
          <w:sz w:val="18"/>
          <w:szCs w:val="18"/>
          <w:i w:val="1"/>
          <w:iCs w:val="1"/>
          <w:color w:val="auto"/>
        </w:rPr>
        <w:t xml:space="preserve"> </w:t>
      </w:r>
      <w:r>
        <w:rPr>
          <w:rFonts w:ascii="Arial" w:cs="Arial" w:eastAsia="Arial" w:hAnsi="Arial"/>
          <w:sz w:val="18"/>
          <w:szCs w:val="18"/>
          <w:color w:val="auto"/>
        </w:rPr>
        <w:t>and no shaking), and a multiple step preparation must be performed every two weeks. EB612 will not require such additional preparations and will have no significant storage restrictions, except potentially for refrigeration.</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EB612, if approved, could be administered several times a day in customized doses and could therefore more specifically regulate calcium and phosphate levels throughout the day without the side effects associated with a highly concentrated once-daily injection. We believe this would alleviate the symptoms of hypoparathyroidism while reducing the need for calcium and vitamin D supplements, thus also lessening the side effects of supplement treatment. As a result of its dose flexibility and the greater patient acceptance of oral formulations, we believe EB612, if approved, will address a larger segment of the hypoparathyroid population than Natpara. For these reasons, we believe that EB612, if approved, has the potential to become the standard of care for hypoparathyroidism.</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Overview of EB612</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lead product candidate, EB612, is an oral formulation of PTH (1-34). 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for the oral delivery of large molecule therapeutics.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 formulation while maintaining the required effect. These components, when used separately, have been shown to be safe in doses significantly higher than those used in the clinical trials for our current product candidates.</w:t>
      </w:r>
    </w:p>
    <w:p>
      <w:pPr>
        <w:spacing w:after="0" w:line="5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Our oral PTH (1-34) also displayed positive pharmacokinetic profiles, or PK, and pharmacodynamic, or PD, properties, in particular compared to commercially available injectable PTH (1-34) (Forteo).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clinical development of EB612 to date: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conducted a Phase 1a clinical trial with multiple formulations of our oral PTH to evaluate safety and collect bioavailability, PK and PD data in 42 healthy volunteers.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conducted an extended Phase 1b clinical trial in an additional 30 subjects to test a variety of manufacturing technologies with multiple formulations, administration parameters and dosing regimens of our oral PTH.</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completed a Phase 2a trial. The end points in the trial were met, and 17 subjects completed the four-month trial and reported no confirmed related serious or significant adverse events as defined by the study protocol.</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that EB612 will have inherent advantages compared to injectable forms, including convenience of application, that no special preparations are required and that it can be stored under normal storage conditions (room temperature or refrigeration).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2a Clinical Trial</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2015, we successfully completed a Phase 2a clinical trial of EB612 in hypoparathyroidism patients. The end points in the trial were met, and 17 subjects completed the four-month trial and reported no related serious adverse events.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While we have not conducted direct head-to-head studies comparing EB612 to Natpara, based on a review of the clinical data presented in Natpara’s REPLACE study and our Phase 2a results, we believe EB612 potentially provides a more favorable therapy for hypoparathyroidism patients. Although our Phase 2a</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study involved a smaller number of subjects (N=17 vs. N=84 + 40 placebo), lasted for a shorter duration (four months vs. six months) and did not include an optimization period of ~2 – 16 weeks prior to treatment initiation, our results showed a greater absolute reduction in calcium supplements (1278 ±880mg vs. 1152 ±1219mg) while the patients’ albumin adjusted serum calcium increased slightly as opposed to a slight decrease in the REPLACE study (baseline vs. end of treatment). In addition, serum phosphate levels were significantly reduced into their normal range an hour after the first study drug was taken (11% reduction, p&lt;0.01), and lower serum phosphate levels were maintained for the duration of the study and until the final treatment day (14% reduction, p&lt;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0.01). Furthermore, based on our preliminary results from our Phase 2a trial, as compared to Natpara injection, we believe that EB612 may carry a lower risk of adverse events.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Primary endpoints:  Calcium intake reduced while serum levels were maintained or improved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74930</wp:posOffset>
            </wp:positionV>
            <wp:extent cx="4827905" cy="24612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27905"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Secondary endpoints:  decrease in phosphate levels observed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74930</wp:posOffset>
            </wp:positionV>
            <wp:extent cx="4973955" cy="2529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739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Phase 2a trial there were no confirmed related serious or significant adverse events as defined by the study protocol. There was one unrelated serious adverse event of hypercalcemia which occurred in one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patient prior to the administration of the study drug for the first time. One other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w:t>
      </w:r>
    </w:p>
    <w:p>
      <w:pPr>
        <w:spacing w:after="0" w:line="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are planning for a Phase 2b/3 trial, designed to possibly be a pivotal study for registration. This Phase 2b/3 study will be designed to repeat the REPLACE study in virtually every aspect, as well as to achieve a reduction in urinary calcium. The planned primary endpoints will be a reduction in calcium intake, reduction in active vitamin D and a serum calcium level of 7.5 – 9.5 mg/dL. A key secondary endpoint, which is relevant for the subset of patients with hypercalcemia, will be a reduction in urinary calcium. Finally, other secondary endpoints include a reduction in serum phosphate. We anticipate commencing this Phase 2b/3 clinical trial in the second half of 2018 and that final data will be released in the first half of 2020.</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Phase 1b Clinical Trial</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continually improve our formulations and evaluate different manufacturing technologies, we undertook an extended Phase 1b clinical trial. This clinical trial was designed to emulate multiple Phase 1b clinical trials, in that it evaluated production methods, and multiple formulations and administration regimens of our oral PTH (1-34) for safety, bioavailability, PK and PD data. This open-label clinical trial is designed to compare our various oral formulations of PTH (1-34) to injectable PTH (1-34) in 30 healthy male volunteers. Each subject was administered a 20 μg dose of injectable PTH (1-34) during the first visit to establish a baseline for comparison.</w:t>
      </w:r>
    </w:p>
    <w:p>
      <w:pPr>
        <w:spacing w:after="0" w:line="8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Subsequently, different formulations of our oral PTH are administered during eight to 14 successive visits, each separated by at least a 48-hour washout period. The different formulations include modifications in PTH dose (0.5mg – 3.0mg) and ratios of PTH to excipients, as well as changes in production method and administration parameters. The primary purpose of this clinical trial is to allow us to test a variety of manufacturing technologies. As a result of this clinical trial we have been able to further optimize the formulation and achieve an increased bioavailability and reduced variability.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38735</wp:posOffset>
            </wp:positionV>
            <wp:extent cx="5188585" cy="1800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858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Formulation</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Participants</w:t>
            </w: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Cmax (pg/ml)</w:t>
            </w:r>
          </w:p>
        </w:tc>
        <w:tc>
          <w:tcPr>
            <w:tcW w:w="1180" w:type="dxa"/>
            <w:vAlign w:val="bottom"/>
          </w:tcPr>
          <w:p>
            <w:pPr>
              <w:spacing w:after="0"/>
              <w:rPr>
                <w:sz w:val="20"/>
                <w:szCs w:val="20"/>
                <w:color w:val="auto"/>
              </w:rPr>
            </w:pPr>
            <w:r>
              <w:rPr>
                <w:rFonts w:ascii="Arial" w:cs="Arial" w:eastAsia="Arial" w:hAnsi="Arial"/>
                <w:sz w:val="14"/>
                <w:szCs w:val="14"/>
                <w:b w:val="1"/>
                <w:bCs w:val="1"/>
                <w:color w:val="auto"/>
              </w:rPr>
              <w:t>Tmax (min)</w:t>
            </w:r>
          </w:p>
        </w:tc>
        <w:tc>
          <w:tcPr>
            <w:tcW w:w="34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Coefficient of Variation (%)</w:t>
            </w:r>
          </w:p>
        </w:tc>
      </w:tr>
      <w:tr>
        <w:trPr>
          <w:trHeight w:val="26"/>
        </w:trPr>
        <w:tc>
          <w:tcPr>
            <w:tcW w:w="2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5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EB612 Oral PTH</w:t>
            </w:r>
          </w:p>
        </w:tc>
        <w:tc>
          <w:tcPr>
            <w:tcW w:w="1140" w:type="dxa"/>
            <w:vAlign w:val="bottom"/>
          </w:tcPr>
          <w:p>
            <w:pPr>
              <w:jc w:val="right"/>
              <w:ind w:right="396"/>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21"/>
                <w:szCs w:val="21"/>
                <w:color w:val="auto"/>
              </w:rPr>
            </w:pP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235.6 ± 36</w:t>
            </w:r>
          </w:p>
        </w:tc>
        <w:tc>
          <w:tcPr>
            <w:tcW w:w="740" w:type="dxa"/>
            <w:vAlign w:val="bottom"/>
          </w:tcPr>
          <w:p>
            <w:pPr>
              <w:spacing w:after="0"/>
              <w:rPr>
                <w:sz w:val="21"/>
                <w:szCs w:val="21"/>
                <w:color w:val="auto"/>
              </w:rPr>
            </w:pP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16.5 ± 1.2</w:t>
            </w:r>
          </w:p>
        </w:tc>
        <w:tc>
          <w:tcPr>
            <w:tcW w:w="3420" w:type="dxa"/>
            <w:vAlign w:val="bottom"/>
            <w:gridSpan w:val="2"/>
          </w:tcPr>
          <w:p>
            <w:pPr>
              <w:jc w:val="right"/>
              <w:ind w:right="1240"/>
              <w:spacing w:after="0"/>
              <w:rPr>
                <w:sz w:val="20"/>
                <w:szCs w:val="20"/>
                <w:color w:val="auto"/>
              </w:rPr>
            </w:pPr>
            <w:r>
              <w:rPr>
                <w:rFonts w:ascii="Arial" w:cs="Arial" w:eastAsia="Arial" w:hAnsi="Arial"/>
                <w:sz w:val="18"/>
                <w:szCs w:val="18"/>
                <w:color w:val="auto"/>
              </w:rPr>
              <w:t>48</w:t>
            </w: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Injectable PTH</w:t>
            </w:r>
          </w:p>
        </w:tc>
        <w:tc>
          <w:tcPr>
            <w:tcW w:w="1140" w:type="dxa"/>
            <w:vAlign w:val="bottom"/>
          </w:tcPr>
          <w:p>
            <w:pPr>
              <w:jc w:val="right"/>
              <w:ind w:right="396"/>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22"/>
                <w:szCs w:val="22"/>
                <w:color w:val="auto"/>
              </w:rPr>
            </w:pP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184.2 ± 26</w:t>
            </w:r>
          </w:p>
        </w:tc>
        <w:tc>
          <w:tcPr>
            <w:tcW w:w="740" w:type="dxa"/>
            <w:vAlign w:val="bottom"/>
          </w:tcPr>
          <w:p>
            <w:pPr>
              <w:spacing w:after="0"/>
              <w:rPr>
                <w:sz w:val="22"/>
                <w:szCs w:val="22"/>
                <w:color w:val="auto"/>
              </w:rPr>
            </w:pP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16 ± 1.8</w:t>
            </w:r>
          </w:p>
        </w:tc>
        <w:tc>
          <w:tcPr>
            <w:tcW w:w="3420" w:type="dxa"/>
            <w:vAlign w:val="bottom"/>
            <w:gridSpan w:val="2"/>
          </w:tcPr>
          <w:p>
            <w:pPr>
              <w:jc w:val="right"/>
              <w:ind w:right="1240"/>
              <w:spacing w:after="0"/>
              <w:rPr>
                <w:sz w:val="20"/>
                <w:szCs w:val="20"/>
                <w:color w:val="auto"/>
              </w:rPr>
            </w:pPr>
            <w:r>
              <w:rPr>
                <w:rFonts w:ascii="Arial" w:cs="Arial" w:eastAsia="Arial" w:hAnsi="Arial"/>
                <w:sz w:val="18"/>
                <w:szCs w:val="18"/>
                <w:color w:val="auto"/>
              </w:rPr>
              <w:t>45</w:t>
            </w:r>
          </w:p>
        </w:tc>
      </w:tr>
    </w:tbl>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Low inter- and intra-patient variability observed in EB612 Phase 1b</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Completed Phase 1a Clinical Trial</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proof-of-concept and safety studies in various animal models, we conducted a Phase 1a clinical trial to assess the safety and pharmacokinetic profile of our oral PTH. The clinical trial was designed as a three-stage study in 42 healthy volunteers. The first stage, in which 24 subjects participated, was blinded and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placebo-controlled for the study drug and placebo, and open label for subcutaneous injection of PTH (1-34). In the second, dose-escalation stage, six new subjects were administered different formulations with modifications in PTH dose and ratios of PTH to excipients, with doses up to 1.5 mg. In the third stage, the best formulation of our oral PTH, selected based on data from the second stage, was compared to placebo and subcutaneous injection of PTH (1-34) in 12 healthy subjects. The primary endpoint of the clinical trial was safety. Bioavailability was also evaluated, and in the second and third stages PK and PD data were also collected.</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clinical trial began in August 2011 and was completed in early 2013. This clinical trial was conducted over an extended period of time as multiple formulations of oral PTH (1-34) were tested. In typical Phase 1 clinical trials, one formulation is tested for safety and, perhaps, PK and PD profile. Therefore, the results from our Phase 1a clinical trial effectively represent the equivalent of nine separate Phase 1 clinical trials. By combining these nine clinical trials into one protocol, we were able to achieve significant economies of scale and time.</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No serious adverse events were reported in any of the 72 subjects participating in the Phase 1 clinical trials (including the Phase 1b clinical trial detailed above). In total across our Phase 1 clinical trials in which these 72 subjects received various oral PTH doses over 350 times, there were 11 expected, transient and minor drug-related adverse events associated with oral PTH administration. In our Phase 1b trial, there were minor drug-related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In addition, one subject in the Phase 1a trial experienced a drug-related musculoskeletal and connective tissue event of knee cramps.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PK and PD data indicated that our oral PTH (1-34) can successfully mimic injectable PTH (1-34)’s peak serum concentration levels after drug administration and prior to the administration of a second dose, or Cmax, as well as time to maximal concentration, or Tmax. The PK profile of the absorbed PTH (1-34) was characterized by a sharp increase in concentration, forming a peak concentration within 60 minutes post-drug administration, followed by a rapid decrease, which leads to the anabolic, or bone-building effect of PTH. In the optimized formulations the average Cmax achieved by our oral PTH (1-34) was similar to the Cmax following the subcutaneous injection of the commercial PTH (1-34) or greater. There was a significant inter-patient and intra-patient variability, which is believed to be associated with the variability of the gastric state of the volunteers and on the various treatment visit days. In later visits of the clinical trial we were able to decrease the variability through optimization of our formulation.</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Analysis of the PD profile of our oral PTH (1-34) indicated that a biomarker of PTH activity, cyclic AMP, was activated in a similar manner to that of injectable PTH (1-34) Furthermore, analysis of serum calcium indicated that an increase can be obtained by a single dose of our oral PTH (1-34) as indicated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55880</wp:posOffset>
            </wp:positionV>
            <wp:extent cx="3902075" cy="1946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90207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Change in serum concentrations of albumin corrected calcium (green line) and the plasma concentrations of PTH (1-34) (blue line) following the administration of oral PTH (1-34) (0.75mg) in ten healthy volunteers.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data effectively show that oral PTH (1-34) reaches the circulation, remains intact and has biological potency similar to that observed with injectable PTH (1-34). At present, we estimate that there are at least four million patient years’ experience with injectable PTH (1-34). We believe that reaching a similar peak plasma concentration and PD profile as with the injectable PTH (1-34) significantly decreases the risk that our oral PTH (1-34) will not have the desired clinical effect.</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graph below shows a linear dose/response relationship of oral PTH. An increase in absorption variability was observed with the dose increase in Phase 1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48895</wp:posOffset>
            </wp:positionV>
            <wp:extent cx="4142105" cy="24955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4210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Dose — response relationship of oral PTH (1-34) in healthy volunteers.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then focused our efforts, along with the increase in bioavailability, on the reduction of the variability. An optimized formulation showed an approximately three-fold increase in bioavailability (from 0.5% to about 1.5%) and two-fold decrease in variability of the maximal plasma levels of PTH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19050</wp:posOffset>
            </wp:positionV>
            <wp:extent cx="4193540" cy="2195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935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Optimization of oral PTH (1-34) product. A fixed dose of 1.5mg was administered using different formulations (N= 9-10). Along with the significant increase in bioavailability (blue bars) the variability (green line) of the maximal plasma levels was markedly decreased.</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Preclinical and Clinical Development of EB612</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preclinical, Phase 1 and Phase 2 clinical development, EB612 exhibited no serious related adverse events and displayed compelling PK and PD properties, in particular compared to commercially available injectable PTH (1-84) Natpara and PTH (1-34) (Forteo). There were no related serious or significant adverse events reported in earlier trials; however, in our Phase 2a trial, there was one unrelated serious adverse event of hypercalcemia which occurred in one patient prior to the administration of the study drug for the first time. There was also one unrelated serious adverse event of hypercalcemia which occurred in one patient prior to the administration of the study drug for the first time. One subject in the Phase 2a trial, who withdrew from the trial after the first day, experienced four adverse events (mild nausea, moderate back pain, moderate headache and moderate upper abdominal pain). These four adverse events are likely to be unrelated but as this could not be confirmed following the patient’s withdrawal from the study, they were recorded as ‘possibly related.’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 We have refined our formulation of EB612 and tested the new formulation in a Phase 2a clinical trial in hypoparathyroid patients. In a triple cohort Phase 1b study, we continued to further optimize our production methods and formulation of EB612 following the Phase 2a and in anticipation of a larger Phase 2b that we expect will result in further improvements and reduction in the variability.</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Planned Additional Clinical Development and Regulatory Pathway</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part of our regulatory pathway to conducting the Phase 2b/3 and based on initial feedback from the FDA and regulatory consultants, we intend to conduct a short four-arm PK/PD study comparing two of our dose regimens with two controls: placebo and Natpara. This PK/PD study will include 10 to 15 hypoparathyroidism patients for a treatment and monitoring duration of 58 hours per treatment arm. This study is designed to provide a bridge from our completed Phase 2a trial, which was conducted prior to the marketing approval of Natpara and our planned Phase 2b/3 study. This study may also provide valuable “head to head” data that will further inform our Phase 2b/3 study design. The relevant endpoints for the PK/PD study will include levels of PTH (1-34), PTH (1-84) (Natpara), serum calcium, serum phosphate, urinary calcium and urinary phosphate.</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plan on submitting an IND for this study in the first quarter of 2018 and completing the study shortly after receiving an IND approval. We will then provide the additional data required to expand the IND to allow for the larger Phase 2b/3 study. We hope to initiate our Phase 2b/3 study in the second half of 2018. If our results from the Phase 2b/3 clinical trial are successful and the trial is acceptable as a pivotal trial, as intended, we plan to submit a BLA to the FDA for regulatory approval of EB612 in the second half of 2020. In parallel, we expect to pursue marketing approval in the European Union and Japan with the appropriate regulatory agencies. As part of our preparations for marketing approval, we intend to commence in the second half of 2019 a further “head to head” non-inferiority clinical trial comparing EB612 to Natpara. While this additional trial is not necessary for regulatory approval, we anticipate that it will be useful in our efforts or commercialize EB612.</w:t>
      </w:r>
    </w:p>
    <w:p>
      <w:pPr>
        <w:spacing w:after="0" w:line="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April 2014, we received orphan drug designation from the FDA for our oral PTH in hypoparathyroidism. If a product receives the first FDA approval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or safety than Natpara or that it otherwise makes a major contribution to patient care. Therefore, we believe that Natpara’s orphan drug exclusivity will not prevent the FDA from approving our BLA for EB612 prior to the expiration of Natpara’s exclusivity period. In June 2016, we received approval from the European Commission granting orphan status to our oral PTH in Europe.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EB613 for Osteoporosis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Osteoporosis</w:t>
      </w:r>
    </w:p>
    <w:p>
      <w:pPr>
        <w:spacing w:after="0" w:line="1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also developing a distinct oral PTH product candidate, EB613, for the treatment of osteoporosis. Osteoporosis is a systemic skeletal disease characterized by low bone mass, deterioration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Osteoporosis develops as the delicate balance between bone resorption by osteoclasts and bone formation by osteoblasts is not maintained, and not enough bone tissue is formed, leading to frail and fracture-prone bones. These weak and brittle bones become susceptible to fractures caused by fall, mild stress or even a cough. The condition can even be fatal, as 25% of those who fracture a hip will die within six months of injury.</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from the use of drugs that induce bone loss, such as chronic use of glucocorticoids and aromatase inhibitors that are increasingly used for breast cancer and the hormone therapies used for prostate cancer.</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NOF has estimated that 10 million people in the United States already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goal of pharmacological treatment of osteoporosis is to maintain or increase bone strength, to prevent factures throughout the patient’s life and to minimize osteoporosis-related morbidity and mortality by reducing the risk of fracture. Current treatments for osteoporosis generally fall into two categories: antiresorptive medications to slow bone loss and anabolic medications to increase the rate of bone formation. The global osteoporosis drug market was dominated for many years by bisphosphonates, which slow bone loss, although bisphosphonates’ market share has declined over recent years due to the occurrence of serious side effects, as well as the introduction of newly developed pharmacological treatments.</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primary current treatments for osteoporosis are summarized in the table below:</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r>
      <w:tr>
        <w:trPr>
          <w:trHeight w:val="186"/>
        </w:trPr>
        <w:tc>
          <w:tcPr>
            <w:tcW w:w="1880" w:type="dxa"/>
            <w:vAlign w:val="bottom"/>
          </w:tcPr>
          <w:p>
            <w:pPr>
              <w:spacing w:after="0"/>
              <w:rPr>
                <w:sz w:val="20"/>
                <w:szCs w:val="20"/>
                <w:color w:val="auto"/>
              </w:rPr>
            </w:pPr>
            <w:r>
              <w:rPr>
                <w:rFonts w:ascii="Arial" w:cs="Arial" w:eastAsia="Arial" w:hAnsi="Arial"/>
                <w:sz w:val="14"/>
                <w:szCs w:val="14"/>
                <w:b w:val="1"/>
                <w:bCs w:val="1"/>
                <w:color w:val="auto"/>
              </w:rPr>
              <w:t>Class of Drug</w:t>
            </w:r>
          </w:p>
        </w:tc>
        <w:tc>
          <w:tcPr>
            <w:tcW w:w="2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(Producer)</w:t>
            </w:r>
          </w:p>
        </w:tc>
        <w:tc>
          <w:tcPr>
            <w:tcW w:w="2800" w:type="dxa"/>
            <w:vAlign w:val="bottom"/>
          </w:tcPr>
          <w:p>
            <w:pPr>
              <w:ind w:left="860"/>
              <w:spacing w:after="0"/>
              <w:rPr>
                <w:sz w:val="20"/>
                <w:szCs w:val="20"/>
                <w:color w:val="auto"/>
              </w:rPr>
            </w:pPr>
            <w:r>
              <w:rPr>
                <w:rFonts w:ascii="Arial" w:cs="Arial" w:eastAsia="Arial" w:hAnsi="Arial"/>
                <w:sz w:val="14"/>
                <w:szCs w:val="14"/>
                <w:b w:val="1"/>
                <w:bCs w:val="1"/>
                <w:color w:val="auto"/>
              </w:rPr>
              <w:t>Method of Action</w:t>
            </w:r>
          </w:p>
        </w:tc>
      </w:tr>
      <w:tr>
        <w:trPr>
          <w:trHeight w:val="26"/>
        </w:trPr>
        <w:tc>
          <w:tcPr>
            <w:tcW w:w="1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Injectable PTH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Forteo (Eli Lilly)</w:t>
            </w:r>
          </w:p>
        </w:tc>
        <w:tc>
          <w:tcPr>
            <w:tcW w:w="2800" w:type="dxa"/>
            <w:vAlign w:val="bottom"/>
          </w:tcPr>
          <w:p>
            <w:pPr>
              <w:spacing w:after="0"/>
              <w:rPr>
                <w:sz w:val="20"/>
                <w:szCs w:val="20"/>
                <w:color w:val="auto"/>
              </w:rPr>
            </w:pPr>
            <w:r>
              <w:rPr>
                <w:rFonts w:ascii="Arial" w:cs="Arial" w:eastAsia="Arial" w:hAnsi="Arial"/>
                <w:sz w:val="18"/>
                <w:szCs w:val="18"/>
                <w:color w:val="auto"/>
              </w:rPr>
              <w:t>Increases bone mineral density by</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inhibiting the resorption of bone,</w:t>
            </w:r>
          </w:p>
        </w:tc>
      </w:tr>
      <w:tr>
        <w:trPr>
          <w:trHeight w:val="230"/>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promotes new bone formation</w:t>
            </w:r>
          </w:p>
        </w:tc>
      </w:tr>
      <w:tr>
        <w:trPr>
          <w:trHeight w:val="458"/>
        </w:trPr>
        <w:tc>
          <w:tcPr>
            <w:tcW w:w="1880" w:type="dxa"/>
            <w:vAlign w:val="bottom"/>
          </w:tcPr>
          <w:p>
            <w:pPr>
              <w:spacing w:after="0"/>
              <w:rPr>
                <w:sz w:val="20"/>
                <w:szCs w:val="20"/>
                <w:color w:val="auto"/>
              </w:rPr>
            </w:pPr>
            <w:r>
              <w:rPr>
                <w:rFonts w:ascii="Arial" w:cs="Arial" w:eastAsia="Arial" w:hAnsi="Arial"/>
                <w:sz w:val="18"/>
                <w:szCs w:val="18"/>
                <w:color w:val="auto"/>
              </w:rPr>
              <w:t>Monoclonal antibody</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Prolia (Amgen)</w:t>
            </w:r>
          </w:p>
        </w:tc>
        <w:tc>
          <w:tcPr>
            <w:tcW w:w="2800" w:type="dxa"/>
            <w:vAlign w:val="bottom"/>
          </w:tcPr>
          <w:p>
            <w:pPr>
              <w:spacing w:after="0"/>
              <w:rPr>
                <w:sz w:val="20"/>
                <w:szCs w:val="20"/>
                <w:color w:val="auto"/>
              </w:rPr>
            </w:pPr>
            <w:r>
              <w:rPr>
                <w:rFonts w:ascii="Arial" w:cs="Arial" w:eastAsia="Arial" w:hAnsi="Arial"/>
                <w:sz w:val="18"/>
                <w:szCs w:val="18"/>
                <w:color w:val="auto"/>
              </w:rPr>
              <w:t>Blocks the breakdown of bones by</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binding to RANKL protein that is</w:t>
            </w:r>
          </w:p>
        </w:tc>
      </w:tr>
      <w:tr>
        <w:trPr>
          <w:trHeight w:val="230"/>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essential to activate osteoclasts</w:t>
            </w:r>
          </w:p>
        </w:tc>
      </w:tr>
      <w:tr>
        <w:trPr>
          <w:trHeight w:val="891"/>
        </w:trPr>
        <w:tc>
          <w:tcPr>
            <w:tcW w:w="1880" w:type="dxa"/>
            <w:vAlign w:val="bottom"/>
          </w:tcPr>
          <w:p>
            <w:pPr>
              <w:spacing w:after="0"/>
              <w:rPr>
                <w:sz w:val="20"/>
                <w:szCs w:val="20"/>
                <w:color w:val="auto"/>
              </w:rPr>
            </w:pPr>
            <w:r>
              <w:rPr>
                <w:rFonts w:ascii="Arial" w:cs="Arial" w:eastAsia="Arial" w:hAnsi="Arial"/>
                <w:sz w:val="18"/>
                <w:szCs w:val="18"/>
                <w:color w:val="auto"/>
              </w:rPr>
              <w:t>Selective estrogen</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Evista (Eli Lilly)</w:t>
            </w:r>
          </w:p>
        </w:tc>
        <w:tc>
          <w:tcPr>
            <w:tcW w:w="2800" w:type="dxa"/>
            <w:vAlign w:val="bottom"/>
          </w:tcPr>
          <w:p>
            <w:pPr>
              <w:spacing w:after="0"/>
              <w:rPr>
                <w:sz w:val="20"/>
                <w:szCs w:val="20"/>
                <w:color w:val="auto"/>
              </w:rPr>
            </w:pPr>
            <w:r>
              <w:rPr>
                <w:rFonts w:ascii="Arial" w:cs="Arial" w:eastAsia="Arial" w:hAnsi="Arial"/>
                <w:sz w:val="18"/>
                <w:szCs w:val="18"/>
                <w:color w:val="auto"/>
              </w:rPr>
              <w:t>Binds to estrogen receptors at a</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receptor modulators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2"/>
              </w:rPr>
              <w:t>selective tissue, with an agonist effect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(SERMs)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on bone tissue</w:t>
            </w:r>
          </w:p>
        </w:tc>
      </w:tr>
      <w:tr>
        <w:trPr>
          <w:trHeight w:val="674"/>
        </w:trPr>
        <w:tc>
          <w:tcPr>
            <w:tcW w:w="1880" w:type="dxa"/>
            <w:vAlign w:val="bottom"/>
          </w:tcPr>
          <w:p>
            <w:pPr>
              <w:spacing w:after="0"/>
              <w:rPr>
                <w:sz w:val="20"/>
                <w:szCs w:val="20"/>
                <w:color w:val="auto"/>
              </w:rPr>
            </w:pPr>
            <w:r>
              <w:rPr>
                <w:rFonts w:ascii="Arial" w:cs="Arial" w:eastAsia="Arial" w:hAnsi="Arial"/>
                <w:sz w:val="18"/>
                <w:szCs w:val="18"/>
                <w:color w:val="auto"/>
              </w:rPr>
              <w:t>Bisphosphonate</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Fosamax (Merck)</w:t>
            </w:r>
          </w:p>
        </w:tc>
        <w:tc>
          <w:tcPr>
            <w:tcW w:w="2800" w:type="dxa"/>
            <w:vAlign w:val="bottom"/>
          </w:tcPr>
          <w:p>
            <w:pPr>
              <w:spacing w:after="0"/>
              <w:rPr>
                <w:sz w:val="20"/>
                <w:szCs w:val="20"/>
                <w:color w:val="auto"/>
              </w:rPr>
            </w:pPr>
            <w:r>
              <w:rPr>
                <w:rFonts w:ascii="Arial" w:cs="Arial" w:eastAsia="Arial" w:hAnsi="Arial"/>
                <w:sz w:val="18"/>
                <w:szCs w:val="18"/>
                <w:color w:val="auto"/>
              </w:rPr>
              <w:t>Prevent bone loss by inducing cell</w:t>
            </w:r>
          </w:p>
        </w:tc>
      </w:tr>
      <w:tr>
        <w:trPr>
          <w:trHeight w:val="216"/>
        </w:trPr>
        <w:tc>
          <w:tcPr>
            <w:tcW w:w="1880" w:type="dxa"/>
            <w:vAlign w:val="bottom"/>
          </w:tcPr>
          <w:p>
            <w:pPr>
              <w:spacing w:after="0"/>
              <w:rPr>
                <w:sz w:val="18"/>
                <w:szCs w:val="18"/>
                <w:color w:val="auto"/>
              </w:rPr>
            </w:pP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Zometa (Novartis)</w:t>
            </w:r>
          </w:p>
        </w:tc>
        <w:tc>
          <w:tcPr>
            <w:tcW w:w="2800" w:type="dxa"/>
            <w:vAlign w:val="bottom"/>
          </w:tcPr>
          <w:p>
            <w:pPr>
              <w:spacing w:after="0"/>
              <w:rPr>
                <w:sz w:val="20"/>
                <w:szCs w:val="20"/>
                <w:color w:val="auto"/>
              </w:rPr>
            </w:pPr>
            <w:r>
              <w:rPr>
                <w:rFonts w:ascii="Arial" w:cs="Arial" w:eastAsia="Arial" w:hAnsi="Arial"/>
                <w:sz w:val="18"/>
                <w:szCs w:val="18"/>
                <w:color w:val="auto"/>
              </w:rPr>
              <w:t>death (apoptosis) in the osteoclast</w:t>
            </w:r>
          </w:p>
        </w:tc>
      </w:tr>
      <w:tr>
        <w:trPr>
          <w:trHeight w:val="230"/>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cells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Branded</w:t>
            </w: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1"/>
              </w:rPr>
              <w:t>Sales</w:t>
            </w:r>
          </w:p>
        </w:tc>
      </w:tr>
      <w:tr>
        <w:trPr>
          <w:trHeight w:val="186"/>
        </w:trPr>
        <w:tc>
          <w:tcPr>
            <w:tcW w:w="3000" w:type="dxa"/>
            <w:vAlign w:val="bottom"/>
            <w:gridSpan w:val="2"/>
          </w:tcPr>
          <w:p>
            <w:pPr>
              <w:ind w:left="800"/>
              <w:spacing w:after="0"/>
              <w:rPr>
                <w:sz w:val="20"/>
                <w:szCs w:val="20"/>
                <w:color w:val="auto"/>
              </w:rPr>
            </w:pPr>
            <w:r>
              <w:rPr>
                <w:rFonts w:ascii="Arial" w:cs="Arial" w:eastAsia="Arial" w:hAnsi="Arial"/>
                <w:sz w:val="14"/>
                <w:szCs w:val="14"/>
                <w:b w:val="1"/>
                <w:bCs w:val="1"/>
                <w:color w:val="auto"/>
              </w:rPr>
              <w:t>Known Side Effects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6"/>
        </w:trPr>
        <w:tc>
          <w:tcPr>
            <w:tcW w:w="2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w w:val="99"/>
              </w:rPr>
              <w:t>Decrease in blood pressure, increase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$1,500</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w w:val="97"/>
              </w:rPr>
              <w:t>in serum calcium in the blood; nausea,</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w w:val="97"/>
              </w:rPr>
              <w:t>joint aches, pain, leg cramps, injection</w:t>
            </w:r>
          </w:p>
        </w:tc>
        <w:tc>
          <w:tcPr>
            <w:tcW w:w="1400" w:type="dxa"/>
            <w:vAlign w:val="bottom"/>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site reactions</w:t>
            </w:r>
          </w:p>
        </w:tc>
        <w:tc>
          <w:tcPr>
            <w:tcW w:w="1400" w:type="dxa"/>
            <w:vAlign w:val="bottom"/>
          </w:tcPr>
          <w:p>
            <w:pPr>
              <w:spacing w:after="0"/>
              <w:rPr>
                <w:sz w:val="20"/>
                <w:szCs w:val="20"/>
                <w:color w:val="auto"/>
              </w:rPr>
            </w:pPr>
          </w:p>
        </w:tc>
      </w:tr>
      <w:tr>
        <w:trPr>
          <w:trHeight w:val="242"/>
        </w:trPr>
        <w:tc>
          <w:tcPr>
            <w:tcW w:w="3000" w:type="dxa"/>
            <w:vAlign w:val="bottom"/>
            <w:gridSpan w:val="2"/>
          </w:tcPr>
          <w:p>
            <w:pPr>
              <w:spacing w:after="0"/>
              <w:rPr>
                <w:sz w:val="20"/>
                <w:szCs w:val="20"/>
                <w:color w:val="auto"/>
              </w:rPr>
            </w:pPr>
            <w:r>
              <w:rPr>
                <w:rFonts w:ascii="Arial" w:cs="Arial" w:eastAsia="Arial" w:hAnsi="Arial"/>
                <w:sz w:val="18"/>
                <w:szCs w:val="18"/>
                <w:color w:val="auto"/>
              </w:rPr>
              <w:t>Hypocalcemia, serious infections,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$1,635</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dermatologic adverse reactions,</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osteonecrosis of the jaw, back pain,</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pain in extremity, musculoskeletal</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pain, hypercholesterolemia, and</w:t>
            </w:r>
          </w:p>
        </w:tc>
        <w:tc>
          <w:tcPr>
            <w:tcW w:w="1400" w:type="dxa"/>
            <w:vAlign w:val="bottom"/>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cystitis</w:t>
            </w:r>
          </w:p>
        </w:tc>
        <w:tc>
          <w:tcPr>
            <w:tcW w:w="1400" w:type="dxa"/>
            <w:vAlign w:val="bottom"/>
          </w:tcPr>
          <w:p>
            <w:pPr>
              <w:spacing w:after="0"/>
              <w:rPr>
                <w:sz w:val="20"/>
                <w:szCs w:val="20"/>
                <w:color w:val="auto"/>
              </w:rPr>
            </w:pPr>
          </w:p>
        </w:tc>
      </w:tr>
      <w:tr>
        <w:trPr>
          <w:trHeight w:val="242"/>
        </w:trPr>
        <w:tc>
          <w:tcPr>
            <w:tcW w:w="3000" w:type="dxa"/>
            <w:vAlign w:val="bottom"/>
            <w:gridSpan w:val="2"/>
          </w:tcPr>
          <w:p>
            <w:pPr>
              <w:spacing w:after="0"/>
              <w:rPr>
                <w:sz w:val="20"/>
                <w:szCs w:val="20"/>
                <w:color w:val="auto"/>
              </w:rPr>
            </w:pPr>
            <w:r>
              <w:rPr>
                <w:rFonts w:ascii="Arial" w:cs="Arial" w:eastAsia="Arial" w:hAnsi="Arial"/>
                <w:sz w:val="18"/>
                <w:szCs w:val="18"/>
                <w:color w:val="auto"/>
              </w:rPr>
              <w:t>Deep vein thrombosis, pulmonary</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$172</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embolism, retinal vein thrombosis,</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increased risk of death due to stroke,</w:t>
            </w:r>
          </w:p>
        </w:tc>
        <w:tc>
          <w:tcPr>
            <w:tcW w:w="1400" w:type="dxa"/>
            <w:vAlign w:val="bottom"/>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endometrial cancer, cardiovascular</w:t>
            </w:r>
          </w:p>
        </w:tc>
        <w:tc>
          <w:tcPr>
            <w:tcW w:w="1400" w:type="dxa"/>
            <w:vAlign w:val="bottom"/>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disease</w:t>
            </w:r>
          </w:p>
        </w:tc>
        <w:tc>
          <w:tcPr>
            <w:tcW w:w="1400" w:type="dxa"/>
            <w:vAlign w:val="bottom"/>
          </w:tcPr>
          <w:p>
            <w:pPr>
              <w:spacing w:after="0"/>
              <w:rPr>
                <w:sz w:val="20"/>
                <w:szCs w:val="20"/>
                <w:color w:val="auto"/>
              </w:rPr>
            </w:pPr>
          </w:p>
        </w:tc>
      </w:tr>
      <w:tr>
        <w:trPr>
          <w:trHeight w:val="242"/>
        </w:trPr>
        <w:tc>
          <w:tcPr>
            <w:tcW w:w="3000" w:type="dxa"/>
            <w:vAlign w:val="bottom"/>
            <w:gridSpan w:val="2"/>
          </w:tcPr>
          <w:p>
            <w:pPr>
              <w:spacing w:after="0"/>
              <w:rPr>
                <w:sz w:val="20"/>
                <w:szCs w:val="20"/>
                <w:color w:val="auto"/>
              </w:rPr>
            </w:pPr>
            <w:r>
              <w:rPr>
                <w:rFonts w:ascii="Arial" w:cs="Arial" w:eastAsia="Arial" w:hAnsi="Arial"/>
                <w:sz w:val="18"/>
                <w:szCs w:val="18"/>
                <w:color w:val="auto"/>
              </w:rPr>
              <w:t>Irritation of the gastrointestinal</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N/A (Generic)</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mucosa, hypocalcemia, severe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N/A (Generic)</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w w:val="96"/>
              </w:rPr>
              <w:t>musculoskeletal pain, osteonecrosis of</w:t>
            </w:r>
          </w:p>
        </w:tc>
        <w:tc>
          <w:tcPr>
            <w:tcW w:w="1400" w:type="dxa"/>
            <w:vAlign w:val="bottom"/>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the jaw</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800" w:space="220"/>
            <w:col w:w="4400"/>
          </w:cols>
          <w:pgMar w:left="240" w:top="131" w:right="239" w:bottom="1440" w:gutter="0" w:footer="0" w:header="0"/>
        </w:sectPr>
      </w:pPr>
    </w:p>
    <w:p>
      <w:pPr>
        <w:spacing w:after="0" w:line="1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osteoporosis patients, who have normal basal levels of PTH, therapeutic administration of PTH activates osteoclasts and osteoblasts. While both types of cells are activated when PTH is administered, osteoblasts are activated for a longer period, increasing bone formation and bone mass. Injectable PTH (1-34), in the form of Eli Lilly’s Forteo, is therefore one of the most effective osteoporosis medications on the market today and demonstrably more efficacious than bisphosphonates. A study published in the New England Journal of Medicine found that over a period of 18 months bone mineral density at the lumbar spine in a group of patients with steroid-induced osteoporosis treated with Forteo increased twice as much as that in the group treated with a form of bisphosphonate.</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Unlike our oral delivery system, Forteo is administered by injection, which has significant drawbacks. Patients may reject this treatment due to the discomfort and local irritation usually associated with a daily injectable regimen. Additionally, subcutaneous injection of PTH (1-34) has been shown to induce immunological reactions in approximately 3% of the patient population, often leading to discontinuance of therapy. We believe an oral form of PTH (1-34) would significantly improve patient and physician acceptance. Eli Lilly has attempted numerous collaborations with alternative delivery systems, including a micro needle patch system, which eventually did not reach fruition. An attempt with Zosano Pharma’s patch terminated in 2015, as did another collaboration with Transpharma, also a patch, which was terminated in 2011. In 2005 Eli Lilly attempted a nasal delivery system with Alkermes only to be terminated in 2007. While the patch technology may reduce the discomfort associated with an injection, we believe patients will prefer an oral form of PTH (1-34) over a patch form of delivery.</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Several pharmaceutical companies have previously attempted to develop an orally administered form of PTH. GlaxoSmithKline had partnered with Unigene Laboratories to develop a form of oral PTH but terminated the collaboration in 2011 following the release of Phase 2 clinical trial data, potentially due to poor control of kinetics and variability and the need for as much as 10 mg of PTH per tablet. Eli Lilly attempted to develop an oral PTH in collaboration with Emisphere, which Emisphere terminated following patent infringement claims in 2004. Emisphere then went on to develop their own oral PTH in collaboration with Novartis but suspended development in 2011 at the same time that they suspended their oral calcitonin program, which was subject to EMA safety restrictions. We believe Novartis discontinued the product for reasons that were unrelated to the product itself, and that our formulation of EB613 achieves the maximum concentration necessary for therapeutic effect with three times less active pharmaceutical ingredient, and lower variability, than that observed with Novartis’ suspended product.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that our oral delivery technology is superior to other oral technologies that were and still may be in development for osteoporosis patients.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comparison and integration of available clinical trial results to date: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Company/Technology</w:t>
            </w: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Molecule</w:t>
            </w:r>
          </w:p>
        </w:tc>
        <w:tc>
          <w:tcPr>
            <w:tcW w:w="2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API MW (g/mole)</w:t>
            </w: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Bioavailability (F)</w:t>
            </w:r>
          </w:p>
        </w:tc>
      </w:tr>
      <w:tr>
        <w:trPr>
          <w:trHeight w:val="26"/>
        </w:trPr>
        <w:tc>
          <w:tcPr>
            <w:tcW w:w="5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Entera Bio</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PTH (1-34)</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4118</w:t>
            </w:r>
          </w:p>
        </w:tc>
        <w:tc>
          <w:tcPr>
            <w:tcW w:w="34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1.5%</w:t>
            </w: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Novartis/Emisphere (Eligen – CNAC)(1)</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PTH (1-34)</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4118</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0.2 – 0.5%</w:t>
            </w: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Enteris Biopharma – Unigen (Peptelligence)(2)</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PTH (1-31)</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3719</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0.52%</w:t>
            </w: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Multiple manufacturers(3)</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Desmopressin</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1069</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0.16%</w:t>
            </w: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Chiasma (TPE)(4)</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Octreotide</w:t>
            </w:r>
          </w:p>
        </w:tc>
        <w:tc>
          <w:tcPr>
            <w:tcW w:w="26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1019 (Cyclic peptide)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0.67%</w:t>
            </w:r>
          </w:p>
        </w:tc>
      </w:tr>
      <w:tr>
        <w:trPr>
          <w:trHeight w:val="25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Proxima Concepts (AXCESS)(5)</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Insulin</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5733</w:t>
            </w:r>
          </w:p>
        </w:tc>
        <w:tc>
          <w:tcPr>
            <w:tcW w:w="3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51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80"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Source: The single dose pharmacokinetic profile of a novel oral human parathyroid hormone formulation in healthy postmenopausal women Sibylle P. Hämmerle, et al. Bone. 2012</w:t>
      </w:r>
    </w:p>
    <w:p>
      <w:pPr>
        <w:spacing w:after="0" w:line="32"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4"/>
          <w:szCs w:val="14"/>
          <w:color w:val="auto"/>
        </w:rPr>
        <w:t>Apr;50(4):965-73. doi: 10.1016/j.bone.2012.01.009. Epub 2012 Jan 25.</w:t>
      </w:r>
    </w:p>
    <w:p>
      <w:pPr>
        <w:spacing w:after="0" w:line="129" w:lineRule="exact"/>
        <w:rPr>
          <w:rFonts w:ascii="Arial" w:cs="Arial" w:eastAsia="Arial" w:hAnsi="Arial"/>
          <w:sz w:val="13"/>
          <w:szCs w:val="13"/>
          <w:color w:val="auto"/>
        </w:rPr>
      </w:pPr>
    </w:p>
    <w:p>
      <w:pPr>
        <w:ind w:left="360" w:hanging="352"/>
        <w:spacing w:after="0"/>
        <w:tabs>
          <w:tab w:leader="none" w:pos="3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Source: Pharmacokinetics of oral recombinant human parathyroid hormone rhPTH (1-31)NH2 in postmenopausal women with osteoporosis. Sturmer A1 et el. Clin Pharmacokinet. 2013</w:t>
      </w:r>
    </w:p>
    <w:p>
      <w:pPr>
        <w:spacing w:after="0" w:line="32"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4"/>
          <w:szCs w:val="14"/>
          <w:color w:val="auto"/>
        </w:rPr>
        <w:t>Nov;52(11):995-1004. doi: 10.1007/s40262-013-0083-4.</w:t>
      </w:r>
    </w:p>
    <w:p>
      <w:pPr>
        <w:spacing w:after="0" w:line="129" w:lineRule="exact"/>
        <w:rPr>
          <w:rFonts w:ascii="Arial" w:cs="Arial" w:eastAsia="Arial" w:hAnsi="Arial"/>
          <w:sz w:val="13"/>
          <w:szCs w:val="13"/>
          <w:color w:val="auto"/>
        </w:rPr>
      </w:pPr>
    </w:p>
    <w:p>
      <w:pPr>
        <w:ind w:left="360" w:right="680" w:hanging="352"/>
        <w:spacing w:after="0" w:line="293" w:lineRule="auto"/>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Source: Public Assessment Report, Desmopressin Acetate 100 Microgram Tablet PL 24668/0177 and Desmopressin Acetate 200 Microgram Tablet PL 24668/0178. Medicines and Healthcare Products Regulatory Agency.</w:t>
      </w:r>
    </w:p>
    <w:p>
      <w:pPr>
        <w:spacing w:after="0" w:line="79" w:lineRule="exact"/>
        <w:rPr>
          <w:rFonts w:ascii="Arial" w:cs="Arial" w:eastAsia="Arial" w:hAnsi="Arial"/>
          <w:sz w:val="14"/>
          <w:szCs w:val="14"/>
          <w:color w:val="auto"/>
        </w:rPr>
      </w:pPr>
    </w:p>
    <w:p>
      <w:pPr>
        <w:ind w:left="360" w:right="480" w:hanging="352"/>
        <w:spacing w:after="0" w:line="293" w:lineRule="auto"/>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Source: Pharmacokinetic Modeling of Oral Octreotide (Octreolin™) in Healthy Volunteers and Dosing Regimen Optimization for Acromegaly Patients. Shmuel Tuvia et al. Endocrine Society’s 94th Annual Meeting June 2012, OR29-6-OR29-6.</w:t>
      </w:r>
    </w:p>
    <w:p>
      <w:pPr>
        <w:spacing w:after="0" w:line="79" w:lineRule="exact"/>
        <w:rPr>
          <w:rFonts w:ascii="Arial" w:cs="Arial" w:eastAsia="Arial" w:hAnsi="Arial"/>
          <w:sz w:val="14"/>
          <w:szCs w:val="14"/>
          <w:color w:val="auto"/>
        </w:rPr>
      </w:pPr>
    </w:p>
    <w:p>
      <w:pPr>
        <w:ind w:left="360" w:hanging="352"/>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Source: The glucose lowering effect of an oral insulin (Capsulin) during an isoglycaemic clamp study in persons with type 2 diabetes S. D. Luzio et al. Diabetes Obes Metab. 2010</w:t>
      </w:r>
    </w:p>
    <w:p>
      <w:pPr>
        <w:spacing w:after="0" w:line="2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Jan;12(1):82-7. doi: 10.1111/j.1463-1326.2009.01146.x. Epub 2009 Sep 25.</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Preclinical and Clinical Development of EB613</w:t>
      </w:r>
    </w:p>
    <w:p>
      <w:pPr>
        <w:spacing w:after="0" w:line="10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EB613 is PTH (1-34) combined with our proprietary technology for the oral delivery of large molecule therapeutics. We are optimizing the PK profile of EB613 specifically for the treatment of osteoporosis, and we expect that our dose and formulation will be significantly modified from that of EB612. Our development combines the proven efficacy of PTH in increasing bone formation in osteoporosis patients with the additional benefit of permitting oral administration, which reduces the treatment burden on patients, leading to higher patient and physician acceptance. We believe each dose of oral PTH would trigger a Cmax peak, stimulating osteoclasts and osteoblasts, thereby increasing overall bone formation.</w:t>
      </w:r>
    </w:p>
    <w:p>
      <w:pPr>
        <w:spacing w:after="0" w:line="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preclinical and Phase 1 clinical development, EB613 exhibited no serious related adverse events and displayed compelling PK and PD properties, in particular compared to commercially available injectable PTH (1-34) (Forteo). There were no related serious or significant adverse events reported in earlier trials.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EB613: Favorable Pharmacodynamic Profile</w:t>
      </w:r>
    </w:p>
    <w:p>
      <w:pPr>
        <w:spacing w:after="0" w:line="10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Cyclic AMP, or cAMP, is a known indicator of PTH activity. It is part of the signaling pathway activated by the PTH binding to its cellular receptors. cAMP can be measured in the plasma and used as a biological marker of PTH activity. The graph below shows a similar activation profile following dosing of both commercial Forteo and EB613.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55880</wp:posOffset>
            </wp:positionV>
            <wp:extent cx="4279265" cy="14490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7926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graph below shows the PK profile of a subcutaneous injection with injectable PTH (1-34), EB613 and placebo from our Phase 1 clinical trial. Both the injectable PTH (1-34) and the oral PTH (1-34) have a rapid increase in plasma concentrations followed by a fast elimination phase. This is significant for attaining the desired anabolic effect by transiently activating the biological pathways and possibly even more so with our oral PTH as its profile is sharper than the injection with a more rapid return to baseline. It is believed that the prolonged increase in PTH levels may reduce the desired anabolic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38735</wp:posOffset>
            </wp:positionV>
            <wp:extent cx="4827905" cy="20497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2790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Planned Clinical Development</w:t>
      </w:r>
    </w:p>
    <w:p>
      <w:pPr>
        <w:spacing w:after="0" w:line="10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We are preparing a Phase 2a trial of EB613 in osteoporosis in the first half of 2018. With these Phase 2a results we plan to partner with a larger biopharmaceutical company for the clinical development and commercialization of this product.</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Bone Healing/Non-union Fractures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no pharmacological treatments are available to stimulate bone healing. A number of studies suggest that PTH could be beneficial in the treatment of fractures and could thus be a potentially new treatment option for the induction of bone healing. 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there are approximately seven million new fractures each year, with approximately 300,000 delayed union or non-union fractures.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Estimates for the average non-union treatment cost vary from approximately $25,000 to $45,000.</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in osteoporosis treatment, a pharmacological solution is not the norm for fractures.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Entera’s Potential Solution for Non-union Fractures</w:t>
      </w:r>
    </w:p>
    <w:p>
      <w:pPr>
        <w:spacing w:after="0" w:line="10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Studies have suggested that PTH can accelerate bone healing. PTH increases the activity and number of osteoblasts, which are responsible for bone formation, making it critical for cases where bone healing is delayed.</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intend to investigate the efficacy of EB613 for non-union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10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intend to use our technology as a platform for the oral delivery of low-bioavailability therapeutics, which may include small molecules with very low absorption due to their poor permeability properties (BCS class 3 drugs), proteins and other large molecule therapeutics. We have conducted initial feasibility studies with a number of candidates, including human growth hormone, and intend to commence clinical development for our next, non-PTH, product candidate in the first half of 2018.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0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are initially focused on developing an oral PTH (1-34), for the treatment of hypoparathyroidism, or EB612. We are also developing an oral PTH (1-34), with a significantly modified formulation for the treatment of osteoporosis, or EB613, and plan to also conduct clinical trials of EB613 for the treatment of non-union fractures. We are also investigating applying our oral drug delivery platform to other FDA-approved proteins or large molecule therapeutics.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yet established sales, marketing or product distribution operations because our product candidates are in clinical development. Prior to receiving regulatory approval for EB612, if approved, we plan to build a focused sales and marketing organization in the United States and other jurisdictions where we anticipate obtaining approval to sell EB612 once approved. We believe that we can independently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commercialize EB612 with a small salesforce by targeting a relatively small prescriber base of primarily endocrinologists in centers of excellence. We would, however, evaluate other opportunities to commercialize EB612 and other products candidates for orphan indications, if attractive. We may seek a partner to develop EB613, and anticipate that any such partner would be responsible for, or substantially support, late stage clinical trials of EB613 as well as submitting applications for regulatory approvals and registrations.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 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“Risk Factors — Risks Related to Commercialization of Our Product Candidates.”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EB612 for Hypoparathyroidism</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Historically, the treatments for hypoparathyroidism have been calcium supplements, vitamin D supplements and phosphate binders, however many serious side effects result from this therapy.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50"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We believe that our key competitor in hypoparathyroidism treatment is Shire plc, which is marketing Natpara, an injectable bioengineered recombinant form of PTH (1-84) that was approved by the FDA in January 2015. Natpara has been granted orphan drug designation for hypoparathyroidism by the FDA as the first approved product for this indication, has orphan drug market exclusivity for seven years in the United States.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Therefore, we will only be able to obtain regulatory approval for EB612, which also has orphan drug designation for hypoparathyroidism, if we demonstrate EB612’s clinical superiority over Natpara in that it demonstrates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BLA for oral PTH prior to the expiration of Natpara’s market exclusivity period.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Ascendis Pharma has reported that it is developing a long-acting oral, prodrug formulation of PTH for the treatment of hypoparathyroidism.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Ascendis recently reported that it had initiated a Phase 1 trial for its oral PTH product in the third quarter of 2017.</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EB613 for Osteoporosis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We anticipate that our product candidate EB613 if approved, will compete with Forteo.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Bone Healing</w:t>
      </w:r>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are currently no approved pharmacological treatments to stimulate bone healing. We anticipate that, if approved, our oral PTH product candidate for the treatment of non-union fractures would compete with non-pharmacological treatments such as electrical stimulation as well as off-label use of Forteo.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Israeli Innovation Authority Grants</w:t>
      </w:r>
    </w:p>
    <w:p>
      <w:pPr>
        <w:spacing w:after="0" w:line="10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have received grants of approximately $0.5 million from the IIA to partially fund our research and development. The grants are subject to certain requirements and restrictions in the Encouragement of Research, Development and Technological Innovation in Industry Law, 5744-1984,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5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September 30, 2017, the total royalty amount payable to the IIA, including accrued interest, was approximately $0.5 million. As of September 30, 2017, we had not paid any royalties to the IIA.</w:t>
      </w:r>
    </w:p>
    <w:p>
      <w:pPr>
        <w:spacing w:after="0" w:line="3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(as defined in the Research Law)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sale of such technology to a non-Israeli entity up to 600% of the grant amounts plus interest.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 In addition, any change of control and any change of ownership of our ordinary shares (including by way of an initial public offering)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monetary fines and/or criminal charges.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Oramed Patent Transfer Agreement</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or the Patent Transfer Agreement, to replace the original 2010 license agreement. 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Patent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global patent portfolio included the following patents and patent applications:</w:t>
      </w:r>
    </w:p>
    <w:p>
      <w:pPr>
        <w:spacing w:after="0" w:line="198" w:lineRule="exact"/>
        <w:rPr>
          <w:sz w:val="20"/>
          <w:szCs w:val="20"/>
          <w:color w:val="auto"/>
        </w:rPr>
      </w:pPr>
    </w:p>
    <w:p>
      <w:pPr>
        <w:ind w:left="360" w:right="420" w:hanging="172"/>
        <w:spacing w:after="0" w:line="270" w:lineRule="auto"/>
        <w:tabs>
          <w:tab w:leader="none" w:pos="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China, Israel, Canada, New Zealand and Russia. Related patent applications are pending in the United States, the European Union, Hong Kong, Brazil, India, Israel and Russia. Specifically, in the United States Australia, Japan, China, Israel and Russia divisional or continuation patent application have been filed to specifically cover PTH (1-34). Such patents have already been granted in Australia and Japan, and in the remaining jurisdictions, including the United States, these applications are pending.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141" w:lineRule="exact"/>
        <w:rPr>
          <w:rFonts w:ascii="Arial" w:cs="Arial" w:eastAsia="Arial" w:hAnsi="Arial"/>
          <w:sz w:val="17"/>
          <w:szCs w:val="17"/>
          <w:color w:val="auto"/>
        </w:rPr>
      </w:pPr>
    </w:p>
    <w:p>
      <w:pPr>
        <w:ind w:left="360" w:right="780" w:hanging="172"/>
        <w:spacing w:after="0" w:line="264"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patent applications and one Patent Cooperation Treaty (PCT) application, which we believe, if issued as national stage patents containing substantially the same claims as those in the applications, would cover certain oral administration technologies. These technologies include compositions and</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right="20"/>
        <w:spacing w:after="0" w:line="264" w:lineRule="auto"/>
        <w:rPr>
          <w:sz w:val="20"/>
          <w:szCs w:val="20"/>
          <w:color w:val="auto"/>
        </w:rPr>
      </w:pPr>
      <w:r>
        <w:rPr>
          <w:rFonts w:ascii="Arial" w:cs="Arial" w:eastAsia="Arial" w:hAnsi="Arial"/>
          <w:sz w:val="18"/>
          <w:szCs w:val="18"/>
          <w:color w:val="auto"/>
        </w:rPr>
        <w:t>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w:t>
      </w:r>
    </w:p>
    <w:p>
      <w:pPr>
        <w:spacing w:after="0" w:line="19" w:lineRule="exact"/>
        <w:rPr>
          <w:sz w:val="20"/>
          <w:szCs w:val="20"/>
          <w:color w:val="auto"/>
        </w:rPr>
      </w:pPr>
    </w:p>
    <w:p>
      <w:pPr>
        <w:ind w:left="360" w:right="320" w:hanging="172"/>
        <w:spacing w:after="0" w:line="264"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hypoparathyroidism, and bone fractures and related conditions.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BLA for the product, plus the time between the submission date of the BLA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European Union and certain other foreign jurisdictions to extend the term of a patent that covers an approved drug. However, the length of any extension, if granted, could be less than we request.</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Trade Secrets</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 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these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“Risk Factors — Risks Related to Our Intellectual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own or operate facilities for large scale product manufacturing, storage and distribution, or testing, nor do we expect to in the future. Our current facility is limited to small-mid scale product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manufacturing, storage and distribution of materials for clinical studies. Our facility has ISO:9001:2008 quality management systems accreditation from The Standards Institution of Israel for the production and development of functional excipients and oral drug formulations to be used in clinical trials. The facility includes a dedicated clean room designed as a Class C/ISO 8 clean room for tablet production and a dedicated chemical synthesis clean room designed as a Class C ISO 8 clean room.</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activities include the chemical synthesis of one of our non-active but functional drug components as well as the formulation and production of the final drug, packaging, storage and distribution. The testing and release of materials to be used in the manufacturing process as well as the testing and release of the manufactured products is overseen by our QA/QC department and relies on internal and external tests. We have signed a contract with a UK-based contract manufacturing organization, to produce and supply pills for trials performed worldwide. This contract is not exclusive and we may enter into additional contracts as we see fit. Various materials included in the drug formulation and materials procured for the chemical synthesis are commercially available from various accredited suppliers. We do not have supply contracts with all these vendors and are not bound to any specific vendor at this point in time. However, it is our intention to complete such contracts in anticipation of commercial manufacturing activities, so that if approved, we will have such contracts in place.</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2017, we contracted with an FDA/EMA inspected- GMP subcontractor in the UK to outsource activities for technical transfer and tablet production for our international clinical trials.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Review and Approval of Biologics in the United States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our product candidates are regulated by the FDA as biologics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process required by the FDA before a biologic may be marketed in the United States generally involves satisfactorily completing each of the following steps:</w:t>
      </w:r>
    </w:p>
    <w:p>
      <w:pPr>
        <w:spacing w:after="0" w:line="143" w:lineRule="exact"/>
        <w:rPr>
          <w:sz w:val="20"/>
          <w:szCs w:val="20"/>
          <w:color w:val="auto"/>
        </w:rPr>
      </w:pPr>
    </w:p>
    <w:p>
      <w:pPr>
        <w:ind w:left="360" w:right="440" w:hanging="172"/>
        <w:spacing w:after="0" w:line="277"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196" w:lineRule="exact"/>
        <w:rPr>
          <w:rFonts w:ascii="Arial" w:cs="Arial" w:eastAsia="Arial" w:hAnsi="Arial"/>
          <w:sz w:val="17"/>
          <w:szCs w:val="17"/>
          <w:color w:val="auto"/>
        </w:rPr>
      </w:pPr>
    </w:p>
    <w:p>
      <w:pPr>
        <w:ind w:left="360" w:hanging="17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420" w:hanging="17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candidate for each proposed indication and conducted in accordance with Good Clinical Practice, or GCP, requirements;</w:t>
      </w:r>
    </w:p>
    <w:p>
      <w:pPr>
        <w:spacing w:after="0" w:line="89" w:lineRule="exact"/>
        <w:rPr>
          <w:rFonts w:ascii="Arial" w:cs="Arial" w:eastAsia="Arial" w:hAnsi="Arial"/>
          <w:sz w:val="18"/>
          <w:szCs w:val="18"/>
          <w:color w:val="auto"/>
        </w:rPr>
      </w:pPr>
    </w:p>
    <w:p>
      <w:pPr>
        <w:ind w:left="360" w:right="740" w:hanging="17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preparation and submission to the FDA of a BLA;</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44" w:lineRule="exact"/>
        <w:rPr>
          <w:rFonts w:ascii="Arial" w:cs="Arial" w:eastAsia="Arial" w:hAnsi="Arial"/>
          <w:sz w:val="18"/>
          <w:szCs w:val="18"/>
          <w:color w:val="auto"/>
        </w:rPr>
      </w:pPr>
    </w:p>
    <w:p>
      <w:pPr>
        <w:ind w:left="360" w:right="440" w:hanging="172"/>
        <w:spacing w:after="0" w:line="286" w:lineRule="auto"/>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requirements and to assure that the facilities, methods and controls are adequate to preserve the product’s identity, strength, quality and purity;</w:t>
      </w:r>
    </w:p>
    <w:p>
      <w:pPr>
        <w:spacing w:after="0" w:line="97" w:lineRule="exact"/>
        <w:rPr>
          <w:rFonts w:ascii="Arial" w:cs="Arial" w:eastAsia="Arial" w:hAnsi="Arial"/>
          <w:sz w:val="17"/>
          <w:szCs w:val="17"/>
          <w:color w:val="auto"/>
        </w:rPr>
      </w:pPr>
    </w:p>
    <w:p>
      <w:pPr>
        <w:ind w:left="360" w:right="320" w:hanging="17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requirements and the integrity of clinical data in support of the BLA;</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for the proposed indication; and</w:t>
      </w:r>
    </w:p>
    <w:p>
      <w:pPr>
        <w:spacing w:after="0" w:line="157" w:lineRule="exact"/>
        <w:rPr>
          <w:rFonts w:ascii="Arial" w:cs="Arial" w:eastAsia="Arial" w:hAnsi="Arial"/>
          <w:sz w:val="18"/>
          <w:szCs w:val="18"/>
          <w:color w:val="auto"/>
        </w:rPr>
      </w:pPr>
    </w:p>
    <w:p>
      <w:pPr>
        <w:ind w:left="360" w:right="820" w:hanging="17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any post-approval studies required by the FDA.</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w:t>
      </w:r>
    </w:p>
    <w:p>
      <w:pPr>
        <w:spacing w:after="0" w:line="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Clinical Trials</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BLA so long as the clinical trial is conducted consistent with the spirit of GCP and in compliance with an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43" w:lineRule="exact"/>
        <w:rPr>
          <w:sz w:val="20"/>
          <w:szCs w:val="20"/>
          <w:color w:val="auto"/>
        </w:rPr>
      </w:pPr>
    </w:p>
    <w:p>
      <w:pPr>
        <w:ind w:left="360" w:right="440" w:hanging="172"/>
        <w:spacing w:after="0" w:line="264"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metabolism, excretion and pharmacodynamics in healthy humans or, on occasion, in patients, such as cancer patients.</w:t>
      </w:r>
    </w:p>
    <w:p>
      <w:pPr>
        <w:spacing w:after="0" w:line="140" w:lineRule="exact"/>
        <w:rPr>
          <w:rFonts w:ascii="Arial" w:cs="Arial" w:eastAsia="Arial" w:hAnsi="Arial"/>
          <w:sz w:val="18"/>
          <w:szCs w:val="18"/>
          <w:color w:val="auto"/>
        </w:rPr>
      </w:pPr>
    </w:p>
    <w:p>
      <w:pPr>
        <w:ind w:left="360" w:right="420" w:hanging="172"/>
        <w:spacing w:after="0" w:line="286" w:lineRule="auto"/>
        <w:tabs>
          <w:tab w:leader="none" w:pos="3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clinical trials are generally conducted in a limited patient population to identify possible adverse effects and safety risks, evaluate the</w:t>
      </w:r>
      <w:r>
        <w:rPr>
          <w:rFonts w:ascii="Arial" w:cs="Arial" w:eastAsia="Arial" w:hAnsi="Arial"/>
          <w:sz w:val="17"/>
          <w:szCs w:val="17"/>
          <w:i w:val="1"/>
          <w:iCs w:val="1"/>
          <w:color w:val="auto"/>
        </w:rPr>
        <w:t xml:space="preserve"> </w:t>
      </w:r>
      <w:r>
        <w:rPr>
          <w:rFonts w:ascii="Arial" w:cs="Arial" w:eastAsia="Arial" w:hAnsi="Arial"/>
          <w:sz w:val="17"/>
          <w:szCs w:val="17"/>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25" w:lineRule="exact"/>
        <w:rPr>
          <w:rFonts w:ascii="Arial" w:cs="Arial" w:eastAsia="Arial" w:hAnsi="Arial"/>
          <w:sz w:val="17"/>
          <w:szCs w:val="17"/>
          <w:color w:val="auto"/>
        </w:rPr>
      </w:pPr>
    </w:p>
    <w:p>
      <w:pPr>
        <w:ind w:left="360" w:right="400" w:hanging="172"/>
        <w:spacing w:after="0" w:line="297"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 has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5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Compliance with Current Good Manufacturing Practice Requirements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Review and Approval of a Biologic License Application</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approval to market the product. The BLA also must contain extensive manufacturing information and detailed information on the composition of the product and proposed labeling as well as payment of a user fee. According to the FDA’s fee schedule, effective from October 1, 2016 through September 30, 2017, the user fee for an application requiring clinical data, such as a BLA, is $2,038,100.</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under the Prescription Drug User Fee Act, 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FDCA and the PHSA, the FDA may approve a BLA if it determines that the product is safe, pure and potent and the facility where the product will be manufactured meets standards designed to ensure that it continues to be safe, pure and potent.</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0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8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Accelerated Approval Pathway</w:t>
      </w:r>
    </w:p>
    <w:p>
      <w:pPr>
        <w:spacing w:after="0" w:line="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Post-Approval Regulation</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07" w:lineRule="exact"/>
        <w:rPr>
          <w:sz w:val="20"/>
          <w:szCs w:val="20"/>
          <w:color w:val="auto"/>
        </w:rPr>
      </w:pPr>
    </w:p>
    <w:p>
      <w:pPr>
        <w:ind w:left="360" w:hanging="17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refusal of the FDA to approve pending BLAs or supplements to approved BLAs, or suspension or revocation of product license approvals;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Orphan Drug Designation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Orphan drug designation qualifies a company for tax credits, waiver of the BLA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BLA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makes a major contribution to patient care.</w:t>
      </w:r>
    </w:p>
    <w:p>
      <w:pPr>
        <w:spacing w:after="0" w:line="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Biosimilars and Exclusivity</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2010 Patient Protection and Affordable Care Act, as amended by the Health Care and Education Reconciliation Act, or collectively 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Patent Term Extension</w:t>
      </w:r>
    </w:p>
    <w:p>
      <w:pPr>
        <w:spacing w:after="0" w:line="10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BLA for the product, plus the time between the submission date of the BLA and the approval of that application. Only one patent applicable to an approved product is eligible for the extension, and the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Regulation Outside the United States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Regulation and Marketing Authorization in the European Union</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EMA is the scientific agency of the European Union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 member states.</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143" w:lineRule="exact"/>
        <w:rPr>
          <w:sz w:val="20"/>
          <w:szCs w:val="20"/>
          <w:color w:val="auto"/>
        </w:rPr>
      </w:pPr>
    </w:p>
    <w:p>
      <w:pPr>
        <w:ind w:left="360" w:right="580" w:hanging="172"/>
        <w:spacing w:after="0" w:line="277"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129" w:lineRule="exact"/>
        <w:rPr>
          <w:rFonts w:ascii="Arial" w:cs="Arial" w:eastAsia="Arial" w:hAnsi="Arial"/>
          <w:sz w:val="18"/>
          <w:szCs w:val="18"/>
          <w:color w:val="auto"/>
        </w:rPr>
      </w:pPr>
    </w:p>
    <w:p>
      <w:pPr>
        <w:ind w:left="360" w:right="540" w:hanging="172"/>
        <w:spacing w:after="0" w:line="277"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or CTA, for each clinical trial, which must be approved before human clinical trials may begin;</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for each proposed indication;</w:t>
      </w:r>
    </w:p>
    <w:p>
      <w:pPr>
        <w:spacing w:after="0" w:line="198" w:lineRule="exact"/>
        <w:rPr>
          <w:rFonts w:ascii="Arial" w:cs="Arial" w:eastAsia="Arial" w:hAnsi="Arial"/>
          <w:sz w:val="18"/>
          <w:szCs w:val="18"/>
          <w:color w:val="auto"/>
        </w:rPr>
      </w:pPr>
    </w:p>
    <w:p>
      <w:pPr>
        <w:ind w:left="360" w:right="520" w:hanging="172"/>
        <w:spacing w:after="0" w:line="342" w:lineRule="auto"/>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83" w:lineRule="exact"/>
        <w:rPr>
          <w:rFonts w:ascii="Arial" w:cs="Arial" w:eastAsia="Arial" w:hAnsi="Arial"/>
          <w:sz w:val="16"/>
          <w:szCs w:val="16"/>
          <w:color w:val="auto"/>
        </w:rPr>
      </w:pPr>
    </w:p>
    <w:p>
      <w:pPr>
        <w:ind w:left="360" w:right="860" w:hanging="172"/>
        <w:spacing w:after="0" w:line="277" w:lineRule="auto"/>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and approval by the relevant competent authority of the MAA before any commercial marketing, sale or shipment of the product.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Clinical Trial Approval</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Requirements for the conduct of clinical trials in the European Union including cGCP, are implemented in the currently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5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April 2014, the European Union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European Union are required to be conducted in accordance with the Clinical Trials Directive 2001/20/EC until the new Clinical Trials Regulation (EU) No 536/2014 will become applicable. According to the current plans of the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5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new Regulation (EU) No 536/2014 aims to simplify and streamline the approval of clinical trial in the European Union. The main characteristics of the regulation include:</w:t>
      </w:r>
    </w:p>
    <w:p>
      <w:pPr>
        <w:spacing w:after="0" w:line="143" w:lineRule="exact"/>
        <w:rPr>
          <w:sz w:val="20"/>
          <w:szCs w:val="20"/>
          <w:color w:val="auto"/>
        </w:rPr>
      </w:pPr>
    </w:p>
    <w:p>
      <w:pPr>
        <w:ind w:left="360" w:hanging="17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the EU portal;</w:t>
      </w:r>
    </w:p>
    <w:p>
      <w:pPr>
        <w:spacing w:after="0" w:line="184" w:lineRule="exact"/>
        <w:rPr>
          <w:rFonts w:ascii="Arial" w:cs="Arial" w:eastAsia="Arial" w:hAnsi="Arial"/>
          <w:sz w:val="18"/>
          <w:szCs w:val="18"/>
          <w:color w:val="auto"/>
        </w:rPr>
      </w:pPr>
    </w:p>
    <w:p>
      <w:pPr>
        <w:ind w:left="360" w:right="720" w:hanging="172"/>
        <w:spacing w:after="0" w:line="27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129" w:lineRule="exact"/>
        <w:rPr>
          <w:rFonts w:ascii="Arial" w:cs="Arial" w:eastAsia="Arial" w:hAnsi="Arial"/>
          <w:sz w:val="18"/>
          <w:szCs w:val="18"/>
          <w:color w:val="auto"/>
        </w:rPr>
      </w:pPr>
    </w:p>
    <w:p>
      <w:pPr>
        <w:ind w:left="360" w:right="460" w:hanging="172"/>
        <w:spacing w:after="0" w:line="27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143" w:lineRule="exact"/>
        <w:rPr>
          <w:rFonts w:ascii="Arial" w:cs="Arial" w:eastAsia="Arial" w:hAnsi="Arial"/>
          <w:sz w:val="18"/>
          <w:szCs w:val="18"/>
          <w:color w:val="auto"/>
        </w:rPr>
      </w:pPr>
    </w:p>
    <w:p>
      <w:pPr>
        <w:ind w:left="360" w:hanging="17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184" w:lineRule="exact"/>
        <w:rPr>
          <w:rFonts w:ascii="Arial" w:cs="Arial" w:eastAsia="Arial" w:hAnsi="Arial"/>
          <w:sz w:val="18"/>
          <w:szCs w:val="18"/>
          <w:color w:val="auto"/>
        </w:rPr>
      </w:pPr>
    </w:p>
    <w:p>
      <w:pPr>
        <w:ind w:left="360" w:right="800" w:hanging="172"/>
        <w:spacing w:after="0" w:line="277"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Marketing Authorization</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Authorization to market a product in the member states of the European Union proceeds under one of four procedures: a centralized authorization procedure, a mutual recognition procedure, a decentralized procedure or a national procedure.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Centralized Authorization Procedure</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European Union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Pursuant to Regulation (EC) No 726/2004, this procedure is mandatory for:</w:t>
      </w:r>
    </w:p>
    <w:p>
      <w:pPr>
        <w:spacing w:after="0" w:line="117" w:lineRule="exact"/>
        <w:rPr>
          <w:sz w:val="20"/>
          <w:szCs w:val="20"/>
          <w:color w:val="auto"/>
        </w:rPr>
      </w:pPr>
    </w:p>
    <w:p>
      <w:pPr>
        <w:ind w:left="360" w:hanging="17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medicinal products developed by means of one of the following biotechnological processes:</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recombinant DNA technology;</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controlled expression of genes coding for biologically active proteins in prokaryotes and eukaryotes including transformed mammalian cells; and</w:t>
      </w:r>
    </w:p>
    <w:p>
      <w:pPr>
        <w:spacing w:after="0" w:line="128" w:lineRule="exact"/>
        <w:rPr>
          <w:rFonts w:ascii="Arial" w:cs="Arial" w:eastAsia="Arial" w:hAnsi="Arial"/>
          <w:sz w:val="17"/>
          <w:szCs w:val="17"/>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hybridoma and monoclonal antibody methods;</w:t>
      </w:r>
    </w:p>
    <w:p>
      <w:pPr>
        <w:spacing w:after="0" w:line="117" w:lineRule="exact"/>
        <w:rPr>
          <w:rFonts w:ascii="Arial" w:cs="Arial" w:eastAsia="Arial" w:hAnsi="Arial"/>
          <w:sz w:val="18"/>
          <w:szCs w:val="18"/>
          <w:color w:val="auto"/>
        </w:rPr>
      </w:pPr>
    </w:p>
    <w:p>
      <w:pPr>
        <w:ind w:left="360" w:hanging="17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advanced therapy medicinal products as defined in Article 2 of Regulation (EC) No 1394/2007 on advanced therapy medicinal products;</w:t>
      </w:r>
    </w:p>
    <w:p>
      <w:pPr>
        <w:spacing w:after="0" w:line="117" w:lineRule="exact"/>
        <w:rPr>
          <w:rFonts w:ascii="Arial" w:cs="Arial" w:eastAsia="Arial" w:hAnsi="Arial"/>
          <w:sz w:val="18"/>
          <w:szCs w:val="18"/>
          <w:color w:val="auto"/>
        </w:rPr>
      </w:pPr>
    </w:p>
    <w:p>
      <w:pPr>
        <w:ind w:left="360" w:right="360" w:hanging="172"/>
        <w:spacing w:after="0" w:line="277"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medicinal products for human use containing a new active substance which, on the date of entry into force of this Regulation, was not authorized in the European Union, for which the therapeutic indication is the treatment of any of the following diseases:</w:t>
      </w:r>
    </w:p>
    <w:p>
      <w:pPr>
        <w:spacing w:after="0" w:line="62"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acquired immune deficiency syndrome;</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cancer;</w:t>
      </w:r>
    </w:p>
    <w:p>
      <w:pPr>
        <w:spacing w:after="0" w:line="130"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neurodegenerative disorder;</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diabetes;</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auto-immune diseases and other immune dysfunctions; and</w:t>
      </w:r>
    </w:p>
    <w:p>
      <w:pPr>
        <w:spacing w:after="0" w:line="117" w:lineRule="exact"/>
        <w:rPr>
          <w:rFonts w:ascii="Arial" w:cs="Arial" w:eastAsia="Arial" w:hAnsi="Arial"/>
          <w:sz w:val="18"/>
          <w:szCs w:val="18"/>
          <w:color w:val="auto"/>
        </w:rPr>
      </w:pPr>
    </w:p>
    <w:p>
      <w:pPr>
        <w:ind w:left="540" w:hanging="172"/>
        <w:spacing w:after="0"/>
        <w:tabs>
          <w:tab w:leader="none" w:pos="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viral diseases; and</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medicinal products that are designated as orphan medicinal products pursuant to Regulation (EC) No 141/2000.</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European Union.</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Administrative Procedure</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European Union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Conditional Approval</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Marketing Authorization Under Exceptional Circumstances</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per Art.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Market Authorizations Granted by Authorities of EU Member States</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general, if the centralized procedure is not followed, there are three alternative procedures to obtain a marketing authorization in (one or several) EU member states as prescribed in Directive 2001/83/EC:</w:t>
      </w:r>
    </w:p>
    <w:p>
      <w:pPr>
        <w:spacing w:after="0" w:line="143" w:lineRule="exact"/>
        <w:rPr>
          <w:sz w:val="20"/>
          <w:szCs w:val="20"/>
          <w:color w:val="auto"/>
        </w:rPr>
      </w:pPr>
    </w:p>
    <w:p>
      <w:pPr>
        <w:ind w:left="360" w:right="320" w:hanging="172"/>
        <w:spacing w:after="0" w:line="277"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national procedure is only available for products intended to be authorized in a single EU member state.</w:t>
      </w:r>
    </w:p>
    <w:p>
      <w:pPr>
        <w:spacing w:after="0" w:line="184" w:lineRule="exact"/>
        <w:rPr>
          <w:rFonts w:ascii="Arial" w:cs="Arial" w:eastAsia="Arial" w:hAnsi="Arial"/>
          <w:sz w:val="18"/>
          <w:szCs w:val="18"/>
          <w:color w:val="auto"/>
        </w:rPr>
      </w:pPr>
    </w:p>
    <w:p>
      <w:pPr>
        <w:ind w:left="360" w:right="520" w:hanging="172"/>
        <w:spacing w:after="0" w:line="277"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mutual recognition procedure similar to the decentralized procedure is available when a marketing authorization has already been obtained in at least one European Union member state.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marketing authorization may be granted only to an applicant established in the European Union.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Pediatric Studies</w:t>
      </w:r>
    </w:p>
    <w:p>
      <w:pPr>
        <w:spacing w:after="0" w:line="10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Prior to obtaining a marketing authorization in the European Union, applicants have to demonstrate compliance with all measures included in an EMA-approved Paediatric Investigation Plan, or PIP, covering all subsets of the paediatric population, unless the EMA has granted (1) a product-specific waiver,</w:t>
      </w:r>
    </w:p>
    <w:p>
      <w:pPr>
        <w:ind w:right="40" w:firstLine="8"/>
        <w:spacing w:after="0" w:line="252"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class waiver, or (3) a deferral for one or more of the measures included in the PIP.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8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Period of Authorization and Renewals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w:t>
      </w:r>
    </w:p>
    <w:p>
      <w:pPr>
        <w:spacing w:after="0" w:line="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Orphan drug designation provides a number of benefits, including fee reductions, regulatory assistance, and the possibility to apply for a centralized EU marketing authorization (see “Centralized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Data Protection</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w:t>
      </w:r>
      <w:r>
        <w:rPr>
          <w:rFonts w:ascii="Arial" w:cs="Arial" w:eastAsia="Arial" w:hAnsi="Arial"/>
          <w:sz w:val="16"/>
          <w:szCs w:val="16"/>
          <w:i w:val="1"/>
          <w:iCs w:val="1"/>
          <w:color w:val="auto"/>
        </w:rPr>
        <w:t>Orphan Drug Designation and Exclusivity</w:t>
      </w:r>
      <w:r>
        <w:rPr>
          <w:rFonts w:ascii="Arial" w:cs="Arial" w:eastAsia="Arial" w:hAnsi="Arial"/>
          <w:sz w:val="16"/>
          <w:szCs w:val="16"/>
          <w:color w:val="auto"/>
        </w:rPr>
        <w:t>”). Depending upon the timing and duration of the EU marketing authorization process, products may be eligible for up to five years’ supplementary protection certificates, or SPCs, pursuant to Regulation (EC) No 469/2009. Such SPCs extend the rights under the basic patent for the drug.</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obtain authorization for a medicinal product in the European Union, we will be required to comply with a range of requirements applicable to the manufacturing, marketing, promotion and sale of medicinal products: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Pharmacovigilance and Other Requirements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6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Other requirements relate to, for example, the manufacturing of products and active pharmaceutical ingredients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European Union. Similarly, failure to comply with the EU’s requirements regarding the protection of individual personal data can also lead to significant penalties and sanctions. Individual European Union member states may also impose various sanctions and penalties in case we do not comply with locally applicable requirements.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Manufacturing</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manufacturing of authorized drugs, for which a separate manufacturer’s license is mandatory, must be conducted in strict compliance with the EMA’s cGMP requirements and comparable requirements of other regulatory bodies in the European Union,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Marketing and Promotion</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Testing in Israel</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w:t>
      </w:r>
    </w:p>
    <w:p>
      <w:pPr>
        <w:spacing w:after="0" w:line="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Other Healthcare Laws</w:t>
      </w:r>
    </w:p>
    <w:p>
      <w:pPr>
        <w:spacing w:after="0" w:line="10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Health care providers, physicians and third-party payors play a primary role in the recommendation and prescription of drug products that are granted marketing approval. Arrangements with third-party payors and customers are subject to broadly applicable fraud and abuse and other health care laws and regulations. In the United States, such restrictions under applicable federal and state healthcare laws and regulations, include the following:</w:t>
      </w:r>
    </w:p>
    <w:p>
      <w:pPr>
        <w:spacing w:after="0" w:line="120" w:lineRule="exact"/>
        <w:rPr>
          <w:sz w:val="20"/>
          <w:szCs w:val="20"/>
          <w:color w:val="auto"/>
        </w:rPr>
      </w:pPr>
    </w:p>
    <w:p>
      <w:pPr>
        <w:ind w:left="360" w:right="380" w:hanging="172"/>
        <w:spacing w:after="0" w:line="273" w:lineRule="auto"/>
        <w:tabs>
          <w:tab w:leader="none" w:pos="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37" w:lineRule="exact"/>
        <w:rPr>
          <w:rFonts w:ascii="Arial" w:cs="Arial" w:eastAsia="Arial" w:hAnsi="Arial"/>
          <w:sz w:val="17"/>
          <w:szCs w:val="17"/>
          <w:color w:val="auto"/>
        </w:rPr>
      </w:pPr>
    </w:p>
    <w:p>
      <w:pPr>
        <w:jc w:val="both"/>
        <w:ind w:left="360" w:right="800" w:hanging="172"/>
        <w:spacing w:after="0" w:line="264"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360" w:right="500" w:hanging="172"/>
        <w:spacing w:after="0" w:line="312"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52" w:lineRule="exact"/>
        <w:rPr>
          <w:rFonts w:ascii="Arial" w:cs="Arial" w:eastAsia="Arial" w:hAnsi="Arial"/>
          <w:sz w:val="16"/>
          <w:szCs w:val="16"/>
          <w:color w:val="auto"/>
        </w:rPr>
      </w:pPr>
    </w:p>
    <w:p>
      <w:pPr>
        <w:ind w:left="360" w:right="400" w:hanging="172"/>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75" w:lineRule="exact"/>
        <w:rPr>
          <w:rFonts w:ascii="Arial" w:cs="Arial" w:eastAsia="Arial" w:hAnsi="Arial"/>
          <w:sz w:val="18"/>
          <w:szCs w:val="18"/>
          <w:color w:val="auto"/>
        </w:rPr>
      </w:pPr>
    </w:p>
    <w:p>
      <w:pPr>
        <w:jc w:val="both"/>
        <w:ind w:left="360" w:right="260" w:hanging="172"/>
        <w:spacing w:after="0" w:line="264"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100" w:lineRule="exact"/>
        <w:rPr>
          <w:rFonts w:ascii="Arial" w:cs="Arial" w:eastAsia="Arial" w:hAnsi="Arial"/>
          <w:sz w:val="18"/>
          <w:szCs w:val="18"/>
          <w:color w:val="auto"/>
        </w:rPr>
      </w:pPr>
    </w:p>
    <w:p>
      <w:pPr>
        <w:ind w:left="360" w:right="400" w:hanging="172"/>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75" w:lineRule="exact"/>
        <w:rPr>
          <w:rFonts w:ascii="Arial" w:cs="Arial" w:eastAsia="Arial" w:hAnsi="Arial"/>
          <w:sz w:val="18"/>
          <w:szCs w:val="18"/>
          <w:color w:val="auto"/>
        </w:rPr>
      </w:pPr>
    </w:p>
    <w:p>
      <w:pPr>
        <w:ind w:left="360" w:right="320" w:hanging="172"/>
        <w:spacing w:after="0" w:line="279" w:lineRule="auto"/>
        <w:tabs>
          <w:tab w:leader="none" w:pos="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76" w:lineRule="exact"/>
        <w:rPr>
          <w:rFonts w:ascii="Arial" w:cs="Arial" w:eastAsia="Arial" w:hAnsi="Arial"/>
          <w:sz w:val="17"/>
          <w:szCs w:val="17"/>
          <w:color w:val="auto"/>
        </w:rPr>
      </w:pPr>
    </w:p>
    <w:p>
      <w:pPr>
        <w:ind w:left="360" w:right="360" w:hanging="172"/>
        <w:spacing w:after="0" w:line="272" w:lineRule="auto"/>
        <w:tabs>
          <w:tab w:leader="none" w:pos="3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items or services reimbursed by any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96" w:lineRule="exact"/>
        <w:rPr>
          <w:rFonts w:ascii="Arial" w:cs="Arial" w:eastAsia="Arial" w:hAnsi="Arial"/>
          <w:sz w:val="17"/>
          <w:szCs w:val="17"/>
          <w:color w:val="auto"/>
        </w:rPr>
      </w:pPr>
    </w:p>
    <w:p>
      <w:pPr>
        <w:ind w:left="360" w:right="480" w:hanging="172"/>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Environmental, Health and Safety</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further subject to various foreign, national, federal, state and local laws and regulations relating to environmental, health and safety matters, including the handling, disposal, release, and use of and maintenance of a registry for hazardous materials, among others. Although we do not believe that we will be required to make material operating or capital expenditures in connection with such laws and regulations, we may be required to incur significant costs to comply with these laws and regulations in the</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Pharmaceutical Pricing and Reimbursement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members of Congress and the new administration.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payor’s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containment of healthcare costs has become a priority of governments, and the prices of drugs have been a focus in this effort. Third-party payors are increasingly challenging the prices charged for medical products and services and examining the medical necessity and cost 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Health Care Reform</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December 2017, the Tax Cuts and Jobs Act was enacted and signed into law, one part of which repeals the “individual mandate” introduced by the ACA starting in 2019. Considerable uncertainty remains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Organization</w:t>
      </w:r>
    </w:p>
    <w:p>
      <w:pPr>
        <w:spacing w:after="0" w:line="1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were incorporated in September 2009, and commenced operations as a joint venture of D.N.A Biomedical and Oramed in June 2010 to pursue the development of pharmaceutical products for the oral delivery of proteins. In connection with our founding, Oramed licensed to us the use of certain of its patent rights relating to the oral delivery of drugs. In February 2011, Oramed sold the majority of its holdings in us to D.N.A Biomedical and, assigned to us its patent rights that it had previously licensed to us, in exchange for an exclusive license to use the assigned patent rights in the fields of diabetes and influenza and for royalties of 3% of our net revenues generated from the use or other exploitation of the assigned patent rights. In March 2011, D.N.A Biomedical and Oramed terminated the joint venture. We began operations in August 2010, and our operations to date have included developing our drug delivery technology for the oral administration of proteins and large molecules, in particular our oral PTH (1-34) product candidates.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we had 16 employees and one consultant who provides consulting services to us on a full-time basis. Four of our employees have either PhDs or MDs. All of our employees are located in Israel. We believe that we maintain good relations with all of our employees and consultants. We are not a party to any collective labor agreements. In addition, we have entered into service agreements with three of our directors. See “Certain Relationships and Related Party Transactions — Service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corporate headquarters and research facilities are located in Jerusalem, Israel, where we lease office and laboratory space pursuant to a lease agreement that will expire on June 30, 2023, with a one-time option for early termination by us on June 30, 2020. This facility also houses our clinical development, clinical operations, regulatory and management functions.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We believe that suitable additional space would be available if required in the future on commercially reasonable terms.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are not currently a party to any material legal proceedings. Emisphere Technologies, Inc., or Emisphere, has notified us that it believes that it is the exclusive owner of certain U.S. and related foreign patents and patent applications we acquired from Oramed Ltd.; however, Emisphere has not initiated a legal proceeding against us regarding its claim. For more information on the risks related to Emisphere’s claim, see “Risk Factors — Risks Related to Our Intellectual Property — </w:t>
      </w:r>
      <w:r>
        <w:rPr>
          <w:rFonts w:ascii="Arial" w:cs="Arial" w:eastAsia="Arial" w:hAnsi="Arial"/>
          <w:sz w:val="18"/>
          <w:szCs w:val="18"/>
          <w:i w:val="1"/>
          <w:iCs w:val="1"/>
          <w:color w:val="auto"/>
        </w:rPr>
        <w:t>We may become involved in proceedings to protect or enforce our proprietary rights, which could be expensive and time consuming,</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ultimately be unsuccessful</w:t>
      </w:r>
      <w:r>
        <w:rPr>
          <w:rFonts w:ascii="Arial" w:cs="Arial" w:eastAsia="Arial" w:hAnsi="Arial"/>
          <w:sz w:val="18"/>
          <w:szCs w:val="18"/>
          <w:color w:val="auto"/>
        </w:rPr>
        <w:t>.”</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gridSpan w:val="2"/>
          </w:tcPr>
          <w:p>
            <w:pPr>
              <w:ind w:left="1580"/>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65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40" w:type="dxa"/>
            <w:vAlign w:val="bottom"/>
          </w:tcPr>
          <w:p>
            <w:pPr>
              <w:spacing w:after="0"/>
              <w:rPr>
                <w:sz w:val="21"/>
                <w:szCs w:val="21"/>
                <w:color w:val="auto"/>
              </w:rPr>
            </w:pP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Dr. Phillip Schwartz</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Mira Rosenzweig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Dr. Hillel Galitzer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Dr. Miriam Blum</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Chief Medical Officer</w:t>
            </w:r>
          </w:p>
        </w:tc>
      </w:tr>
      <w:tr>
        <w:trPr>
          <w:trHeight w:val="365"/>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Luke M. Beshar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Roger Garceau</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Gerald Lieberman(1)(2)(3)</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Zeev Bronfeld(1)(2)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David Ben Ami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Chaim Davis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Yonatan Malca(1)(2)</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7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151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12"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be appointed as a member of our Audit Committee.</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be appointed as a member of our Compensation Committee.</w:t>
      </w:r>
    </w:p>
    <w:p>
      <w:pPr>
        <w:spacing w:after="0" w:line="68" w:lineRule="exact"/>
        <w:rPr>
          <w:rFonts w:ascii="Arial" w:cs="Arial" w:eastAsia="Arial" w:hAnsi="Arial"/>
          <w:sz w:val="14"/>
          <w:szCs w:val="14"/>
          <w:color w:val="auto"/>
        </w:rPr>
      </w:pPr>
    </w:p>
    <w:p>
      <w:pPr>
        <w:ind w:left="360" w:hanging="352"/>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Independent director under the rules of NASDAQ Capital Market.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Phillip Schwartz </w:t>
      </w:r>
      <w:r>
        <w:rPr>
          <w:rFonts w:ascii="Arial" w:cs="Arial" w:eastAsia="Arial" w:hAnsi="Arial"/>
          <w:sz w:val="17"/>
          <w:szCs w:val="17"/>
          <w:color w:val="auto"/>
        </w:rPr>
        <w:t>has served as our Chief Executive Officer and as a Director since our inception in 2010. He previously served as the manager of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affairs at Endo Pharmaceuticals from 2005 to 2010 and at Serono from 2002 to 2005, and held multiple positions in medical affairs, business development and clinical trial development at each of Endo Pharmaceuticals and Serono. He has also worked as an external consultant for a number of venture capital firms. Dr. Schwartz has more than 20 years of biotech and pharmaceutical industry experience. He has also consulted privately and served as an associate of Health Advances, LLC for more than 20 large biotech and pharmaceutical companies from 2000 to 2002. He has multiple publications in peer-reviewed journals and has presented papers at numerous international conferences. Dr. Schwartz completed his B.A. in psychology and architecture at Columbia University in 1987, and during that time he also worked in the neurobiology laboratory of Nobel Laureate Professor Torsten Wiesel of the Rockefeller University. Dr. Schwartz then studied immunology with Professor Irun Cohen at the Weizmann Institute, receiving his M.Sc. in 1991. In 1997, Dr. Schwartz received his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pacing w:after="0" w:line="7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Mira Rosenzweig </w:t>
      </w:r>
      <w:r>
        <w:rPr>
          <w:rFonts w:ascii="Arial" w:cs="Arial" w:eastAsia="Arial" w:hAnsi="Arial"/>
          <w:sz w:val="17"/>
          <w:szCs w:val="17"/>
          <w:color w:val="auto"/>
        </w:rPr>
        <w:t>has served as our Chief Financial Officer since May 2014. Ms. Rosenzweig served as the Chief Financial Officer of Paskal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Ltd., a company that provides solutions for the agriculture industry, from May 2013 to May 2014. Prior to that, from September 2008 to November 2011, Ms. Rosenzweig served as the vice president and chief financial officer of Camtek Ltd. (NASDAQ: CAMT), a company that provides automated solutions for the semiconductors and printed circuit board industries. From August 2006 to August 2008, Ms. Rosenzweig served as director of finance and from August 2001 to 2006 as a controller and in various other positions for Elron Electronic Industries Ltd., then-traded on NASDAQ. Ms. Rosenzweig is a certified public accountant and holds a B.A. in Accounting and Economics from the University of Haifa, Israel.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Dr. Hillel Galitzer </w:t>
      </w:r>
      <w:r>
        <w:rPr>
          <w:rFonts w:ascii="Arial" w:cs="Arial" w:eastAsia="Arial" w:hAnsi="Arial"/>
          <w:sz w:val="17"/>
          <w:szCs w:val="17"/>
          <w:color w:val="auto"/>
        </w:rPr>
        <w:t>has served as our Chief Operating Officer since February 2014, and prior to that served as our Director of Scientific Development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2012. Between August 2010 and February 2014, Dr. Galitzer was an analyst and the chief operating officer for Hadasit Bio Holdings Ltd., a publicly traded company on the Tel Aviv Stock Exchange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Dr. Miriam Blum </w:t>
      </w:r>
      <w:r>
        <w:rPr>
          <w:rFonts w:ascii="Arial" w:cs="Arial" w:eastAsia="Arial" w:hAnsi="Arial"/>
          <w:sz w:val="16"/>
          <w:szCs w:val="16"/>
          <w:color w:val="auto"/>
        </w:rPr>
        <w:t>has served as our Chief Medical Officer since January 2015. Dr. Blum completed her residency in internal medicine and fellowships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endocrinology and bone metabolism at Mount Sinai Medical Center. Dr. Blum has received multiple research grants in bone metabolism as well as the prestigious NIH K23 grant for exceptional young investigators. She has supervised multiple academic and pharmaceutical clinical trials in vitamin D and calcium metabolism. Dr. Blum was formerly Associate Professor and attending physician at Tufts University Medical School and The New England Medical Center. She received an M.D. from SUNY Downstate Medical School. Dr. Blum is the wife of Dr. Phillip Schwartz, our Chief Executive Officer and director.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Luke M. Beshar </w:t>
      </w:r>
      <w:r>
        <w:rPr>
          <w:rFonts w:ascii="Arial" w:cs="Arial" w:eastAsia="Arial" w:hAnsi="Arial"/>
          <w:sz w:val="16"/>
          <w:szCs w:val="16"/>
          <w:color w:val="auto"/>
        </w:rPr>
        <w:t>has served as a director since December 2015, and as the executive chairman of our board of directors since December 2016. Previously,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Mr. Beshar served as Chief Financial Officer and Executive Vice President of NPS Pharmaceuticals, Inc. since November 2007 and January 2012,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until February 2015, when NPS Pharmaceuticals was acquired by Shire plc. Prior to that he served in several managerial positions with NPS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Netexit, Inc. Camberx Corporation, Cegedim Inc., Expanets, Inc., PNY Technologies, Inc., Dendrite International, WSR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Genlyte Group, Inc. and Bairnco Corporation. Mr. Beshar has been an independent director of Trillium Therapeutics Inc. (NASDAQ: TRIL),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2014 and Regenxbio Inc. (NASDAQ: RGNX) since April 2015. He is a Member of the New York Society of Certified Public Accountants. He has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 in Accounting and Finance from Michigan State University and is a graduate of the Executive Program of the Darden Graduate Business School 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University of Virginia.</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Dr. Roger Garceau </w:t>
      </w:r>
      <w:r>
        <w:rPr>
          <w:rFonts w:ascii="Arial" w:cs="Arial" w:eastAsia="Arial" w:hAnsi="Arial"/>
          <w:sz w:val="16"/>
          <w:szCs w:val="16"/>
          <w:color w:val="auto"/>
        </w:rPr>
        <w:t>has served as a member of our board of directors since March 2016 and as our Chief Development Advisor since December 2016.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joining Entera, Dr. Garceau served as Chief Medical Officer and Executive Vice President of NPS Pharmaceuticals, Inc. since December 2008 and January 2013 respectively, until February 2015, when NPS Pharmaceuticals was acquired by Shire plc. Previously, Dr. Garceau served in several managerial positions with NPS Pharmaceuticals, Inc. Sanofi-aventis and Pharmacia Corporation. Dr. Garceau has been a non-executive director of Enterome SA since December 2016. Dr. Garceau is a board-certified pediatrician and is a Fellow of the American Academy of Pediatrics. Dr. Garceau holds a B.S. in Biology from Fairfield University in Fairfield, Connecticut and an M.D. from the University of Massachusetts Medical School.</w:t>
      </w:r>
    </w:p>
    <w:p>
      <w:pPr>
        <w:spacing w:after="0" w:line="5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Gerald Lieberman </w:t>
      </w:r>
      <w:r>
        <w:rPr>
          <w:rFonts w:ascii="Arial" w:cs="Arial" w:eastAsia="Arial" w:hAnsi="Arial"/>
          <w:sz w:val="16"/>
          <w:szCs w:val="16"/>
          <w:color w:val="auto"/>
        </w:rPr>
        <w:t>has served as a member of our board of directors since 2014. Mr. Lieberman was the former president and chief operating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AllianceBernstein L.P. until 2009. There, he was elected chief operating officer and a director in November 2003 and added the title of president in November 2004. Prior to that, Mr. Lieberman was senior vice president for finance and administration at Sanford C. Bernstein &amp; Co., Inc. He has also held senior roles at Fidelity Investments and Citicorp. From 2011 to 2014, he served on the board of directors of Forest Laboratories Inc., which was acquired by Actavis plc in 2014. Mr. Lieberman currently serves on the board of Teva Pharmaceutical Industries Ltd. Mr. Lieberman earned a B.S. with honors from the University of Connecticut and attended New York University’s Graduate School of Business Administration. He is a certified public accountant.</w:t>
      </w:r>
    </w:p>
    <w:p>
      <w:pPr>
        <w:spacing w:after="0" w:line="5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 xml:space="preserve">Zeev Bronfeld </w:t>
      </w:r>
      <w:r>
        <w:rPr>
          <w:rFonts w:ascii="Arial" w:cs="Arial" w:eastAsia="Arial" w:hAnsi="Arial"/>
          <w:sz w:val="17"/>
          <w:szCs w:val="17"/>
          <w:color w:val="auto"/>
        </w:rPr>
        <w:t>has served as a member of our board of directors since 2010 and as chairman of our board of directors from September 2014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2016. Mr. Bronfeld, is a co-founder of Bio-Cell Ltd., an Israeli publicly traded holding company specializing in biotechnology companies, and served as its chief executive officer from 1986 until December 2014. Since 2003, Mr. Bronfeld served as the chief executive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officer of M.B.R.T Development and Investments Ltd. Mr. Bronfeld has vast experience in the management and value building of biotechnology companies. From 2010 through July 2014, he served as the chairman of the board of Protalix BioTherapeutics, Inc. (NYSE: PLX) and has served as a member of its board of directors since 2006. In addition, Mr. Bronfeld serves on the board of directors of D.N.A Biomedical Solutions Ltd. and of The Trendlines Group Ltd. Until December 2016 he served as a director of D. Medical Industries Ltd. and Nasvax Ltd. Until January 2017, Mr. Bronfeld also served as a director of Macrocure Ltd. Mr. Bronfeld also serves as a director of a number of privately-held companies, including, Contipi Medical Ltd. and as the chairman of the board of TransBiodiesel Ltd. Mr. Bronfeld holds a B.A. in Economics from the Hebrew University of Jerusalem. Mr. Bronfeld serves on our board of directors as a designee of D.N.A Biomedical pursuant to rights granted to D.N.A Biomedical under our articles of association as in effect prior to the closing of this offering.</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David Ben Ami </w:t>
      </w:r>
      <w:r>
        <w:rPr>
          <w:rFonts w:ascii="Arial" w:cs="Arial" w:eastAsia="Arial" w:hAnsi="Arial"/>
          <w:sz w:val="16"/>
          <w:szCs w:val="16"/>
          <w:color w:val="auto"/>
        </w:rPr>
        <w:t>has served as a member of our board of directors since 2014. Mr. Ben Ami is the Managing Partner of Corundum Open Innovation Fund,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sciences venture capital fund, and the Executive Investment Director of SBI JI Innovation Advisory Ltd. Mr. Ben Ami has more than 25 years of experience with activities in management, business development, corporate strategy and investments in the life sciences industry. He served as chief executive officer of NVR Labs Ltd. from 2005 to 2010, Israeli Country Manager of Boston Scientific, Israel from 2003 to 2005, and director of business development of Teva Israel and Teva Medical from 1999 to 2002. In 2008, he founded Macrocure Ltd., and served as the chairman of the board of directors of Macrocure from 2008 until 2016. Mr. Ben Ami currently serves, and in the past served as a board member in numerous companies including: Immunobrain Checkpoint Inc., Novolog Ltd., Degania Medical Ltd., Biocell Ltd., Meytav Technology Incubator, Hairstetics Ltd., VVT Medical and Contipi Medical Ltd. He received his M.B.A. and B.A. in Economics &amp; Management from Tel-Aviv University. Mr. Ben Ami serves on our board of directors as a designee of the Centillion Fund pursuant to rights granted to Centillion Fund under our articles of association as in effect prior to the closing of this offering. For further information regarding our commitment under certain circumstances to nominate one director nominee designated by Centillion Fund following the closing of this offering, see “— Arrangements for Election of Directors.” Following the consummation of this offering, Mr. Ben Ami intends to resign from our board.</w:t>
      </w:r>
    </w:p>
    <w:p>
      <w:pPr>
        <w:spacing w:after="0" w:line="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Chaim Davis </w:t>
      </w:r>
      <w:r>
        <w:rPr>
          <w:rFonts w:ascii="Arial" w:cs="Arial" w:eastAsia="Arial" w:hAnsi="Arial"/>
          <w:sz w:val="17"/>
          <w:szCs w:val="17"/>
          <w:color w:val="auto"/>
        </w:rPr>
        <w:t>has served as a member of our board of directors since 2013. Mr. Davis is the managing member of the Revach Fund L.P., a sector-specific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lifescience fund focusing on micro to mid-cap companies, which he founded in 2005. He has served on the board of American Bio Medica since June 2017. He has also served as a consultant to other hedge funds including Gem Partners, KOM Capital Management and Maot Group. From 2010 to 2014, he served as a director of AtheroNova Inc. (OTCBQ: AHRO), and from 2001 to 2004, he served as a healthcare analyst at The Garnet Group. Mr. Davis received his B.A. from Columbia University. Mr. Davis serves on our board of directors as a designee of certain of our shareholders who are lenders under certain of our convertible financing agreements, pursuant to rights granted to these lenders under the current Articles, as in effect prior to the closing of this offering. Following the consummation of this offering, Mr. Davis intends to resign from our board.</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Yonatan Malca </w:t>
      </w:r>
      <w:r>
        <w:rPr>
          <w:rFonts w:ascii="Arial" w:cs="Arial" w:eastAsia="Arial" w:hAnsi="Arial"/>
          <w:sz w:val="17"/>
          <w:szCs w:val="17"/>
          <w:color w:val="auto"/>
        </w:rPr>
        <w:t>has served as a member of our board of directors since 2011. Mr. Malca currently serves as a Chief Executive Officer and Director of D.N.A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Biomedical Solutions Ltd., a position he has held since 2010. Mr. Malca also serves as a director of Arko Holdings Ltd. and of Tamda Ltd., both of which are Israeli public companies. Mr. Malca also serves on the board of directors of a number of private companies, including as chairman of the board of directors of Cardioart Technologies Ltd., a medical device company, and Beamed Ltd., a medical device company (a subsidiary of D.N.A Biomedical). Mr. Malca received a B.A. and an M.A. from Bar Ilan University, Israel. Mr. Malca serves on our board of directors as a designee of D.N.A Biomedical pursuant to rights granted to D.N.A Biomedical under our articles of association as in effect prior to the closing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for Election of Directors</w:t>
      </w:r>
    </w:p>
    <w:p>
      <w:pPr>
        <w:spacing w:after="0" w:line="10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Pursuant to the terms of the amended and restated investors’ rights agreement among us, the Centillion Fund, or Centillion, and the other parties thereto, following the consummation of this offering, for as long as Centillion and its affiliates hold an aggregate of at least 10% of our issued and outstanding ordinary</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6.5% of our issued and outstanding ordinary shares, and in the event that Centillion exercises in full all of the warrants to purchase our ordinary shares that we will have issued to it as of such date, Centillion will hold approximately 12% of our issued and outstanding ordinary shares.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incorporated in Israel and therefore are subject to various corporate governance practices under the Israeli Companies Law, 5759-1999, or the Companies Law, relating to such matters as external directors, financial experts, our audit committee, our compensation committee and our internal auditor. These matters are in addition to the requirements of the NASDAQ Capital Market and other applicable provisions of U.S. securities laws. As a foreign private issuer whose shares will be listed on the NASDAQ Capital Market, we have the option to follow certain Israeli corporate governance practices rather than those of the NASDAQ Capital Market, except to the extent that such laws would be contrary to U.S. securities laws and provided that we disclose the practices that we are not following and describe the home country practices we follow instead. We intend to rely on this “foreign private issuer exemption” with respect to the following NASDAQ Capital Market requirements:</w:t>
      </w:r>
    </w:p>
    <w:p>
      <w:pPr>
        <w:spacing w:after="0" w:line="151" w:lineRule="exact"/>
        <w:rPr>
          <w:sz w:val="20"/>
          <w:szCs w:val="20"/>
          <w:color w:val="auto"/>
        </w:rPr>
      </w:pPr>
    </w:p>
    <w:p>
      <w:pPr>
        <w:ind w:left="360" w:right="320" w:hanging="172"/>
        <w:spacing w:after="0" w:line="272" w:lineRule="auto"/>
        <w:tabs>
          <w:tab w:leader="none" w:pos="3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Although the NASDAQ Capital Market listing requirements generally require shareholder approval of equity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and material amendments thereto, we intend to follow Israeli practice, which is to have such plans and amendments approved only by the board of directors, unless such arrangements are for the compensation of chief executive officer or directors, in which case they also require the approval of the compensation committee and the shareholders. In addition, rather than follow the NASDAQ Capital Market listing requirements requiring shareholder approval for the issuance of securities in certain circumstances, we intend to follow Israeli law applicable to us, which requires shareholder approval in the event of issuances to certain related parties, as described below under “Fiduciary Duties and Approval of Related Party Transactions — Approval of Related Party Transactions”.</w:t>
      </w:r>
    </w:p>
    <w:p>
      <w:pPr>
        <w:spacing w:after="0" w:line="137" w:lineRule="exact"/>
        <w:rPr>
          <w:rFonts w:ascii="Arial" w:cs="Arial" w:eastAsia="Arial" w:hAnsi="Arial"/>
          <w:sz w:val="17"/>
          <w:szCs w:val="17"/>
          <w:color w:val="auto"/>
        </w:rPr>
      </w:pPr>
    </w:p>
    <w:p>
      <w:pPr>
        <w:ind w:left="360" w:right="360" w:hanging="172"/>
        <w:spacing w:after="0" w:line="276" w:lineRule="auto"/>
        <w:tabs>
          <w:tab w:leader="none" w:pos="36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Shareholder Quorum. </w:t>
      </w:r>
      <w:r>
        <w:rPr>
          <w:rFonts w:ascii="Arial" w:cs="Arial" w:eastAsia="Arial" w:hAnsi="Arial"/>
          <w:sz w:val="17"/>
          <w:szCs w:val="17"/>
          <w:color w:val="auto"/>
        </w:rPr>
        <w:t>The NASDAQ Capital Market listing requirements require that an issuer have a quorum requirement for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of at least one-third of the outstanding shares of the issuer’s common voting stock. As permitted under the Companies Law, pursuant to our amended Articles to be in effect immediately upon the closing of this offering,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132" w:lineRule="exact"/>
        <w:rPr>
          <w:rFonts w:ascii="Arial" w:cs="Arial" w:eastAsia="Arial" w:hAnsi="Arial"/>
          <w:sz w:val="17"/>
          <w:szCs w:val="17"/>
          <w:color w:val="auto"/>
        </w:rPr>
      </w:pPr>
    </w:p>
    <w:p>
      <w:pPr>
        <w:ind w:left="360" w:right="680" w:hanging="172"/>
        <w:spacing w:after="0" w:line="297" w:lineRule="auto"/>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NASDAQ Capital Market listing requirements require a listed company to have a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composed 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will be governed by the Companies Law, rather than the NASDAQ Capital Market listing requirements. In addition, under the Companies Law, there are no specific independence evaluation requirements for outside consultants.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right="600" w:hanging="172"/>
        <w:spacing w:after="0" w:line="259" w:lineRule="auto"/>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Independent Approval of Board Nominations</w:t>
      </w:r>
      <w:r>
        <w:rPr>
          <w:rFonts w:ascii="Arial" w:cs="Arial" w:eastAsia="Arial" w:hAnsi="Arial"/>
          <w:sz w:val="18"/>
          <w:szCs w:val="18"/>
          <w:color w:val="auto"/>
        </w:rPr>
        <w:t>. The NASDAQ Capital Market listing requirements require a listed company to have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the approval of board nominations, either through an independent nominating committee or through a vote by a majority of the company’s independent directors. Under the Companies Law, there is no requirement to have a nominating committee or that board nominees be approved by independent directors.</w:t>
      </w:r>
    </w:p>
    <w:p>
      <w:pPr>
        <w:spacing w:after="0" w:line="119" w:lineRule="exact"/>
        <w:rPr>
          <w:rFonts w:ascii="Arial" w:cs="Arial" w:eastAsia="Arial" w:hAnsi="Arial"/>
          <w:sz w:val="18"/>
          <w:szCs w:val="18"/>
          <w:color w:val="auto"/>
        </w:rPr>
      </w:pPr>
    </w:p>
    <w:p>
      <w:pPr>
        <w:ind w:left="360" w:right="440" w:hanging="172"/>
        <w:spacing w:after="0" w:line="286" w:lineRule="auto"/>
        <w:tabs>
          <w:tab w:leader="none" w:pos="36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Directors. </w:t>
      </w:r>
      <w:r>
        <w:rPr>
          <w:rFonts w:ascii="Arial" w:cs="Arial" w:eastAsia="Arial" w:hAnsi="Arial"/>
          <w:sz w:val="17"/>
          <w:szCs w:val="17"/>
          <w:color w:val="auto"/>
        </w:rPr>
        <w:t>Under the NASDAQ Capital Market listing requirements, a majority of the board of directors must be independent.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Companies Law, there is no requirement that a majority of the board be independent, rather only that at least two directors meet certain independence requirements and be classified as external directors for purposes of the Companies Law. See “— External Directors.”</w:t>
      </w:r>
    </w:p>
    <w:p>
      <w:pPr>
        <w:spacing w:after="0" w:line="97" w:lineRule="exact"/>
        <w:rPr>
          <w:rFonts w:ascii="Arial" w:cs="Arial" w:eastAsia="Arial" w:hAnsi="Arial"/>
          <w:sz w:val="17"/>
          <w:szCs w:val="17"/>
          <w:color w:val="auto"/>
        </w:rPr>
      </w:pPr>
    </w:p>
    <w:p>
      <w:pPr>
        <w:ind w:left="360" w:right="360" w:hanging="172"/>
        <w:spacing w:after="0" w:line="264" w:lineRule="auto"/>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Executive Sessions</w:t>
      </w:r>
      <w:r>
        <w:rPr>
          <w:rFonts w:ascii="Arial" w:cs="Arial" w:eastAsia="Arial" w:hAnsi="Arial"/>
          <w:sz w:val="18"/>
          <w:szCs w:val="18"/>
          <w:color w:val="auto"/>
        </w:rPr>
        <w:t>. The NASDAQ Capital Market listing requirements require that independent directors hold regularly scheduled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sessions, where only independent directors are present. Under the Companies Law, our independent directors may choose to hold executive sessions at their discretion, but are not required to do so.</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as stated above, we intend to substantially comply with the rules applicable to U.S. companies listed on the NASDAQ Capital Market. We may in the future decide to avail ourselves of other foreign private issuer exemptions with respect to some or all of the other NASDAQ Capital Market listing requirements from which exemptions are available to foreign private issuers. Following our home country governance practices, as opposed to the requirements that would otherwise apply to a company listed on the NASDAQ Capital Market, may provide less protection than is accorded to investors under the NASDAQ Capital Market listing requirements applicable to domestic issuers.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Following the consummation of this offering, Chaim Davis and David Ben-Ami intend to resign from our board, and therefore, we expect that our board of directors will consist of six directors. Pursuant to the three month transition period permitted under the Companies Law, within three months following our listing on the NASDAQ Capital Market, we intend to nominate two external directors whose appointment would fulfill the requirements of the Companies Law. See “— External Directors.” In addition, we anticipate that these two directors would qualify as independent directors under the corporate governance standards of the NASDAQ Capital Market listing requirements and the audit committee independence requirements of Rule 10A-3 of the Securities Exchange Act of 1934, as amended, or the Exchange Act. Currently, our director Gerald Lieberman is the only member of our board of directors that satisfies these independence requirements of the NASDAQ Capital Market listing requirements and the Exchange Act.</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According to our amended Articles, the number of members of our board of directors must be at least three and cannot be more than nine. Our board of directors, other than external directors, will be divided into three classes, with staggered three-year terms and one director class coming up for election each year. The Class I, Class II and Class III directors will serve until our annual meetings of shareholders in 2019, 2020 and 2021, respectively. The members of the classes at the closing of this offering will be divided as follows:</w:t>
      </w:r>
    </w:p>
    <w:p>
      <w:pPr>
        <w:spacing w:after="0" w:line="119" w:lineRule="exact"/>
        <w:rPr>
          <w:sz w:val="20"/>
          <w:szCs w:val="20"/>
          <w:color w:val="auto"/>
        </w:rPr>
      </w:pPr>
    </w:p>
    <w:p>
      <w:pPr>
        <w:ind w:left="360" w:hanging="172"/>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 directors are Zeev Bronfeld and Roger Garceau;</w:t>
      </w:r>
    </w:p>
    <w:p>
      <w:pPr>
        <w:spacing w:after="0" w:line="157" w:lineRule="exact"/>
        <w:rPr>
          <w:rFonts w:ascii="Arial" w:cs="Arial" w:eastAsia="Arial" w:hAnsi="Arial"/>
          <w:sz w:val="18"/>
          <w:szCs w:val="18"/>
          <w:color w:val="auto"/>
        </w:rPr>
      </w:pPr>
    </w:p>
    <w:p>
      <w:pPr>
        <w:ind w:left="360" w:hanging="172"/>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II directors are Phillip Schwartz and Yonatan Malca; and</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Class III directors are Gerald Lieberman and Luke Beshar.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board of directors is also authorized to appoint directors in order to fill vacancies, including filling empty board seats if the number of directors is below the maximum number permitted under our amended Articles. Each of our directors, other than our external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Companies Law, companies incorporated under the laws of the States of Israel that are “public companies,” including companies with shares listed on the NASDAQ Capital Market, are generally required to have at least two external directors who meet certain independence criteria to ensure that they are unaffiliated with the company and its controlling shareholder(s). Pursuant to the applicable transition period rules under the Companies Law, our external directors must be elected by our shareholders no later than three months following the completion of this offering.</w:t>
      </w:r>
    </w:p>
    <w:p>
      <w:pPr>
        <w:spacing w:after="0" w:line="5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An external director must also have either financial and accounting expertise or professional qualifications, as defined in regulations promulgated under the Companies Law, and at least one of the external directors is required to have financial and accounting expertise. An external director is entitled to reimbursement of expenses and compensation as provided in regulations promulgated under the Companies Law but is otherwise prohibited from receiving any other compensation from us, directly or indirectly, during his term and for two years thereafter.</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Companies Law, external directors must be elected at a shareholders’ meeting by a simple majority of the votes cast on the matter, provided that such majority includes a majority of the votes cast by non-controlling shareholders and shareholders who do not have a personal interest in the election (excluding a personal interest that did not result from the shareholder’s relationship with the controlling shareholder), unless the votes cast by such shareholders against the election did not exceed 2% of our aggregate voting rights. External directors serve for up to three terms of three years each, and our audit committee and board of directors may nominate them for additional terms under certain circumstances. Even if an external director is not nominated by our board of directors for re-election for a second or third term, shareholders holding at least 1% of our voting rights or the external director may nominate the external director for re-election. In such a case, the re-election can be approved by a majority of the votes cast by non-controlling shareholders and shareholders who do not have a personal interest in the election (excluding a personal interest that did not result from the shareholder’s relationship with the controlling shareholder) and the votes cast by such shareholders approving the election exceed 2% of our aggregate voting rights.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board of directors has resolved that at least one of its members must have financial and accounting expertise, as defined in regulations promulgated under the Companies Law. Our board of directors has determined that Gerald Lieberman meets such qualifications.</w:t>
      </w:r>
    </w:p>
    <w:p>
      <w:pPr>
        <w:spacing w:after="0" w:line="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our board of directors has determined that Gerald Lieberman, who has been nominated to serve on our audit committee, is financially literate as determined in accordance with the NASDAQ Capital Market listing requirements and that Mr. Lieberman is qualified to serve as an “audit committee financial expert” as defined by SEC rules.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1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amended Articles provide that, as permitted under Israeli law, any director may appoint another person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Committees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established the following committees:</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Audit Committee</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the NASDAQ Capital Market, is defined as either an external director or as a director who meets the following criteria:</w:t>
      </w:r>
    </w:p>
    <w:p>
      <w:pPr>
        <w:spacing w:after="0" w:line="98" w:lineRule="exact"/>
        <w:rPr>
          <w:sz w:val="20"/>
          <w:szCs w:val="20"/>
          <w:color w:val="auto"/>
        </w:rPr>
      </w:pPr>
    </w:p>
    <w:p>
      <w:pPr>
        <w:ind w:left="360" w:right="1100" w:hanging="172"/>
        <w:spacing w:after="0" w:line="277"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75" w:lineRule="exact"/>
        <w:rPr>
          <w:rFonts w:ascii="Arial" w:cs="Arial" w:eastAsia="Arial" w:hAnsi="Arial"/>
          <w:sz w:val="18"/>
          <w:szCs w:val="18"/>
          <w:color w:val="auto"/>
        </w:rPr>
      </w:pPr>
    </w:p>
    <w:p>
      <w:pPr>
        <w:jc w:val="both"/>
        <w:ind w:left="360" w:right="400" w:hanging="172"/>
        <w:spacing w:after="0" w:line="342" w:lineRule="auto"/>
        <w:tabs>
          <w:tab w:leader="none" w:pos="3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the NASDAQ Capital Market listing requirements, we are required to maintain an audit committee consisting of at least three independent directors, each of whom is financially literate and one of whom has accounting or related financial management expertise.</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responsibilities of an audit committee under the Companies Law include identifying and addressing flaws in the management of the company, reviewing and approving interested party transactions, establishing whistleblower procedures, overseeing the company’s internal audit system and the performance of its internal auditor, assessing the scope of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audit committee is also responsible for the appointment (subject to ratification by the board of directors and shareholders),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Upon completion of this offering, our audit committee will initially consist of Gerald Lieberman (Chairman), Zeev Bronfeld and Yonatan Malca. Pursuant to the applicable transition period rules, we anticipate that our audit committee will satisfy the requirements of the Companies Law (subject to shareholder approval of our external directors within three months following the consummation of the offering), the Exchange Act and the NASDAQ Capital Market listing requirements within a period of</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three months following our listing on the NASDAQ Capital Market. After the applicable transition period of three months, all of the members will be external directors or would be eligible to qualify as independent directors as defined in the Companies Law and all of the members will also be independent as defined in SEC rules and the NASDAQ Capital Market listing requirements.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Compensation Committee</w:t>
      </w:r>
    </w:p>
    <w:p>
      <w:pPr>
        <w:spacing w:after="0" w:line="10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 The responsibilities of a compensation committee under the Companies Law include recommending to the board of directors, for ultimate shareholder approval by a special majority, a policy governing the compensation of officers and directors based on specified criteria, reviewing modifications to the compensation policy from time to time, reviewing its implementation and approving, if required by the Companies Law, the actual compensation terms of officers and directors prior to approval by the board of directors, under circumstances where board approval is required under the Companies Law.</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completion of this offering, we will have a compensation committee consisting Gerald Lieberman (Chairman), Zeev Bronfeld and Yonatan Malca. Pursuant to the applicable transition period of three months, our compensation committee will satisfy the requirements of the Companies Law (subject to shareholder approval of our external directors within three months following the consummation of the offering), but not the NASDAQ Capital Market listing standards applicable to compensation committees, which the Company has chosen to opt out of as a foreign private issuer. See “— Corporate Governance Practices”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10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Companies Law, the board of directors is required to appoint an internal auditor recommended by the audit committee. The role of the internal auditor is to examine, among other things, whether the company’s actions comply with applicable law and proper business procedures. The internal auditor may not be an interested party, an officer or director of the company, or a relative of any of the foregoing, nor may the internal auditor be our independent accountant or a representative thereof. We intend to appoint an internal auditor following the completion of this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 and Approval of Related Party Transactions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Fiduciary Duties of Directors and Officers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approval or performed by virtue of his position and other important information pertaining to such action. The duty of loyalty requires the director or officer to act in good faith and for the benefit of the company. The duty of loyalty includes a duty to:</w:t>
      </w:r>
    </w:p>
    <w:p>
      <w:pPr>
        <w:spacing w:after="0" w:line="37" w:lineRule="exact"/>
        <w:rPr>
          <w:sz w:val="20"/>
          <w:szCs w:val="20"/>
          <w:color w:val="auto"/>
        </w:rPr>
      </w:pPr>
    </w:p>
    <w:p>
      <w:pPr>
        <w:ind w:left="360" w:hanging="172"/>
        <w:spacing w:after="0"/>
        <w:tabs>
          <w:tab w:leader="none" w:pos="3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88" w:lineRule="exact"/>
        <w:rPr>
          <w:rFonts w:ascii="Arial" w:cs="Arial" w:eastAsia="Arial" w:hAnsi="Arial"/>
          <w:sz w:val="17"/>
          <w:szCs w:val="17"/>
          <w:color w:val="auto"/>
        </w:rPr>
      </w:pPr>
    </w:p>
    <w:p>
      <w:pPr>
        <w:ind w:left="360" w:hanging="17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76" w:lineRule="exact"/>
        <w:rPr>
          <w:rFonts w:ascii="Arial" w:cs="Arial" w:eastAsia="Arial" w:hAnsi="Arial"/>
          <w:sz w:val="18"/>
          <w:szCs w:val="18"/>
          <w:color w:val="auto"/>
        </w:rPr>
      </w:pPr>
    </w:p>
    <w:p>
      <w:pPr>
        <w:ind w:left="360" w:hanging="17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90" w:lineRule="exact"/>
        <w:rPr>
          <w:rFonts w:ascii="Arial" w:cs="Arial" w:eastAsia="Arial" w:hAnsi="Arial"/>
          <w:sz w:val="18"/>
          <w:szCs w:val="18"/>
          <w:color w:val="auto"/>
        </w:rPr>
      </w:pPr>
    </w:p>
    <w:p>
      <w:pPr>
        <w:ind w:left="360" w:right="680" w:hanging="172"/>
        <w:spacing w:after="0" w:line="277"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Approval of Related Party Transactions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Companies Law, a related party transaction may be approved only if it is for the benefit of the company. A transaction that is not an extraordinary transaction in which a director or officer has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5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Approval of Director and Officer Compensation</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the Companies Law, we are required to adopt a compensation policy with respect to our directors and officers once every three years, provided however that a compensation policy adopted within nine months from the closing of this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Even if shareholders do not approve the compensation policy, the board of directors may resolve to approve the compensation policy, subject to certain conditions. We intend to adopt a compensation policy within nine months from the consummation of this offering.</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1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Officers</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External directors may be compensated only in accordance with regulations adopted under the Companies Law. These regulations permit the payment of cash compensation within a specified range, depending on the size of the company, or cash or equity compensation that is consistent with the compensation paid to the other independent directors. We generally do not have any agreement with directors providing for benefits upon termination of their service as directors of our company.</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aggregate compensation paid to all of the members of our directors and senior management was approximately $6.3 million in 2017. This amount includes approximately $4.7 million for share-based compensation and $92,000 set aside or accrued in the aggregate for pension or other retirement benefits for our directors and senior management in 2017.</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to disclose the compensation of our chief executive officer, chief financial officer and other three most highly compensated executive officers on an individual basis. Nevertheless, pursuant to regulations promulgated under the Companies Law, we will be required to disclose the annual compensation of our five most highly compensated office holders, which includes our directors and officers, on an individual basis. Such disclosure will not be as extensive as that required of a U.S. domestic issuer. The following table presents all compensation we incurred for the year ended December 31, 2017 with respect to our five highest paid office holders, in U.S. dollars. The table does not include any amounts we paid to reimburse any of these persons for costs incurred in providing us with services during this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6"/>
          </w:tcPr>
          <w:p>
            <w:pPr>
              <w:spacing w:after="0"/>
              <w:rPr>
                <w:sz w:val="20"/>
                <w:szCs w:val="20"/>
                <w:color w:val="auto"/>
              </w:rPr>
            </w:pPr>
            <w:r>
              <w:rPr>
                <w:rFonts w:ascii="Arial" w:cs="Arial" w:eastAsia="Arial" w:hAnsi="Arial"/>
                <w:sz w:val="14"/>
                <w:szCs w:val="14"/>
                <w:b w:val="1"/>
                <w:bCs w:val="1"/>
                <w:color w:val="auto"/>
              </w:rPr>
              <w:t>Annual 2017 Compensation (unaudited)</w:t>
            </w:r>
          </w:p>
        </w:tc>
        <w:tc>
          <w:tcPr>
            <w:tcW w:w="1060" w:type="dxa"/>
            <w:vAlign w:val="bottom"/>
          </w:tcPr>
          <w:p>
            <w:pPr>
              <w:spacing w:after="0"/>
              <w:rPr>
                <w:sz w:val="16"/>
                <w:szCs w:val="16"/>
                <w:color w:val="auto"/>
              </w:rPr>
            </w:pPr>
          </w:p>
        </w:tc>
      </w:tr>
      <w:tr>
        <w:trPr>
          <w:trHeight w:val="26"/>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3"/>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Retirement,</w:t>
            </w: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Service</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Fees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Base Salary</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and Other</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and Related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Similar</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 Based</w:t>
            </w:r>
          </w:p>
        </w:tc>
        <w:tc>
          <w:tcPr>
            <w:tcW w:w="1060" w:type="dxa"/>
            <w:vAlign w:val="bottom"/>
          </w:tcPr>
          <w:p>
            <w:pPr>
              <w:spacing w:after="0"/>
              <w:rPr>
                <w:sz w:val="14"/>
                <w:szCs w:val="14"/>
                <w:color w:val="auto"/>
              </w:rPr>
            </w:pPr>
          </w:p>
        </w:tc>
      </w:tr>
      <w:tr>
        <w:trPr>
          <w:trHeight w:val="186"/>
        </w:trPr>
        <w:tc>
          <w:tcPr>
            <w:tcW w:w="26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2500" w:type="dxa"/>
            <w:vAlign w:val="bottom"/>
            <w:gridSpan w:val="2"/>
          </w:tcPr>
          <w:p>
            <w:pPr>
              <w:ind w:left="980"/>
              <w:spacing w:after="0"/>
              <w:rPr>
                <w:sz w:val="20"/>
                <w:szCs w:val="20"/>
                <w:color w:val="auto"/>
              </w:rPr>
            </w:pPr>
            <w:r>
              <w:rPr>
                <w:rFonts w:ascii="Arial" w:cs="Arial" w:eastAsia="Arial" w:hAnsi="Arial"/>
                <w:sz w:val="14"/>
                <w:szCs w:val="14"/>
                <w:b w:val="1"/>
                <w:bCs w:val="1"/>
                <w:color w:val="auto"/>
              </w:rPr>
              <w:t>Position</w:t>
            </w: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Benefits(1)</w:t>
            </w: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Benefits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Compensation(2)</w:t>
            </w:r>
          </w:p>
        </w:tc>
        <w:tc>
          <w:tcPr>
            <w:tcW w:w="10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6"/>
        </w:trPr>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2660" w:type="dxa"/>
            <w:vAlign w:val="bottom"/>
            <w:shd w:val="clear" w:color="auto" w:fill="CCEEFF"/>
          </w:tcPr>
          <w:p>
            <w:pPr>
              <w:spacing w:after="0"/>
              <w:rPr>
                <w:sz w:val="19"/>
                <w:szCs w:val="19"/>
                <w:color w:val="auto"/>
              </w:rPr>
            </w:pPr>
          </w:p>
        </w:tc>
        <w:tc>
          <w:tcPr>
            <w:tcW w:w="2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Chairman of the board of</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Luke M. Beshar</w:t>
            </w:r>
          </w:p>
        </w:tc>
        <w:tc>
          <w:tcPr>
            <w:tcW w:w="2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directors</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278,922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3,054,263</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3,333,185</w:t>
            </w:r>
          </w:p>
        </w:tc>
      </w:tr>
      <w:tr>
        <w:trPr>
          <w:trHeight w:val="250"/>
        </w:trPr>
        <w:tc>
          <w:tcPr>
            <w:tcW w:w="2660" w:type="dxa"/>
            <w:vAlign w:val="bottom"/>
          </w:tcPr>
          <w:p>
            <w:pPr>
              <w:spacing w:after="0"/>
              <w:rPr>
                <w:sz w:val="20"/>
                <w:szCs w:val="20"/>
                <w:color w:val="auto"/>
              </w:rPr>
            </w:pPr>
            <w:r>
              <w:rPr>
                <w:rFonts w:ascii="Arial" w:cs="Arial" w:eastAsia="Arial" w:hAnsi="Arial"/>
                <w:sz w:val="18"/>
                <w:szCs w:val="18"/>
                <w:color w:val="auto"/>
              </w:rPr>
              <w:t>Dr. Roger Garceau</w:t>
            </w:r>
          </w:p>
        </w:tc>
        <w:tc>
          <w:tcPr>
            <w:tcW w:w="2580" w:type="dxa"/>
            <w:vAlign w:val="bottom"/>
            <w:gridSpan w:val="3"/>
          </w:tcPr>
          <w:p>
            <w:pPr>
              <w:ind w:left="80"/>
              <w:spacing w:after="0"/>
              <w:rPr>
                <w:sz w:val="20"/>
                <w:szCs w:val="20"/>
                <w:color w:val="auto"/>
              </w:rPr>
            </w:pPr>
            <w:r>
              <w:rPr>
                <w:rFonts w:ascii="Arial" w:cs="Arial" w:eastAsia="Arial" w:hAnsi="Arial"/>
                <w:sz w:val="18"/>
                <w:szCs w:val="18"/>
                <w:color w:val="auto"/>
              </w:rPr>
              <w:t>Chief Development Advisor</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0"/>
              <w:spacing w:after="0"/>
              <w:rPr>
                <w:sz w:val="20"/>
                <w:szCs w:val="20"/>
                <w:color w:val="auto"/>
              </w:rPr>
            </w:pPr>
            <w:r>
              <w:rPr>
                <w:rFonts w:ascii="Arial" w:cs="Arial" w:eastAsia="Arial" w:hAnsi="Arial"/>
                <w:sz w:val="18"/>
                <w:szCs w:val="18"/>
                <w:color w:val="auto"/>
              </w:rPr>
              <w:t>114,000</w:t>
            </w:r>
          </w:p>
        </w:tc>
        <w:tc>
          <w:tcPr>
            <w:tcW w:w="80" w:type="dxa"/>
            <w:vAlign w:val="bottom"/>
          </w:tcPr>
          <w:p>
            <w:pPr>
              <w:spacing w:after="0"/>
              <w:rPr>
                <w:sz w:val="21"/>
                <w:szCs w:val="21"/>
                <w:color w:val="auto"/>
              </w:rPr>
            </w:pPr>
          </w:p>
        </w:tc>
        <w:tc>
          <w:tcPr>
            <w:tcW w:w="1540" w:type="dxa"/>
            <w:vAlign w:val="bottom"/>
          </w:tcPr>
          <w:p>
            <w:pPr>
              <w:jc w:val="right"/>
              <w:ind w:right="315"/>
              <w:spacing w:after="0"/>
              <w:rPr>
                <w:sz w:val="20"/>
                <w:szCs w:val="20"/>
                <w:color w:val="auto"/>
              </w:rPr>
            </w:pPr>
            <w:r>
              <w:rPr>
                <w:rFonts w:ascii="Arial" w:cs="Arial" w:eastAsia="Arial" w:hAnsi="Arial"/>
                <w:sz w:val="18"/>
                <w:szCs w:val="18"/>
                <w:color w:val="auto"/>
              </w:rPr>
              <w:t>886,925</w:t>
            </w:r>
          </w:p>
        </w:tc>
        <w:tc>
          <w:tcPr>
            <w:tcW w:w="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1,000,925</w:t>
            </w:r>
          </w:p>
        </w:tc>
      </w:tr>
      <w:tr>
        <w:trPr>
          <w:trHeight w:val="236"/>
        </w:trPr>
        <w:tc>
          <w:tcPr>
            <w:tcW w:w="2660" w:type="dxa"/>
            <w:vAlign w:val="bottom"/>
            <w:shd w:val="clear" w:color="auto" w:fill="CCEEFF"/>
          </w:tcPr>
          <w:p>
            <w:pPr>
              <w:spacing w:after="0"/>
              <w:rPr>
                <w:sz w:val="20"/>
                <w:szCs w:val="20"/>
                <w:color w:val="auto"/>
              </w:rPr>
            </w:pPr>
          </w:p>
        </w:tc>
        <w:tc>
          <w:tcPr>
            <w:tcW w:w="2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Executive Officer and</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Dr. Phillip Schwartz</w:t>
            </w:r>
          </w:p>
        </w:tc>
        <w:tc>
          <w:tcPr>
            <w:tcW w:w="2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9"/>
              </w:rPr>
              <w:t>300,797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44,497</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120,289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615,583</w:t>
            </w:r>
          </w:p>
        </w:tc>
      </w:tr>
      <w:tr>
        <w:trPr>
          <w:trHeight w:val="257"/>
        </w:trPr>
        <w:tc>
          <w:tcPr>
            <w:tcW w:w="2660" w:type="dxa"/>
            <w:vAlign w:val="bottom"/>
          </w:tcPr>
          <w:p>
            <w:pPr>
              <w:spacing w:after="0"/>
              <w:rPr>
                <w:sz w:val="20"/>
                <w:szCs w:val="20"/>
                <w:color w:val="auto"/>
              </w:rPr>
            </w:pPr>
            <w:r>
              <w:rPr>
                <w:rFonts w:ascii="Arial" w:cs="Arial" w:eastAsia="Arial" w:hAnsi="Arial"/>
                <w:sz w:val="18"/>
                <w:szCs w:val="18"/>
                <w:color w:val="auto"/>
              </w:rPr>
              <w:t>Gerald Lieberman</w:t>
            </w:r>
          </w:p>
        </w:tc>
        <w:tc>
          <w:tcPr>
            <w:tcW w:w="25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80"/>
              <w:spacing w:after="0"/>
              <w:rPr>
                <w:sz w:val="20"/>
                <w:szCs w:val="20"/>
                <w:color w:val="auto"/>
              </w:rPr>
            </w:pPr>
            <w:r>
              <w:rPr>
                <w:rFonts w:ascii="Arial" w:cs="Arial" w:eastAsia="Arial" w:hAnsi="Arial"/>
                <w:sz w:val="18"/>
                <w:szCs w:val="18"/>
                <w:color w:val="auto"/>
              </w:rPr>
              <w:t>17,940</w:t>
            </w:r>
          </w:p>
        </w:tc>
        <w:tc>
          <w:tcPr>
            <w:tcW w:w="80" w:type="dxa"/>
            <w:vAlign w:val="bottom"/>
          </w:tcPr>
          <w:p>
            <w:pPr>
              <w:spacing w:after="0"/>
              <w:rPr>
                <w:sz w:val="22"/>
                <w:szCs w:val="22"/>
                <w:color w:val="auto"/>
              </w:rPr>
            </w:pPr>
          </w:p>
        </w:tc>
        <w:tc>
          <w:tcPr>
            <w:tcW w:w="1540" w:type="dxa"/>
            <w:vAlign w:val="bottom"/>
          </w:tcPr>
          <w:p>
            <w:pPr>
              <w:jc w:val="right"/>
              <w:ind w:right="315"/>
              <w:spacing w:after="0"/>
              <w:rPr>
                <w:sz w:val="20"/>
                <w:szCs w:val="20"/>
                <w:color w:val="auto"/>
              </w:rPr>
            </w:pPr>
            <w:r>
              <w:rPr>
                <w:rFonts w:ascii="Arial" w:cs="Arial" w:eastAsia="Arial" w:hAnsi="Arial"/>
                <w:sz w:val="18"/>
                <w:szCs w:val="18"/>
                <w:color w:val="auto"/>
              </w:rPr>
              <w:t>482,177</w:t>
            </w:r>
          </w:p>
        </w:tc>
        <w:tc>
          <w:tcPr>
            <w:tcW w:w="80" w:type="dxa"/>
            <w:vAlign w:val="bottom"/>
          </w:tcPr>
          <w:p>
            <w:pPr>
              <w:spacing w:after="0"/>
              <w:rPr>
                <w:sz w:val="22"/>
                <w:szCs w:val="22"/>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500,117</w:t>
            </w:r>
          </w:p>
        </w:tc>
      </w:tr>
      <w:tr>
        <w:trPr>
          <w:trHeight w:val="257"/>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Dr. Hillel Galitzer</w:t>
            </w:r>
          </w:p>
        </w:tc>
        <w:tc>
          <w:tcPr>
            <w:tcW w:w="2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Operating Officer</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9"/>
              </w:rPr>
              <w:t>197,993</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24,808</w:t>
            </w: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58,311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341,112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-1097280</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-1097280</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-1097280</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-1097280</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-1097280</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-1097280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7151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60" w:right="440" w:hanging="352"/>
        <w:spacing w:after="0" w:line="293" w:lineRule="auto"/>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base salary, social benefits and car allowances. The amounts shown in this column represent expenses recorded or to be recorded by the Company, calculated using the average monthly exchange rates of the relevant month in which the salary was recorded.</w:t>
      </w:r>
    </w:p>
    <w:p>
      <w:pPr>
        <w:spacing w:after="0" w:line="93" w:lineRule="exact"/>
        <w:rPr>
          <w:rFonts w:ascii="Arial" w:cs="Arial" w:eastAsia="Arial" w:hAnsi="Arial"/>
          <w:sz w:val="14"/>
          <w:szCs w:val="14"/>
          <w:color w:val="auto"/>
        </w:rPr>
      </w:pPr>
    </w:p>
    <w:p>
      <w:pPr>
        <w:ind w:left="360" w:right="580" w:hanging="352"/>
        <w:spacing w:after="0" w:line="293" w:lineRule="auto"/>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amounts shown in this column represents expenses recorded or to be recorded with respect to all options granted to such officers, calculated using the actual exchange rate on the grant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1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March 17, 2013, our board of directors approved our Share Incentive Plan, or the Plan, for the granting of stock options, restricted share units, restricted share awards and performance-based awards, in order to provide incentives to our employees, directors, consultants and/or service providers. As of December 31, 2017 and without giving effect to the ordinary share split described in this prospectus, a total of 208 ordinary shares remained available for issuance under the Plan. As of that date and without giving effect to the ordinary share split described in this prospectus, 23,452 ordinary shares were issuable upon the exercise of outstanding awards under the Plan, at a weighted-average exercise price of $596.9 per share. Of the foregoing outstanding awards, options to purchase 12,006 ordinary shares, in the aggregate, had vested under the Plan as of that date, with a weighted-average exercise price of $416.00 per share (and without giving effect to the ordinary share split described in this prospectus). On January 7, 2018, following the receipt of requisite corporate approvals, the Company increased the size of the unallocated share pool by 1,500 ordinary shares (without giving effect to the ordinary share split described in this prospectus).</w:t>
      </w:r>
    </w:p>
    <w:p>
      <w:pPr>
        <w:spacing w:after="0" w:line="8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Awards granted under the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provides for granting awards in compliance with Section 102 of the Israeli Income Tax Ordinance, 5721-1961, or the Ordinance, which provides to employees, directors and officers, who are not controlling shareholders (as defined in the Ordinance) and are Israeli residents, favorable tax treatment for compensation in the form of shares or equity awards issued or granted, as applicable, to a trustee under the “capital gains track” for the benefit of the relevant employee, director or officer and are, or were, to be held by the trustee for at least two years after the date of grant or issuance. Under the capital gains track, any accounting expense with respect to the grant or issuance of such shares or awards which relates to gain taxed as capital gains is not allowed as a deduction for tax purposes.</w:t>
      </w:r>
    </w:p>
    <w:p>
      <w:pPr>
        <w:spacing w:after="0" w:line="8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Plan also provides for certain lock-up arrangements upon consummation of a public offering.</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Plan is administered by our board of directors or by a committee appointed by our board of directors. The remaining pool of reserved ordinary shares under our Share Incentive Plan will be cancelled, and the only reserved ordinary shares available for grants following the completion of this offering will be under the 2018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completion of this offering, we intend to establish a new equity incentive plan, or the 2018 Plan, with the purpose of advancing the interests of our shareholders by enhancing our ability to attract, retain and motivate individuals to perform at the highest level. The 2018 Plan will govern issuances of equity incentive awards from and after the closing of this offering. The maximum number of ordinary shares initially available for issuance under equity incentive awards granted pursuant to the 2018 Plan will not exceed 12% of the total outstanding ordinary shares. On January 1, 2019 and on January 1 of each calendar year thereafter, an additional number of shares equal to 5% of the total outstanding ordinary shares on such date (or any lower number of shares as determined by the board of directors) will become available for issuance under the 2018 Plan.</w:t>
      </w:r>
    </w:p>
    <w:p>
      <w:pPr>
        <w:spacing w:after="0" w:line="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vesting conditions for grants under the 2018 Plan will be determined by the administrator and, in the case of restricted shares and restricted share units, will be set forth in the applicable award documentation.</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2018 Plan will be administered by the board of directors, provided that the board of directors may delegate its authority to the compensation committee to administer the 2018 Plan.</w:t>
      </w:r>
    </w:p>
    <w:p>
      <w:pPr>
        <w:spacing w:after="0" w:line="6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9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following is a description of related party transactions we have entered into since March 1, 2012 with any of our directors, executive officers and holders of more than 5% of our ordinary shares. Ordinary share amounts referenced in this section do not reflect the ordinary share split described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2012 Convertible Loans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November 8, 2012 and December 31, 2012, we entered into the 2012 Convertible Loans, with D.N.A Biomedical, and the lenders thereto, including the Revach Fund L.P., or Revach, an entity controlled by our director Chaim Davis, and Europa International Inc., who later transferred its shares to Gakasa Holdings LLC, or Gakasa. The lenders loaned us an aggregate amount of $1.2 million, of which Revach loaned us $100,000, and Gakasa loaned us $550,000. Pursuant to the 2012 Convertible Loans, each of the loans bears interest at a rate of 0.6% per year, payable in five-year intervals, and matures after a term of 20 years, subject to the conversion rights noted below. Each of the lenders has the right during the term to convert all of its respective loan amount into our ordinary shares at a conversion price of $240.26 per ordinary share (subject to adjustment as detailed in the agreements governing the 2012 Convertible Loans), the Company Conversion Right, and for a period of the initial five years of the term of the applicable 2012 Convertible Loans to exchange all such ordinary shares received pursuant to the Company Conversion Right into ordinary shares of D.N.A Biomedical at the rate of one of our ordinary shares for 5,590 ordinary shares of D.N.A Biomedical (also subject to adjustment as detailed in the 2012 Convertible Loans). In addition, under the terms of the 2012 Convertible Loans, the outstanding loan amounts will be automatically converted into our ordinary shares upon the occurrence of certain events, including in connection with the closing of this offering. In addition, pursuant to the terms of the 2012 Convertible Loans the lenders were granted piggyback registration rights, which were subsequently set forth in our investors’ rights agreement as described below in “Shares Eligible for Future Sale — Registration Rights.”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2015 Convertible Loan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a 2015 Triggering Event into the equity securities and/or securities convertible into equity securities of the Company that were issued in such a transaction, at a 25% discount.</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the Company issued to each lender under the 2015 Convertible Loan the 2015 Warrants to purchase, at an exercise price of 125% of the applicable price per share, an additional 40% of the amount of our securities that would have been issued to such lender as a result of the automatic conversion following a 2015 Triggering Event. The 2015 Warrants were exercisable during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 and as a result, the 2015 Convertible Loan agreement is no longer in force.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One of our directors, Gerald Lieberman, participated in the 2015 Convertible Loan in an amount of $50,000, which rolled-over to the 2016 Convertible Loan.</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2016 Convertible Loan</w:t>
      </w:r>
    </w:p>
    <w:p>
      <w:pPr>
        <w:spacing w:after="0" w:line="10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provided for a term</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6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2016 Convertible Loan was to be automatically converted upon the occurrence of a 2016 Triggering Event. Following the completion of the Series B preferred shares purchase agreement, which constituted a 2016 Triggering Event, the loan amount, together with all accrued interest was converted into Series B-1 preferred shares, under the terms and conditions of the 2016 Convertible Loan. As a result, the 2016 Convertible Loan agreement is no longer in force. In addition, the Series B preferred shares purchase agreement set the price and the amounts for which the holders of the 2016 Warrants are entitled to exercise their 2016 Warrants. In addition, the Company issued to each lender under the 2016 Convertible Loan warrants to purchase an additional 40% of the amount of our securities issued to such lender as a result of the automatic conversion following a 2016 Triggering Event.</w:t>
      </w:r>
    </w:p>
    <w:p>
      <w:pPr>
        <w:spacing w:after="0" w:line="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directors, Luke Beshar, Roger Garceau and Gerald Lieberman, each participated, in amounts of $50,000, $25,000 and $50,000, respectively, in our 2016 Convertible Loan. In addition, Corundum Open Innovation Fund, L.P., or Corundum, of which David Ben Ami, a member of our board of directors, is the managing partner, invested an amount of $1 million in our 2016 Convertible Loan. Following the conversion of the 2016 Convertible Loans, Luke Beshar, Roger Garceau and Gerald Lieberman were issued 77, 38 and 156 Series B-1 preferred shares, respectively, and their 2016 Warrants relate to 31, 15 and</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62 Series B preferred shares, respectively. In addition, following the conversion of the 2016 Convertible Loans, Corundum was issued 1,563 Series B-1 preferred shares and its 2016 Warrants relate to 625 Series B preferred shares.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Purchases</w:t>
      </w:r>
    </w:p>
    <w:p>
      <w:pPr>
        <w:spacing w:after="0" w:line="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November 2012, we issued to D.N.A Biomedical 2,078 ordinary shares in consideration of $500,000, of which $445,000 represented the cancellation of debt we owed to D.N.A Biomedical. The remaining $55,000 was paid to us in cash.</w:t>
      </w:r>
    </w:p>
    <w:p>
      <w:pPr>
        <w:spacing w:after="0" w:line="3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September 30, 2013, we entered into share purchase agreements, or the ordinary share purchase agreements, with our director Chaim Davis, Revach and Europa International Inc., who later transferred its shares to Gakasa. Pursuant to the ordinary share purchase agreements, Mr. Davis, Revach and Gakasa purchased 91, 365, and 1,369 of our ordinary shares, respectively, for aggregate purchase prices of $25,000, $100,000 and $375,000,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Series A Private Placement</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29, 2014, we entered into a Series A preferred share purchase agreement with the Centillion Fund, or Centillion, or the Centillion preferred share purchase agreement, pursuant to which Centillion purchased 4,172 of our Series A preferred shares, for a purchase price of $2.0 million or $479.38 per share, or the per share purchase price, and we issued to Centillion a warrant to purchase up to 1,043 of our applicable shares (as discussed below in “Description of Share Capital — Warrants”) at the per share purchase price. Pursuant to the terms of the Centillion preferred share purchase agreement, upon our filing of a registration statement for an initial public offering with the SEC on or prior to June 29, 2014, or the first milestone, Centillion was required to purchase from us an additional 4,172 Series A preferred shares at the per share purchase price (for additional proceeds to us of $2.0 million), and we were required to issue to Centillion a warrant to purchase an additional 1,043 applicable shares at the per share purchase price. In addition, pursuant to the Centillion preferred share purchase agreement, as amended, upon the closing of an offering of our ordinary shares on or prior to July 20, 2019, pursuant to which our ordinary shares are listed on NASDAQ, or the second milestone, Centillion was given the option to purchase from us, at its sole discretion, an additional 2,086 Series A preferred shares at the per share purchase price (for additional proceeds to us of $1.0 million), and we were required to issue to Centillion a warrant to purchase an additional 522 Series A preferred shares at the per share purchase price. Centillion also had the right to purchase the Series A preferred shares and warrant to be issued upon either of the milestones prior to the applicable milestone date. Pursuant to the Centillion preferred share purchase agreement, Centillion’s obligations at milestone closings are subject to certain conditions, including that a clinical trial not have been terminated on account of safety concerns.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18, 2014, Centillion and we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6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January 21, 2015, Centillion and we entered into the second amendment to the Centillion preferred share purchase agreement, or the second amendment. Pursuant to the terms of second amendment, Centillion exercised its right to purchase the Series A preferred shares and warrant to be issued upon the first milestone and paid us $2.0 million, although as of such date this milestone had not been achieved. The second milestone was also extended to October 1, 2015, with an option for Centillion to extend it for an additional two years, until October 1, 2017. Such option right was exercised by Centillion. In consideration therefor, we issued to Centillion an additional warrant, or the additional Centillion warrant, as described below in “Description of Share Capital</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Additional Warrants.” On July 20, 2017, the Centillion Series A preferred share purchase agreement was amended such that (i) the second milestone was extended to July 20, 2019, (ii) 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course of 2014 and January 2015, we entered into additional preferred share purchase agreements with other purchasers of our Series A preferred shares. The additional preferred share purchase agreements also provide for the issuance of Series A preferred shares and warrants upon the achievement of those milestones set forth in the Centillion preferred share purchase agreement on terms substantially identical to those contained in the Centillion preferred share purchase agreement. In March 2015, we entered into the first amendment to each of the additional preferred share purchase agreements, which contained terms substantially identical to those contained in the second amendment to the Centillion preferred share purchase agreement. We also issued to these additional Series A preferred shareholders warrants upon terms substantially identical to those contained in the additional Centillion warrant, or together with the additional Centillion warrant, the additional warrants. In July 2017, the additional Series A preferred share purchase agreements were amended to terms identical to those contained in the amendment to the Centillion Series A preferred share purchase agreement dated July 20, 2017, and the additional warrants terms were amended to the same terms as the additional warrants of Centillion.</w:t>
      </w:r>
    </w:p>
    <w:p>
      <w:pPr>
        <w:spacing w:after="0" w:line="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any Series A investors exercise their option to purchase Series A preferred shares pursuant to the second milestone in connection with this offering, such shares shall be converted into ordinary shares automatically and without any further action on the part of such investors, and any warrants provided in connection therewith shall be exercisable into ordinary shares.</w:t>
      </w:r>
    </w:p>
    <w:p>
      <w:pPr>
        <w:spacing w:after="0" w:line="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A preferred shares will be automatically converted into our ordinary shares, and the warrants to purchase Series A preferred shares will be automatically converted into warrants to purchase ordinary shares, upon the closing of this offering.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Private Placement</w:t>
      </w:r>
    </w:p>
    <w:p>
      <w:pPr>
        <w:spacing w:after="0" w:line="6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October to December 2017, we entered into the Series B Private Placement, with certain investors, including D.N.A Biomedical and Centillion for the sale of shares of our Series B preferred shares, at a price per share of $908.78, for an aggregate purchase price of $13.0 million. In connection with the Series B Private Placement, the Company issued and sold to the Investors 14,283 Series B preferred shares.</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Series B Private Placement constituted a 2016 Triggering Event, as defined in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to 13,229 Series B-1 preferred shares at a price per share of $681.585. The rights of the Series B-1 preferred shares are identical in all respects (other than the price per share) to the Series B preferred shares.</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B and B-1 preferred shares will be automatically converted into our ordinary shares, and the warrants to purchase Series B preferred shares will be automatically converted into warrants to purchase ordinary shares, upon the closing of this offering.</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Gerald Lieberman, a member of our board of directors, participated in the Series B Private Placement and purchased 110 Series B preferred shares in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totaling $100,000. Revach, an entity controlled by our director Chaim Davis, participated in the Series B Private Placement and purchased 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shares in an amount totaling $12,726. Dr. Phillip Schwartz, our Chief Executive Officer, participated in the Series B Private Placement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6 Series B preferred shares in an amount of $5,542.</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10, 2017, the Company’s board of directors approved D.N.A Biomedical’s request to reimburse D.N.A Biomedical for expenses incurred in relation to the Series B private placement in an amount of $300,000. The reimbursement is subject to the approval of the Company’s shareholders and to the receipt of documentation supporting the amounts.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108"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April 2017, the Company entered into a Service Agreement with our director Luke Beshar, effective as of December 2016, pursuant to which Mr. Beshar will be entitled to a monthly fee in the amount of $21,500 per month, and to reimbursements for certain expenses. In addition, the Company’s Board and shareholders approved the Service Agreement, pursuant to which Mr. Beshar is entitled to options to purchase ordinary shares of the Company representing</w:t>
      </w:r>
    </w:p>
    <w:p>
      <w:pPr>
        <w:spacing w:after="0" w:line="252" w:lineRule="auto"/>
        <w:rPr>
          <w:sz w:val="20"/>
          <w:szCs w:val="20"/>
          <w:color w:val="auto"/>
        </w:rPr>
      </w:pPr>
      <w:r>
        <w:rPr>
          <w:rFonts w:ascii="Arial" w:cs="Arial" w:eastAsia="Arial" w:hAnsi="Arial"/>
          <w:sz w:val="18"/>
          <w:szCs w:val="18"/>
          <w:color w:val="auto"/>
        </w:rPr>
        <w:t>6.5%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Beshar upon the exercise of his options will be 6,970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Beshar for Good Reason and termination without Cause (as such terms are defined in the Service Agreement).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 April 2017, effective as of December 2016, the Company entered into a Service Agreement with our director Roger Garceau, pursuant to which</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Mr. Garceau will be entitled to a monthly fee in the amount of $6,500 per month, and to reimbursements for certain expenses. In addition, the Company’s Board and shareholders approved the Service Agreement, pursuant to which Mr. Garceau is entitled to options to purchase ordinary shares of the Company representing 1.5%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Garceau upon the exercise of his options will be 1,608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Garceau for Good Reason and termination without Cause (as such terms are defined in the Service Agreement).</w:t>
      </w:r>
    </w:p>
    <w:p>
      <w:pPr>
        <w:spacing w:after="0" w:line="7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an arrangement between us and Chaim Davis, a member of our board of directors, Mr. Davis provides us with certain services related to corporate business development in consideration for a one-time payment of $25,000 paid in April 2017 and $6,500 per month. In addition, in November 2017, our board of directors and shareholders approved a bonus of $35,000, which was paid to Mr. Davis in December 2017.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certain of our shareholders and certain lenders under our 2012 Convertible Loan have entered into an amended and restated investors’ rights agreement dated as of October 4, 2017, or the Investors’ Rights Agreement, pursuant to which these shareholders and lenders will have the right, following the closing of this offering, to demand that we file a registration statement or to request that their shares be covered by a registration statement that we are otherwise filing. See “Shares Eligible for Future Sale — Registration Rights” for a further description of these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Designation Rights</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Investors’ Rights Agreement among us, Centillion and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6.5% of our issued and outstanding ordinary shares, and in the event that Centillion exercises in full all of the warrants to purchase our ordinary shares that we will have issued to it as of such date, Centillion will hold approximately 12% of our issued and outstanding ordinary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Special Pre-emptive Rights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terms of our current Articles, if we issue any equity interests to new investors that are not already our shareholders and subject to certain other conditions, Centillion is entitled to purchase, at any time until the second milestone date, which is defined to include this offering, 18.18% of the number of equity interests issued in such financings, at the same price per equity interest paid by the new shareholders (“Centillion special pre-emptive rights”). The Centillion Special Pre-emptive Right are not exercisable in connection with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0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10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entered into employment agreements with our executive officers, which provide for, among other things, position, duties and compensation and benefits payable during the terms of employment and include certain restrictive covenants. See “Management — Employment Agreements with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“Management — Fiduciary Duties and Approval of Related Party Transactions” for a discussion of procedures governing the approval of related party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Dr. Miriam Blum, our Chief Medical Officer, is the wife of our Chief Executive Officer and Director, Dr. Phillip Schwartz. Other than such relationship, there are no family relationships between any of the executive officers or directors named above.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PRINCIPAL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December 31, 2017, by:</w:t>
      </w:r>
    </w:p>
    <w:p>
      <w:pPr>
        <w:spacing w:after="0" w:line="185" w:lineRule="exact"/>
        <w:rPr>
          <w:sz w:val="20"/>
          <w:szCs w:val="20"/>
          <w:color w:val="auto"/>
        </w:rPr>
      </w:pPr>
    </w:p>
    <w:p>
      <w:pPr>
        <w:ind w:left="360" w:hanging="17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ordinary shares;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 all of our directors and executive officers as a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shares beneficially owned prior to the offering is based on 6,897,252 ordinary shares outstanding as of December 31, 2017, including:</w:t>
      </w:r>
    </w:p>
    <w:p>
      <w:pPr>
        <w:spacing w:after="0" w:line="221" w:lineRule="exact"/>
        <w:rPr>
          <w:sz w:val="20"/>
          <w:szCs w:val="20"/>
          <w:color w:val="auto"/>
        </w:rPr>
      </w:pPr>
    </w:p>
    <w:p>
      <w:pPr>
        <w:ind w:left="360" w:right="400" w:hanging="172"/>
        <w:spacing w:after="0" w:line="308" w:lineRule="auto"/>
        <w:tabs>
          <w:tab w:leader="none" w:pos="3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3,377,213 ordinary shares to be issued upon the conversion of all outstanding preferred shares into ordinary shares upon the closing of this offering (including Series A preferred shares to be issued to certain holders of our Series A preferred shares upon the closing of this offering);</w:t>
      </w:r>
    </w:p>
    <w:p>
      <w:pPr>
        <w:spacing w:after="0" w:line="106" w:lineRule="exact"/>
        <w:rPr>
          <w:rFonts w:ascii="Arial" w:cs="Arial" w:eastAsia="Arial" w:hAnsi="Arial"/>
          <w:sz w:val="17"/>
          <w:szCs w:val="17"/>
          <w:color w:val="auto"/>
        </w:rPr>
      </w:pPr>
    </w:p>
    <w:p>
      <w:pPr>
        <w:ind w:left="360" w:hanging="172"/>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and 428,348 ordinary shares to be issued upon the conversion into ordinary shares of our outstanding convertible loans.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percentage of beneficial ownership of our ordinary shares after the offering is based on 11,897,252 ordinary shares outstanding after the offering (which includes the ordinary shares specified above) plus the ordinary shares to be sold by us in the offering, but not including any additional shares issuable upon exercise by Centillion of the Centillion special pre-emptive rights, which rights are not exercisable in connection with this offering. The figures in the table below give effect to our 1 for 89.5 split of ordinary shares that will be effected immediately following the pricing of this offering.</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Upon the consummation of this offering, outstanding preferred shares shall be converted into ordinary shares on a one-to-one basis automatically and without any further action on the part of such investors, and any warrants that will be outstanding following the closing of this offering shall be exercisable into ordinary shares. See “Description of Share Capital — Articles of Association — Voting.” Neither our principal shareholders nor our directors and executive officers have different or special voting rights.</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otherwise indicated, the address for each listed director and executive officer is c/o Entera Bio Ltd., Kiryat Hadassah, Minrav Building — Fifth Floor, Jerusalem 9112002, Israel. To our knowledge, except as indicated in the footnotes to this table and pursuant to applicable community property laws, the persons named in the table have sole voting and investment power with respect to all ordinary shares.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Shares Beneficially</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Owned After the</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Shares Beneficially</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Offering (Assuming No</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Owned After the Offering</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Shares Beneficially</w:t>
            </w:r>
          </w:p>
        </w:tc>
        <w:tc>
          <w:tcPr>
            <w:tcW w:w="2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Exercise of the</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(Assuming Full Exercise</w:t>
            </w:r>
          </w:p>
        </w:tc>
      </w:tr>
      <w:tr>
        <w:trPr>
          <w:trHeight w:val="162"/>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Owned Prior to the</w:t>
            </w:r>
          </w:p>
        </w:tc>
        <w:tc>
          <w:tcPr>
            <w:tcW w:w="2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Over-Allotment</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of the Over-Allotment</w:t>
            </w:r>
          </w:p>
        </w:tc>
      </w:tr>
      <w:tr>
        <w:trPr>
          <w:trHeight w:val="186"/>
        </w:trPr>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Offering(1)</w:t>
            </w:r>
          </w:p>
        </w:tc>
        <w:tc>
          <w:tcPr>
            <w:tcW w:w="23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Option)(1)</w:t>
            </w:r>
          </w:p>
        </w:tc>
        <w:tc>
          <w:tcPr>
            <w:tcW w:w="2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Option)(1)</w:t>
            </w:r>
          </w:p>
        </w:tc>
      </w:tr>
      <w:tr>
        <w:trPr>
          <w:trHeight w:val="26"/>
        </w:trPr>
        <w:tc>
          <w:tcPr>
            <w:tcW w:w="27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Percentage</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Percentage</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rPr>
              <w:t>Percentage</w:t>
            </w:r>
          </w:p>
        </w:tc>
      </w:tr>
      <w:tr>
        <w:trPr>
          <w:trHeight w:val="26"/>
        </w:trPr>
        <w:tc>
          <w:tcPr>
            <w:tcW w:w="2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D.N.A Biomedical Solutions Ltd(2)</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21.7%</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Centillion Fund(3)</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1,509,151</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1,509,151</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1,509,151</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11.3%</w:t>
            </w:r>
          </w:p>
        </w:tc>
      </w:tr>
      <w:tr>
        <w:trPr>
          <w:trHeight w:val="229"/>
        </w:trPr>
        <w:tc>
          <w:tcPr>
            <w:tcW w:w="4280" w:type="dxa"/>
            <w:vAlign w:val="bottom"/>
            <w:gridSpan w:val="3"/>
          </w:tcPr>
          <w:p>
            <w:pPr>
              <w:spacing w:after="0"/>
              <w:rPr>
                <w:sz w:val="20"/>
                <w:szCs w:val="20"/>
                <w:color w:val="auto"/>
              </w:rPr>
            </w:pPr>
            <w:r>
              <w:rPr>
                <w:rFonts w:ascii="Arial" w:cs="Arial" w:eastAsia="Arial" w:hAnsi="Arial"/>
                <w:sz w:val="18"/>
                <w:szCs w:val="18"/>
                <w:color w:val="auto"/>
                <w:w w:val="95"/>
              </w:rPr>
              <w:t>Pontifax (Israel), Pontifax (Cayman) IV L.P. and Pontiax</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(China) IV Fund L.P. (collectively, “Pontifax”)(4)</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587,569</w:t>
            </w:r>
          </w:p>
        </w:tc>
        <w:tc>
          <w:tcPr>
            <w:tcW w:w="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587,569</w:t>
            </w:r>
          </w:p>
        </w:tc>
        <w:tc>
          <w:tcPr>
            <w:tcW w:w="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587,569</w:t>
            </w:r>
          </w:p>
        </w:tc>
        <w:tc>
          <w:tcPr>
            <w:tcW w:w="8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4.6%</w:t>
            </w:r>
          </w:p>
        </w:tc>
      </w:tr>
      <w:tr>
        <w:trPr>
          <w:trHeight w:val="263"/>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Point Ltd.(5)</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868,956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868,956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868,956</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Menachem Raphael(6)</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430,676</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430,676</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430,676</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3.4%</w:t>
            </w:r>
          </w:p>
        </w:tc>
      </w:tr>
      <w:tr>
        <w:trPr>
          <w:trHeight w:val="365"/>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Zeev Bronfeld(7)</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21.7%</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Yonatan Malca(8)</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2,739,237</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2,739,237</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21.7%</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Dr. Phillip Schwartz(9)</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414,284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414,284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414,284</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Miriam Blum(10)</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414,284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414,284</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414,284</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Luke M. Beshar(11)</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337,237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337,237</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337,237</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Ben Ami(12)</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216,233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216,233</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216,233</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Gerald Lieberman(13)</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103,194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103,194</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103,194</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0.8%</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Chaim Davis(14)</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95,856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95,856</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95,856</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0.8%</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Dr. Roger J. Garceau(15)</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132,371</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132,371</w:t>
            </w:r>
          </w:p>
        </w:tc>
        <w:tc>
          <w:tcPr>
            <w:tcW w:w="8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132,371</w:t>
            </w:r>
          </w:p>
        </w:tc>
        <w:tc>
          <w:tcPr>
            <w:tcW w:w="80" w:type="dxa"/>
            <w:vAlign w:val="bottom"/>
          </w:tcPr>
          <w:p>
            <w:pPr>
              <w:spacing w:after="0"/>
              <w:rPr>
                <w:sz w:val="22"/>
                <w:szCs w:val="22"/>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57"/>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Mira Rosenzweig(16)</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gridSpan w:val="3"/>
          </w:tcPr>
          <w:p>
            <w:pPr>
              <w:spacing w:after="0"/>
              <w:rPr>
                <w:sz w:val="20"/>
                <w:szCs w:val="20"/>
                <w:color w:val="auto"/>
              </w:rPr>
            </w:pPr>
            <w:r>
              <w:rPr>
                <w:rFonts w:ascii="Arial" w:cs="Arial" w:eastAsia="Arial" w:hAnsi="Arial"/>
                <w:sz w:val="18"/>
                <w:szCs w:val="18"/>
                <w:color w:val="auto"/>
              </w:rPr>
              <w:t>Dr. Hillel Galitzer(17)</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100" w:type="dxa"/>
            <w:vAlign w:val="bottom"/>
          </w:tcPr>
          <w:p>
            <w:pPr>
              <w:jc w:val="right"/>
              <w:ind w:right="311"/>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persons)(18)</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4,100,480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51.2%</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4,100,480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4,100,480</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29.8%</w:t>
            </w:r>
          </w:p>
        </w:tc>
      </w:tr>
      <w:tr>
        <w:trPr>
          <w:trHeight w:val="270"/>
        </w:trPr>
        <w:tc>
          <w:tcPr>
            <w:tcW w:w="2700" w:type="dxa"/>
            <w:vAlign w:val="bottom"/>
            <w:tcBorders>
              <w:bottom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6496685</wp:posOffset>
            </wp:positionH>
            <wp:positionV relativeFrom="paragraph">
              <wp:posOffset>-3635375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-3635375</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-3635375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-3635375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-3635375</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-3635375</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90" w:lineRule="exact"/>
        <w:rPr>
          <w:sz w:val="20"/>
          <w:szCs w:val="20"/>
          <w:color w:val="auto"/>
        </w:rPr>
      </w:pPr>
    </w:p>
    <w:p>
      <w:pPr>
        <w:ind w:left="360" w:right="400" w:hanging="352"/>
        <w:spacing w:after="0" w:line="272"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beneficial ownership of ordinary shares is determined in accordance with the rules of the SEC and generally includes any ordinary shares over which a person exercises sole or shared voting or investment power. For purposes of the table above, we deem shares subject to options or warrants that are currently exercisable or exercisable within 60 days of December 31, 2017,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pacing w:after="0" w:line="161" w:lineRule="exact"/>
        <w:rPr>
          <w:rFonts w:ascii="Arial" w:cs="Arial" w:eastAsia="Arial" w:hAnsi="Arial"/>
          <w:sz w:val="14"/>
          <w:szCs w:val="14"/>
          <w:color w:val="auto"/>
        </w:rPr>
      </w:pPr>
    </w:p>
    <w:p>
      <w:pPr>
        <w:ind w:left="360" w:right="640" w:hanging="352"/>
        <w:spacing w:after="0" w:line="277"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2,739,237 ordinary shares. D.N.A Biomedical, whose address is at Shimon Hatarsi 43 St., Tel Aviv, Israel, is controlled by Zeev Bronfeld. 2,347,943 ordinary shares, or approximately 85.7% of the ordinary shares currently held by D.N.A Biomedical have been pledged to Capital Point, while the remaining 391,294 ordinary shares, or approximately 14.3%, have been pledged to Menachem Raphael.</w:t>
      </w:r>
    </w:p>
    <w:p>
      <w:pPr>
        <w:spacing w:after="0" w:line="144" w:lineRule="exact"/>
        <w:rPr>
          <w:rFonts w:ascii="Arial" w:cs="Arial" w:eastAsia="Arial" w:hAnsi="Arial"/>
          <w:sz w:val="14"/>
          <w:szCs w:val="14"/>
          <w:color w:val="auto"/>
        </w:rPr>
      </w:pPr>
    </w:p>
    <w:p>
      <w:pPr>
        <w:ind w:left="360" w:right="420" w:hanging="352"/>
        <w:spacing w:after="0" w:line="290" w:lineRule="auto"/>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Consists of (i) 8,344 Series A preferred shares that will be converted to 746,788 ordinary shares following the closing of this offering, (ii) warrants to purchase 2,086 Series A preferred shares that will be converted to warrants to purchase 186,697 ordinary shares following the closing of this offering, which had been issued to Centillion as of December 31, 2017, (iii) 2,086 Series A preferred shares that will be converted to 186,697 ordinary shares following the closing of this offering and a warrant to purchase 522 Series A preferred shares, that will be converted to warrants to purchase 46,630 ordinary shares following the closing of this offering, which shares can be acquired by Centillion at any time until July 20, 2019 pursuant to the terms of our Series A preferred shares purchase agreement, (iv) 427 Series A preferred shares that will be converted to 38,217 ordinary shares following the closing of this offering and a warrant to purchase 107 Series A preferred shares, that will be converted to warrants to purchase 9,577 ordinary shares following the closing of this offering, which shares can be acquired by Centillion at any time until July 20, 2019 pursuant to our current Articles, (v) 357 Series B preferred shares that will be converted to 746,788 ordinary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60"/>
        <w:spacing w:after="0" w:line="334" w:lineRule="auto"/>
        <w:rPr>
          <w:sz w:val="20"/>
          <w:szCs w:val="20"/>
          <w:color w:val="auto"/>
        </w:rPr>
      </w:pPr>
      <w:r>
        <w:rPr>
          <w:rFonts w:ascii="Arial" w:cs="Arial" w:eastAsia="Arial" w:hAnsi="Arial"/>
          <w:sz w:val="13"/>
          <w:szCs w:val="13"/>
          <w:color w:val="auto"/>
        </w:rPr>
        <w:t>shares following the closing of this offering, and (vi) warrants to purchase 31,952 Series B-1 preferred shares that will be converted to warrants to purchase 262,593 ordinary shares following the closing of this offering. Centillion Fund, whose address is c/o Entera Bio Ltd., Kiryat Hadassah, Minrav Building — Fifth Floor, Jerusalem 9112002, Israel, is controlled by Ariel Israilov.</w:t>
      </w:r>
    </w:p>
    <w:p>
      <w:pPr>
        <w:spacing w:after="0" w:line="111" w:lineRule="exact"/>
        <w:rPr>
          <w:sz w:val="20"/>
          <w:szCs w:val="20"/>
          <w:color w:val="auto"/>
        </w:rPr>
      </w:pPr>
    </w:p>
    <w:p>
      <w:pPr>
        <w:ind w:left="360" w:right="320" w:hanging="352"/>
        <w:spacing w:after="0" w:line="295" w:lineRule="auto"/>
        <w:tabs>
          <w:tab w:leader="none" w:pos="3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(i) 4,689 Series B-1 preferred shares that will be converted to 419,666 ordinary shares following the closing of this offering, and (ii) warrants to purchase 1,876 Series B preferred shares that will be converted to warrants to purchase 167,903 ordinary shares following the closing of this offering. Pontifax 4 GP L.P. (“Pontifax Management”) is the general partner of Pontifax (Israel) 4 LP, Pontifax (Cayman) IV LP and Pontifax (China) IV LP (together, the “Partnerships”). Pontifax Management 4 G.P. (2015) Ltd. (“Pontifax Management GP”) is the general partner of Pontifax Management. Mr. Tomer Kariv and Mr. Ran Nussbaum are directors of Pontifax Management GP and, as such, hold voting and/or dispositive power over the shares held by the Partnerships. The principal business address of the foregoing entities and individuals is 14 Shenkar Street, Herzeliya 46140, Israel.</w:t>
      </w:r>
    </w:p>
    <w:p>
      <w:pPr>
        <w:spacing w:after="0" w:line="121" w:lineRule="exact"/>
        <w:rPr>
          <w:rFonts w:ascii="Arial" w:cs="Arial" w:eastAsia="Arial" w:hAnsi="Arial"/>
          <w:sz w:val="13"/>
          <w:szCs w:val="13"/>
          <w:color w:val="auto"/>
        </w:rPr>
      </w:pPr>
    </w:p>
    <w:p>
      <w:pPr>
        <w:jc w:val="both"/>
        <w:ind w:left="360" w:right="380" w:hanging="352"/>
        <w:spacing w:after="0" w:line="277"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5,659 Series B preferred shares that will be converted to 506,481 ordinary shares following the closing of this offering (ii) 43,855 ordinary shares, transferred by D.N.A. Biomedical to Capital Point and (iii) 318,620 ordinary shares that Capital Point has the right to acquire pursuant to an option granted by D.NA Biomedical. Capital Point’s address is at Derech Menachem Begin 132 (Azrieli Center) Tel Aviv, Israel.</w:t>
      </w:r>
    </w:p>
    <w:p>
      <w:pPr>
        <w:spacing w:after="0" w:line="144" w:lineRule="exact"/>
        <w:rPr>
          <w:rFonts w:ascii="Arial" w:cs="Arial" w:eastAsia="Arial" w:hAnsi="Arial"/>
          <w:sz w:val="14"/>
          <w:szCs w:val="14"/>
          <w:color w:val="auto"/>
        </w:rPr>
      </w:pPr>
    </w:p>
    <w:p>
      <w:pPr>
        <w:ind w:left="360" w:right="260" w:hanging="352"/>
        <w:spacing w:after="0" w:line="287" w:lineRule="auto"/>
        <w:tabs>
          <w:tab w:leader="none" w:pos="3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(i) 834 Series A preferred shares that will be converted to 74,643 ordinary shares following the closing of this offering, (ii) warrants to purchase 208 Series A preferred shares that will be converted to warrants to purchase 18,616 ordinary shares, which had been issued to White Car Group, Ltd., who later transferred its shares to Menachem Raphael, as of December 31, 2017, (iii) 208 Series A preferred shares that will be converted to 18,616 ordinary shares following the closing of this offering and warrants to purchase 53 Series A preferred shares that will be converted to warrants to purchase 4,744 ordinary shares following the closing of this offering, which shares can be acquired by Menachem Raphael until July 20, 2019 pursuant to the terms of our Series A preferred shares purchase agreement, (iv) 1,099 Series B-1 preferred shares that will be converted to 98,361 ordinary shares following the closing of this offering (v) warrants to purchase 440 Series B preferred shares that will be converted to warrants to purchase 39,380 ordinary shares following the closing of this offering (vi) warrants to purchase 293 Series B-1 preferred shares that will be converted to warrants to purchase 26,224 ordinary shares following the closing of this offering, (vii) 58,354 ordinary shares that Menachem Raphael has the right to acquire pursuant to an option granted by D.N.A Biomedical and (viii) 943 Series B preferred shares that will be converted to 84,399 ordinary shares following the closing of this offering, issued to D.N.A Biomedical, who later transferred them to Menachem Raphael and (ix) 7,339 ordinary shares transferred by D.N.A. Biomedical to Menachem Raphael, whose address is at Ha’seora 12, Tel Aviv Israel.</w:t>
      </w:r>
    </w:p>
    <w:p>
      <w:pPr>
        <w:spacing w:after="0" w:line="130" w:lineRule="exact"/>
        <w:rPr>
          <w:rFonts w:ascii="Arial" w:cs="Arial" w:eastAsia="Arial" w:hAnsi="Arial"/>
          <w:sz w:val="13"/>
          <w:szCs w:val="13"/>
          <w:color w:val="auto"/>
        </w:rPr>
      </w:pPr>
    </w:p>
    <w:p>
      <w:pPr>
        <w:ind w:left="360" w:right="240" w:hanging="352"/>
        <w:spacing w:after="0" w:line="29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Zeev Bronfeld is the Chairman of the Board of Directors of D.N.A Biomedical, and as such may be deemed to have shared voting or investment power over the ordinary shares owned by D.N.A Biomedical.</w:t>
      </w:r>
    </w:p>
    <w:p>
      <w:pPr>
        <w:spacing w:after="0" w:line="133" w:lineRule="exact"/>
        <w:rPr>
          <w:rFonts w:ascii="Arial" w:cs="Arial" w:eastAsia="Arial" w:hAnsi="Arial"/>
          <w:sz w:val="14"/>
          <w:szCs w:val="14"/>
          <w:color w:val="auto"/>
        </w:rPr>
      </w:pPr>
    </w:p>
    <w:p>
      <w:pPr>
        <w:ind w:left="360" w:right="720" w:hanging="352"/>
        <w:spacing w:after="0" w:line="29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Yonatan Malka is the CEO and a director of D.N.A Biomedical, and as such may be deemed to have shared voting or investment power over the ordinary shares owned by D.N.A Biomedical.</w:t>
      </w:r>
    </w:p>
    <w:p>
      <w:pPr>
        <w:spacing w:after="0" w:line="133" w:lineRule="exact"/>
        <w:rPr>
          <w:rFonts w:ascii="Arial" w:cs="Arial" w:eastAsia="Arial" w:hAnsi="Arial"/>
          <w:sz w:val="14"/>
          <w:szCs w:val="14"/>
          <w:color w:val="auto"/>
        </w:rPr>
      </w:pPr>
    </w:p>
    <w:p>
      <w:pPr>
        <w:ind w:left="360" w:right="260" w:hanging="352"/>
        <w:spacing w:after="0" w:line="277"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413,747 ordinary shares underlying options to acquire ordinary shares exercisable within 60 days of December 31, 2017 and 6 Series B preferred shares that will be converted to 537 ordinary shares following the closing of this offering. The exercise price of these options is NIS 0.0001117 per share, and the options expire at various periods between May 2019 and January 2020.</w:t>
      </w:r>
    </w:p>
    <w:p>
      <w:pPr>
        <w:spacing w:after="0" w:line="144" w:lineRule="exact"/>
        <w:rPr>
          <w:rFonts w:ascii="Arial" w:cs="Arial" w:eastAsia="Arial" w:hAnsi="Arial"/>
          <w:sz w:val="14"/>
          <w:szCs w:val="14"/>
          <w:color w:val="auto"/>
        </w:rPr>
      </w:pPr>
    </w:p>
    <w:p>
      <w:pPr>
        <w:ind w:left="360" w:right="540" w:hanging="352"/>
        <w:spacing w:after="0" w:line="29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Miriam Blum is the wife of Dr. Phillip Schwartz and may be deemed to have shared voting or investment power over the ordinary shares beneficially owned by Dr. Phillip Schwartz. Ms. Blum disclaims beneficial ownership of such shares.</w:t>
      </w:r>
    </w:p>
    <w:p>
      <w:pPr>
        <w:spacing w:after="0" w:line="120" w:lineRule="exact"/>
        <w:rPr>
          <w:rFonts w:ascii="Arial" w:cs="Arial" w:eastAsia="Arial" w:hAnsi="Arial"/>
          <w:sz w:val="14"/>
          <w:szCs w:val="14"/>
          <w:color w:val="auto"/>
        </w:rPr>
      </w:pPr>
    </w:p>
    <w:p>
      <w:pPr>
        <w:ind w:left="360" w:right="400" w:hanging="352"/>
        <w:spacing w:after="0" w:line="272"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options to acquire 67,662 ordinary shares with an exercise price of $5.36 per share and expiring on December 21, 2021, (ii) 77 Series B-1 preferred shares that will be converted to 6,892 ordinary shares following the closing of this offering, (iii) warrants to purchase 31 Series B preferred shares that will be converted to warrants to purchase 2,775 ordinary shares following the closing of this offering, (iv) options to acquire 259,908 ordinary shares exercisable within 60 days of December 31, 2017, with an exercise price of $9.16 per share and expiring on December 1, 2026, granted pursuant to the Service Agreement with Mr. Beshar.</w:t>
      </w:r>
    </w:p>
    <w:p>
      <w:pPr>
        <w:spacing w:after="0" w:line="148" w:lineRule="exact"/>
        <w:rPr>
          <w:rFonts w:ascii="Arial" w:cs="Arial" w:eastAsia="Arial" w:hAnsi="Arial"/>
          <w:sz w:val="14"/>
          <w:szCs w:val="14"/>
          <w:color w:val="auto"/>
        </w:rPr>
      </w:pPr>
    </w:p>
    <w:p>
      <w:pPr>
        <w:ind w:left="360" w:right="260" w:hanging="352"/>
        <w:spacing w:after="0" w:line="272"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options to acquire 20,406 ordinary shares with an exercise price of NIS 0.0001117, exercisable within 60 days of December 31, 2017, and expiring on March 19, 2019, (ii) 1,563 Series B-1 preferred shares that will be converted to 139,889 ordinary shares following the closing of this offering, held by Corundum, of which David Ben Ami, a member of our board of directors, is the managing partner, and (iii) warrants to purchase 625 Series B preferred shares that will be converted to warrants to purchase 55,938 ordinary shares following the closing of this offering, held by Corundum.</w:t>
      </w:r>
    </w:p>
    <w:p>
      <w:pPr>
        <w:spacing w:after="0" w:line="148" w:lineRule="exact"/>
        <w:rPr>
          <w:rFonts w:ascii="Arial" w:cs="Arial" w:eastAsia="Arial" w:hAnsi="Arial"/>
          <w:sz w:val="14"/>
          <w:szCs w:val="14"/>
          <w:color w:val="auto"/>
        </w:rPr>
      </w:pPr>
    </w:p>
    <w:p>
      <w:pPr>
        <w:ind w:left="360" w:right="260" w:hanging="352"/>
        <w:spacing w:after="0" w:line="269"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options to acquire 67,662 ordinary shares with an exercise price of $5.36 per share and expiring on April 6, 2023, exercisable within 60 days of December 31, 2017, (ii) options to acquire 6,176 ordinary shares with an exercise price of $2.68 per share and expiring on March 19, 2021, exercisable within 60 days of December 31, 2017, (iii) 156 Series B-1 preferred shares that will be converted to 13,962 ordinary shares following the closing of this offering, (iv) warrants to purchase 62 Series B preferred shares that will be converted to warrants to purchase 5,549 ordinary shares following the closing of this offering and (v) 110 Series B preferred shares that will be converted to 9,845 ordinary shares following the closing of this offering.</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right="80" w:hanging="352"/>
        <w:spacing w:after="0" w:line="268"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8,145 ordinary shares, (ii) options to acquire 7,608 ordinary shares exercisable within 60 days of Decemer 31, 2017, with an exercise price of $2.68 per share and expiring on September 1, 2019 and options to acquire 8,950 ordinary shares exercisable within 60 days of December 31, 2017, with an exercise price of $9.16 per share and expiring on November 15, 2023, (iii) 32,668 ordinary shares owned by Revach Fund, L.P. (“Revach”), (iv) 37,232 ordinary shares that will be issued to Revach upon conversion of the 2012 Convertible Loan, which will be automatically converted upon the completion of this offering, and (v) 14 Series B preferred shares that will be converted to 1,253 ordinary shares following the closing of this offering. Mr. Davis is the sole managing director and partner of Revach and may be deemed to beneficially own the ordinary shares owned or that can be acquired by Revach.</w:t>
      </w:r>
    </w:p>
    <w:p>
      <w:pPr>
        <w:spacing w:after="0" w:line="150" w:lineRule="exact"/>
        <w:rPr>
          <w:rFonts w:ascii="Arial" w:cs="Arial" w:eastAsia="Arial" w:hAnsi="Arial"/>
          <w:sz w:val="14"/>
          <w:szCs w:val="14"/>
          <w:color w:val="auto"/>
        </w:rPr>
      </w:pPr>
    </w:p>
    <w:p>
      <w:pPr>
        <w:ind w:left="360" w:right="360" w:hanging="352"/>
        <w:spacing w:after="0" w:line="272"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 of (i) options to acquire 67,662 ordinary shares with an exercise price of $5.36 per share and expiring on March 29, 2022, (ii) 38 Series B-1 preferred shares that will be converted to 3,401 ordinary shares following the closing of this offering, (iii) warrants to purchase 15 Series B preferred shares that will be converted to warrants to purchase 1,343 ordinary shares following the closing of this offering, and (iv) options to acquire 59,965 ordinary shares exercisable within 60 days of December 31, 2017, with an exercise price of $9.16 per share and expiring on December 1, 2026, granted pursuant to the Service Agreement with Dr. Garceau.</w:t>
      </w:r>
    </w:p>
    <w:p>
      <w:pPr>
        <w:spacing w:after="0" w:line="148" w:lineRule="exact"/>
        <w:rPr>
          <w:rFonts w:ascii="Arial" w:cs="Arial" w:eastAsia="Arial" w:hAnsi="Arial"/>
          <w:sz w:val="14"/>
          <w:szCs w:val="14"/>
          <w:color w:val="auto"/>
        </w:rPr>
      </w:pPr>
    </w:p>
    <w:p>
      <w:pPr>
        <w:ind w:left="360" w:right="60" w:hanging="352"/>
        <w:spacing w:after="0" w:line="334" w:lineRule="auto"/>
        <w:tabs>
          <w:tab w:leader="none" w:pos="3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24,792 ordinary shares underlying options to acquire ordinary shares expiring on May 29, 2020 with an exercise price of $3.53 per share and (ii) options to acquire 3,916 ordinary shares, with an exercise price of $9.16 per share and expiring on November 15, 2023. All options are exercisable within 60 days of December 31, 2017.</w:t>
      </w:r>
    </w:p>
    <w:p>
      <w:pPr>
        <w:spacing w:after="0" w:line="124" w:lineRule="exact"/>
        <w:rPr>
          <w:rFonts w:ascii="Arial" w:cs="Arial" w:eastAsia="Arial" w:hAnsi="Arial"/>
          <w:sz w:val="13"/>
          <w:szCs w:val="13"/>
          <w:color w:val="auto"/>
        </w:rPr>
      </w:pPr>
    </w:p>
    <w:p>
      <w:pPr>
        <w:ind w:left="360" w:hanging="352"/>
        <w:spacing w:after="0" w:line="277"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24,792 ordinary shares underlying options to acquire ordinary shares, of which options to acquire 11,367 ordinary shares have an exercise price of $2.68 per share, and options to acquire 13,425 ordinary shares have an exercise price of NIS 0.0001117, all expiring on September 1, 2019, (ii) options to acquire 6,153 ordinary shares, with an exercise price of $9.16 per share and expiring on November 15, 2023. All options are exercisable within 60 days of December 31, 2017.</w:t>
      </w:r>
    </w:p>
    <w:p>
      <w:pPr>
        <w:spacing w:after="0" w:line="144" w:lineRule="exact"/>
        <w:rPr>
          <w:rFonts w:ascii="Arial" w:cs="Arial" w:eastAsia="Arial" w:hAnsi="Arial"/>
          <w:sz w:val="14"/>
          <w:szCs w:val="14"/>
          <w:color w:val="auto"/>
        </w:rPr>
      </w:pPr>
    </w:p>
    <w:p>
      <w:pPr>
        <w:ind w:left="360" w:right="40" w:hanging="352"/>
        <w:spacing w:after="0" w:line="272"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2,780,050 ordinary shares, (ii) options to acquire 1,039,397 ordinary shares (iii) 37,232 ordinary shares that will be issued upon conversion of the 2012 Convertible Loan, which will be automatically converted upon the completion of this offering, (iv) 1,834 Series B-1 preferred shares that will be converted to 164,143 ordinary shares following the closing of this offering, (v) warrants to purchase 733 Series B preferred shares that will be converted to warrants to purchase 65,604 ordinary shares following the closing of this offering, and (vi) 157 Series B preferred Shares that will be converted to 14,052 ordinary shares following the closing of this offering.</w:t>
      </w: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SHARE CAPITAL</w:t>
      </w:r>
    </w:p>
    <w:p>
      <w:pPr>
        <w:spacing w:after="0" w:line="9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The following description of our share capital and provisions of our amended Articles are summaries and are qualified by reference to our amended Articles, which have been filed with the SEC as an exhibit to the registration statement of which this prospectus forms a part. Upon the closing of this offering, our current Articles will be replaced by our amended Articles. All references to our Articles of Association in this section refer to our amended Articles.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an Israeli company incorporated with limited liability, and our affairs are governed by the provisions of our Articles of Association, as amended and restated from time to time, and by the provisions of applicable Israeli law, including the Companies Law. Upon the closing of this offering, our Fifth Amended and Restated Articles of Association currently in effect, or the current Articles, will be further amended and restated and replaced by our Sixth Amended and Restated Articles of Association, or the amended Articles. Other material terms and provisions of our ordinary shares under our amended Articles are described below in “—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closing of this offering, our authorized share capital will consist of 89,500,000 ordinary shares, par value NIS 0.0001117 per share, of which 6,897,252 ordinary shares are issued and outstanding as of date of this prospectus and 11,897,252 ordinary shares will be issued and outstanding immediately following the closing of this offering (assuming the underwriters do not exercise their option to purchase additional ordinary shares). All of our ordinary shares have been validly issued, fully paid and are non-assessable.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2017, the number of our ordinary shares outstanding was 6,897,252, and an additional 2,098,960 ordinary shares were issuable upon the exercise of outstanding options granted to our officers and employees, at a weighted-average exercise price of $6.67 per share, in each case after giving effect to the 1-for-89.5 split of our ordinary shares that is described elsewhere in this prospectus. See “Management — Share Incentive Plan” for more information about our outstanding option plans.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terms of our amended Articles that will become effective upon the closing of this offering, we will not be authorized to issue preferred shares, and there will be no preferred shares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of December 31, 2017, we had outstanding warrants to purchase 2,554 of our Series A preferred shares, at an exercise price of $479.38, which, upon the closing of this offering will automatically convert into warrants to purchase 228,583 of our ordinary shares, at an exercise price of $5.36.</w:t>
      </w:r>
    </w:p>
    <w:p>
      <w:pPr>
        <w:spacing w:after="0" w:line="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terms of the preferred share purchase agreements with Centillion and certain other preferred shareholders, upon the closing of this offering, and upon the exercise of the right to invest the second milestone amount, we will issue to Centillion and the other preferred shareholders warrants to purchase an additional 57,191 ordinary shares.</w:t>
      </w:r>
    </w:p>
    <w:p>
      <w:pPr>
        <w:spacing w:after="0" w:line="7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summary of certain material terms and provisions of such warrants is not complete and is subject to, and qualified in its entirety by the provisions of, the form of the warrant, which is filed as an exhibit to the registration statement of which this prospectus forms a part.</w:t>
      </w:r>
    </w:p>
    <w:p>
      <w:pPr>
        <w:spacing w:after="0" w:line="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immediately upon issuance and at any time up to the date that is the earlier of (i) two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this offering or (ii) seven years from the date of issuance. The warrants will be exercisable, at the option of each holder, in whole or in part by delivering to us a duly executed exercise notice accompanied by payment in full for the applicable number of our ordinary shares.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The class of shares that can be acquired upon exercise of the warrants will be (i) prior to the consummation of this offering,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(ii) upon and following the consummation of this offering and otherwise after the conversion of all of our preferred shares into ordinary shares, our ordinary shares, and (iii) upon any conversion, exchange, reclassification or change, any security into which our preferred shares or ordinary shares may be converted, exchanged, reclassified or otherwise changed.</w:t>
      </w:r>
    </w:p>
    <w:p>
      <w:pPr>
        <w:spacing w:after="0" w:line="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is $5.36 per share. The exercise price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issuable upon exercise are subject to appropriate adjustment in the event of certain stock dividends and distributions, stock splits, stock subdivisions and combinations, reclassifications or similar events affecting our ordinary shares.</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shares issued or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and registration or qualification under applicable state securities laws, the holder cannot transfer any or all of the warrants or the applicable shares unless such transfer is exempt from the registration requirements of the Securities Act and any applicable state securities laws.</w:t>
      </w:r>
    </w:p>
    <w:p>
      <w:pPr>
        <w:spacing w:after="0" w:line="3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Warrants</w:t>
      </w:r>
    </w:p>
    <w:p>
      <w:pPr>
        <w:spacing w:after="0" w:line="1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above under “Certain Relationships and Related Party Transactions,” in connection with the second amendment to the Centillion preferred share purchase agreement and the first amendment to the additional preferred share purchase agreements with the certain other preferred shareholders, we issued additional warrants to such shareholders.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outstanding additional warrants to purchase 3,594 Series B-1 preferred shares in an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$2.45 million, which upon the closing of this offering will become additional warrants to purchase 321,664 of our ordinary shares at an exercise price of</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$7.62 per share, which represents a 25% discount to the Series B preferred share purchase price per share, after giving effect to the conversion of the exercise price due to the ordinary share split described in this prospectus.</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summary of certain material terms and provisions of the additional warrants is not complete and is subject to, and qualified in its entirety by the provisions of, the form of the additional warrant, which is filed as an exhibit to the registration statement of which this prospectus forms a part.</w:t>
      </w:r>
    </w:p>
    <w:p>
      <w:pPr>
        <w:spacing w:after="0" w:line="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additional warrants are exercisable upon, and for a period of two years following, a triggering event, which includes certain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transactions, certain private placement equity financings of at least $5 million or a public offering on NASDAQ or the New York Stock Exchange. The Series B Private Placement constituted a 2016 Triggering Event as defined in the additional warrants, and as a result, the exercise period for such warrants is two years following October 4,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Series B-1 preferred shares, or ordinary shares if exercised upon or following the closing of this offering.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will be discounted by 25% from the applicable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the shares issued in the relevant triggering event. As a result of the Series B Private Placement, the exercise price was set at $7.62, which represents a 25% discount to the Series B preferred share purchase price per share, after giving effect to the conversion of the exercise price due to the ordinary share split described in this prospectus.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Absent an effective registration statement filed with the SEC covering the disposition or sale of the warrants or the shares issued or issuable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exercise of the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Warrants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2016 Convertible Loan, the Company granted to the lenders warrants, or the 2016 Warrants, in the 2016 Convertible Loan to purchase an additional 40% of the number of the Company’s equity securities issued to such lender following the conversion of the loan in to the Company’s equity securities following a 2016 Triggering Event. As a result of the Series B preferred shares purchase agreement, the price at which the previously issued 2016 Warrants may be exercised was set at $908.78.</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2017, we had 5,292 outstanding 2016 Warrants in an aggregate principal amount of $4.8 million, which upon the closing of this offering will become warrants to purchase 473,639 of our ordinary shares at an exercise price of $10.15 per ordinary share.</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summary of certain material terms and provisions of the 2016 Warrants is not complete and is subject to, and qualified in its entirety by the provisions of, the form of the 2016 Warrants, which is filed as an exhibit to the registration statement of which this prospectus forms a part.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2016 Warrants are exercisable until June 2020, and will be exercisable into ordinary shares following the completion of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Securities</w:t>
      </w:r>
      <w:r>
        <w:rPr>
          <w:rFonts w:ascii="Arial" w:cs="Arial" w:eastAsia="Arial" w:hAnsi="Arial"/>
          <w:sz w:val="18"/>
          <w:szCs w:val="18"/>
          <w:color w:val="auto"/>
        </w:rPr>
        <w:t>.  Series B preferred shares, or ordinary shares if exercised upon or following the closing of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$10.15 per share.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securities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exercise of the 2016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 In addition, the holder can transfer any or all of the 2016 Warrants to a Permitted Transferee, as defined in the Company’s current Articles.</w:t>
      </w:r>
    </w:p>
    <w:p>
      <w:pPr>
        <w:spacing w:after="0" w:line="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 2016</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ordinary shares, including any voting rights, until the holder exercises the 2016 Warrant.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Warrants</w:t>
      </w:r>
    </w:p>
    <w:p>
      <w:pPr>
        <w:spacing w:after="0" w:line="10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Series B Private Placement, the Company issued to GP Nurmenkari Inc., or the placement agent, a warrant to purchase up to 526 Series B preferred shares, or Series B warrants, at a price of $908.78 per share, which upon the closing of this offering will become warrants to purchase 47,077 ordinary shares at an exercise price of $10.15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certain material terms and provisions of the Series B Warrants: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Series B warrants are exercisable on or before the earlier of: (i) expiration of five years from the date of the Series B warrant, or (ii)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a liquidation, bankruptcy, reorganization, dissolution or winding up of the Company, whether voluntary or involuntary.</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Applicable Securities. </w:t>
      </w:r>
      <w:r>
        <w:rPr>
          <w:rFonts w:ascii="Arial" w:cs="Arial" w:eastAsia="Arial" w:hAnsi="Arial"/>
          <w:sz w:val="18"/>
          <w:szCs w:val="18"/>
          <w:color w:val="auto"/>
        </w:rPr>
        <w:t>The Series B warrants will be exercisable for Series B preferred shares of the Company, par value NIS 0.01 per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or issuable according to the Series B warrants, including but not limited to ordinary shares, if exercised upon or following the closing of this offering.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will be $10.15 per share, subject to adjustments as provided in the Series B warrants.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The Series B warrant cannot be transferred to a third party, other than an affiliate of the holder of such Series B warrant (as defined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the Series B warrants) without (i) a registration under the Securities Act or (ii) an exemption from such registration and, if requested by the Company, a written opinion of legal counsel of the holder of the Series B warrant, addressed to the Company stating that the proposed transfer of the warrant may be effected without registration under the Securities Act, which opinion will be in form reasonably satisfactory to the Company.</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Rights as a Shareholder</w:t>
      </w:r>
      <w:r>
        <w:rPr>
          <w:rFonts w:ascii="Arial" w:cs="Arial" w:eastAsia="Arial" w:hAnsi="Arial"/>
          <w:sz w:val="18"/>
          <w:szCs w:val="18"/>
          <w:color w:val="auto"/>
        </w:rPr>
        <w:t>. Except as otherwise provided in the Series B warrants or by virtue of such holder’s ownership of our ordinary shares,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B warrant does not have the rights or privileges of a holder of ordinary shares, including any voting rights, until the holder exercises the Series B warrant.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Purpose of the Company and Registered Office</w:t>
      </w:r>
    </w:p>
    <w:p>
      <w:pPr>
        <w:spacing w:after="0" w:line="1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number with the Israeli Registrar of Companies is 514330604. The purpose of our company appears in Article 3 of our Articles of Association, which is to engage in any lawful activity. In addition, our Articles of Association authorize us to donate reasonable amounts to any charitable cause. Our registered office is at Kiryat Hadassah, Minrav Building — Fifth Floor, Jerusalem 9112002, Israel.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Companies Law, and Articles of Association, our board of directors may exercise all powers and take all actions that are not required under the Companies Law or under our Articles of Association to be exercised or taken by our shareholders or other corporate body, including the power to borrow money for the purposes of our company. Our directors are not subject to any age limit requirement, nor are they disqualified from serving on our board of directors because of a failure to own a certain amount of our shares. Under our Articles of Association, our board of directors must consist of not less than three but no more than nine directors. Pursuant to our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Articles of Association allow our board of directors to appoint new directors to fill vacancies on the board of directors if the number of directors is below the maximum number provided in our Articles of Association. Furthermore, under our Articles of Association, our directors other than external directors are divided into three classes with staggered three-year terms. External directors are elected for an initial term of three years, may be elected for additional terms of three years each under certain circumstances, and may be removed from office pursuant to the terms of the Companies Law. For more information about our board of directors, see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 and Liquidation Rights</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5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Quorum</w:t>
      </w:r>
    </w:p>
    <w:p>
      <w:pPr>
        <w:spacing w:after="0" w:line="10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Shareholders’ Meetings and Resolutions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60" w:lineRule="exact"/>
        <w:rPr>
          <w:sz w:val="20"/>
          <w:szCs w:val="20"/>
          <w:color w:val="auto"/>
        </w:rPr>
      </w:pPr>
    </w:p>
    <w:p>
      <w:pPr>
        <w:ind w:left="360" w:hanging="172"/>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two directors of the company or one quarter of the board of directors; or</w:t>
      </w:r>
    </w:p>
    <w:p>
      <w:pPr>
        <w:spacing w:after="0" w:line="184" w:lineRule="exact"/>
        <w:rPr>
          <w:rFonts w:ascii="Arial" w:cs="Arial" w:eastAsia="Arial" w:hAnsi="Arial"/>
          <w:sz w:val="18"/>
          <w:szCs w:val="18"/>
          <w:color w:val="auto"/>
        </w:rPr>
      </w:pPr>
    </w:p>
    <w:p>
      <w:pPr>
        <w:ind w:left="360" w:right="380" w:hanging="172"/>
        <w:spacing w:after="0" w:line="277" w:lineRule="auto"/>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Modification of Shareholders’ Rights</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Preemptive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Articles of Association, no preemptive rights are attached to our ordinary shares.</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Restrictions on Non-Residents of Israel</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Mergers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Companies Law permits merger transactions with the approval of each party’s board of directors and shareholders. In accordance with the Companies Law, our Articles of Association provide that a merger may be approved at a shareholders meeting by a majority of the voting power represented at the meeting, in person or by proxy, and voting on that resolution. In determining whether the required majority has approved the merger, shares held by the other party to the merger, any person holding at least 25% of the outstanding voting shares or the means of appointing the board of directors of the other party to the merger, or relatives of or companies controlled by these persons, are excluded from the vote.</w:t>
      </w:r>
    </w:p>
    <w:p>
      <w:pPr>
        <w:spacing w:after="0" w:line="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Companies Law, a merging company must inform its creditors of the proposed merger. Any creditor of a party to the merger may seek a court order blocking the merger if there is a reasonable concern that the surviving company will not be able to satisfy all of the obligations of the parties to the merger. In addition, a merger may not be completed until at least 50 days have passed from the date that a merger proposal was filed with the Israeli Registrar of Companies by each party and 30 days have passed since the merger was approved by the shareholders of each party.</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Tender Offers</w:t>
      </w:r>
    </w:p>
    <w:p>
      <w:pPr>
        <w:spacing w:after="0" w:line="10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Companies Law also provides that an acquisition of shares in a public company must be made by means of a special tender offer if, as a result of the acquisition, the purchaser would become a 25% or more shareholder of the company, unless there is already a 25% or more shareholder of the company. Similarly, the Companies Law provides that an acquisition of shares in a public company must be made by means of a special tender offer if as a result of the acquisition the purchaser would become a more than 45% shareholder of the company, unless there is already a more than 45% shareholder of the company. These requirements do not apply if the acquisition (i) occurs in the context of a private placement by the company that received shareholder approval or (ii) was from a 25% or more than 45% shareholder, as the case may be. The tender offer must be extended to all shareholders, but the offeror is not required to purchase more than 5% of the company’s voting rights, regardless of how many shares are tendered by shareholders. The tender offer may be consummated only if (i) at least 5% of the company’s outstanding shares will be acquired by the offeror and (ii) the number of shares tendered in the offer exceeds the number of shares whose holders objected to the offer (excluding the controlling shareholders of the offeror,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as a result of an acquisition of shares the acquirer will hold more than 90% of a company’s outstanding shares, the acquisition must be made by means of a tender offer for all of the outstanding shares. If (i) the shareholders who do not accept the offer hold less than 5% of the issued and outstanding share capital of the company and (ii) more than half of the shareholders who do not have a personal interest in the offer accept the offer, then all the shares that the acquirer offered to purchase will be transferred to it. However, a full tender offer will also be accepted if the shareholders who do not accept the offer holder less than 2% of the issued and outstanding shares of the company. The Companies Law provides for appraisal rights if any shareholder files a request in court within six months following the consummation of a full tender off, but the acquirer is entitled to stipulate that tendering shareholders forfeit their appraisal rights. If</w:t>
      </w:r>
    </w:p>
    <w:p>
      <w:pPr>
        <w:spacing w:after="0" w:line="5" w:lineRule="exact"/>
        <w:rPr>
          <w:sz w:val="20"/>
          <w:szCs w:val="20"/>
          <w:color w:val="auto"/>
        </w:rPr>
      </w:pPr>
    </w:p>
    <w:p>
      <w:pPr>
        <w:ind w:right="140" w:firstLine="8"/>
        <w:spacing w:after="0" w:line="254"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shareholders who did not respond or accept the tender offer hold at least 5% of the issued and outstanding shares of the company or the shareholders who accept the offer constitute less than a majority of the offerees that do not have a personal interest in the acceptance of the tender offer, or (ii) the shareholders who do not accept the offer hold 2% or more of the outstanding shares of the company, then the acquirer may not acquire shares that will cause his shareholdings to exceed 90% of the outstanding shares.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Tax Law</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Duties</w:t>
      </w:r>
    </w:p>
    <w:p>
      <w:pPr>
        <w:spacing w:after="0" w:line="10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Under the Companies Law, a shareholder has a duty to act in good faith and customary manner toward the company and other shareholders and to refrain from abusing its power in the company, including, among other things, in voting at a meeting of shareholders on the following matters:</w:t>
      </w:r>
    </w:p>
    <w:p>
      <w:pPr>
        <w:spacing w:after="0" w:line="120" w:lineRule="exact"/>
        <w:rPr>
          <w:sz w:val="20"/>
          <w:szCs w:val="20"/>
          <w:color w:val="auto"/>
        </w:rPr>
      </w:pPr>
    </w:p>
    <w:p>
      <w:pPr>
        <w:ind w:left="360" w:hanging="17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interested-party transactions that require shareholder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any controlling shareholder, any shareholder who knows that it possesses the power to determine the outcome of a shareholder vote and any shareholder who, under the company’s articles of association, has the power to appoint or to prevent the appointment of a director or officer of the company or another power with respect to the company. The Companies Law does not define the substance of this duty of fairness. However, a shareholder’s breach of the duty of fairness is subject to laws regarding breaches of contracts, taking into account the position of such shareholder in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Companies Law, shareholders are provided access to minutes of our general meetings, our shareholders register and principal shareholders register, our articles of association in effect from time to time, our financial statements and any document that we are required by law to file publicly with the Israeli Companies Registrar or the Israel Securities Authority. In addition, shareholders may request to be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expect to list our ordinary shares on the NASDAQ Capital Market under the symbol “ENTX.”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listing of our ordinary shares for trading on the NASDAQ Capital Market, the transfer agent and registrar for the ordinary shares will be American Stock Transfer &amp; Trust Company, LLC.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TAXATION AND GOVERNMENT PROGRAMS</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You are encouraged to consult your tax advisor concerning the tax consequences of your particular situation, as well as any tax consequences that may arise under the laws of any state, local, foreign or other taxing jurisdiction.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Israeli Tax Considerations</w:t>
      </w:r>
    </w:p>
    <w:p>
      <w:pPr>
        <w:spacing w:after="0" w:line="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are material Israeli income tax consequences of the ownership and disposition of our ordinary shares that are purchased in this offering. It does not purport to be a comprehensive description of all the tax considerations that may be relevant to a decision to own or dispose of our ordinary shares. This discussion does not address all the aspects of Israeli tax laws that may be relevant to an investor in light of its particular circumstances or to certain types of investors subject to special treatment under applicable law.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currently at the rate of 24% in 2017 (23% in 2018 and thereafter).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Law for the Encouragement of Industry (Taxes)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An “Industrial Enterprise” is generally defined as an enterprise whose major activity in any tax year is industrial production.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Under the Industry Encouragement Law, industrial companies are entitled to the following tax-related benefits:</w:t>
      </w:r>
    </w:p>
    <w:p>
      <w:pPr>
        <w:spacing w:after="0" w:line="198" w:lineRule="exact"/>
        <w:rPr>
          <w:sz w:val="20"/>
          <w:szCs w:val="20"/>
          <w:color w:val="auto"/>
        </w:rPr>
      </w:pPr>
    </w:p>
    <w:p>
      <w:pPr>
        <w:ind w:left="360" w:right="480" w:hanging="172"/>
        <w:spacing w:after="0" w:line="308" w:lineRule="auto"/>
        <w:tabs>
          <w:tab w:leader="none" w:pos="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106" w:lineRule="exact"/>
        <w:rPr>
          <w:rFonts w:ascii="Arial" w:cs="Arial" w:eastAsia="Arial" w:hAnsi="Arial"/>
          <w:sz w:val="17"/>
          <w:szCs w:val="17"/>
          <w:color w:val="auto"/>
        </w:rPr>
      </w:pPr>
    </w:p>
    <w:p>
      <w:pPr>
        <w:ind w:left="360" w:hanging="17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deductions over a three-year period of expenses incurred in connection with the issuance and listing of shares on a stock market;</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right to elect, under specified conditions, to file a consolidated tax return together with related Israeli industrial companies; and</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accelerated depreciation rates on certain equipment and buildings.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Eligibility for benefits under the Industry Encouragement Law is not subject to receipt of prior approval from any governmental authority.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we have not generated income yet, there is no assurance that we qualify as an Industrial Company or that the benefits described above will be available to us in the future.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Benefits for Income from Preferred Enterprise</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Law for the Encouragement of Capital Investments, 5719-1959, generally referred to as the Investment Law, currently provides certain tax benefits,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for income generated by “Preferred Companies” from their “Preferred Enterprises.” The definition of a Preferred Company includes, inter alia,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8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(although, if the funds are subsequently distributed to individuals or non-Israeli residents (individuals and corporations), the withholding tax would apply).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640,000 for 2017).</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Company or that the benefits described above will be available to us in the future.</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Tax Benefits for Income from Preferred Technology Enterprise</w:t>
      </w:r>
    </w:p>
    <w:p>
      <w:pPr>
        <w:spacing w:after="0" w:line="10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will be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Technology Enterprise or Special Preferred Technology Enterprise or that the benefits described above will be available to us in the future.</w:t>
      </w:r>
    </w:p>
    <w:p>
      <w:pPr>
        <w:spacing w:after="0" w:line="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Israeli law generally imposes a capital gains tax on the sale of any capital assets by residents of Israel, as defined for Israeli tax purposes, and on the sale of capital assets located in Israel, including shares of Israeli companies by non-residents of Israel, unless a specific exemption is available or unless a tax treaty between Israel and the shareholder’s country of residence provides otherwise. Israeli law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Israeli Resident Shareholders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the tax rate applicable to real capital gains derived from the sale of our ordinary shares acquired pursuant to this offering is 25% for Israeli individuals, unless such shareholder claims a deduction for interest and linkage differences expenses in connection with such shares, in which case the gain will generally be taxed at a rate of 30%. Additionally, if such shareholder is considered a “significant shareholder” at the time of the sale or at any time during the 12-month period preceding such sale, the tax rate will be 30%. A “significant shareholder” is defined as a person who holds, directly or indirectly, including together with others, at least 10% of any means of control in the company (including, among other things, the right to receive profits of the company, voting rights, the right to receive the company’s liquidation proceeds and the right to appoint a director). However, different tax rates will apply to dealers in securities, whose income from the sale of securities is considered “business income”. An additional tax of 3% will be imposed on individuals whose annual taxable income exceeds a certain threshold (NIS 640,000 for 2017). Israeli companies are subject to the corporate tax rate on real capital gains derived from the sale of shares at the rate of 24% in 2017 (23% in 2018 and thereafter). Individual and corporate shareholder dealing in securities in Israel are taxed at the tax rates applicable to “business income”: 24% for corporations in 2017 (23% in 2018 and thereafter) and a marginal tax rate of up to 47% in 2017 and thereafter for individuals, plus an additional tax of 3%, which is imposed on individuals whose annual taxable income exceeds a certain threshold (NIS 640,000 for 2017).</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Non-Israeli Resident Shareholders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Non-Israeli residents (individuals and corporations) are generally exempt from Israeli capital gains tax on any gains derived from the sale, exchange or disposition of shares of Israeli companies publicly traded on a recognized stock exchange outside of Israel, provided, among other things, that such shareholders did not acquire their shares prior to the company’s initial public offering and the gains were not derived from a permanent establishment of such shareholders in Israel. However, shareholders that are non-Israeli entities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shares are deemed to be business income.</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as amended, or the 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 establishment of the shareholder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shareholder presenting a withholding certificate issued by the Israel Tax Authority prior to the applicable payment.</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Withholding and Reporting</w:t>
      </w:r>
    </w:p>
    <w:p>
      <w:pPr>
        <w:spacing w:after="0" w:line="10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Either the purchaser, the Israeli stockbrokers or financial institutions through which the shares are held is obliged to withhold tax on the amount of consideration paid upon the sale of securities (or on the capital gain realized on the sale, if known) at the Israeli corporate tax rate for Israeli companies (24% in 2017 and 23% in 2018 and thereafter). In case the seller is an individual, the applicable withholding tax rate would be 25%.</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including non-Israeli resident shareholders, may be required to demonstrate that they are exempt from tax on their capital gains in order to avoid withholding at source at the time of sale. In transactions involving a sale of all of the shares of an Israeli resident company, in the form of a merger or otherwise, the Israel Tax Authority may require non-Israeli resident shareholders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shares to withhold taxes at source.</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 Capital gain is also reportable on the annual income tax return.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 Distributions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Israeli Residents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Israeli resident individuals are generally subject to Israeli income tax on the receipt of dividends paid on our ordinary shares (other than bonus shares). The tax rate applicable to such dividends is 25% or 30% for a shareholder that is considered a “significant shareholder” (as defined below)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Israeli resident companies are generally exempt from tax on the receipt of dividends paid on our ordinary shares.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shareholders’ tax liability.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640,000 for 2017).</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Non-Israeli Residents</w:t>
      </w:r>
    </w:p>
    <w:p>
      <w:pPr>
        <w:spacing w:after="0" w:line="10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Non-residents of Israel (whether individuals or corporations) are generally subject to Israeli income tax on the receipt of dividends paid on ordinary shares at the rate of 25%, or 30% for a shareholder that is considered a “significant shareholder” (as defined above) at any time during the 12-month period preceding such distribution, or 20% if the dividend is distributed from income attributable to a Preferred Enterprise, Preferred Technology Enterprise or Special Preferred Technology Enterprise, which tax is to be withheld at source. Dividends not derived from income attributable to a Preferred Enterprise, Preferred Technology Enterprise or Special Preferred Technology Enterprise, are generally subject to Israeli withholding tax at a rate of 25% so long as the shares of a publicly traded company are registered with a nominee company (regardless of whether the recipient is a significant shareholder), unless a different rate is provided in a treaty between Israel and the shareholder’s country of residence.</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Israeli Tax Authority.</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aforementioned rates under the U.S.-Israel Double Tax Treaty will not apply if the dividend income was derived through a permanent establishment of the U.S. resident in Israel.</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 and (ii) the taxpayer has no other taxable sources of income in Israel with respect to which a tax return is required to be filed.</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Eligibility to benefit from tax treaties is conditioned upon the shareholder presenting a withholding certificate issued by the Israel Tax Authority prior to the applicable dividend distribution.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Tax</w:t>
      </w:r>
    </w:p>
    <w:p>
      <w:pPr>
        <w:spacing w:after="0" w:line="1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on annual income exceeding a certain threshold (NIS 640,000 for 2017), which amount is linked to the annual change in the Israeli consumer price index, including, but not limited to, dividends, interest and capital gain, subject to the provisions of an applicable tax treaty.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Material U.S. Federal Income Tax Considerations for U.S. Holders</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opinion of Davis Polk &amp; Wardwell LLP, the following are material U.S. federal income tax consequences to the U.S. Holders described below of owning and disposing of our ordinary shares, but it does not purport to be a comprehensive description of all the tax considerations that may be relevant to a particular person’s decision to acquire the ordinary shares. This discussion applies only to a U.S. Holder that acquires our ordinary shares in this offering and holds the ordinary shares as capital assets for U.S. federal income tax purposes.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and tax consequences applicable to U.S. Holders subject to special rules, such as:</w:t>
      </w:r>
    </w:p>
    <w:p>
      <w:pPr>
        <w:spacing w:after="0" w:line="108" w:lineRule="exact"/>
        <w:rPr>
          <w:sz w:val="20"/>
          <w:szCs w:val="20"/>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360" w:right="820" w:hanging="172"/>
        <w:spacing w:after="0" w:line="277" w:lineRule="auto"/>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or integrated transaction or persons entering into a constructive sale with respect to the ordinary shares;</w:t>
      </w:r>
    </w:p>
    <w:p>
      <w:pPr>
        <w:spacing w:after="0" w:line="89"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 exempt entities, “individual retirement accounts” or “Roth IRAs”;</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130" w:lineRule="exact"/>
        <w:rPr>
          <w:rFonts w:ascii="Arial" w:cs="Arial" w:eastAsia="Arial" w:hAnsi="Arial"/>
          <w:sz w:val="18"/>
          <w:szCs w:val="18"/>
          <w:color w:val="auto"/>
        </w:rPr>
      </w:pPr>
    </w:p>
    <w:p>
      <w:pPr>
        <w:ind w:left="360" w:hanging="172"/>
        <w:spacing w:after="0"/>
        <w:tabs>
          <w:tab w:leader="none" w:pos="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our ordinary shares in connection with a trade or business conducted outside of the United States.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an entity that is classified as a partnership for U.S. federal income tax purposes owns our ordinary shares, the U.S. federal income tax treatment of a partner will generally depend on the status of the partner and the activities of the partnership. Partnerships owning our ordinary shares and partners in such partnerships should consult their tax advisers as to the particular U.S. federal tax consequences of owning and disposing of the ordinary shares.</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and proposed Treasury regulations, changes to any of which subsequent to the date of this offering may affect the tax consequences described herein.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discussion, a “U.S. Holder” is a person who, for U.S. federal income tax purposes, is a beneficial owner of ordinary shares and is:</w:t>
      </w:r>
    </w:p>
    <w:p>
      <w:pPr>
        <w:spacing w:after="0" w:line="142" w:lineRule="exact"/>
        <w:rPr>
          <w:sz w:val="20"/>
          <w:szCs w:val="20"/>
          <w:color w:val="auto"/>
        </w:rPr>
      </w:pPr>
    </w:p>
    <w:p>
      <w:pPr>
        <w:ind w:left="360" w:hanging="17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rFonts w:ascii="Arial" w:cs="Arial" w:eastAsia="Arial" w:hAnsi="Arial"/>
          <w:sz w:val="18"/>
          <w:szCs w:val="18"/>
          <w:color w:val="auto"/>
        </w:rPr>
      </w:pPr>
    </w:p>
    <w:p>
      <w:pPr>
        <w:ind w:left="360" w:right="380" w:hanging="172"/>
        <w:spacing w:after="0" w:line="277"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360" w:hanging="17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our ordinary shares in their particular circumstances.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distributions, if any, paid on our ordinary shares (other than certain pro-rata distributions of ordinary shares) will be treated as dividends to the extent paid out of our current or accumulated earnings and profits (as determined under U.S. federal income tax principles). Because we do not calculate our earnings and profits under U.S. federal income tax principles, it is expected that distributions generally will be reported to U.S. Holders as dividends. Subject to applicable limitations, dividends paid to certain non-corporate U.S. Holders may be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taxable at the favorable tax rates applicable to “qualified dividend income”.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p>
    <w:p>
      <w:pPr>
        <w:spacing w:after="0" w:line="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Dividend income will include any amounts withheld by us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This gain or loss will generally be U.S. source gain or loss for foreign tax credit purposes. The deductibility of capital losses is subject to limitations.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may be a “passive foreign investment company,” or a PFIC, for our current or any future taxable year. In general, a non-U.S. corporation is a PFIC for any taxable year in which (i) 75% or more of its gross income consists of passive income, the income test or (ii) 50% or more of the average quarterly value of its assets consists of assets that produce, or are held for the production of, passive income, the assets test. Generally, “passive income” includes interest, dividends, rents, royalties and certain gains, and cash (including cash raised in this offering) is a passive asset for PFIC purposes.</w:t>
      </w:r>
    </w:p>
    <w:p>
      <w:pPr>
        <w:spacing w:after="0" w:line="3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the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w:t>
      </w:r>
    </w:p>
    <w:p>
      <w:pPr>
        <w:spacing w:after="0" w:line="4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the assets test and income test,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If we were a PFIC for any taxable year during which a U.S. Holder held our ordinary shares, an adverse tax regime would apply to the U.S. Holder’s investment in our ordinary shares. Generally, gain recognized upon a disposition (including, under certain circumstances, a pledge) of ordinary shares by the U.S. Holder would be allocated ratably over the U.S. Holder’s holding period for such ordinary shares.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exceeded 125% of the average of the annual distributions received on such ordinary shares during the preceding three years or the U.S. Holder’s holding period, whichever is shorter, that distribution would be subject to taxation in the same manner.</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 tax treatment for PFICs described above. The ordinary shares would be treated as “regularly traded” in any calendar year in which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quantity of the ordinary shares were traded on a qualified exchange on at least 15 days during each calendar quarter. The NASDAQ Capital Market, where our ordinary shares are expected to be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in their particular circumstances.</w:t>
      </w:r>
    </w:p>
    <w:p>
      <w:pPr>
        <w:spacing w:after="0" w:line="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a further alternative tax treatment.</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we were a PFIC for any year during which a U.S. Holder owns ordinary shares, we generally would continue to be treated as a PFIC with respect to such U.S. Holder’s ordinary shares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3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would not apply. In addition, if we were a PFIC for any taxable year during which a U.S. Holder owns ordinary shares, the U.S. Holder would be required to file annual reports with the Internal Revenue Service, subject to certain exceptions.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tax advisers regarding the potential application of the PFIC rules to an investment in our ordinary shares.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Certain U.S. Holders who are individuals and certain closely-held entities may be required to report information relating to the ordinary shares, unless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are held in an account maintained by a financial institution (in which case the account itself may be reportable if maintained by a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 financial institution). U.S. Holders should consult their tax advisors regarding their reporting obligations with respect to their ownership and disposition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ordinary shares.</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ELIGIBLE FOR FUTURE SALE</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this offering, there has been no public market for our ordinary shares. Future sales of our ordinary shares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ordinary shares in the public market after such restrictions lapse, or the perception that those sales may occur, could adversely affect the prevailing market price at such time and our ability to raise equity capital in the future.</w:t>
      </w:r>
    </w:p>
    <w:p>
      <w:pPr>
        <w:spacing w:after="0" w:line="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Based on the number of ordinary shares outstanding as of December 31, 2017, upon completion of this offering 11,897,252 ordinary shares will be outstanding (which includes 3,377,213 ordinary shares issuable upon the conversion of our preferred shares that will be outstanding upon the closing of this offering and 428,348 ordinary shares issuable upon the conversion of our convertible loans that will be outstanding upon the closing of this offering), after giving effect to the 1-for-89.5 split of our ordinary shares that is described elsewhere in this prospectus, assuming no exercise of options or outstanding warrants or the underwriters’ option to purchase additional ordinary shares from us.</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these shares, the 5,000,000 ordinary shares sold in this offering will be freely tradable without restriction or further registration under the Securities Act, unless purchased by our “affiliates,” as that term is defined in Rule 144 under the Securities Act. The remaining 6,897,252 ordinary shares outstanding after this offering will be “restricted securities” under Rule 144, and substantially all of these restricted securities will be subject to the 180-day lock-up period under the lock-up agreements described below. Following the expiration of these lock-up periods, those shares may be registered or may be eligible for resale in compliance with Rules 144 or 701 under the Securities Act,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and our executive officers, directors, and certain of our shareholders and lenders have agreed not to offer, sell, agree to sell, directly or indirectly, or otherwise dispose of any ordinary shares or any securities convertible into or exchangeable for ordinary shares except for the ordinary shares offered in this offering without the prior written consent of Oppenheimer &amp; Co. Inc. for a period of 180 days after the date of this prospectus, subject to certain exceptions. After the expiration of the 180-day period, the shares may be sold subject to the restrictions under Rule 144 or 701 under the Securities Act or by means of registered public offerings. Certain securities held by our shareholders shall not be subject to any such lock-up period, other than as required by applicable law, rule or regulation. The underwriters may, in their sole discretion, at any time without prior notice, release all or any portion of the shares from the restrictions in any such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Affiliate Resales of Restricted Securities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part of our shares for at least six months would be entitled to sell in “broker’s transactions” or certain “riskless principal transactions” or to market makers, a number of shares within any three-month period that does not exceed the greater of:</w:t>
      </w:r>
    </w:p>
    <w:p>
      <w:pPr>
        <w:spacing w:after="0" w:line="38" w:lineRule="exact"/>
        <w:rPr>
          <w:sz w:val="20"/>
          <w:szCs w:val="20"/>
          <w:color w:val="auto"/>
        </w:rPr>
      </w:pPr>
    </w:p>
    <w:p>
      <w:pPr>
        <w:ind w:left="360" w:hanging="17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number of shares of our shares then outstanding, which will equal approximately shares immediately after this offering; or</w:t>
      </w:r>
    </w:p>
    <w:p>
      <w:pPr>
        <w:spacing w:after="0" w:line="76" w:lineRule="exact"/>
        <w:rPr>
          <w:rFonts w:ascii="Arial" w:cs="Arial" w:eastAsia="Arial" w:hAnsi="Arial"/>
          <w:sz w:val="18"/>
          <w:szCs w:val="18"/>
          <w:color w:val="auto"/>
        </w:rPr>
      </w:pPr>
    </w:p>
    <w:p>
      <w:pPr>
        <w:ind w:left="360" w:right="440" w:hanging="172"/>
        <w:spacing w:after="0" w:line="277" w:lineRule="auto"/>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such sale.</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Affiliate resales under Rule 144 also are subject to the availability of current public information about us. In addition, if the number of securities being sold under Rule 144 by an affiliate during any three-month period exceeds 5,000 securities or has an aggregate sale price in excess of $50,000, the seller must file a notice on Form 144 with the SEC and concurrently with either the placing of a sale order with the broker or the execution directly with a market maker.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Nonaffiliate Resales of Restricted Securities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shares for at least six months but less than a year, is entitled to sell such securities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general, under Rule 701 of the Securities Act, each of our employees, consultants or advisors who acquires our ordinary shares from us in connection with a compensatory share plan or other written agreement executed prior to the closing of this offering is eligible to resell such ordinary shares in reliance on Rule 144, but without compliance with some of the restrictions, including the holding period, contained in Rule 144.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the completion of this offering, we intend to file one or more registration statements on Form S-8 under the Securities Act covering our shares subject to outstanding options and shares issuable under the Plan, permitting the resale of such shares by nonaffiliates in the public market without restriction under the Securities Act and the sale by affiliates in the public market, subject to compliance with the resale provisions of Rule 144. Accordingly, our shares registered under any such registration statement will be available for sale in the open market upon exercise by the holders, subject to vesting and holding restrictions, as applicable, Rule 144 limitations applicable to our affiliates and the contractual lock-up provisions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Upon completion of this offering, the holders of 6,384,304 ordinary shares will be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Demand Registration Rights</w:t>
      </w:r>
    </w:p>
    <w:p>
      <w:pPr>
        <w:spacing w:after="0" w:line="10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Pursuant to the investors’ rights agreement, at any time beginning 180 days after the closing of this offering and for so long as we are eligible to file a registration statement on Form F-3, any shareholder or group of shareholders holding an aggregate of at least 10% of the registrable securities under the investors’ rights 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Form F-3 Registration Statement</w:t>
      </w:r>
    </w:p>
    <w:p>
      <w:pPr>
        <w:spacing w:after="0" w:line="10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4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investors’ rights agreement also provides our shareholders with “piggy back” registration rights in the event that we determine to register the sale of any of our securities following this offering. With respect to such registration rights,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UNDERWRITING</w:t>
      </w:r>
    </w:p>
    <w:p>
      <w:pPr>
        <w:spacing w:after="0" w:line="9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entered into an underwriting agreement with the underwriters named below on , 2018. Oppenheimer &amp; Co. Inc. is acting as the representative of the underwriters. The underwriting agreement provides for the purchase of a specific number of ordinary shares by each of the underwriters. The underwriters’ obligations are several, which means that each underwriter is required to purchase a specified number of ordinary shares, but is not responsible for the commitment of any other underwriter to purchase ordinary shares. Subject to the terms and conditions of the underwriting agreement, each underwriter has severally agreed to purchase the number of ordinary shares set forth opposite its name below:</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Ordinary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Shares</w:t>
      </w:r>
    </w:p>
    <w:p>
      <w:pPr>
        <w:spacing w:after="0" w:line="74" w:lineRule="exact"/>
        <w:rPr>
          <w:sz w:val="20"/>
          <w:szCs w:val="20"/>
          <w:color w:val="auto"/>
        </w:rPr>
      </w:pPr>
    </w:p>
    <w:p>
      <w:pPr>
        <w:sectPr>
          <w:pgSz w:w="11900" w:h="16838" w:orient="portrait"/>
          <w:cols w:equalWidth="0" w:num="2">
            <w:col w:w="9700" w:space="720"/>
            <w:col w:w="1000"/>
          </w:cols>
          <w:pgMar w:left="240" w:top="132" w:right="23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Oppenheimer &amp; Co. Inc.</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6608445</wp:posOffset>
            </wp:positionH>
            <wp:positionV relativeFrom="paragraph">
              <wp:posOffset>31750</wp:posOffset>
            </wp:positionV>
            <wp:extent cx="46291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underwriters have agreed to purchase all of the ordinary shares offered by this prospectus (other than those covered by the over-allotment option described below) if any are purchased.</w:t>
      </w:r>
    </w:p>
    <w:p>
      <w:pPr>
        <w:spacing w:after="0" w:line="62"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The ordinary shares offered hereby are expected to be ready for delivery on or about</w:t>
      </w:r>
      <w:r>
        <w:rPr>
          <w:sz w:val="20"/>
          <w:szCs w:val="20"/>
          <w:color w:val="auto"/>
        </w:rPr>
        <w:tab/>
      </w:r>
      <w:r>
        <w:rPr>
          <w:rFonts w:ascii="Arial" w:cs="Arial" w:eastAsia="Arial" w:hAnsi="Arial"/>
          <w:sz w:val="16"/>
          <w:szCs w:val="16"/>
          <w:color w:val="auto"/>
        </w:rPr>
        <w:t>, 2018 against payment in immediately available funds.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underwriters are offering the ordinary shares subject to various conditions and may reject all or part of any order. The representative of the underwriters has advised us that the underwriters propose initially to offer the ordinary shares to the public at the public offering price set forth on the cover page of this</w:t>
      </w:r>
    </w:p>
    <w:p>
      <w:pPr>
        <w:ind w:right="60"/>
        <w:spacing w:after="0" w:line="261" w:lineRule="auto"/>
        <w:rPr>
          <w:sz w:val="20"/>
          <w:szCs w:val="20"/>
          <w:color w:val="auto"/>
        </w:rPr>
      </w:pPr>
      <w:r>
        <w:rPr>
          <w:rFonts w:ascii="Arial" w:cs="Arial" w:eastAsia="Arial" w:hAnsi="Arial"/>
          <w:sz w:val="18"/>
          <w:szCs w:val="18"/>
          <w:color w:val="auto"/>
        </w:rPr>
        <w:t>prospectus and to dealers at a price less a concession not in excess of $ per ordinary share to brokers and dealers. After the ordinary shares are released for sale to the public, the representative may change the offering price, the concession, and other selling terms at various times.</w:t>
      </w:r>
    </w:p>
    <w:p>
      <w:pPr>
        <w:spacing w:after="0" w:line="7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 permits the underwriters to purchase a maximum of 750,000 additional ordinary shares from us to cover over-allotments, if any. If the underwriters exercise all or part of this option, they will purchase ordinary shares covered by the option at the public offering price that appears on the cover page of this prospectus, less the</w:t>
      </w:r>
    </w:p>
    <w:p>
      <w:pPr>
        <w:ind w:right="680"/>
        <w:spacing w:after="0" w:line="261" w:lineRule="auto"/>
        <w:rPr>
          <w:sz w:val="20"/>
          <w:szCs w:val="20"/>
          <w:color w:val="auto"/>
        </w:rPr>
      </w:pPr>
      <w:r>
        <w:rPr>
          <w:rFonts w:ascii="Arial" w:cs="Arial" w:eastAsia="Arial" w:hAnsi="Arial"/>
          <w:sz w:val="18"/>
          <w:szCs w:val="18"/>
          <w:color w:val="auto"/>
        </w:rPr>
        <w:t>underwriting discounts and commissions. If this option is exercised in full, the total price to public will be $ , and the total proceeds to us, before expenses, will be $ million.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amount of the discounts and commissions to be paid to the underwriters by us, before expenses: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Total Without</w:t>
            </w:r>
          </w:p>
        </w:tc>
        <w:tc>
          <w:tcPr>
            <w:tcW w:w="1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Total With Full</w:t>
            </w:r>
          </w:p>
        </w:tc>
      </w:tr>
      <w:tr>
        <w:trPr>
          <w:trHeight w:val="162"/>
        </w:trPr>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7"/>
              </w:rPr>
              <w:t>Per</w:t>
            </w: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Exercise of</w:t>
            </w:r>
          </w:p>
        </w:tc>
        <w:tc>
          <w:tcPr>
            <w:tcW w:w="1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Exercise of</w:t>
            </w:r>
          </w:p>
        </w:tc>
      </w:tr>
      <w:tr>
        <w:trPr>
          <w:trHeight w:val="162"/>
        </w:trPr>
        <w:tc>
          <w:tcPr>
            <w:tcW w:w="6300" w:type="dxa"/>
            <w:vAlign w:val="bottom"/>
          </w:tcPr>
          <w:p>
            <w:pPr>
              <w:spacing w:after="0"/>
              <w:rPr>
                <w:sz w:val="14"/>
                <w:szCs w:val="14"/>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Over-Allotment</w:t>
            </w:r>
          </w:p>
        </w:tc>
        <w:tc>
          <w:tcPr>
            <w:tcW w:w="1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Over-Allotment</w:t>
            </w:r>
          </w:p>
        </w:tc>
      </w:tr>
      <w:tr>
        <w:trPr>
          <w:trHeight w:val="186"/>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Share</w:t>
            </w:r>
          </w:p>
        </w:tc>
        <w:tc>
          <w:tcPr>
            <w:tcW w:w="58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r>
      <w:tr>
        <w:trPr>
          <w:trHeight w:val="26"/>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Public offering price</w:t>
            </w:r>
          </w:p>
        </w:tc>
        <w:tc>
          <w:tcPr>
            <w:tcW w:w="8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r>
      <w:tr>
        <w:trPr>
          <w:trHeight w:val="263"/>
        </w:trPr>
        <w:tc>
          <w:tcPr>
            <w:tcW w:w="6300" w:type="dxa"/>
            <w:vAlign w:val="bottom"/>
          </w:tcPr>
          <w:p>
            <w:pPr>
              <w:ind w:left="520"/>
              <w:spacing w:after="0"/>
              <w:rPr>
                <w:sz w:val="20"/>
                <w:szCs w:val="20"/>
                <w:color w:val="auto"/>
              </w:rPr>
            </w:pPr>
            <w:r>
              <w:rPr>
                <w:rFonts w:ascii="Arial" w:cs="Arial" w:eastAsia="Arial" w:hAnsi="Arial"/>
                <w:sz w:val="18"/>
                <w:szCs w:val="18"/>
                <w:color w:val="auto"/>
              </w:rPr>
              <w:t>Underwriting discounts and commissions</w:t>
            </w:r>
          </w:p>
        </w:tc>
        <w:tc>
          <w:tcPr>
            <w:tcW w:w="38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70"/>
        </w:trPr>
        <w:tc>
          <w:tcPr>
            <w:tcW w:w="6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before expenses, to us</w:t>
            </w:r>
          </w:p>
        </w:tc>
        <w:tc>
          <w:tcPr>
            <w:tcW w:w="3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-522605</wp:posOffset>
            </wp:positionV>
            <wp:extent cx="137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49053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our total expenses of the offering, excluding the estimated underwriting discounts and commissions, will be approximately $1.2 million. We</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have agreed to reimburse the underwriters up to $ for expenses related to any filing with, and any clearance of this offering by, the Financial Industry Regulatory Authority, Inc.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and our officers and directors have agreed to a 180-day “lock-up” with respect to our ordinary shares and other of our securities that they beneficially own, including securities that are convertible into ordinary shares and securities that are exchangeable or exercisable ordinary shares. This means that, subject to certain exceptions, for a period of 180 days following the date of this prospectus, we and such persons may not offer, sell, pledge or otherwise dispose of these securities without the prior written consent of Oppenheimer &amp; Co. Inc.</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Rules of the Securities and Exchange Commission may limit the ability of the underwriters to bid for or purchase ordinary shares before the distribution of the ordinary shares is completed. However, the underwriters may engage in the following activities in accordance with the rules:</w:t>
      </w:r>
    </w:p>
    <w:p>
      <w:pPr>
        <w:spacing w:after="0" w:line="143" w:lineRule="exact"/>
        <w:rPr>
          <w:sz w:val="20"/>
          <w:szCs w:val="20"/>
          <w:color w:val="auto"/>
        </w:rPr>
      </w:pPr>
    </w:p>
    <w:p>
      <w:pPr>
        <w:ind w:left="360" w:right="340" w:hanging="172"/>
        <w:spacing w:after="0" w:line="277" w:lineRule="auto"/>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Stabilizing transactions — The representative may make bids or purchases for the purpose of pegging, fixing or maintaining the price of the ordinary shares, so long as stabilizing bids do not exceed a specified maximum.</w:t>
      </w:r>
    </w:p>
    <w:p>
      <w:pPr>
        <w:spacing w:after="0" w:line="129" w:lineRule="exact"/>
        <w:rPr>
          <w:rFonts w:ascii="Arial" w:cs="Arial" w:eastAsia="Arial" w:hAnsi="Arial"/>
          <w:sz w:val="18"/>
          <w:szCs w:val="18"/>
          <w:color w:val="auto"/>
        </w:rPr>
      </w:pPr>
    </w:p>
    <w:p>
      <w:pPr>
        <w:ind w:left="360" w:right="460" w:hanging="172"/>
        <w:spacing w:after="0" w:line="288" w:lineRule="auto"/>
        <w:tabs>
          <w:tab w:leader="none" w:pos="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Over-allotments and syndicate covering transactions — The underwriters may sell more ordinary shares in connection with this offering than the number of ordinary shares that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ordinary shares in this offering described above. The underwriters may close out any covered short position either by exercising its over-allotment option or by purchasing ordinary shares in the open market. To determine how they will close the covered short position, the underwriters will consider, among other things, the price of ordinary shares available for purchase in the open market, as compared to the price at which they may purchase ordinary shares through the over-allotment option. Naked short sales are short sales in excess of the over-allotment option. The underwriters must close out any naked short position by purchasing ordinary shares in the open market. A naked short position is more likely to be created if the underwriters are concerned that, in the open market after pricing, there may be downward pressure on the price of the ordinary shares that could adversely affect investors who purchase ordinary shares in this offering.</w:t>
      </w:r>
    </w:p>
    <w:p>
      <w:pPr>
        <w:spacing w:after="0" w:line="128" w:lineRule="exact"/>
        <w:rPr>
          <w:rFonts w:ascii="Arial" w:cs="Arial" w:eastAsia="Arial" w:hAnsi="Arial"/>
          <w:sz w:val="16"/>
          <w:szCs w:val="16"/>
          <w:color w:val="auto"/>
        </w:rPr>
      </w:pPr>
    </w:p>
    <w:p>
      <w:pPr>
        <w:ind w:left="360" w:right="620" w:hanging="172"/>
        <w:spacing w:after="0" w:line="342" w:lineRule="auto"/>
        <w:tabs>
          <w:tab w:leader="none" w:pos="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Penalty bids — If the representative purchases ordinary shares in the open market in a stabilizing transaction or syndicate covering transaction, it may reclaim a selling concession from the underwriters and selling group members who sold those ordinary shares as part of this offering.</w:t>
      </w:r>
    </w:p>
    <w:p>
      <w:pPr>
        <w:spacing w:after="0" w:line="96" w:lineRule="exact"/>
        <w:rPr>
          <w:rFonts w:ascii="Arial" w:cs="Arial" w:eastAsia="Arial" w:hAnsi="Arial"/>
          <w:sz w:val="16"/>
          <w:szCs w:val="16"/>
          <w:color w:val="auto"/>
        </w:rPr>
      </w:pPr>
    </w:p>
    <w:p>
      <w:pPr>
        <w:ind w:left="360" w:right="500" w:hanging="172"/>
        <w:spacing w:after="0" w:line="277" w:lineRule="auto"/>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Passive market making — Market makers in the ordinary shares who are underwriters or prospective underwriters may make bids for or purchases of ordinary shares, subject to limitations, until the time, if ever, at which a stabilizing bid is made.</w:t>
      </w:r>
    </w:p>
    <w:p>
      <w:pPr>
        <w:spacing w:after="0" w:line="6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the ordinary shares of our common stock may be higher than the price that might otherwise exist in the open market. The imposition of a penalty bid might also have an effect on the price of the ordinary shares if it discourages resales of the ordinary shares.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the ordinary shares. These transactions may occur on The NASDAQ Capital Market or otherwise. If such transactions are commenced, they may be discontinued without notice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Preliminary Prospectus</w:t>
      </w:r>
    </w:p>
    <w:p>
      <w:pPr>
        <w:spacing w:after="0" w:line="1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prospectus in electronic format may be delivered to potential investors by one or more of the underwriters participating in this offering. The prospectus in electronic format will be identical to the paper version of such prospectus. Other than the prospectus in electronic format, the information on any underwriter’s website and any information contained in any other website maintained by an underwriter is not part of this prospectus or the registration statement of which this prospectus forms a part.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Non-U.S. Investors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Belgium</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ordinary shares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underwriter has undertaken not to offer sell, resell, transfer or deliver directly or indirectly, any ordinary shares, or to take any steps relating/ancillary thereto, and not to distribute or publish this document or any other material relating to the ordinary shares or to the offering in a manner which would be construed as: (a) 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Canada</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 No securities commission or similar regulatory authority in Canada has reviewed or in any way passed upon this document or on the merits of the Securities and any representation to the contrary is an offence.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Resale Restrictions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Representations of Purchasers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(iii) is a “permitted client” as such term is defined in section 1.1 of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7"/>
          <w:szCs w:val="17"/>
          <w:i w:val="1"/>
          <w:iCs w:val="1"/>
          <w:color w:val="auto"/>
        </w:rPr>
        <w:t>Ontario Prospectus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Registration Exemptions </w:t>
      </w:r>
      <w:r>
        <w:rPr>
          <w:rFonts w:ascii="Arial" w:cs="Arial" w:eastAsia="Arial" w:hAnsi="Arial"/>
          <w:sz w:val="17"/>
          <w:szCs w:val="17"/>
          <w:color w:val="auto"/>
        </w:rPr>
        <w:t>and in Multilateral Instrument 45-107</w:t>
      </w:r>
      <w:r>
        <w:rPr>
          <w:rFonts w:ascii="Arial" w:cs="Arial" w:eastAsia="Arial" w:hAnsi="Arial"/>
          <w:sz w:val="17"/>
          <w:szCs w:val="17"/>
          <w:i w:val="1"/>
          <w:iCs w:val="1"/>
          <w:color w:val="auto"/>
        </w:rPr>
        <w:t xml:space="preserve"> Listing Representation and Statutory Rights of Action Disclosure Exemptions</w:t>
      </w:r>
      <w:r>
        <w:rPr>
          <w:rFonts w:ascii="Arial" w:cs="Arial" w:eastAsia="Arial" w:hAnsi="Arial"/>
          <w:sz w:val="17"/>
          <w:szCs w:val="17"/>
          <w:color w:val="auto"/>
        </w:rPr>
        <w:t>, as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Language of Documents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France</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Neither this prospectus nor any other offering material relating to the ordinary shares has been submitted to the clearance procedures of the Autorité des marchés financiers in France. The ordinary shares have not been offered or sold and will not be offered or sold, directly or indirectly, to the public in France. Neither this prospectus nor any other offering material relating to the ordinary shares has been or will be: (a) released, issued, distributed or caused to be released, issued or distributed to the public in France; or (b) used in connection with any offer for subscription or sale of the ordinary shares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ordinary shares may be resold only in compliance with Articles L.411-1, L.411-2, L.412-1 and L.621-8 through L.621-8-3 of the French Code monétaire et financier.</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Israel</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ordinary shares is directed only at, investors listed in the first addendum to the Israeli Securities Law (the “Addendum”), consisting primarily of joint investment in trust funds, provident funds, insurance companies, banks,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Italy</w:t>
      </w:r>
    </w:p>
    <w:p>
      <w:pPr>
        <w:spacing w:after="0" w:line="10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offering of the ordinary shares offered hereby in Italy has not been registered with the Commissione Nazionale per la Società e la Borsa (“CONSOB”) pursuant to Italian securities legislation and, accordingly, the ordinary shares offered hereby cannot be offered, sold or delivered in the Republic of Italy (“Italy”) nor may any copy of this prospectus or any other document relating to the ordinary shares offered hereby be distributed in Italy other than to professional investors (operatori qualificati) as defined in Article 31, second paragraph, of CONSOB Regulation No. 11522 of 1 July, 1998 as subsequently amended. Any offer, sale or delivery of the ordinary shares offered hereby or distribution of copies of this prospectus or any other document relating to the ordinary shares offered hereby in Italy must be made:</w:t>
      </w:r>
    </w:p>
    <w:p>
      <w:pPr>
        <w:spacing w:after="0" w:line="112" w:lineRule="exact"/>
        <w:rPr>
          <w:sz w:val="20"/>
          <w:szCs w:val="20"/>
          <w:color w:val="auto"/>
        </w:rPr>
      </w:pPr>
    </w:p>
    <w:p>
      <w:pPr>
        <w:ind w:left="360" w:right="920" w:hanging="352"/>
        <w:spacing w:after="0" w:line="277" w:lineRule="auto"/>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75" w:lineRule="exact"/>
        <w:rPr>
          <w:rFonts w:ascii="Arial" w:cs="Arial" w:eastAsia="Arial" w:hAnsi="Arial"/>
          <w:sz w:val="18"/>
          <w:szCs w:val="18"/>
          <w:color w:val="auto"/>
        </w:rPr>
      </w:pPr>
    </w:p>
    <w:p>
      <w:pPr>
        <w:ind w:left="360" w:hanging="352"/>
        <w:spacing w:after="0"/>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144" w:lineRule="exact"/>
        <w:rPr>
          <w:rFonts w:ascii="Arial" w:cs="Arial" w:eastAsia="Arial" w:hAnsi="Arial"/>
          <w:sz w:val="18"/>
          <w:szCs w:val="18"/>
          <w:color w:val="auto"/>
        </w:rPr>
      </w:pPr>
    </w:p>
    <w:p>
      <w:pPr>
        <w:ind w:left="360" w:right="840" w:hanging="352"/>
        <w:spacing w:after="0" w:line="277" w:lineRule="auto"/>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and other possible requirements or limitations which may be imposed by Italian authorities.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Sweden</w:t>
      </w:r>
    </w:p>
    <w:p>
      <w:pPr>
        <w:spacing w:after="0" w:line="10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ordinary shares offered hereunder be marketed and offered for sale in Sweden, other than under circumstances which are deemed not to require a prospectus under the Financial Instruments Trading Act (1991: 980).</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Switzerland</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ordinary shares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ordinary shares being offered pursuant to this prospectus on the SWX Swiss Exchange or on any other regulated securities market, and consequently, the information presented in this prospectus does not necessarily comply with the information standards set out in the relevant listing rules. The ordinary shares being offered pursuant to this prospectus have not been registered with the Swiss Federal Banking Commission as foreign investment funds, and the investor protection afforded to acquirers of investment fund certificates does not extend to acquirers of ordinary shares.</w:t>
      </w:r>
    </w:p>
    <w:p>
      <w:pPr>
        <w:spacing w:after="0" w:line="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ordinary shares.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by the competent authority in such Member State and published and passported in accordance with the Prospectus Directive as implemented in name(s) of relevant Member State(s) except that an offer to the public in that Relevant Member State of any ordinary shares may be made at any time under the following exemptions under the Prospectus Directive, if they have been implemented in that Relevant Member State:</w:t>
      </w:r>
    </w:p>
    <w:p>
      <w:pPr>
        <w:spacing w:after="0" w:line="111" w:lineRule="exact"/>
        <w:rPr>
          <w:sz w:val="20"/>
          <w:szCs w:val="20"/>
          <w:color w:val="auto"/>
        </w:rPr>
      </w:pPr>
    </w:p>
    <w:p>
      <w:pPr>
        <w:ind w:left="360" w:right="300" w:hanging="352"/>
        <w:spacing w:after="0" w:line="277" w:lineRule="auto"/>
        <w:tabs>
          <w:tab w:leader="none" w:pos="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16" w:lineRule="exact"/>
        <w:rPr>
          <w:rFonts w:ascii="Arial" w:cs="Arial" w:eastAsia="Arial" w:hAnsi="Arial"/>
          <w:sz w:val="18"/>
          <w:szCs w:val="18"/>
          <w:color w:val="auto"/>
        </w:rPr>
      </w:pPr>
    </w:p>
    <w:p>
      <w:pPr>
        <w:ind w:left="360" w:right="300" w:hanging="352"/>
        <w:spacing w:after="0" w:line="308" w:lineRule="auto"/>
        <w:tabs>
          <w:tab w:leader="none" w:pos="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92" w:lineRule="exact"/>
        <w:rPr>
          <w:rFonts w:ascii="Arial" w:cs="Arial" w:eastAsia="Arial" w:hAnsi="Arial"/>
          <w:sz w:val="17"/>
          <w:szCs w:val="17"/>
          <w:color w:val="auto"/>
        </w:rPr>
      </w:pPr>
    </w:p>
    <w:p>
      <w:pPr>
        <w:ind w:left="360" w:hanging="352"/>
        <w:spacing w:after="0"/>
        <w:tabs>
          <w:tab w:leader="none" w:pos="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171" w:lineRule="exact"/>
        <w:rPr>
          <w:rFonts w:ascii="Arial" w:cs="Arial" w:eastAsia="Arial" w:hAnsi="Arial"/>
          <w:sz w:val="18"/>
          <w:szCs w:val="18"/>
          <w:color w:val="auto"/>
        </w:rPr>
      </w:pPr>
    </w:p>
    <w:p>
      <w:pPr>
        <w:ind w:left="360" w:right="640" w:hanging="352"/>
        <w:spacing w:after="0" w:line="308" w:lineRule="auto"/>
        <w:tabs>
          <w:tab w:leader="none" w:pos="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the publication by the company or any underwriter of a prospectus pursuant to Article 3 of the Prospectus Directive.</w:t>
      </w:r>
    </w:p>
    <w:p>
      <w:pPr>
        <w:spacing w:after="0" w:line="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71" w:lineRule="exact"/>
        <w:rPr>
          <w:sz w:val="20"/>
          <w:szCs w:val="20"/>
          <w:color w:val="auto"/>
        </w:rPr>
      </w:pPr>
    </w:p>
    <w:p>
      <w:pPr>
        <w:ind w:left="360" w:right="440" w:hanging="352"/>
        <w:spacing w:after="0" w:line="312" w:lineRule="auto"/>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ordinary shares in circumstances in which section 21(1) of the FSMA does not apply to the company; and</w:t>
      </w:r>
    </w:p>
    <w:p>
      <w:pPr>
        <w:spacing w:after="0" w:line="92" w:lineRule="exact"/>
        <w:rPr>
          <w:rFonts w:ascii="Arial" w:cs="Arial" w:eastAsia="Arial" w:hAnsi="Arial"/>
          <w:sz w:val="16"/>
          <w:szCs w:val="16"/>
          <w:color w:val="auto"/>
        </w:rPr>
      </w:pPr>
    </w:p>
    <w:p>
      <w:pPr>
        <w:ind w:left="360" w:right="720" w:hanging="352"/>
        <w:spacing w:after="0" w:line="277" w:lineRule="auto"/>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ordinary shares in, from or otherwise involving the United Kingdom.</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EXPENSES RELATED TO THE OFFERING</w:t>
      </w:r>
    </w:p>
    <w:p>
      <w:pPr>
        <w:spacing w:after="0" w:line="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sets forth the costs and expenses, other than underwriting discounts and underwriting expenses, payable by us in connection with this offering. With the exception of the SEC registration fee, the listing fee and the FINRA filing fee, all amounts are estimates.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 registration fee</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10,062</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NASDAQ Capital Market listing fee</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FINRA filing fee</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12,500</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Printing expenses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Legal fees and expenses</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700,000</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Accounting fees and expenses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234,000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Transfer agent’s fees</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r>
      <w:tr>
        <w:trPr>
          <w:trHeight w:val="257"/>
        </w:trPr>
        <w:tc>
          <w:tcPr>
            <w:tcW w:w="6740" w:type="dxa"/>
            <w:vAlign w:val="bottom"/>
          </w:tcPr>
          <w:p>
            <w:pPr>
              <w:ind w:left="540"/>
              <w:spacing w:after="0"/>
              <w:rPr>
                <w:sz w:val="20"/>
                <w:szCs w:val="20"/>
                <w:color w:val="auto"/>
              </w:rPr>
            </w:pPr>
            <w:r>
              <w:rPr>
                <w:rFonts w:ascii="Arial" w:cs="Arial" w:eastAsia="Arial" w:hAnsi="Arial"/>
                <w:sz w:val="18"/>
                <w:szCs w:val="18"/>
                <w:color w:val="auto"/>
              </w:rPr>
              <w:t>Miscellaneous</w:t>
            </w:r>
          </w:p>
        </w:tc>
        <w:tc>
          <w:tcPr>
            <w:tcW w:w="36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100,000</w:t>
            </w:r>
          </w:p>
        </w:tc>
      </w:tr>
      <w:tr>
        <w:trPr>
          <w:trHeight w:val="257"/>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1,231,562</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 Certain legal matters in connection with this offering will be passed upon for the underwriters by Gornitzky &amp; Co., Tel Aviv, Israel, with respect to Israeli law, and by Mintz, Levin, Cohn, Ferris, Glovsky and Popeo, P.C., New York, New York, with respect to U.S.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financial statements as of December 31, 2016 and 2015 and for each of the two years in the period ended December 31, 2016 included in this prospectus have been so included in reliance on the report (which contains an explanatory paragraph relating to the Company’s ability to continue as a going concern as described in Note 1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ENFORCEABILITY OF CIVIL LIABILITIES</w:t>
      </w:r>
    </w:p>
    <w:p>
      <w:pPr>
        <w:spacing w:after="0" w:line="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our directors and officers and the Israeli experts, if any, named in this prospectus, many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w:t>
      </w:r>
    </w:p>
    <w:p>
      <w:pPr>
        <w:spacing w:after="0" w:line="6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been informed by our legal counsel in Israel that it may also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which can be a time-consuming and costly process. Certain matters of procedure will also be governed by Israeli law.</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which, subject to certain exceptions, is non-appealable, including a judgment based upon the civil liability provisions of the U.S. securities laws, as well as a monetary or compensatory judgment in a non-civil matter, provided that, among other things, the following conditions are met:</w:t>
      </w:r>
    </w:p>
    <w:p>
      <w:pPr>
        <w:spacing w:after="0" w:line="160" w:lineRule="exact"/>
        <w:rPr>
          <w:sz w:val="20"/>
          <w:szCs w:val="20"/>
          <w:color w:val="auto"/>
        </w:rPr>
      </w:pPr>
    </w:p>
    <w:p>
      <w:pPr>
        <w:ind w:left="360" w:hanging="17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is enforceable under the laws of State of Israel and under the laws of the state in which it was given;</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was rendered by a court of competent jurisdiction under the rules of private international law prevailing in Israel;</w:t>
      </w:r>
    </w:p>
    <w:p>
      <w:pPr>
        <w:spacing w:after="0" w:line="184" w:lineRule="exact"/>
        <w:rPr>
          <w:rFonts w:ascii="Arial" w:cs="Arial" w:eastAsia="Arial" w:hAnsi="Arial"/>
          <w:sz w:val="18"/>
          <w:szCs w:val="18"/>
          <w:color w:val="auto"/>
        </w:rPr>
      </w:pPr>
    </w:p>
    <w:p>
      <w:pPr>
        <w:ind w:left="360" w:hanging="17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provides for the enforcement of judgments of Israeli courts;</w:t>
      </w:r>
    </w:p>
    <w:p>
      <w:pPr>
        <w:spacing w:after="0" w:line="198" w:lineRule="exact"/>
        <w:rPr>
          <w:rFonts w:ascii="Arial" w:cs="Arial" w:eastAsia="Arial" w:hAnsi="Arial"/>
          <w:sz w:val="18"/>
          <w:szCs w:val="18"/>
          <w:color w:val="auto"/>
        </w:rPr>
      </w:pPr>
    </w:p>
    <w:p>
      <w:pPr>
        <w:ind w:left="360" w:hanging="172"/>
        <w:spacing w:after="0"/>
        <w:tabs>
          <w:tab w:leader="none" w:pos="3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adequate service of process has been effected and the defendant has had a reasonable opportunity to be heard and present his or her evidence;</w:t>
      </w:r>
    </w:p>
    <w:p>
      <w:pPr>
        <w:spacing w:after="0" w:line="196" w:lineRule="exact"/>
        <w:rPr>
          <w:rFonts w:ascii="Arial" w:cs="Arial" w:eastAsia="Arial" w:hAnsi="Arial"/>
          <w:sz w:val="17"/>
          <w:szCs w:val="17"/>
          <w:color w:val="auto"/>
        </w:rPr>
      </w:pPr>
    </w:p>
    <w:p>
      <w:pPr>
        <w:ind w:left="360" w:hanging="17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184" w:lineRule="exact"/>
        <w:rPr>
          <w:rFonts w:ascii="Arial" w:cs="Arial" w:eastAsia="Arial" w:hAnsi="Arial"/>
          <w:sz w:val="18"/>
          <w:szCs w:val="18"/>
          <w:color w:val="auto"/>
        </w:rPr>
      </w:pPr>
    </w:p>
    <w:p>
      <w:pPr>
        <w:ind w:left="360" w:right="840" w:hanging="172"/>
        <w:spacing w:after="0" w:line="277" w:lineRule="auto"/>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judgment was not obtained by fraudulent means and does not conflict with any other valid judgment in the same matter between the same parties; and</w:t>
      </w:r>
    </w:p>
    <w:p>
      <w:pPr>
        <w:spacing w:after="0" w:line="129" w:lineRule="exact"/>
        <w:rPr>
          <w:rFonts w:ascii="Arial" w:cs="Arial" w:eastAsia="Arial" w:hAnsi="Arial"/>
          <w:sz w:val="18"/>
          <w:szCs w:val="18"/>
          <w:color w:val="auto"/>
        </w:rPr>
      </w:pPr>
    </w:p>
    <w:p>
      <w:pPr>
        <w:ind w:left="360" w:hanging="172"/>
        <w:spacing w:after="0"/>
        <w:tabs>
          <w:tab w:leader="none" w:pos="3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action between the same parties in the same matter is not pending in any Israeli court at the time the lawsuit is instituted in the foreign court.</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fluctuations.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5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 Those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we intend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spacing w:after="0" w:line="5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maintain a corporate website at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49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w:t>
            </w:r>
          </w:p>
        </w:tc>
        <w:tc>
          <w:tcPr>
            <w:tcW w:w="5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16"/>
        </w:trPr>
        <w:tc>
          <w:tcPr>
            <w:tcW w:w="4900" w:type="dxa"/>
            <w:vAlign w:val="bottom"/>
            <w:gridSpan w:val="7"/>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Report of Independent Registered Public Accounting Firm</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Arial" w:cs="Arial" w:eastAsia="Arial" w:hAnsi="Arial"/>
                <w:sz w:val="18"/>
                <w:szCs w:val="18"/>
                <w:color w:val="0000EE"/>
              </w:rPr>
            </w:pPr>
            <w:hyperlink w:anchor="page175">
              <w:r>
                <w:rPr>
                  <w:rFonts w:ascii="Arial" w:cs="Arial" w:eastAsia="Arial" w:hAnsi="Arial"/>
                  <w:sz w:val="18"/>
                  <w:szCs w:val="18"/>
                  <w:color w:val="0000EE"/>
                </w:rPr>
                <w:t>F-2</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300" w:type="dxa"/>
            <w:vAlign w:val="bottom"/>
            <w:gridSpan w:val="2"/>
            <w:shd w:val="clear" w:color="auto" w:fill="CCEEFF"/>
          </w:tcPr>
          <w:p>
            <w:pPr>
              <w:spacing w:after="0"/>
              <w:rPr>
                <w:rFonts w:ascii="Arial" w:cs="Arial" w:eastAsia="Arial" w:hAnsi="Arial"/>
                <w:sz w:val="18"/>
                <w:szCs w:val="18"/>
                <w:color w:val="0000EE"/>
                <w:w w:val="91"/>
              </w:rPr>
            </w:pPr>
            <w:hyperlink w:anchor="page176">
              <w:r>
                <w:rPr>
                  <w:rFonts w:ascii="Arial" w:cs="Arial" w:eastAsia="Arial" w:hAnsi="Arial"/>
                  <w:sz w:val="18"/>
                  <w:szCs w:val="18"/>
                  <w:color w:val="0000EE"/>
                  <w:w w:val="91"/>
                </w:rPr>
                <w:t>Statements of financial position</w:t>
              </w:r>
            </w:hyperlink>
          </w:p>
        </w:tc>
        <w:tc>
          <w:tcPr>
            <w:tcW w:w="2600" w:type="dxa"/>
            <w:vAlign w:val="bottom"/>
            <w:gridSpan w:val="5"/>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rPr>
            </w:pPr>
            <w:hyperlink w:anchor="page176">
              <w:r>
                <w:rPr>
                  <w:rFonts w:ascii="Arial" w:cs="Arial" w:eastAsia="Arial" w:hAnsi="Arial"/>
                  <w:sz w:val="18"/>
                  <w:szCs w:val="18"/>
                  <w:color w:val="0000EE"/>
                </w:rPr>
                <w:t>F-3</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900" w:type="dxa"/>
            <w:vAlign w:val="bottom"/>
            <w:gridSpan w:val="7"/>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Statements of comprehensive loss</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Arial" w:cs="Arial" w:eastAsia="Arial" w:hAnsi="Arial"/>
                <w:sz w:val="18"/>
                <w:szCs w:val="18"/>
                <w:color w:val="0000EE"/>
              </w:rPr>
            </w:pPr>
            <w:hyperlink w:anchor="page177">
              <w:r>
                <w:rPr>
                  <w:rFonts w:ascii="Arial" w:cs="Arial" w:eastAsia="Arial" w:hAnsi="Arial"/>
                  <w:sz w:val="18"/>
                  <w:szCs w:val="18"/>
                  <w:color w:val="0000EE"/>
                </w:rPr>
                <w:t>F-4</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4900" w:type="dxa"/>
            <w:vAlign w:val="bottom"/>
            <w:gridSpan w:val="7"/>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Statements of changes in capital deficiency</w:t>
              </w:r>
            </w:hyperlink>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rPr>
            </w:pPr>
            <w:hyperlink w:anchor="page178">
              <w:r>
                <w:rPr>
                  <w:rFonts w:ascii="Arial" w:cs="Arial" w:eastAsia="Arial" w:hAnsi="Arial"/>
                  <w:sz w:val="18"/>
                  <w:szCs w:val="18"/>
                  <w:color w:val="0000EE"/>
                </w:rPr>
                <w:t>F-5</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Statements of cash flows</w:t>
              </w:r>
            </w:hyperlink>
          </w:p>
        </w:tc>
        <w:tc>
          <w:tcPr>
            <w:tcW w:w="1780" w:type="dxa"/>
            <w:vAlign w:val="bottom"/>
            <w:gridSpan w:val="2"/>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Arial" w:cs="Arial" w:eastAsia="Arial" w:hAnsi="Arial"/>
                <w:sz w:val="18"/>
                <w:szCs w:val="18"/>
                <w:color w:val="0000EE"/>
              </w:rPr>
            </w:pPr>
            <w:hyperlink w:anchor="page179">
              <w:r>
                <w:rPr>
                  <w:rFonts w:ascii="Arial" w:cs="Arial" w:eastAsia="Arial" w:hAnsi="Arial"/>
                  <w:sz w:val="18"/>
                  <w:szCs w:val="18"/>
                  <w:color w:val="0000EE"/>
                </w:rPr>
                <w:t>F-6</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360" w:type="dxa"/>
            <w:vAlign w:val="bottom"/>
            <w:gridSpan w:val="3"/>
            <w:shd w:val="clear" w:color="auto" w:fill="CCEEFF"/>
          </w:tcPr>
          <w:p>
            <w:pPr>
              <w:spacing w:after="0"/>
              <w:rPr>
                <w:rFonts w:ascii="Arial" w:cs="Arial" w:eastAsia="Arial" w:hAnsi="Arial"/>
                <w:sz w:val="18"/>
                <w:szCs w:val="18"/>
                <w:color w:val="0000EE"/>
                <w:w w:val="89"/>
              </w:rPr>
            </w:pPr>
            <w:hyperlink w:anchor="page180">
              <w:r>
                <w:rPr>
                  <w:rFonts w:ascii="Arial" w:cs="Arial" w:eastAsia="Arial" w:hAnsi="Arial"/>
                  <w:sz w:val="18"/>
                  <w:szCs w:val="18"/>
                  <w:color w:val="0000EE"/>
                  <w:w w:val="89"/>
                </w:rPr>
                <w:t>Notes to the financial statements</w:t>
              </w:r>
            </w:hyperlink>
          </w:p>
        </w:tc>
        <w:tc>
          <w:tcPr>
            <w:tcW w:w="2540" w:type="dxa"/>
            <w:vAlign w:val="bottom"/>
            <w:gridSpan w:val="4"/>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rPr>
            </w:pPr>
            <w:hyperlink w:anchor="page180">
              <w:r>
                <w:rPr>
                  <w:rFonts w:ascii="Arial" w:cs="Arial" w:eastAsia="Arial" w:hAnsi="Arial"/>
                  <w:sz w:val="18"/>
                  <w:szCs w:val="18"/>
                  <w:color w:val="0000EE"/>
                </w:rPr>
                <w:t>F-7</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365"/>
        </w:trPr>
        <w:tc>
          <w:tcPr>
            <w:tcW w:w="4900" w:type="dxa"/>
            <w:vAlign w:val="bottom"/>
            <w:gridSpan w:val="7"/>
          </w:tcPr>
          <w:p>
            <w:pPr>
              <w:spacing w:after="0"/>
              <w:rPr>
                <w:sz w:val="20"/>
                <w:szCs w:val="20"/>
                <w:color w:val="auto"/>
              </w:rPr>
            </w:pPr>
            <w:r>
              <w:rPr>
                <w:rFonts w:ascii="Arial" w:cs="Arial" w:eastAsia="Arial" w:hAnsi="Arial"/>
                <w:sz w:val="18"/>
                <w:szCs w:val="18"/>
                <w:b w:val="1"/>
                <w:bCs w:val="1"/>
                <w:color w:val="auto"/>
              </w:rPr>
              <w:t>Unaudited Financial Statements</w:t>
            </w:r>
          </w:p>
        </w:tc>
        <w:tc>
          <w:tcPr>
            <w:tcW w:w="5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2300" w:type="dxa"/>
            <w:vAlign w:val="bottom"/>
            <w:gridSpan w:val="2"/>
            <w:shd w:val="clear" w:color="auto" w:fill="CCEEFF"/>
          </w:tcPr>
          <w:p>
            <w:pPr>
              <w:spacing w:after="0"/>
              <w:rPr>
                <w:rFonts w:ascii="Arial" w:cs="Arial" w:eastAsia="Arial" w:hAnsi="Arial"/>
                <w:sz w:val="18"/>
                <w:szCs w:val="18"/>
                <w:color w:val="0000EE"/>
                <w:w w:val="91"/>
              </w:rPr>
            </w:pPr>
            <w:hyperlink w:anchor="page203">
              <w:r>
                <w:rPr>
                  <w:rFonts w:ascii="Arial" w:cs="Arial" w:eastAsia="Arial" w:hAnsi="Arial"/>
                  <w:sz w:val="18"/>
                  <w:szCs w:val="18"/>
                  <w:color w:val="0000EE"/>
                  <w:w w:val="91"/>
                </w:rPr>
                <w:t>Statements of financial position</w:t>
              </w:r>
            </w:hyperlink>
          </w:p>
        </w:tc>
        <w:tc>
          <w:tcPr>
            <w:tcW w:w="2600" w:type="dxa"/>
            <w:vAlign w:val="bottom"/>
            <w:gridSpan w:val="5"/>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w w:val="86"/>
              </w:rPr>
            </w:pPr>
            <w:hyperlink w:anchor="page203">
              <w:r>
                <w:rPr>
                  <w:rFonts w:ascii="Arial" w:cs="Arial" w:eastAsia="Arial" w:hAnsi="Arial"/>
                  <w:sz w:val="18"/>
                  <w:szCs w:val="18"/>
                  <w:color w:val="0000EE"/>
                  <w:w w:val="86"/>
                </w:rPr>
                <w:t>F-30</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900" w:type="dxa"/>
            <w:vAlign w:val="bottom"/>
            <w:gridSpan w:val="7"/>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Statements of comprehensive loss</w:t>
              </w:r>
            </w:hyperlink>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Arial" w:cs="Arial" w:eastAsia="Arial" w:hAnsi="Arial"/>
                <w:sz w:val="18"/>
                <w:szCs w:val="18"/>
                <w:color w:val="0000EE"/>
                <w:w w:val="86"/>
              </w:rPr>
            </w:pPr>
            <w:hyperlink w:anchor="page204">
              <w:r>
                <w:rPr>
                  <w:rFonts w:ascii="Arial" w:cs="Arial" w:eastAsia="Arial" w:hAnsi="Arial"/>
                  <w:sz w:val="18"/>
                  <w:szCs w:val="18"/>
                  <w:color w:val="0000EE"/>
                  <w:w w:val="86"/>
                </w:rPr>
                <w:t>F-31</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4900" w:type="dxa"/>
            <w:vAlign w:val="bottom"/>
            <w:gridSpan w:val="7"/>
            <w:shd w:val="clear" w:color="auto" w:fill="CCEEFF"/>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Statements of changes in capital deficiency</w:t>
              </w:r>
            </w:hyperlink>
          </w:p>
        </w:tc>
        <w:tc>
          <w:tcPr>
            <w:tcW w:w="5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w w:val="86"/>
              </w:rPr>
            </w:pPr>
            <w:hyperlink w:anchor="page205">
              <w:r>
                <w:rPr>
                  <w:rFonts w:ascii="Arial" w:cs="Arial" w:eastAsia="Arial" w:hAnsi="Arial"/>
                  <w:sz w:val="18"/>
                  <w:szCs w:val="18"/>
                  <w:color w:val="0000EE"/>
                  <w:w w:val="86"/>
                </w:rPr>
                <w:t>F-32</w:t>
              </w:r>
            </w:hyperlink>
          </w:p>
        </w:tc>
      </w:tr>
      <w:tr>
        <w:trPr>
          <w:trHeight w:val="21"/>
        </w:trPr>
        <w:tc>
          <w:tcPr>
            <w:tcW w:w="1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20" w:type="dxa"/>
            <w:vAlign w:val="bottom"/>
            <w:gridSpan w:val="5"/>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Statements of cash flows</w:t>
              </w:r>
            </w:hyperlink>
          </w:p>
        </w:tc>
        <w:tc>
          <w:tcPr>
            <w:tcW w:w="1780" w:type="dxa"/>
            <w:vAlign w:val="bottom"/>
            <w:gridSpan w:val="2"/>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ind w:right="400"/>
              <w:spacing w:after="0"/>
              <w:rPr>
                <w:rFonts w:ascii="Arial" w:cs="Arial" w:eastAsia="Arial" w:hAnsi="Arial"/>
                <w:sz w:val="18"/>
                <w:szCs w:val="18"/>
                <w:color w:val="0000EE"/>
                <w:w w:val="86"/>
              </w:rPr>
            </w:pPr>
            <w:hyperlink w:anchor="page206">
              <w:r>
                <w:rPr>
                  <w:rFonts w:ascii="Arial" w:cs="Arial" w:eastAsia="Arial" w:hAnsi="Arial"/>
                  <w:sz w:val="18"/>
                  <w:szCs w:val="18"/>
                  <w:color w:val="0000EE"/>
                  <w:w w:val="86"/>
                </w:rPr>
                <w:t>F-33</w:t>
              </w:r>
            </w:hyperlink>
          </w:p>
        </w:tc>
      </w:tr>
      <w:tr>
        <w:trPr>
          <w:trHeight w:val="21"/>
        </w:trPr>
        <w:tc>
          <w:tcPr>
            <w:tcW w:w="1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2360" w:type="dxa"/>
            <w:vAlign w:val="bottom"/>
            <w:gridSpan w:val="3"/>
            <w:shd w:val="clear" w:color="auto" w:fill="CCEEFF"/>
          </w:tcPr>
          <w:p>
            <w:pPr>
              <w:spacing w:after="0"/>
              <w:rPr>
                <w:rFonts w:ascii="Arial" w:cs="Arial" w:eastAsia="Arial" w:hAnsi="Arial"/>
                <w:sz w:val="18"/>
                <w:szCs w:val="18"/>
                <w:color w:val="0000EE"/>
                <w:w w:val="89"/>
              </w:rPr>
            </w:pPr>
            <w:hyperlink w:anchor="page208">
              <w:r>
                <w:rPr>
                  <w:rFonts w:ascii="Arial" w:cs="Arial" w:eastAsia="Arial" w:hAnsi="Arial"/>
                  <w:sz w:val="18"/>
                  <w:szCs w:val="18"/>
                  <w:color w:val="0000EE"/>
                  <w:w w:val="89"/>
                </w:rPr>
                <w:t>Notes to the financial statements</w:t>
              </w:r>
            </w:hyperlink>
          </w:p>
        </w:tc>
        <w:tc>
          <w:tcPr>
            <w:tcW w:w="2540" w:type="dxa"/>
            <w:vAlign w:val="bottom"/>
            <w:gridSpan w:val="4"/>
            <w:shd w:val="clear" w:color="auto" w:fill="CCEEFF"/>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0"/>
              <w:spacing w:after="0"/>
              <w:rPr>
                <w:rFonts w:ascii="Arial" w:cs="Arial" w:eastAsia="Arial" w:hAnsi="Arial"/>
                <w:sz w:val="18"/>
                <w:szCs w:val="18"/>
                <w:color w:val="0000EE"/>
                <w:w w:val="86"/>
              </w:rPr>
            </w:pPr>
            <w:hyperlink w:anchor="page208">
              <w:r>
                <w:rPr>
                  <w:rFonts w:ascii="Arial" w:cs="Arial" w:eastAsia="Arial" w:hAnsi="Arial"/>
                  <w:sz w:val="18"/>
                  <w:szCs w:val="18"/>
                  <w:color w:val="0000EE"/>
                  <w:w w:val="86"/>
                </w:rPr>
                <w:t>F-35</w:t>
              </w:r>
            </w:hyperlink>
          </w:p>
        </w:tc>
      </w:tr>
      <w:tr>
        <w:trPr>
          <w:trHeight w:val="486"/>
        </w:trPr>
        <w:tc>
          <w:tcPr>
            <w:tcW w:w="18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gridSpan w:val="2"/>
          </w:tcPr>
          <w:p>
            <w:pPr>
              <w:ind w:left="680"/>
              <w:spacing w:after="0"/>
              <w:rPr>
                <w:sz w:val="20"/>
                <w:szCs w:val="20"/>
                <w:color w:val="auto"/>
              </w:rPr>
            </w:pPr>
            <w:r>
              <w:rPr>
                <w:rFonts w:ascii="Arial" w:cs="Arial" w:eastAsia="Arial" w:hAnsi="Arial"/>
                <w:sz w:val="18"/>
                <w:szCs w:val="18"/>
                <w:color w:val="auto"/>
              </w:rPr>
              <w:t>F-1</w:t>
            </w:r>
          </w:p>
        </w:tc>
        <w:tc>
          <w:tcPr>
            <w:tcW w:w="340" w:type="dxa"/>
            <w:vAlign w:val="bottom"/>
            <w:tcBorders>
              <w:top w:val="single" w:sz="8" w:color="0000EE"/>
            </w:tcBorders>
            <w:gridSpan w:val="2"/>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r>
      <w:tr>
        <w:trPr>
          <w:trHeight w:val="385"/>
        </w:trPr>
        <w:tc>
          <w:tcPr>
            <w:tcW w:w="1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-2760980</wp:posOffset>
            </wp:positionV>
            <wp:extent cx="6525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5" w:name="page176"/>
    <w:bookmarkEnd w:id="17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548640" cy="420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86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 shareholders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9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have audited the accompanying statements of financial position of Entera Bio Ltd. (the “Company”) as of December 31, 2016 and 2015 and the related statements of comprehensive loss, changes in capital deficiency and cash flows for the years then ended. These financial statements are the responsibility of the Company’s board of directors and management. Our responsibility is to express an opinion on these financial statements based on our audits.</w:t>
      </w:r>
    </w:p>
    <w:p>
      <w:pPr>
        <w:spacing w:after="0" w:line="3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6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2016 and 2015 and the results of its operations and its cash flows for the years then ended, in conformity with International Financial Reporting Standards (“IFRS”) as issued by the International Accounting Standards Board (“IASB”).</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1a.2 to the financial statements, the Company has suffered recurring losses from operations, has negative working capital and has cash outflows from operating activities that raise substantial doubt about its ability to continue as a going concern. Management’s plans in regard to these matters are also described in Note 1a.2. The financial statements do not include any adjustments that might result from the outcome of this uncertainty.</w:t>
      </w:r>
    </w:p>
    <w:p>
      <w:pPr>
        <w:sectPr>
          <w:pgSz w:w="11900" w:h="16838" w:orient="portrait"/>
          <w:cols w:equalWidth="0" w:num="1">
            <w:col w:w="11400"/>
          </w:cols>
          <w:pgMar w:left="240" w:top="132" w:right="25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13, 2017</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0" w:lineRule="exact"/>
        <w:rPr>
          <w:sz w:val="20"/>
          <w:szCs w:val="20"/>
          <w:color w:val="auto"/>
        </w:rPr>
      </w:pPr>
    </w:p>
    <w:p>
      <w:pPr>
        <w:sectPr>
          <w:pgSz w:w="11900" w:h="16838" w:orient="portrait"/>
          <w:cols w:equalWidth="0" w:num="2">
            <w:col w:w="2360" w:space="720"/>
            <w:col w:w="8320"/>
          </w:cols>
          <w:pgMar w:left="240" w:top="13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Kesselman &amp; Kesselman, Trade Tower, 25 Hamered Street, Tel-Aviv 6812508, Israel, P.O Box 50005 Tel-Aviv 6150001 Telephone: +972-3-7954555, Fax:+972-3-7954556, www.pwc.com/il</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ENTERA BIO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FINANCIAL POSITION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Note</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7"/>
                <w:szCs w:val="17"/>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460"/>
              <w:spacing w:after="0"/>
              <w:rPr>
                <w:sz w:val="20"/>
                <w:szCs w:val="20"/>
                <w:color w:val="auto"/>
              </w:rPr>
            </w:pPr>
            <w:r>
              <w:rPr>
                <w:rFonts w:ascii="Arial" w:cs="Arial" w:eastAsia="Arial" w:hAnsi="Arial"/>
                <w:sz w:val="14"/>
                <w:szCs w:val="14"/>
                <w:color w:val="auto"/>
              </w:rPr>
              <w:t>U.S. dollars in thousands</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5500" w:type="dxa"/>
            <w:vAlign w:val="bottom"/>
            <w:shd w:val="clear" w:color="auto" w:fill="CCEEFF"/>
          </w:tcPr>
          <w:p>
            <w:pPr>
              <w:jc w:val="center"/>
              <w:ind w:right="261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4,163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Restricted deposits</w:t>
            </w:r>
          </w:p>
        </w:tc>
        <w:tc>
          <w:tcPr>
            <w:tcW w:w="220" w:type="dxa"/>
            <w:vAlign w:val="bottom"/>
          </w:tcPr>
          <w:p>
            <w:pPr>
              <w:spacing w:after="0"/>
              <w:rPr>
                <w:sz w:val="18"/>
                <w:szCs w:val="18"/>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7a2</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1,075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color w:val="auto"/>
                <w:w w:val="86"/>
              </w:rPr>
              <w:t>12a</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5,433</w:t>
            </w:r>
          </w:p>
        </w:tc>
        <w:tc>
          <w:tcPr>
            <w:tcW w:w="58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199</w:t>
            </w: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853</w:t>
            </w: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6,286</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center"/>
              <w:ind w:right="2590"/>
              <w:spacing w:after="0"/>
              <w:rPr>
                <w:sz w:val="20"/>
                <w:szCs w:val="20"/>
                <w:color w:val="auto"/>
              </w:rPr>
            </w:pPr>
            <w:r>
              <w:rPr>
                <w:rFonts w:ascii="Arial" w:cs="Arial" w:eastAsia="Arial" w:hAnsi="Arial"/>
                <w:sz w:val="18"/>
                <w:szCs w:val="18"/>
                <w:b w:val="1"/>
                <w:bCs w:val="1"/>
                <w:color w:val="auto"/>
                <w:w w:val="89"/>
              </w:rPr>
              <w:t>Liabilities net of capital deficiency</w:t>
            </w: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Pr>
          <w:p>
            <w:pPr>
              <w:spacing w:after="0"/>
              <w:rPr>
                <w:sz w:val="22"/>
                <w:szCs w:val="22"/>
                <w:color w:val="auto"/>
              </w:rPr>
            </w:pPr>
          </w:p>
        </w:tc>
        <w:tc>
          <w:tcPr>
            <w:tcW w:w="55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12b</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604</w:t>
            </w: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loans</w:t>
            </w: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9,885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10,542</w:t>
            </w:r>
          </w:p>
        </w:tc>
        <w:tc>
          <w:tcPr>
            <w:tcW w:w="580" w:type="dxa"/>
            <w:vAlign w:val="bottom"/>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8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right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Convertible loans</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4,835</w:t>
            </w:r>
          </w:p>
        </w:tc>
        <w:tc>
          <w:tcPr>
            <w:tcW w:w="580" w:type="dxa"/>
            <w:vAlign w:val="bottom"/>
          </w:tcPr>
          <w:p>
            <w:pPr>
              <w:jc w:val="right"/>
              <w:spacing w:after="0"/>
              <w:rPr>
                <w:sz w:val="20"/>
                <w:szCs w:val="20"/>
                <w:color w:val="auto"/>
              </w:rPr>
            </w:pPr>
            <w:r>
              <w:rPr>
                <w:rFonts w:ascii="Arial" w:cs="Arial" w:eastAsia="Arial" w:hAnsi="Arial"/>
                <w:sz w:val="18"/>
                <w:szCs w:val="18"/>
                <w:color w:val="auto"/>
              </w:rPr>
              <w:t>8,053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11,031</w:t>
            </w: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13,062</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Warrants to purchase preferred shares and shares</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4,800</w:t>
            </w:r>
          </w:p>
        </w:tc>
        <w:tc>
          <w:tcPr>
            <w:tcW w:w="580" w:type="dxa"/>
            <w:vAlign w:val="bottom"/>
          </w:tcPr>
          <w:p>
            <w:pPr>
              <w:jc w:val="right"/>
              <w:spacing w:after="0"/>
              <w:rPr>
                <w:sz w:val="20"/>
                <w:szCs w:val="20"/>
                <w:color w:val="auto"/>
              </w:rPr>
            </w:pPr>
            <w:r>
              <w:rPr>
                <w:rFonts w:ascii="Arial" w:cs="Arial" w:eastAsia="Arial" w:hAnsi="Arial"/>
                <w:sz w:val="18"/>
                <w:szCs w:val="18"/>
                <w:color w:val="auto"/>
              </w:rPr>
              <w:t>4,332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Liability to issue preferred shares and warrants</w:t>
            </w:r>
          </w:p>
        </w:tc>
        <w:tc>
          <w:tcPr>
            <w:tcW w:w="6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Severance pay obligations, net</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7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8"/>
              </w:rPr>
              <w:t>20,990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27,630</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w w:val="98"/>
              </w:rPr>
              <w:t>31,532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28,434</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20" w:type="dxa"/>
            <w:vAlign w:val="bottom"/>
            <w:tcBorders>
              <w:top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CAPITAL DEFICIENCY:</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Ordinary Shares, NIS 0.01 par value: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Authorized – as of December 31, 2016 and 2015,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1,000,000 shares; issued and outstanding</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as of December 31, 2016 – 34,544 shares and as of December 31, 2015 – 34,396 shares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Other reserves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2,844</w:t>
            </w: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2,485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(30,616)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(29,417)</w:t>
            </w:r>
          </w:p>
        </w:tc>
        <w:tc>
          <w:tcPr>
            <w:tcW w:w="0" w:type="dxa"/>
            <w:vAlign w:val="bottom"/>
          </w:tcPr>
          <w:p>
            <w:pPr>
              <w:spacing w:after="0"/>
              <w:rPr>
                <w:sz w:val="1"/>
                <w:szCs w:val="1"/>
                <w:color w:val="auto"/>
              </w:rPr>
            </w:pPr>
          </w:p>
        </w:tc>
      </w:tr>
      <w:tr>
        <w:trPr>
          <w:trHeight w:val="20"/>
        </w:trPr>
        <w:tc>
          <w:tcPr>
            <w:tcW w:w="8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CAPITAL DEFICIENCY</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(25,246)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(25,687)</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6,286</w:t>
            </w:r>
          </w:p>
        </w:tc>
        <w:tc>
          <w:tcPr>
            <w:tcW w:w="580" w:type="dxa"/>
            <w:vAlign w:val="bottom"/>
          </w:tcPr>
          <w:p>
            <w:pPr>
              <w:jc w:val="right"/>
              <w:spacing w:after="0"/>
              <w:rPr>
                <w:sz w:val="20"/>
                <w:szCs w:val="20"/>
                <w:color w:val="auto"/>
              </w:rPr>
            </w:pPr>
            <w:r>
              <w:rPr>
                <w:rFonts w:ascii="Arial" w:cs="Arial" w:eastAsia="Arial" w:hAnsi="Arial"/>
                <w:sz w:val="18"/>
                <w:szCs w:val="18"/>
                <w:color w:val="auto"/>
              </w:rPr>
              <w:t>2,747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5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-6130925</wp:posOffset>
            </wp:positionV>
            <wp:extent cx="137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an amount less than one thousand.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COMPREHENSIVE LOSS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Note</w:t>
            </w: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color w:val="auto"/>
              </w:rPr>
              <w:t>U.S. dollars in thousands</w:t>
            </w: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2,115</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2,719</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1,586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3,701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8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FINANCIAL (INCOME) EXPENSES:</w:t>
            </w:r>
          </w:p>
        </w:tc>
        <w:tc>
          <w:tcPr>
            <w:tcW w:w="62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change in fair value of financial liabilities at fair value</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(4,311)</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00" w:type="dxa"/>
            <w:vAlign w:val="bottom"/>
          </w:tcPr>
          <w:p>
            <w:pPr>
              <w:ind w:left="180"/>
              <w:spacing w:after="0"/>
              <w:rPr>
                <w:sz w:val="20"/>
                <w:szCs w:val="20"/>
                <w:color w:val="auto"/>
              </w:rPr>
            </w:pPr>
            <w:r>
              <w:rPr>
                <w:rFonts w:ascii="Arial" w:cs="Arial" w:eastAsia="Arial" w:hAnsi="Arial"/>
                <w:sz w:val="18"/>
                <w:szCs w:val="18"/>
                <w:color w:val="auto"/>
              </w:rPr>
              <w:t>Other financial expenses, net</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FINANCIAL (INCOME) EXPENSES, </w:t>
            </w:r>
            <w:r>
              <w:rPr>
                <w:rFonts w:ascii="Arial" w:cs="Arial" w:eastAsia="Arial" w:hAnsi="Arial"/>
                <w:sz w:val="18"/>
                <w:szCs w:val="18"/>
                <w:color w:val="auto"/>
              </w:rPr>
              <w:t>net</w:t>
            </w: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30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(4,168)</w:t>
            </w:r>
          </w:p>
        </w:tc>
        <w:tc>
          <w:tcPr>
            <w:tcW w:w="720" w:type="dxa"/>
            <w:vAlign w:val="bottom"/>
            <w:tcBorders>
              <w:right w:val="single" w:sz="8" w:color="CCEEFF"/>
            </w:tcBorders>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b w:val="1"/>
                <w:bCs w:val="1"/>
                <w:color w:val="auto"/>
              </w:rPr>
              <w:t>NET COMPREHENSIVE LOSS</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1,199</w:t>
            </w:r>
          </w:p>
        </w:tc>
        <w:tc>
          <w:tcPr>
            <w:tcW w:w="7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4,282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U.S. dollars (except for</w:t>
            </w:r>
          </w:p>
        </w:tc>
        <w:tc>
          <w:tcPr>
            <w:tcW w:w="0" w:type="dxa"/>
            <w:vAlign w:val="bottom"/>
          </w:tcPr>
          <w:p>
            <w:pPr>
              <w:spacing w:after="0"/>
              <w:rPr>
                <w:sz w:val="1"/>
                <w:szCs w:val="1"/>
                <w:color w:val="auto"/>
              </w:rPr>
            </w:pPr>
          </w:p>
        </w:tc>
      </w:tr>
      <w:tr>
        <w:trPr>
          <w:trHeight w:val="182"/>
        </w:trPr>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color w:val="auto"/>
                <w:w w:val="89"/>
              </w:rPr>
              <w:t>share numbers)</w:t>
            </w:r>
          </w:p>
        </w:tc>
        <w:tc>
          <w:tcPr>
            <w:tcW w:w="0" w:type="dxa"/>
            <w:vAlign w:val="bottom"/>
          </w:tcPr>
          <w:p>
            <w:pPr>
              <w:spacing w:after="0"/>
              <w:rPr>
                <w:sz w:val="1"/>
                <w:szCs w:val="1"/>
                <w:color w:val="auto"/>
              </w:rPr>
            </w:pPr>
          </w:p>
        </w:tc>
      </w:tr>
      <w:tr>
        <w:trPr>
          <w:trHeight w:val="26"/>
        </w:trPr>
        <w:tc>
          <w:tcPr>
            <w:tcW w:w="8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ORDINARY SHARE –</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7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102</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w:t>
            </w: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34,409</w:t>
            </w:r>
          </w:p>
        </w:tc>
        <w:tc>
          <w:tcPr>
            <w:tcW w:w="720" w:type="dxa"/>
            <w:vAlign w:val="bottom"/>
            <w:tcBorders>
              <w:bottom w:val="single" w:sz="8" w:color="CCEEFF"/>
              <w:right w:val="single" w:sz="8" w:color="CCEEFF"/>
            </w:tcBorders>
            <w:shd w:val="clear" w:color="auto" w:fill="CCEEFF"/>
          </w:tcPr>
          <w:p>
            <w:pPr>
              <w:spacing w:after="0"/>
              <w:rPr>
                <w:sz w:val="22"/>
                <w:szCs w:val="22"/>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34,396</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right"/>
              <w:ind w:right="720"/>
              <w:spacing w:after="0"/>
              <w:rPr>
                <w:sz w:val="20"/>
                <w:szCs w:val="20"/>
                <w:color w:val="auto"/>
              </w:rPr>
            </w:pPr>
            <w:r>
              <w:rPr>
                <w:rFonts w:ascii="Arial" w:cs="Arial" w:eastAsia="Arial" w:hAnsi="Arial"/>
                <w:sz w:val="18"/>
                <w:szCs w:val="18"/>
                <w:color w:val="auto"/>
              </w:rPr>
              <w:t>51,972</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34,396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-3060700</wp:posOffset>
            </wp:positionV>
            <wp:extent cx="137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58915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9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8" w:name="page179"/>
    <w:bookmarkEnd w:id="178"/>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ENTERA BIO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CHANGES IN CAPITAL DEFICIENCY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Ordinary</w:t>
            </w: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ordinary</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2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Other</w:t>
            </w: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paid in</w:t>
            </w:r>
          </w:p>
        </w:tc>
        <w:tc>
          <w:tcPr>
            <w:tcW w:w="14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2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shares</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reserves</w:t>
            </w: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320" w:type="dxa"/>
            <w:vAlign w:val="bottom"/>
          </w:tcPr>
          <w:p>
            <w:pPr>
              <w:spacing w:after="0"/>
              <w:rPr>
                <w:sz w:val="16"/>
                <w:szCs w:val="16"/>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6"/>
        </w:trPr>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6"/>
          </w:tcPr>
          <w:p>
            <w:pPr>
              <w:ind w:left="120"/>
              <w:spacing w:after="0"/>
              <w:rPr>
                <w:sz w:val="20"/>
                <w:szCs w:val="20"/>
                <w:color w:val="auto"/>
              </w:rPr>
            </w:pPr>
            <w:r>
              <w:rPr>
                <w:rFonts w:ascii="Arial" w:cs="Arial" w:eastAsia="Arial" w:hAnsi="Arial"/>
                <w:sz w:val="14"/>
                <w:szCs w:val="14"/>
                <w:color w:val="auto"/>
              </w:rPr>
              <w:t>U.S. dollars in thousands</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34,396</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(25,135)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(21,771)</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CHANGES DURING THE YEAR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ENDED DECEMBER 31, 2015: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(4,282)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(4,282)</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w:t>
            </w: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34,396</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1,354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2,335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(29,417)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(25,687)</w:t>
            </w:r>
          </w:p>
        </w:tc>
      </w:tr>
      <w:tr>
        <w:trPr>
          <w:trHeight w:val="371"/>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DURING THE YEAR</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ENDED DECEMBER 31, 2016: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of shares</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(1,199)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1,490</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1,490</w:t>
            </w: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34,544</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21"/>
                <w:szCs w:val="21"/>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2,844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(30,616)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(25,246)</w:t>
            </w:r>
          </w:p>
        </w:tc>
      </w:tr>
      <w:tr>
        <w:trPr>
          <w:trHeight w:val="27"/>
        </w:trPr>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-2469515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-2469515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-2469515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-2469515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an amount of less than one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79" w:name="page180"/>
    <w:bookmarkEnd w:id="179"/>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CASH FLOWS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9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color w:val="auto"/>
              </w:rPr>
              <w:t>U.S dollars in thousands</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Loss for the year</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(1,199)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(4,282)</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 (see appendix A)</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1"/>
              </w:rPr>
              <w:t>(1,943)</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(3,142)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(3,495)</w:t>
            </w: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Investment in restricted deposits</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(1,075)</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(1,116)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preferred shares and warrants</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convertible loan and warrants, net</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7,216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Net cash generated from financing activities</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7,216</w:t>
            </w:r>
          </w:p>
        </w:tc>
        <w:tc>
          <w:tcPr>
            <w:tcW w:w="500" w:type="dxa"/>
            <w:vAlign w:val="bottom"/>
          </w:tcPr>
          <w:p>
            <w:pPr>
              <w:jc w:val="right"/>
              <w:spacing w:after="0"/>
              <w:rPr>
                <w:sz w:val="20"/>
                <w:szCs w:val="20"/>
                <w:color w:val="auto"/>
              </w:rPr>
            </w:pPr>
            <w:r>
              <w:rPr>
                <w:rFonts w:ascii="Arial" w:cs="Arial" w:eastAsia="Arial" w:hAnsi="Arial"/>
                <w:sz w:val="18"/>
                <w:szCs w:val="18"/>
                <w:color w:val="auto"/>
              </w:rPr>
              <w:t>4,465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0" w:type="dxa"/>
            <w:vAlign w:val="bottom"/>
            <w:gridSpan w:val="2"/>
            <w:vMerge w:val="continue"/>
            <w:shd w:val="clear" w:color="auto" w:fill="CCEEFF"/>
          </w:tcPr>
          <w:p>
            <w:pPr>
              <w:spacing w:after="0"/>
              <w:rPr>
                <w:sz w:val="24"/>
                <w:szCs w:val="24"/>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2,958</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1,205</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EXCHANGE DIFFERENCES ON CASH AND CASH EQUIVALENTS</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4,163</w:t>
            </w:r>
          </w:p>
        </w:tc>
        <w:tc>
          <w:tcPr>
            <w:tcW w:w="500" w:type="dxa"/>
            <w:vAlign w:val="bottom"/>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APPENDIX A:</w:t>
            </w:r>
          </w:p>
        </w:tc>
        <w:tc>
          <w:tcPr>
            <w:tcW w:w="4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right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(Gain) loss from change in fair value of financial liabilities at fair value</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(4,311)</w:t>
            </w: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costs related to convertible loan and warrants</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363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Financial expenses</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105</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changes in severance pay</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1,490</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1"/>
              </w:rPr>
              <w:t>(2,296)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9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Changes in working capital:</w:t>
            </w: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other current assets</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(Decrease) increase in accounts payable:</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151</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9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(1,943)</w:t>
            </w:r>
          </w:p>
        </w:tc>
        <w:tc>
          <w:tcPr>
            <w:tcW w:w="500" w:type="dxa"/>
            <w:vAlign w:val="bottom"/>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3600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-3138170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-5179060</wp:posOffset>
            </wp:positionV>
            <wp:extent cx="137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ON INVESTING AND FINANCING ACTIVITIES NOT INVOLVING</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CASH FLOWS: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to extinguishment of convertible loans see note 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0" w:name="page181"/>
    <w:bookmarkEnd w:id="180"/>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198" w:lineRule="exact"/>
        <w:rPr>
          <w:sz w:val="20"/>
          <w:szCs w:val="20"/>
          <w:color w:val="auto"/>
        </w:rPr>
      </w:pPr>
    </w:p>
    <w:p>
      <w:pPr>
        <w:ind w:left="540" w:hanging="352"/>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48" w:lineRule="exact"/>
        <w:rPr>
          <w:rFonts w:ascii="Arial" w:cs="Arial" w:eastAsia="Arial" w:hAnsi="Arial"/>
          <w:sz w:val="18"/>
          <w:szCs w:val="18"/>
          <w:b w:val="1"/>
          <w:bCs w:val="1"/>
          <w:color w:val="auto"/>
        </w:rPr>
      </w:pPr>
    </w:p>
    <w:p>
      <w:pPr>
        <w:ind w:left="900" w:right="1040" w:hanging="352"/>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Entera Bio Ltd. (the “Company”) was incorporated on June 1,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32" w:lineRule="exact"/>
        <w:rPr>
          <w:rFonts w:ascii="Arial" w:cs="Arial" w:eastAsia="Arial" w:hAnsi="Arial"/>
          <w:sz w:val="18"/>
          <w:szCs w:val="18"/>
          <w:color w:val="auto"/>
        </w:rPr>
      </w:pPr>
    </w:p>
    <w:p>
      <w:pPr>
        <w:ind w:left="900" w:right="840" w:hanging="352"/>
        <w:spacing w:after="0" w:line="257"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Since the Company is engaged in research and development activities, it has not yet derived income from its activity and has incurred through December 31, 2016, accumulated losses in the amount of $30,616 thousand. The Company also has negative working capital and has cash outflows from operating activities. The Company’s management is of the opinion that its available funds as of December 31, 2016 will not allow the Company to execute its development plans in the upcoming year. These factors raise substantial doubt as to the Company’s ability to continue as a going concern.</w:t>
      </w:r>
    </w:p>
    <w:p>
      <w:pPr>
        <w:spacing w:after="0" w:line="80" w:lineRule="exact"/>
        <w:rPr>
          <w:rFonts w:ascii="Arial" w:cs="Arial" w:eastAsia="Arial" w:hAnsi="Arial"/>
          <w:sz w:val="18"/>
          <w:szCs w:val="18"/>
          <w:color w:val="auto"/>
        </w:rPr>
      </w:pPr>
    </w:p>
    <w:p>
      <w:pPr>
        <w:ind w:left="900" w:right="160"/>
        <w:spacing w:after="0" w:line="264" w:lineRule="auto"/>
        <w:rPr>
          <w:rFonts w:ascii="Arial" w:cs="Arial" w:eastAsia="Arial" w:hAnsi="Arial"/>
          <w:sz w:val="18"/>
          <w:szCs w:val="18"/>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73" w:lineRule="exact"/>
        <w:rPr>
          <w:rFonts w:ascii="Arial" w:cs="Arial" w:eastAsia="Arial" w:hAnsi="Arial"/>
          <w:sz w:val="18"/>
          <w:szCs w:val="18"/>
          <w:color w:val="auto"/>
        </w:rPr>
      </w:pPr>
    </w:p>
    <w:p>
      <w:pPr>
        <w:ind w:left="900" w:right="400"/>
        <w:spacing w:after="0" w:line="259" w:lineRule="auto"/>
        <w:rPr>
          <w:rFonts w:ascii="Arial" w:cs="Arial" w:eastAsia="Arial" w:hAnsi="Arial"/>
          <w:sz w:val="18"/>
          <w:szCs w:val="18"/>
          <w:color w:val="auto"/>
        </w:rPr>
      </w:pPr>
      <w:r>
        <w:rPr>
          <w:rFonts w:ascii="Arial" w:cs="Arial" w:eastAsia="Arial" w:hAnsi="Arial"/>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p>
    <w:p>
      <w:pPr>
        <w:spacing w:after="0" w:line="182" w:lineRule="exact"/>
        <w:rPr>
          <w:rFonts w:ascii="Arial" w:cs="Arial" w:eastAsia="Arial" w:hAnsi="Arial"/>
          <w:sz w:val="18"/>
          <w:szCs w:val="18"/>
          <w:color w:val="auto"/>
        </w:rPr>
      </w:pPr>
    </w:p>
    <w:p>
      <w:pPr>
        <w:ind w:left="540" w:hanging="352"/>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were approved by the Board of Directors on July 13,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98" w:lineRule="exact"/>
        <w:rPr>
          <w:sz w:val="20"/>
          <w:szCs w:val="20"/>
          <w:color w:val="auto"/>
        </w:rPr>
      </w:pPr>
    </w:p>
    <w:p>
      <w:pPr>
        <w:ind w:left="540" w:hanging="352"/>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financial statements:</w:t>
      </w:r>
    </w:p>
    <w:p>
      <w:pPr>
        <w:spacing w:after="0" w:line="107" w:lineRule="exact"/>
        <w:rPr>
          <w:rFonts w:ascii="Arial" w:cs="Arial" w:eastAsia="Arial" w:hAnsi="Arial"/>
          <w:sz w:val="18"/>
          <w:szCs w:val="18"/>
          <w:b w:val="1"/>
          <w:bCs w:val="1"/>
          <w:color w:val="auto"/>
        </w:rPr>
      </w:pPr>
    </w:p>
    <w:p>
      <w:pPr>
        <w:ind w:left="540" w:right="320"/>
        <w:spacing w:after="0" w:line="375"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Company as of December 31, 2016 and 2015 and for each of the two years then ended have been prepared in accordance with International Financial Reporting Standards, (“IFRS”), as issued by the International Accounting Standards Board (“IASB”). The significant accounting policies described below have been applied consistently in relation to all the periods presented, unless otherwise stated.</w:t>
      </w:r>
    </w:p>
    <w:p>
      <w:pPr>
        <w:spacing w:after="0" w:line="1" w:lineRule="exact"/>
        <w:rPr>
          <w:rFonts w:ascii="Arial" w:cs="Arial" w:eastAsia="Arial" w:hAnsi="Arial"/>
          <w:sz w:val="18"/>
          <w:szCs w:val="18"/>
          <w:b w:val="1"/>
          <w:bCs w:val="1"/>
          <w:color w:val="auto"/>
        </w:rPr>
      </w:pPr>
    </w:p>
    <w:p>
      <w:pPr>
        <w:ind w:left="5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under the historical cost convention, subject to adjustments in respect of revaluation of financial liabilities at fair value through profit or loss. The Company’s financial liabilities at fair value through profit or loss include convertible loans, preferred shares, warrants to preferred shares and shares and liability to issue preferred shares and warrants.</w:t>
      </w:r>
    </w:p>
    <w:p>
      <w:pPr>
        <w:spacing w:after="0" w:line="73" w:lineRule="exact"/>
        <w:rPr>
          <w:rFonts w:ascii="Arial" w:cs="Arial" w:eastAsia="Arial" w:hAnsi="Arial"/>
          <w:sz w:val="18"/>
          <w:szCs w:val="18"/>
          <w:b w:val="1"/>
          <w:bCs w:val="1"/>
          <w:color w:val="auto"/>
        </w:rPr>
      </w:pPr>
    </w:p>
    <w:p>
      <w:pPr>
        <w:ind w:left="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1" w:name="page182"/>
    <w:bookmarkEnd w:id="181"/>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71" w:lineRule="exact"/>
        <w:rPr>
          <w:sz w:val="20"/>
          <w:szCs w:val="20"/>
          <w:color w:val="auto"/>
        </w:rPr>
      </w:pPr>
    </w:p>
    <w:p>
      <w:pPr>
        <w:ind w:left="540" w:hanging="352"/>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80" w:lineRule="exact"/>
        <w:rPr>
          <w:rFonts w:ascii="Arial" w:cs="Arial" w:eastAsia="Arial" w:hAnsi="Arial"/>
          <w:sz w:val="18"/>
          <w:szCs w:val="18"/>
          <w:b w:val="1"/>
          <w:bCs w:val="1"/>
          <w:color w:val="auto"/>
        </w:rPr>
      </w:pPr>
    </w:p>
    <w:p>
      <w:pPr>
        <w:ind w:left="900" w:hanging="352"/>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117" w:lineRule="exact"/>
        <w:rPr>
          <w:rFonts w:ascii="Arial" w:cs="Arial" w:eastAsia="Arial" w:hAnsi="Arial"/>
          <w:sz w:val="18"/>
          <w:szCs w:val="18"/>
          <w:color w:val="auto"/>
        </w:rPr>
      </w:pPr>
    </w:p>
    <w:p>
      <w:pPr>
        <w:jc w:val="both"/>
        <w:ind w:left="900" w:right="60"/>
        <w:spacing w:after="0" w:line="264" w:lineRule="auto"/>
        <w:rPr>
          <w:rFonts w:ascii="Arial" w:cs="Arial" w:eastAsia="Arial" w:hAnsi="Arial"/>
          <w:sz w:val="18"/>
          <w:szCs w:val="18"/>
          <w:color w:val="auto"/>
        </w:rPr>
      </w:pPr>
      <w:r>
        <w:rPr>
          <w:rFonts w:ascii="Arial" w:cs="Arial" w:eastAsia="Arial" w:hAnsi="Arial"/>
          <w:sz w:val="18"/>
          <w:szCs w:val="18"/>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financial statements are presented in U.S dollars.</w:t>
      </w:r>
    </w:p>
    <w:p>
      <w:pPr>
        <w:spacing w:after="0" w:line="73" w:lineRule="exact"/>
        <w:rPr>
          <w:rFonts w:ascii="Arial" w:cs="Arial" w:eastAsia="Arial" w:hAnsi="Arial"/>
          <w:sz w:val="18"/>
          <w:szCs w:val="18"/>
          <w:color w:val="auto"/>
        </w:rPr>
      </w:pPr>
    </w:p>
    <w:p>
      <w:pPr>
        <w:ind w:left="900" w:hanging="352"/>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117" w:lineRule="exact"/>
        <w:rPr>
          <w:rFonts w:ascii="Arial" w:cs="Arial" w:eastAsia="Arial" w:hAnsi="Arial"/>
          <w:sz w:val="18"/>
          <w:szCs w:val="18"/>
          <w:color w:val="auto"/>
        </w:rPr>
      </w:pPr>
    </w:p>
    <w:p>
      <w:pPr>
        <w:ind w:left="900"/>
        <w:spacing w:after="0" w:line="259" w:lineRule="auto"/>
        <w:rPr>
          <w:rFonts w:ascii="Arial" w:cs="Arial" w:eastAsia="Arial" w:hAnsi="Arial"/>
          <w:sz w:val="18"/>
          <w:szCs w:val="18"/>
          <w:color w:val="auto"/>
        </w:rPr>
      </w:pPr>
      <w:r>
        <w:rPr>
          <w:rFonts w:ascii="Arial" w:cs="Arial" w:eastAsia="Arial" w:hAnsi="Arial"/>
          <w:sz w:val="18"/>
          <w:szCs w:val="18"/>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78" w:lineRule="exact"/>
        <w:rPr>
          <w:rFonts w:ascii="Arial" w:cs="Arial" w:eastAsia="Arial" w:hAnsi="Arial"/>
          <w:sz w:val="18"/>
          <w:szCs w:val="18"/>
          <w:color w:val="auto"/>
        </w:rPr>
      </w:pPr>
    </w:p>
    <w:p>
      <w:pPr>
        <w:ind w:left="900" w:right="40"/>
        <w:spacing w:after="0" w:line="277" w:lineRule="auto"/>
        <w:rPr>
          <w:rFonts w:ascii="Arial" w:cs="Arial" w:eastAsia="Arial" w:hAnsi="Arial"/>
          <w:sz w:val="18"/>
          <w:szCs w:val="18"/>
          <w:color w:val="auto"/>
        </w:rPr>
      </w:pPr>
      <w:r>
        <w:rPr>
          <w:rFonts w:ascii="Arial" w:cs="Arial" w:eastAsia="Arial" w:hAnsi="Arial"/>
          <w:sz w:val="18"/>
          <w:szCs w:val="18"/>
          <w:color w:val="auto"/>
        </w:rPr>
        <w:t>Translation differences on non-monetary financial assets and liabilities at fair value through profit or loss are recognized in profit or loss as part of the fair value gain or loss within financial income or expenses.</w:t>
      </w:r>
    </w:p>
    <w:p>
      <w:pPr>
        <w:spacing w:after="0" w:line="179" w:lineRule="exact"/>
        <w:rPr>
          <w:rFonts w:ascii="Arial" w:cs="Arial" w:eastAsia="Arial" w:hAnsi="Arial"/>
          <w:sz w:val="18"/>
          <w:szCs w:val="18"/>
          <w:color w:val="auto"/>
        </w:rPr>
      </w:pPr>
    </w:p>
    <w:p>
      <w:pPr>
        <w:ind w:left="540" w:hanging="352"/>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07" w:lineRule="exact"/>
        <w:rPr>
          <w:rFonts w:ascii="Arial" w:cs="Arial" w:eastAsia="Arial" w:hAnsi="Arial"/>
          <w:sz w:val="18"/>
          <w:szCs w:val="18"/>
          <w:b w:val="1"/>
          <w:bCs w:val="1"/>
          <w:color w:val="auto"/>
        </w:rPr>
      </w:pPr>
    </w:p>
    <w:p>
      <w:pPr>
        <w:ind w:left="5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166" w:lineRule="exact"/>
        <w:rPr>
          <w:rFonts w:ascii="Arial" w:cs="Arial" w:eastAsia="Arial" w:hAnsi="Arial"/>
          <w:sz w:val="18"/>
          <w:szCs w:val="18"/>
          <w:b w:val="1"/>
          <w:bCs w:val="1"/>
          <w:color w:val="auto"/>
        </w:rPr>
      </w:pPr>
    </w:p>
    <w:p>
      <w:pPr>
        <w:ind w:left="540" w:hanging="352"/>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Restricted cash deposits relate to accounts where withdrawals are restricted under contractual agreements.</w:t>
      </w:r>
    </w:p>
    <w:p>
      <w:pPr>
        <w:spacing w:after="0" w:line="221" w:lineRule="exact"/>
        <w:rPr>
          <w:rFonts w:ascii="Arial" w:cs="Arial" w:eastAsia="Arial" w:hAnsi="Arial"/>
          <w:sz w:val="18"/>
          <w:szCs w:val="18"/>
          <w:b w:val="1"/>
          <w:bCs w:val="1"/>
          <w:color w:val="auto"/>
        </w:rPr>
      </w:pPr>
    </w:p>
    <w:p>
      <w:pPr>
        <w:ind w:left="540" w:hanging="352"/>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4" w:lineRule="exact"/>
        <w:rPr>
          <w:rFonts w:ascii="Arial" w:cs="Arial" w:eastAsia="Arial" w:hAnsi="Arial"/>
          <w:sz w:val="18"/>
          <w:szCs w:val="18"/>
          <w:b w:val="1"/>
          <w:bCs w:val="1"/>
          <w:color w:val="auto"/>
        </w:rPr>
      </w:pPr>
    </w:p>
    <w:p>
      <w:pPr>
        <w:jc w:val="both"/>
        <w:ind w:left="900" w:right="560" w:hanging="352"/>
        <w:spacing w:after="0" w:line="264"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73" w:lineRule="exact"/>
        <w:rPr>
          <w:rFonts w:ascii="Arial" w:cs="Arial" w:eastAsia="Arial" w:hAnsi="Arial"/>
          <w:sz w:val="18"/>
          <w:szCs w:val="18"/>
          <w:color w:val="auto"/>
        </w:rPr>
      </w:pPr>
    </w:p>
    <w:p>
      <w:pPr>
        <w:ind w:left="900" w:hanging="352"/>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Assets are depreciated using the straight-line method to allocate their cost over their estimated useful lives.</w:t>
      </w:r>
    </w:p>
    <w:p>
      <w:pPr>
        <w:spacing w:after="0" w:line="221" w:lineRule="exact"/>
        <w:rPr>
          <w:rFonts w:ascii="Arial" w:cs="Arial" w:eastAsia="Arial" w:hAnsi="Arial"/>
          <w:sz w:val="18"/>
          <w:szCs w:val="18"/>
          <w:color w:val="auto"/>
        </w:rPr>
      </w:pPr>
    </w:p>
    <w:p>
      <w:pPr>
        <w:ind w:left="540" w:hanging="352"/>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4" w:lineRule="exact"/>
        <w:rPr>
          <w:rFonts w:ascii="Arial" w:cs="Arial" w:eastAsia="Arial" w:hAnsi="Arial"/>
          <w:sz w:val="18"/>
          <w:szCs w:val="18"/>
          <w:b w:val="1"/>
          <w:bCs w:val="1"/>
          <w:color w:val="auto"/>
        </w:rPr>
      </w:pPr>
    </w:p>
    <w:p>
      <w:pPr>
        <w:ind w:left="900" w:hanging="352"/>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900" w:right="620"/>
        <w:spacing w:after="0" w:line="277" w:lineRule="auto"/>
        <w:rPr>
          <w:rFonts w:ascii="Arial" w:cs="Arial" w:eastAsia="Arial" w:hAnsi="Arial"/>
          <w:sz w:val="18"/>
          <w:szCs w:val="18"/>
          <w:color w:val="auto"/>
        </w:rPr>
      </w:pPr>
      <w:r>
        <w:rPr>
          <w:rFonts w:ascii="Arial" w:cs="Arial" w:eastAsia="Arial" w:hAnsi="Arial"/>
          <w:sz w:val="18"/>
          <w:szCs w:val="18"/>
          <w:color w:val="auto"/>
        </w:rPr>
        <w:t>Research expenses are charged to profit or loss as incurred. An intangible asset arising from development of the Company’s products is recognized if all of the following conditions are met:</w:t>
      </w:r>
    </w:p>
    <w:p>
      <w:pPr>
        <w:spacing w:after="0" w:line="89" w:lineRule="exact"/>
        <w:rPr>
          <w:rFonts w:ascii="Arial" w:cs="Arial" w:eastAsia="Arial" w:hAnsi="Arial"/>
          <w:sz w:val="18"/>
          <w:szCs w:val="18"/>
          <w:color w:val="auto"/>
        </w:rPr>
      </w:pPr>
    </w:p>
    <w:p>
      <w:pPr>
        <w:ind w:left="1260" w:hanging="172"/>
        <w:spacing w:after="0"/>
        <w:tabs>
          <w:tab w:leader="none" w:pos="12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w:t>
      </w:r>
    </w:p>
    <w:p>
      <w:pPr>
        <w:spacing w:after="0" w:line="144" w:lineRule="exact"/>
        <w:rPr>
          <w:rFonts w:ascii="Arial" w:cs="Arial" w:eastAsia="Arial" w:hAnsi="Arial"/>
          <w:sz w:val="18"/>
          <w:szCs w:val="18"/>
          <w:color w:val="auto"/>
        </w:rPr>
      </w:pPr>
    </w:p>
    <w:p>
      <w:pPr>
        <w:ind w:left="1260" w:hanging="172"/>
        <w:spacing w:after="0"/>
        <w:tabs>
          <w:tab w:leader="none" w:pos="12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use it or sell it;</w:t>
      </w:r>
    </w:p>
    <w:p>
      <w:pPr>
        <w:spacing w:after="0" w:line="144" w:lineRule="exact"/>
        <w:rPr>
          <w:rFonts w:ascii="Arial" w:cs="Arial" w:eastAsia="Arial" w:hAnsi="Arial"/>
          <w:sz w:val="18"/>
          <w:szCs w:val="18"/>
          <w:color w:val="auto"/>
        </w:rPr>
      </w:pPr>
    </w:p>
    <w:p>
      <w:pPr>
        <w:ind w:left="1260" w:hanging="172"/>
        <w:spacing w:after="0"/>
        <w:tabs>
          <w:tab w:leader="none" w:pos="12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There is an ability to use or sell the intangible asset;</w:t>
      </w:r>
    </w:p>
    <w:p>
      <w:pPr>
        <w:spacing w:after="0" w:line="144" w:lineRule="exact"/>
        <w:rPr>
          <w:rFonts w:ascii="Arial" w:cs="Arial" w:eastAsia="Arial" w:hAnsi="Arial"/>
          <w:sz w:val="18"/>
          <w:szCs w:val="18"/>
          <w:color w:val="auto"/>
        </w:rPr>
      </w:pPr>
    </w:p>
    <w:p>
      <w:pPr>
        <w:ind w:left="1260" w:hanging="172"/>
        <w:spacing w:after="0"/>
        <w:tabs>
          <w:tab w:leader="none" w:pos="12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182" w:name="page183"/>
    <w:bookmarkEnd w:id="182"/>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62" w:lineRule="exact"/>
        <w:rPr>
          <w:sz w:val="20"/>
          <w:szCs w:val="20"/>
          <w:color w:val="auto"/>
        </w:rPr>
      </w:pPr>
    </w:p>
    <w:p>
      <w:pPr>
        <w:ind w:left="1260" w:right="760" w:hanging="172"/>
        <w:spacing w:after="0" w:line="277" w:lineRule="auto"/>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62" w:lineRule="exact"/>
        <w:rPr>
          <w:sz w:val="20"/>
          <w:szCs w:val="20"/>
          <w:color w:val="auto"/>
        </w:rPr>
      </w:pPr>
    </w:p>
    <w:p>
      <w:pPr>
        <w:ind w:left="900" w:right="80"/>
        <w:spacing w:after="0" w:line="277" w:lineRule="auto"/>
        <w:rPr>
          <w:sz w:val="20"/>
          <w:szCs w:val="20"/>
          <w:color w:val="auto"/>
        </w:rPr>
      </w:pPr>
      <w:r>
        <w:rPr>
          <w:rFonts w:ascii="Arial" w:cs="Arial" w:eastAsia="Arial" w:hAnsi="Arial"/>
          <w:sz w:val="18"/>
          <w:szCs w:val="18"/>
          <w:color w:val="auto"/>
        </w:rPr>
        <w:t>Other development costs that do not meet the above criteria are recognized as expenses as incurred. Development costs previously recognized as an expense are not recognized as an asset in a subsequent period.</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During the years ended December 31, 2016 and 2015, the Company has not capitalized development costs.</w:t>
      </w:r>
    </w:p>
    <w:p>
      <w:pPr>
        <w:spacing w:after="0" w:line="171" w:lineRule="exact"/>
        <w:rPr>
          <w:sz w:val="20"/>
          <w:szCs w:val="20"/>
          <w:color w:val="auto"/>
        </w:rPr>
      </w:pPr>
    </w:p>
    <w:p>
      <w:pPr>
        <w:ind w:left="900" w:hanging="352"/>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process research and development (IPR&amp;D)</w:t>
      </w:r>
    </w:p>
    <w:p>
      <w:pPr>
        <w:spacing w:after="0" w:line="117" w:lineRule="exact"/>
        <w:rPr>
          <w:rFonts w:ascii="Arial" w:cs="Arial" w:eastAsia="Arial" w:hAnsi="Arial"/>
          <w:sz w:val="18"/>
          <w:szCs w:val="18"/>
          <w:color w:val="auto"/>
        </w:rPr>
      </w:pPr>
    </w:p>
    <w:p>
      <w:pPr>
        <w:ind w:left="900" w:right="300"/>
        <w:spacing w:after="0" w:line="277" w:lineRule="auto"/>
        <w:rPr>
          <w:rFonts w:ascii="Arial" w:cs="Arial" w:eastAsia="Arial" w:hAnsi="Arial"/>
          <w:sz w:val="18"/>
          <w:szCs w:val="18"/>
          <w:color w:val="auto"/>
        </w:rPr>
      </w:pPr>
      <w:r>
        <w:rPr>
          <w:rFonts w:ascii="Arial" w:cs="Arial" w:eastAsia="Arial" w:hAnsi="Arial"/>
          <w:sz w:val="18"/>
          <w:szCs w:val="18"/>
          <w:color w:val="auto"/>
        </w:rPr>
        <w:t>IPR&amp;D acquired is presented based on the fair value at the date of the acquisition and is not depreciated during the research and development period. Such assets are tested annually for impairment.</w:t>
      </w:r>
    </w:p>
    <w:p>
      <w:pPr>
        <w:spacing w:after="0" w:line="166" w:lineRule="exact"/>
        <w:rPr>
          <w:rFonts w:ascii="Arial" w:cs="Arial" w:eastAsia="Arial" w:hAnsi="Arial"/>
          <w:sz w:val="18"/>
          <w:szCs w:val="18"/>
          <w:color w:val="auto"/>
        </w:rPr>
      </w:pPr>
    </w:p>
    <w:p>
      <w:pPr>
        <w:ind w:left="540" w:hanging="352"/>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107" w:lineRule="exact"/>
        <w:rPr>
          <w:rFonts w:ascii="Arial" w:cs="Arial" w:eastAsia="Arial" w:hAnsi="Arial"/>
          <w:sz w:val="18"/>
          <w:szCs w:val="18"/>
          <w:b w:val="1"/>
          <w:bCs w:val="1"/>
          <w:color w:val="auto"/>
        </w:rPr>
      </w:pPr>
    </w:p>
    <w:p>
      <w:pPr>
        <w:ind w:left="54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Intangible assets not ready to use are not subject to amortization and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dispose and its value in use. For the purposes of assessing impairment, assets are grouped at the lowest levels for which there are separately identifiable cash flows (cash-generating units).</w:t>
      </w:r>
    </w:p>
    <w:p>
      <w:pPr>
        <w:spacing w:after="0" w:line="8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December 31, 2016 and 2015, no impairment has been recognized.</w:t>
      </w:r>
    </w:p>
    <w:p>
      <w:pPr>
        <w:spacing w:after="0" w:line="221" w:lineRule="exact"/>
        <w:rPr>
          <w:rFonts w:ascii="Arial" w:cs="Arial" w:eastAsia="Arial" w:hAnsi="Arial"/>
          <w:sz w:val="18"/>
          <w:szCs w:val="18"/>
          <w:b w:val="1"/>
          <w:bCs w:val="1"/>
          <w:color w:val="auto"/>
        </w:rPr>
      </w:pPr>
    </w:p>
    <w:p>
      <w:pPr>
        <w:ind w:left="540" w:hanging="352"/>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ind w:left="54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142" w:lineRule="exact"/>
        <w:rPr>
          <w:rFonts w:ascii="Arial" w:cs="Arial" w:eastAsia="Arial" w:hAnsi="Arial"/>
          <w:sz w:val="18"/>
          <w:szCs w:val="18"/>
          <w:b w:val="1"/>
          <w:bCs w:val="1"/>
          <w:color w:val="auto"/>
        </w:rPr>
      </w:pPr>
    </w:p>
    <w:p>
      <w:pPr>
        <w:ind w:left="540" w:hanging="352"/>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148" w:lineRule="exact"/>
        <w:rPr>
          <w:rFonts w:ascii="Arial" w:cs="Arial" w:eastAsia="Arial" w:hAnsi="Arial"/>
          <w:sz w:val="18"/>
          <w:szCs w:val="18"/>
          <w:b w:val="1"/>
          <w:bCs w:val="1"/>
          <w:color w:val="auto"/>
        </w:rPr>
      </w:pPr>
    </w:p>
    <w:p>
      <w:pPr>
        <w:ind w:left="900" w:hanging="352"/>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Financial liabilities at fair value through profit or loss</w:t>
      </w:r>
    </w:p>
    <w:p>
      <w:pPr>
        <w:spacing w:after="0" w:line="117" w:lineRule="exact"/>
        <w:rPr>
          <w:rFonts w:ascii="Arial" w:cs="Arial" w:eastAsia="Arial" w:hAnsi="Arial"/>
          <w:sz w:val="18"/>
          <w:szCs w:val="18"/>
          <w:color w:val="auto"/>
        </w:rPr>
      </w:pPr>
    </w:p>
    <w:p>
      <w:pPr>
        <w:ind w:left="900"/>
        <w:spacing w:after="0" w:line="302" w:lineRule="auto"/>
        <w:rPr>
          <w:rFonts w:ascii="Arial" w:cs="Arial" w:eastAsia="Arial" w:hAnsi="Arial"/>
          <w:sz w:val="18"/>
          <w:szCs w:val="18"/>
          <w:color w:val="auto"/>
        </w:rPr>
      </w:pPr>
      <w:r>
        <w:rPr>
          <w:rFonts w:ascii="Arial" w:cs="Arial" w:eastAsia="Arial" w:hAnsi="Arial"/>
          <w:sz w:val="16"/>
          <w:szCs w:val="16"/>
          <w:color w:val="auto"/>
        </w:rPr>
        <w:t>This category includes the Company’s 2016 Convertible Loan (see note 7), 2012 Convertible Loan (see note 7), preferred shares, warrants to purchase preferred shares and shares and liability to issue preferred shares and warrants (see note 8). The convertible loans and preferred shares are convertible into a variable number of ordinary shares. Gains or losses arising from changes in the fair value of financial liabilities at fair value through profit or loss are presented in the statement of comprehensive loss under “financial income” or “financial expenses”.</w:t>
      </w:r>
    </w:p>
    <w:p>
      <w:pPr>
        <w:spacing w:after="0" w:line="86" w:lineRule="exact"/>
        <w:rPr>
          <w:rFonts w:ascii="Arial" w:cs="Arial" w:eastAsia="Arial" w:hAnsi="Arial"/>
          <w:sz w:val="18"/>
          <w:szCs w:val="18"/>
          <w:color w:val="auto"/>
        </w:rPr>
      </w:pPr>
    </w:p>
    <w:p>
      <w:pPr>
        <w:ind w:left="900" w:hanging="352"/>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117" w:lineRule="exact"/>
        <w:rPr>
          <w:rFonts w:ascii="Arial" w:cs="Arial" w:eastAsia="Arial" w:hAnsi="Arial"/>
          <w:sz w:val="18"/>
          <w:szCs w:val="18"/>
          <w:color w:val="auto"/>
        </w:rPr>
      </w:pPr>
    </w:p>
    <w:p>
      <w:pPr>
        <w:ind w:left="900" w:right="100"/>
        <w:spacing w:after="0" w:line="264" w:lineRule="auto"/>
        <w:rPr>
          <w:rFonts w:ascii="Arial" w:cs="Arial" w:eastAsia="Arial" w:hAnsi="Arial"/>
          <w:sz w:val="18"/>
          <w:szCs w:val="18"/>
          <w:color w:val="auto"/>
        </w:rPr>
      </w:pPr>
      <w:r>
        <w:rPr>
          <w:rFonts w:ascii="Arial" w:cs="Arial" w:eastAsia="Arial" w:hAnsi="Arial"/>
          <w:sz w:val="18"/>
          <w:szCs w:val="18"/>
          <w:color w:val="auto"/>
        </w:rPr>
        <w:t>Other financial liabilities, including the 2015 Convertible Loan (see note 7a(2)), are initially measured at fair value. In subsequent periods, the other financial liabilities are measured at amortized cost. Any difference between the consideration (net of transaction costs) and the redemption value is accreted to profit or loss over the term of the liability, using the effective interest method.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83" w:name="page184"/>
    <w:bookmarkEnd w:id="183"/>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Interest expense is calculated using the effective interest rate method as described in IAS 39 “Financial instruments”.</w:t>
      </w:r>
    </w:p>
    <w:p>
      <w:pPr>
        <w:spacing w:after="0" w:line="117" w:lineRule="exact"/>
        <w:rPr>
          <w:sz w:val="20"/>
          <w:szCs w:val="20"/>
          <w:color w:val="auto"/>
        </w:rPr>
      </w:pPr>
    </w:p>
    <w:p>
      <w:pPr>
        <w:ind w:left="900" w:right="320"/>
        <w:spacing w:after="0" w:line="277" w:lineRule="auto"/>
        <w:rPr>
          <w:sz w:val="20"/>
          <w:szCs w:val="20"/>
          <w:color w:val="auto"/>
        </w:rPr>
      </w:pPr>
      <w:r>
        <w:rPr>
          <w:rFonts w:ascii="Arial" w:cs="Arial" w:eastAsia="Arial" w:hAnsi="Arial"/>
          <w:sz w:val="18"/>
          <w:szCs w:val="18"/>
          <w:color w:val="auto"/>
        </w:rPr>
        <w:t>Financial liabilities are classified as current liabilities, unless the Company has an unconditional right to defer settlement of the liability for at least 12 months after the end of the reporting period, in which case they are classified as noncurrent liabilities.</w:t>
      </w:r>
    </w:p>
    <w:p>
      <w:pPr>
        <w:spacing w:after="0" w:line="166" w:lineRule="exact"/>
        <w:rPr>
          <w:sz w:val="20"/>
          <w:szCs w:val="20"/>
          <w:color w:val="auto"/>
        </w:rPr>
      </w:pPr>
    </w:p>
    <w:p>
      <w:pPr>
        <w:ind w:left="540" w:hanging="352"/>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07" w:lineRule="exact"/>
        <w:rPr>
          <w:rFonts w:ascii="Arial" w:cs="Arial" w:eastAsia="Arial" w:hAnsi="Arial"/>
          <w:sz w:val="18"/>
          <w:szCs w:val="18"/>
          <w:b w:val="1"/>
          <w:bCs w:val="1"/>
          <w:color w:val="auto"/>
        </w:rPr>
      </w:pPr>
    </w:p>
    <w:p>
      <w:pPr>
        <w:ind w:left="5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Ordinary shares are classified as equity. Incremental costs directly attributable to the issue of new shares are included in equity as a deduction from the proceeds.</w:t>
      </w:r>
    </w:p>
    <w:p>
      <w:pPr>
        <w:spacing w:after="0" w:line="179" w:lineRule="exact"/>
        <w:rPr>
          <w:rFonts w:ascii="Arial" w:cs="Arial" w:eastAsia="Arial" w:hAnsi="Arial"/>
          <w:sz w:val="18"/>
          <w:szCs w:val="18"/>
          <w:b w:val="1"/>
          <w:bCs w:val="1"/>
          <w:color w:val="auto"/>
        </w:rPr>
      </w:pPr>
    </w:p>
    <w:p>
      <w:pPr>
        <w:ind w:left="540" w:hanging="352"/>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107" w:lineRule="exact"/>
        <w:rPr>
          <w:rFonts w:ascii="Arial" w:cs="Arial" w:eastAsia="Arial" w:hAnsi="Arial"/>
          <w:sz w:val="18"/>
          <w:szCs w:val="18"/>
          <w:b w:val="1"/>
          <w:bCs w:val="1"/>
          <w:color w:val="auto"/>
        </w:rPr>
      </w:pPr>
    </w:p>
    <w:p>
      <w:pPr>
        <w:ind w:left="5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8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 the absence of expectation of taxable income in the future, no deferred tax assets are recorded in the financial statements.</w:t>
      </w:r>
    </w:p>
    <w:p>
      <w:pPr>
        <w:spacing w:after="0" w:line="221" w:lineRule="exact"/>
        <w:rPr>
          <w:rFonts w:ascii="Arial" w:cs="Arial" w:eastAsia="Arial" w:hAnsi="Arial"/>
          <w:sz w:val="18"/>
          <w:szCs w:val="18"/>
          <w:b w:val="1"/>
          <w:bCs w:val="1"/>
          <w:color w:val="auto"/>
        </w:rPr>
      </w:pPr>
    </w:p>
    <w:p>
      <w:pPr>
        <w:ind w:left="540" w:hanging="352"/>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107" w:lineRule="exact"/>
        <w:rPr>
          <w:rFonts w:ascii="Arial" w:cs="Arial" w:eastAsia="Arial" w:hAnsi="Arial"/>
          <w:sz w:val="18"/>
          <w:szCs w:val="18"/>
          <w:b w:val="1"/>
          <w:bCs w:val="1"/>
          <w:color w:val="auto"/>
        </w:rPr>
      </w:pPr>
    </w:p>
    <w:p>
      <w:pPr>
        <w:ind w:left="5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adopted a share-based compensation plan for employees, directors and service providers. As part of the plan,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w:t>
      </w:r>
    </w:p>
    <w:p>
      <w:pPr>
        <w:spacing w:after="0" w:line="80" w:lineRule="exact"/>
        <w:rPr>
          <w:rFonts w:ascii="Arial" w:cs="Arial" w:eastAsia="Arial" w:hAnsi="Arial"/>
          <w:sz w:val="18"/>
          <w:szCs w:val="18"/>
          <w:b w:val="1"/>
          <w:bCs w:val="1"/>
          <w:color w:val="auto"/>
        </w:rPr>
      </w:pPr>
    </w:p>
    <w:p>
      <w:pPr>
        <w:ind w:left="540"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Service conditions and performance vesting conditions are included in assumptions about the number of options that are expected to vest. The total expense is recognized over the vesting period, which is the period over which all of the specified vesting conditions are to be satisfied.</w:t>
      </w:r>
    </w:p>
    <w:p>
      <w:pPr>
        <w:spacing w:after="0" w:line="15" w:lineRule="exact"/>
        <w:rPr>
          <w:rFonts w:ascii="Arial" w:cs="Arial" w:eastAsia="Arial" w:hAnsi="Arial"/>
          <w:sz w:val="18"/>
          <w:szCs w:val="18"/>
          <w:b w:val="1"/>
          <w:bCs w:val="1"/>
          <w:color w:val="auto"/>
        </w:rPr>
      </w:pPr>
    </w:p>
    <w:p>
      <w:pPr>
        <w:ind w:left="54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73" w:lineRule="exact"/>
        <w:rPr>
          <w:rFonts w:ascii="Arial" w:cs="Arial" w:eastAsia="Arial" w:hAnsi="Arial"/>
          <w:sz w:val="18"/>
          <w:szCs w:val="18"/>
          <w:b w:val="1"/>
          <w:bCs w:val="1"/>
          <w:color w:val="auto"/>
        </w:rPr>
      </w:pPr>
    </w:p>
    <w:p>
      <w:pPr>
        <w:ind w:left="5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options are exercised, the Company issues new shares, with proceeds less directly attributable transaction costs recognized as share capital (par value) and additional paid in capital.</w:t>
      </w:r>
    </w:p>
    <w:p>
      <w:pPr>
        <w:spacing w:after="0" w:line="166" w:lineRule="exact"/>
        <w:rPr>
          <w:rFonts w:ascii="Arial" w:cs="Arial" w:eastAsia="Arial" w:hAnsi="Arial"/>
          <w:sz w:val="18"/>
          <w:szCs w:val="18"/>
          <w:b w:val="1"/>
          <w:bCs w:val="1"/>
          <w:color w:val="auto"/>
        </w:rPr>
      </w:pPr>
    </w:p>
    <w:p>
      <w:pPr>
        <w:ind w:left="540" w:hanging="352"/>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107" w:lineRule="exact"/>
        <w:rPr>
          <w:rFonts w:ascii="Arial" w:cs="Arial" w:eastAsia="Arial" w:hAnsi="Arial"/>
          <w:sz w:val="18"/>
          <w:szCs w:val="18"/>
          <w:b w:val="1"/>
          <w:bCs w:val="1"/>
          <w:color w:val="auto"/>
        </w:rPr>
      </w:pPr>
    </w:p>
    <w:p>
      <w:pPr>
        <w:ind w:left="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Government grants, which are received from Israel Innovation Authority (the “IIA”) by way of participation in research and development that is conducted by the Company, fall within the scope of “forgivable loans”, as set forth in International Accounting Standard Number 20 “The Accounting Treatment of Government Grants and Disclosure in respect of Government Assistance” (“IAS 20”). Since at the time of the receipt of the grants there is no reasonable assurance that the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4" w:name="page185"/>
    <w:bookmarkEnd w:id="184"/>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ind w:left="540" w:right="200"/>
        <w:spacing w:after="0" w:line="286" w:lineRule="auto"/>
        <w:rPr>
          <w:sz w:val="20"/>
          <w:szCs w:val="20"/>
          <w:color w:val="auto"/>
        </w:rPr>
      </w:pPr>
      <w:r>
        <w:rPr>
          <w:rFonts w:ascii="Arial" w:cs="Arial" w:eastAsia="Arial" w:hAnsi="Arial"/>
          <w:sz w:val="17"/>
          <w:szCs w:val="17"/>
          <w:color w:val="auto"/>
        </w:rPr>
        <w:t>grants that have been received will be repaid, at the time of their receipt they are offset against the related research and development expenses in the statement of comprehensive loss. To the extent that it will be considered “more likely than not” that the grants will be repaid in the future, the Company would record a financial liability. To date, the Company has not recorded government grants as a financial liability.</w:t>
      </w:r>
    </w:p>
    <w:p>
      <w:pPr>
        <w:spacing w:after="0" w:line="162" w:lineRule="exact"/>
        <w:rPr>
          <w:sz w:val="20"/>
          <w:szCs w:val="20"/>
          <w:color w:val="auto"/>
        </w:rPr>
      </w:pPr>
    </w:p>
    <w:p>
      <w:pPr>
        <w:ind w:left="540" w:hanging="352"/>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107" w:lineRule="exact"/>
        <w:rPr>
          <w:rFonts w:ascii="Arial" w:cs="Arial" w:eastAsia="Arial" w:hAnsi="Arial"/>
          <w:sz w:val="18"/>
          <w:szCs w:val="18"/>
          <w:b w:val="1"/>
          <w:bCs w:val="1"/>
          <w:color w:val="auto"/>
        </w:rPr>
      </w:pPr>
    </w:p>
    <w:p>
      <w:pPr>
        <w:ind w:left="54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by dividing the loss attributable to equity holders of the Company by the weighted average number of ordinary shares issued and outstanding during the year. In computing diluted loss per share, basic loss per share are adjusted to take into account the potential dilution that could occur upon the conversion of the dilutive series of convertible debentures and preferred stock, and warrants, by subtracting from net loss fair value changes of such financial instruments, and by adjusting the weighted average number of outstanding ordinary shares, assuming conversion of all such dilutive potential shares. The Company’s dilutive potential shares consist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176" w:lineRule="exact"/>
        <w:rPr>
          <w:rFonts w:ascii="Arial" w:cs="Arial" w:eastAsia="Arial" w:hAnsi="Arial"/>
          <w:sz w:val="18"/>
          <w:szCs w:val="18"/>
          <w:b w:val="1"/>
          <w:bCs w:val="1"/>
          <w:color w:val="auto"/>
        </w:rPr>
      </w:pPr>
    </w:p>
    <w:p>
      <w:pPr>
        <w:ind w:left="540" w:hanging="352"/>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amendments to standards or interpretations</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The following new standards, amendments to standards or interpretations have been issued, but are not effective, and have not been early adopted:</w:t>
      </w:r>
    </w:p>
    <w:p>
      <w:pPr>
        <w:spacing w:after="0" w:line="167" w:lineRule="exact"/>
        <w:rPr>
          <w:rFonts w:ascii="Arial" w:cs="Arial" w:eastAsia="Arial" w:hAnsi="Arial"/>
          <w:sz w:val="18"/>
          <w:szCs w:val="18"/>
          <w:b w:val="1"/>
          <w:bCs w:val="1"/>
          <w:color w:val="auto"/>
        </w:rPr>
      </w:pPr>
    </w:p>
    <w:p>
      <w:pPr>
        <w:ind w:left="900" w:hanging="352"/>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117" w:lineRule="exact"/>
        <w:rPr>
          <w:rFonts w:ascii="Arial" w:cs="Arial" w:eastAsia="Arial" w:hAnsi="Arial"/>
          <w:sz w:val="18"/>
          <w:szCs w:val="18"/>
          <w:color w:val="auto"/>
        </w:rPr>
      </w:pPr>
    </w:p>
    <w:p>
      <w:pPr>
        <w:ind w:left="900" w:right="20"/>
        <w:spacing w:after="0" w:line="270" w:lineRule="auto"/>
        <w:rPr>
          <w:rFonts w:ascii="Arial" w:cs="Arial" w:eastAsia="Arial" w:hAnsi="Arial"/>
          <w:sz w:val="18"/>
          <w:szCs w:val="18"/>
          <w:color w:val="auto"/>
        </w:rPr>
      </w:pPr>
      <w:r>
        <w:rPr>
          <w:rFonts w:ascii="Arial" w:cs="Arial" w:eastAsia="Arial" w:hAnsi="Arial"/>
          <w:sz w:val="17"/>
          <w:szCs w:val="17"/>
          <w:color w:val="auto"/>
        </w:rPr>
        <w:t>The complete version of IFRS 9 replaces most of the guidance in IAS 39. IFRS 9 retains but simplifies the mixed measurement model and establishes three primary measurement categories for financial assets: amortised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The Company is currently evaluating the impact of adoption on its financial statements.</w:t>
      </w:r>
    </w:p>
    <w:p>
      <w:pPr>
        <w:spacing w:after="0" w:line="100" w:lineRule="exact"/>
        <w:rPr>
          <w:rFonts w:ascii="Arial" w:cs="Arial" w:eastAsia="Arial" w:hAnsi="Arial"/>
          <w:sz w:val="18"/>
          <w:szCs w:val="18"/>
          <w:color w:val="auto"/>
        </w:rPr>
      </w:pPr>
    </w:p>
    <w:p>
      <w:pPr>
        <w:ind w:left="900" w:hanging="352"/>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IFRS 16, “Leases”</w:t>
      </w:r>
    </w:p>
    <w:p>
      <w:pPr>
        <w:spacing w:after="0" w:line="117" w:lineRule="exact"/>
        <w:rPr>
          <w:rFonts w:ascii="Arial" w:cs="Arial" w:eastAsia="Arial" w:hAnsi="Arial"/>
          <w:sz w:val="18"/>
          <w:szCs w:val="18"/>
          <w:color w:val="auto"/>
        </w:rPr>
      </w:pPr>
    </w:p>
    <w:p>
      <w:pPr>
        <w:ind w:left="900"/>
        <w:spacing w:after="0" w:line="293" w:lineRule="auto"/>
        <w:rPr>
          <w:rFonts w:ascii="Arial" w:cs="Arial" w:eastAsia="Arial" w:hAnsi="Arial"/>
          <w:sz w:val="18"/>
          <w:szCs w:val="18"/>
          <w:color w:val="auto"/>
        </w:rPr>
      </w:pPr>
      <w:r>
        <w:rPr>
          <w:rFonts w:ascii="Arial" w:cs="Arial" w:eastAsia="Arial" w:hAnsi="Arial"/>
          <w:sz w:val="16"/>
          <w:szCs w:val="16"/>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leased assets separately from interest on lease liabilities in the income statement. As IFRS 16 substantially carries forward the lessor accounting requirements in IAS 17, a lessor will continue to classify its leases as operating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5" w:name="page186"/>
    <w:bookmarkEnd w:id="18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02" w:lineRule="exact"/>
        <w:rPr>
          <w:sz w:val="20"/>
          <w:szCs w:val="20"/>
          <w:color w:val="auto"/>
        </w:rPr>
      </w:pPr>
    </w:p>
    <w:p>
      <w:pPr>
        <w:ind w:left="900" w:right="180"/>
        <w:spacing w:after="0" w:line="264" w:lineRule="auto"/>
        <w:rPr>
          <w:sz w:val="20"/>
          <w:szCs w:val="20"/>
          <w:color w:val="auto"/>
        </w:rPr>
      </w:pPr>
      <w:r>
        <w:rPr>
          <w:rFonts w:ascii="Arial" w:cs="Arial" w:eastAsia="Arial" w:hAnsi="Arial"/>
          <w:sz w:val="18"/>
          <w:szCs w:val="18"/>
          <w:color w:val="auto"/>
        </w:rPr>
        <w:t>leases or finance leases and to account for those two types of leases differently. IFRS 16 is effective from January 1, 2019 with early adoption allowed only if IFRS 15, Revenue from Contracts with Customers, is also applied. The Company is currently evaluating the impact of adoption on its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CRITICAL ACCOUNTING ESTIMATES AND JUDGEMENTS</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1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respect to grants to employees, service providers and directors, the value of the labor services received in return is measured on the date of grant, based on the fair value of the equity instruments granted to the employees and directors. In order to measure the fair value of the labor service received, the Company uses the Black-Scholes model to value the equity instrument. See also note 10b.</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liabilities at fair value through profit or loss</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fair value of the 2016 Convertible Loan, 2012 Convertible Loan, preferred shares, warrants to purchase preferred shares and shares and liability to issue preferred shares and warrants, the Company uses its judgment to select a variety of methods and make assumptions that are mainly based on market conditions existing at the end of each reporting period. The estimated fair value of these financial liabilities might have been different had Company’s management used different estimates and assumptions. See also note 7 and 8.</w:t>
      </w:r>
    </w:p>
    <w:p>
      <w:pPr>
        <w:spacing w:after="0" w:line="7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The main parameter which affects the value of the financial liabilities that are measured periodically at fair value is the Company’s equity value. The following table presents a sensitivity analysis of the effect of increases and decreases in the Company’s equity value on the carrying amount, as of December 31, 2016, of the financial liabilities measured periodically at fair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tcPr>
          <w:p>
            <w:pPr>
              <w:jc w:val="right"/>
              <w:ind w:right="138"/>
              <w:spacing w:after="0"/>
              <w:rPr>
                <w:sz w:val="20"/>
                <w:szCs w:val="20"/>
                <w:color w:val="auto"/>
              </w:rPr>
            </w:pPr>
            <w:r>
              <w:rPr>
                <w:rFonts w:ascii="Arial" w:cs="Arial" w:eastAsia="Arial" w:hAnsi="Arial"/>
                <w:sz w:val="14"/>
                <w:szCs w:val="14"/>
                <w:b w:val="1"/>
                <w:bCs w:val="1"/>
                <w:color w:val="auto"/>
              </w:rPr>
              <w:t>December 31, 2016</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3"/>
        </w:trPr>
        <w:tc>
          <w:tcPr>
            <w:tcW w:w="4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1520" w:type="dxa"/>
            <w:vAlign w:val="bottom"/>
          </w:tcPr>
          <w:p>
            <w:pPr>
              <w:jc w:val="right"/>
              <w:ind w:right="438"/>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w w:val="94"/>
              </w:rPr>
              <w:t>Increase</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Increase</w:t>
            </w:r>
          </w:p>
        </w:tc>
      </w:tr>
      <w:tr>
        <w:trPr>
          <w:trHeight w:val="186"/>
        </w:trPr>
        <w:tc>
          <w:tcPr>
            <w:tcW w:w="4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of 10%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of 5%</w:t>
            </w:r>
          </w:p>
        </w:tc>
        <w:tc>
          <w:tcPr>
            <w:tcW w:w="1520" w:type="dxa"/>
            <w:vAlign w:val="bottom"/>
          </w:tcPr>
          <w:p>
            <w:pPr>
              <w:jc w:val="right"/>
              <w:ind w:right="458"/>
              <w:spacing w:after="0"/>
              <w:rPr>
                <w:sz w:val="20"/>
                <w:szCs w:val="20"/>
                <w:color w:val="auto"/>
              </w:rPr>
            </w:pPr>
            <w:r>
              <w:rPr>
                <w:rFonts w:ascii="Arial" w:cs="Arial" w:eastAsia="Arial" w:hAnsi="Arial"/>
                <w:sz w:val="14"/>
                <w:szCs w:val="14"/>
                <w:b w:val="1"/>
                <w:bCs w:val="1"/>
                <w:color w:val="auto"/>
              </w:rPr>
              <w:t>Value</w:t>
            </w: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of 5%</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of 10%</w:t>
            </w:r>
          </w:p>
        </w:tc>
      </w:tr>
      <w:tr>
        <w:trPr>
          <w:trHeight w:val="26"/>
        </w:trPr>
        <w:tc>
          <w:tcPr>
            <w:tcW w:w="4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w w:val="91"/>
              </w:rPr>
              <w:t>U.S. dollars in thousands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Value of equity</w:t>
            </w:r>
          </w:p>
        </w:tc>
        <w:tc>
          <w:tcPr>
            <w:tcW w:w="2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63,900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67,450</w:t>
            </w:r>
          </w:p>
        </w:tc>
        <w:tc>
          <w:tcPr>
            <w:tcW w:w="15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71,000</w:t>
            </w:r>
          </w:p>
        </w:tc>
        <w:tc>
          <w:tcPr>
            <w:tcW w:w="8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74,550</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78,100</w:t>
            </w: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Convertible loans</w:t>
            </w:r>
          </w:p>
        </w:tc>
        <w:tc>
          <w:tcPr>
            <w:tcW w:w="2720" w:type="dxa"/>
            <w:vAlign w:val="bottom"/>
            <w:gridSpan w:val="2"/>
          </w:tcPr>
          <w:p>
            <w:pPr>
              <w:jc w:val="right"/>
              <w:ind w:right="208"/>
              <w:spacing w:after="0"/>
              <w:rPr>
                <w:sz w:val="20"/>
                <w:szCs w:val="20"/>
                <w:color w:val="auto"/>
              </w:rPr>
            </w:pPr>
            <w:r>
              <w:rPr>
                <w:rFonts w:ascii="Arial" w:cs="Arial" w:eastAsia="Arial" w:hAnsi="Arial"/>
                <w:sz w:val="18"/>
                <w:szCs w:val="18"/>
                <w:color w:val="auto"/>
              </w:rPr>
              <w:t>13,127</w:t>
            </w:r>
          </w:p>
        </w:tc>
        <w:tc>
          <w:tcPr>
            <w:tcW w:w="860" w:type="dxa"/>
            <w:vAlign w:val="bottom"/>
          </w:tcPr>
          <w:p>
            <w:pPr>
              <w:jc w:val="right"/>
              <w:spacing w:after="0"/>
              <w:rPr>
                <w:sz w:val="20"/>
                <w:szCs w:val="20"/>
                <w:color w:val="auto"/>
              </w:rPr>
            </w:pPr>
            <w:r>
              <w:rPr>
                <w:rFonts w:ascii="Arial" w:cs="Arial" w:eastAsia="Arial" w:hAnsi="Arial"/>
                <w:sz w:val="18"/>
                <w:szCs w:val="18"/>
                <w:color w:val="auto"/>
              </w:rPr>
              <w:t>13,422</w:t>
            </w:r>
          </w:p>
        </w:tc>
        <w:tc>
          <w:tcPr>
            <w:tcW w:w="1520" w:type="dxa"/>
            <w:vAlign w:val="bottom"/>
          </w:tcPr>
          <w:p>
            <w:pPr>
              <w:jc w:val="right"/>
              <w:ind w:right="378"/>
              <w:spacing w:after="0"/>
              <w:rPr>
                <w:sz w:val="20"/>
                <w:szCs w:val="20"/>
                <w:color w:val="auto"/>
              </w:rPr>
            </w:pPr>
            <w:r>
              <w:rPr>
                <w:rFonts w:ascii="Arial" w:cs="Arial" w:eastAsia="Arial" w:hAnsi="Arial"/>
                <w:sz w:val="18"/>
                <w:szCs w:val="18"/>
                <w:color w:val="auto"/>
              </w:rPr>
              <w:t>13,715</w:t>
            </w:r>
          </w:p>
        </w:tc>
        <w:tc>
          <w:tcPr>
            <w:tcW w:w="840" w:type="dxa"/>
            <w:vAlign w:val="bottom"/>
          </w:tcPr>
          <w:p>
            <w:pPr>
              <w:jc w:val="right"/>
              <w:ind w:right="175"/>
              <w:spacing w:after="0"/>
              <w:rPr>
                <w:sz w:val="20"/>
                <w:szCs w:val="20"/>
                <w:color w:val="auto"/>
              </w:rPr>
            </w:pPr>
            <w:r>
              <w:rPr>
                <w:rFonts w:ascii="Arial" w:cs="Arial" w:eastAsia="Arial" w:hAnsi="Arial"/>
                <w:sz w:val="18"/>
                <w:szCs w:val="18"/>
                <w:color w:val="auto"/>
              </w:rPr>
              <w:t>14,009</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14,298</w:t>
            </w:r>
          </w:p>
        </w:tc>
      </w:tr>
      <w:tr>
        <w:trPr>
          <w:trHeight w:val="25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2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9,945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5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11,031</w:t>
            </w:r>
          </w:p>
        </w:tc>
        <w:tc>
          <w:tcPr>
            <w:tcW w:w="8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11,584</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12,137</w:t>
            </w: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Warrants to purchase preferred shares and shares</w:t>
            </w:r>
          </w:p>
        </w:tc>
        <w:tc>
          <w:tcPr>
            <w:tcW w:w="2720" w:type="dxa"/>
            <w:vAlign w:val="bottom"/>
            <w:gridSpan w:val="2"/>
          </w:tcPr>
          <w:p>
            <w:pPr>
              <w:jc w:val="right"/>
              <w:ind w:right="208"/>
              <w:spacing w:after="0"/>
              <w:rPr>
                <w:sz w:val="20"/>
                <w:szCs w:val="20"/>
                <w:color w:val="auto"/>
              </w:rPr>
            </w:pPr>
            <w:r>
              <w:rPr>
                <w:rFonts w:ascii="Arial" w:cs="Arial" w:eastAsia="Arial" w:hAnsi="Arial"/>
                <w:sz w:val="18"/>
                <w:szCs w:val="18"/>
                <w:color w:val="auto"/>
              </w:rPr>
              <w:t>4,331</w:t>
            </w:r>
          </w:p>
        </w:tc>
        <w:tc>
          <w:tcPr>
            <w:tcW w:w="860" w:type="dxa"/>
            <w:vAlign w:val="bottom"/>
          </w:tcPr>
          <w:p>
            <w:pPr>
              <w:jc w:val="right"/>
              <w:spacing w:after="0"/>
              <w:rPr>
                <w:sz w:val="20"/>
                <w:szCs w:val="20"/>
                <w:color w:val="auto"/>
              </w:rPr>
            </w:pPr>
            <w:r>
              <w:rPr>
                <w:rFonts w:ascii="Arial" w:cs="Arial" w:eastAsia="Arial" w:hAnsi="Arial"/>
                <w:sz w:val="18"/>
                <w:szCs w:val="18"/>
                <w:color w:val="auto"/>
              </w:rPr>
              <w:t>4,568</w:t>
            </w:r>
          </w:p>
        </w:tc>
        <w:tc>
          <w:tcPr>
            <w:tcW w:w="1520" w:type="dxa"/>
            <w:vAlign w:val="bottom"/>
          </w:tcPr>
          <w:p>
            <w:pPr>
              <w:jc w:val="right"/>
              <w:ind w:right="378"/>
              <w:spacing w:after="0"/>
              <w:rPr>
                <w:sz w:val="20"/>
                <w:szCs w:val="20"/>
                <w:color w:val="auto"/>
              </w:rPr>
            </w:pPr>
            <w:r>
              <w:rPr>
                <w:rFonts w:ascii="Arial" w:cs="Arial" w:eastAsia="Arial" w:hAnsi="Arial"/>
                <w:sz w:val="18"/>
                <w:szCs w:val="18"/>
                <w:color w:val="auto"/>
              </w:rPr>
              <w:t>4,800</w:t>
            </w:r>
          </w:p>
        </w:tc>
        <w:tc>
          <w:tcPr>
            <w:tcW w:w="840" w:type="dxa"/>
            <w:vAlign w:val="bottom"/>
          </w:tcPr>
          <w:p>
            <w:pPr>
              <w:jc w:val="right"/>
              <w:ind w:right="175"/>
              <w:spacing w:after="0"/>
              <w:rPr>
                <w:sz w:val="20"/>
                <w:szCs w:val="20"/>
                <w:color w:val="auto"/>
              </w:rPr>
            </w:pPr>
            <w:r>
              <w:rPr>
                <w:rFonts w:ascii="Arial" w:cs="Arial" w:eastAsia="Arial" w:hAnsi="Arial"/>
                <w:sz w:val="18"/>
                <w:szCs w:val="18"/>
                <w:color w:val="auto"/>
              </w:rPr>
              <w:t>5,035</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5,266</w:t>
            </w:r>
          </w:p>
        </w:tc>
      </w:tr>
      <w:tr>
        <w:trPr>
          <w:trHeight w:val="257"/>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Liability to issue preferred shares and warrants</w:t>
            </w:r>
          </w:p>
        </w:tc>
        <w:tc>
          <w:tcPr>
            <w:tcW w:w="2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52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273</w:t>
            </w:r>
          </w:p>
        </w:tc>
        <w:tc>
          <w:tcPr>
            <w:tcW w:w="8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296</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319</w:t>
            </w:r>
          </w:p>
        </w:tc>
      </w:tr>
      <w:tr>
        <w:trPr>
          <w:trHeight w:val="486"/>
        </w:trPr>
        <w:tc>
          <w:tcPr>
            <w:tcW w:w="4540" w:type="dxa"/>
            <w:vAlign w:val="bottom"/>
          </w:tcPr>
          <w:p>
            <w:pPr>
              <w:spacing w:after="0"/>
              <w:rPr>
                <w:sz w:val="24"/>
                <w:szCs w:val="24"/>
                <w:color w:val="auto"/>
              </w:rPr>
            </w:pPr>
          </w:p>
        </w:tc>
        <w:tc>
          <w:tcPr>
            <w:tcW w:w="2720" w:type="dxa"/>
            <w:vAlign w:val="bottom"/>
            <w:gridSpan w:val="2"/>
          </w:tcPr>
          <w:p>
            <w:pPr>
              <w:jc w:val="right"/>
              <w:ind w:right="1308"/>
              <w:spacing w:after="0"/>
              <w:rPr>
                <w:sz w:val="20"/>
                <w:szCs w:val="20"/>
                <w:color w:val="auto"/>
              </w:rPr>
            </w:pPr>
            <w:r>
              <w:rPr>
                <w:rFonts w:ascii="Arial" w:cs="Arial" w:eastAsia="Arial" w:hAnsi="Arial"/>
                <w:sz w:val="18"/>
                <w:szCs w:val="18"/>
                <w:color w:val="auto"/>
              </w:rPr>
              <w:t>F-12</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5"/>
        </w:trPr>
        <w:tc>
          <w:tcPr>
            <w:tcW w:w="45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-1525905</wp:posOffset>
            </wp:positionV>
            <wp:extent cx="137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-1525905</wp:posOffset>
            </wp:positionV>
            <wp:extent cx="137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-1525905</wp:posOffset>
            </wp:positionV>
            <wp:extent cx="137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-1525905</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6" w:name="page187"/>
    <w:bookmarkEnd w:id="18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198" w:lineRule="exact"/>
        <w:rPr>
          <w:sz w:val="20"/>
          <w:szCs w:val="20"/>
          <w:color w:val="auto"/>
        </w:rPr>
      </w:pPr>
    </w:p>
    <w:p>
      <w:pPr>
        <w:ind w:left="540" w:hanging="352"/>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80" w:lineRule="exact"/>
        <w:rPr>
          <w:rFonts w:ascii="Arial" w:cs="Arial" w:eastAsia="Arial" w:hAnsi="Arial"/>
          <w:sz w:val="18"/>
          <w:szCs w:val="18"/>
          <w:b w:val="1"/>
          <w:bCs w:val="1"/>
          <w:color w:val="auto"/>
        </w:rPr>
      </w:pPr>
    </w:p>
    <w:p>
      <w:pPr>
        <w:ind w:left="900" w:hanging="352"/>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Financial risk factors</w:t>
      </w:r>
    </w:p>
    <w:p>
      <w:pPr>
        <w:spacing w:after="0" w:line="117" w:lineRule="exact"/>
        <w:rPr>
          <w:rFonts w:ascii="Arial" w:cs="Arial" w:eastAsia="Arial" w:hAnsi="Arial"/>
          <w:sz w:val="18"/>
          <w:szCs w:val="18"/>
          <w:color w:val="auto"/>
        </w:rPr>
      </w:pPr>
    </w:p>
    <w:p>
      <w:pPr>
        <w:ind w:left="900" w:right="920"/>
        <w:spacing w:after="0" w:line="342" w:lineRule="auto"/>
        <w:rPr>
          <w:rFonts w:ascii="Arial" w:cs="Arial" w:eastAsia="Arial" w:hAnsi="Arial"/>
          <w:sz w:val="18"/>
          <w:szCs w:val="18"/>
          <w:color w:val="auto"/>
        </w:rPr>
      </w:pPr>
      <w:r>
        <w:rPr>
          <w:rFonts w:ascii="Arial" w:cs="Arial" w:eastAsia="Arial" w:hAnsi="Arial"/>
          <w:sz w:val="16"/>
          <w:szCs w:val="16"/>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15" w:lineRule="exact"/>
        <w:rPr>
          <w:rFonts w:ascii="Arial" w:cs="Arial" w:eastAsia="Arial" w:hAnsi="Arial"/>
          <w:sz w:val="18"/>
          <w:szCs w:val="18"/>
          <w:color w:val="auto"/>
        </w:rPr>
      </w:pPr>
    </w:p>
    <w:p>
      <w:pPr>
        <w:ind w:left="900"/>
        <w:spacing w:after="0" w:line="277" w:lineRule="auto"/>
        <w:rPr>
          <w:rFonts w:ascii="Arial" w:cs="Arial" w:eastAsia="Arial" w:hAnsi="Arial"/>
          <w:sz w:val="18"/>
          <w:szCs w:val="18"/>
          <w:color w:val="auto"/>
        </w:rPr>
      </w:pPr>
      <w:r>
        <w:rPr>
          <w:rFonts w:ascii="Arial" w:cs="Arial" w:eastAsia="Arial" w:hAnsi="Arial"/>
          <w:sz w:val="18"/>
          <w:szCs w:val="18"/>
          <w:color w:val="auto"/>
        </w:rPr>
        <w:t>Risk management is performed by the Chief Financial Officer of the Company, who identifies and evaluates financial risks in close cooperation with the Company’s Chief Executive Officer.</w:t>
      </w:r>
    </w:p>
    <w:p>
      <w:pPr>
        <w:spacing w:after="0" w:line="6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Company does not use financial instruments for hedging activity.</w:t>
      </w:r>
    </w:p>
    <w:p>
      <w:pPr>
        <w:spacing w:after="0" w:line="130" w:lineRule="exact"/>
        <w:rPr>
          <w:rFonts w:ascii="Arial" w:cs="Arial" w:eastAsia="Arial" w:hAnsi="Arial"/>
          <w:sz w:val="18"/>
          <w:szCs w:val="18"/>
          <w:color w:val="auto"/>
        </w:rPr>
      </w:pPr>
    </w:p>
    <w:p>
      <w:pPr>
        <w:ind w:left="900" w:hanging="352"/>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17" w:lineRule="exact"/>
        <w:rPr>
          <w:rFonts w:ascii="Arial" w:cs="Arial" w:eastAsia="Arial" w:hAnsi="Arial"/>
          <w:sz w:val="18"/>
          <w:szCs w:val="18"/>
          <w:color w:val="auto"/>
        </w:rPr>
      </w:pPr>
    </w:p>
    <w:p>
      <w:pPr>
        <w:jc w:val="both"/>
        <w:ind w:left="900" w:right="220"/>
        <w:spacing w:after="0" w:line="312" w:lineRule="auto"/>
        <w:rPr>
          <w:rFonts w:ascii="Arial" w:cs="Arial" w:eastAsia="Arial" w:hAnsi="Arial"/>
          <w:sz w:val="18"/>
          <w:szCs w:val="18"/>
          <w:color w:val="auto"/>
        </w:rPr>
      </w:pPr>
      <w:r>
        <w:rPr>
          <w:rFonts w:ascii="Arial" w:cs="Arial" w:eastAsia="Arial" w:hAnsi="Arial"/>
          <w:sz w:val="16"/>
          <w:szCs w:val="16"/>
          <w:color w:val="auto"/>
        </w:rPr>
        <w:t>Credit and interest risk arises from cash and cash equivalents and deposits with banks. A portion of the liquid instruments of the Company is invested in short-term deposits in leading Israeli banks. The Company estimates that since the liquid instruments are mainly invested for the short-term and with a highly-rated institution, the credit and interest risk associated with these balances is immaterial.</w:t>
      </w:r>
    </w:p>
    <w:p>
      <w:pPr>
        <w:spacing w:after="0" w:line="38" w:lineRule="exact"/>
        <w:rPr>
          <w:rFonts w:ascii="Arial" w:cs="Arial" w:eastAsia="Arial" w:hAnsi="Arial"/>
          <w:sz w:val="18"/>
          <w:szCs w:val="18"/>
          <w:color w:val="auto"/>
        </w:rPr>
      </w:pPr>
    </w:p>
    <w:p>
      <w:pPr>
        <w:ind w:left="900" w:hanging="352"/>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Prudent liquidity risk management implies maintaining sufficient cash.</w:t>
      </w:r>
    </w:p>
    <w:p>
      <w:pPr>
        <w:spacing w:after="0" w:line="117" w:lineRule="exact"/>
        <w:rPr>
          <w:rFonts w:ascii="Arial" w:cs="Arial" w:eastAsia="Arial" w:hAnsi="Arial"/>
          <w:sz w:val="18"/>
          <w:szCs w:val="18"/>
          <w:color w:val="auto"/>
        </w:rPr>
      </w:pPr>
    </w:p>
    <w:p>
      <w:pPr>
        <w:ind w:left="900" w:right="24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 a research stage and has not yet generated revenues. It is therefore exposed to liquidity risk, taking into consideration the forecasts of cash flows required to finance its investments and other activities.</w:t>
      </w:r>
    </w:p>
    <w:p>
      <w:pPr>
        <w:spacing w:after="0" w:line="62" w:lineRule="exact"/>
        <w:rPr>
          <w:rFonts w:ascii="Arial" w:cs="Arial" w:eastAsia="Arial" w:hAnsi="Arial"/>
          <w:sz w:val="18"/>
          <w:szCs w:val="18"/>
          <w:color w:val="auto"/>
        </w:rPr>
      </w:pPr>
    </w:p>
    <w:p>
      <w:pPr>
        <w:ind w:left="900" w:hanging="352"/>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Market risk — Foreign exchange risk</w:t>
      </w:r>
    </w:p>
    <w:p>
      <w:pPr>
        <w:spacing w:after="0" w:line="117" w:lineRule="exact"/>
        <w:rPr>
          <w:rFonts w:ascii="Arial" w:cs="Arial" w:eastAsia="Arial" w:hAnsi="Arial"/>
          <w:sz w:val="18"/>
          <w:szCs w:val="18"/>
          <w:color w:val="auto"/>
        </w:rPr>
      </w:pPr>
    </w:p>
    <w:p>
      <w:pPr>
        <w:ind w:left="900" w:right="140"/>
        <w:spacing w:after="0" w:line="312" w:lineRule="auto"/>
        <w:rPr>
          <w:rFonts w:ascii="Arial" w:cs="Arial" w:eastAsia="Arial" w:hAnsi="Arial"/>
          <w:sz w:val="18"/>
          <w:szCs w:val="18"/>
          <w:color w:val="auto"/>
        </w:rPr>
      </w:pPr>
      <w:r>
        <w:rPr>
          <w:rFonts w:ascii="Arial" w:cs="Arial" w:eastAsia="Arial" w:hAnsi="Arial"/>
          <w:sz w:val="16"/>
          <w:szCs w:val="16"/>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142" w:lineRule="exact"/>
        <w:rPr>
          <w:rFonts w:ascii="Arial" w:cs="Arial" w:eastAsia="Arial" w:hAnsi="Arial"/>
          <w:sz w:val="18"/>
          <w:szCs w:val="18"/>
          <w:color w:val="auto"/>
        </w:rPr>
      </w:pPr>
    </w:p>
    <w:p>
      <w:pPr>
        <w:ind w:left="540" w:hanging="352"/>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07" w:lineRule="exact"/>
        <w:rPr>
          <w:rFonts w:ascii="Arial" w:cs="Arial" w:eastAsia="Arial" w:hAnsi="Arial"/>
          <w:sz w:val="18"/>
          <w:szCs w:val="18"/>
          <w:b w:val="1"/>
          <w:bCs w:val="1"/>
          <w:color w:val="auto"/>
        </w:rPr>
      </w:pPr>
    </w:p>
    <w:p>
      <w:pPr>
        <w:jc w:val="both"/>
        <w:ind w:left="5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revenues.</w:t>
      </w:r>
    </w:p>
    <w:p>
      <w:pPr>
        <w:spacing w:after="0" w:line="190" w:lineRule="exact"/>
        <w:rPr>
          <w:rFonts w:ascii="Arial" w:cs="Arial" w:eastAsia="Arial" w:hAnsi="Arial"/>
          <w:sz w:val="18"/>
          <w:szCs w:val="18"/>
          <w:b w:val="1"/>
          <w:bCs w:val="1"/>
          <w:color w:val="auto"/>
        </w:rPr>
      </w:pPr>
    </w:p>
    <w:p>
      <w:pPr>
        <w:ind w:left="540" w:hanging="352"/>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different levels of valuation of financial instruments are defined as follows:</w:t>
      </w:r>
    </w:p>
    <w:p>
      <w:pPr>
        <w:spacing w:after="0" w:line="11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Level 1  Quoted prices (unadjusted) in active markets for identical assets or liabilities.</w:t>
      </w:r>
    </w:p>
    <w:p>
      <w:pPr>
        <w:spacing w:after="0" w:line="117" w:lineRule="exact"/>
        <w:rPr>
          <w:rFonts w:ascii="Arial" w:cs="Arial" w:eastAsia="Arial" w:hAnsi="Arial"/>
          <w:sz w:val="18"/>
          <w:szCs w:val="18"/>
          <w:b w:val="1"/>
          <w:bCs w:val="1"/>
          <w:color w:val="auto"/>
        </w:rPr>
      </w:pPr>
    </w:p>
    <w:p>
      <w:pPr>
        <w:ind w:left="1260" w:right="840" w:hanging="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Inputs, other than quoted prices included within level 1 that are observable for the asset or liability, either directly (as prices) or indirectly (derived from prices).</w:t>
      </w:r>
    </w:p>
    <w:p>
      <w:pPr>
        <w:spacing w:after="0" w:line="7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11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The fair value of financial instruments traded in active markets is based on quoted market prices at the dates of the statements of financial position.</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32" w:right="399" w:bottom="1440" w:gutter="0" w:footer="0" w:header="0"/>
        </w:sectPr>
      </w:pPr>
    </w:p>
    <w:bookmarkStart w:id="187" w:name="page188"/>
    <w:bookmarkEnd w:id="18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 (Continued)</w:t>
      </w:r>
    </w:p>
    <w:p>
      <w:pPr>
        <w:spacing w:after="0" w:line="202" w:lineRule="exact"/>
        <w:rPr>
          <w:sz w:val="20"/>
          <w:szCs w:val="20"/>
          <w:color w:val="auto"/>
        </w:rPr>
      </w:pPr>
    </w:p>
    <w:p>
      <w:pPr>
        <w:ind w:left="540" w:right="80"/>
        <w:spacing w:after="0" w:line="264" w:lineRule="auto"/>
        <w:rPr>
          <w:sz w:val="20"/>
          <w:szCs w:val="20"/>
          <w:color w:val="auto"/>
        </w:rPr>
      </w:pPr>
      <w:r>
        <w:rPr>
          <w:rFonts w:ascii="Arial" w:cs="Arial" w:eastAsia="Arial" w:hAnsi="Arial"/>
          <w:sz w:val="18"/>
          <w:szCs w:val="18"/>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73" w:lineRule="exact"/>
        <w:rPr>
          <w:sz w:val="20"/>
          <w:szCs w:val="20"/>
          <w:color w:val="auto"/>
        </w:rPr>
      </w:pPr>
    </w:p>
    <w:p>
      <w:pPr>
        <w:ind w:left="540" w:right="80"/>
        <w:spacing w:after="0" w:line="264" w:lineRule="auto"/>
        <w:rPr>
          <w:sz w:val="20"/>
          <w:szCs w:val="20"/>
          <w:color w:val="auto"/>
        </w:rPr>
      </w:pPr>
      <w:r>
        <w:rPr>
          <w:rFonts w:ascii="Arial" w:cs="Arial" w:eastAsia="Arial" w:hAnsi="Arial"/>
          <w:sz w:val="18"/>
          <w:szCs w:val="18"/>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one or more of the significant inputs is not based on observable market data, the instrument is included in level 3.</w:t>
      </w:r>
    </w:p>
    <w:p>
      <w:pPr>
        <w:spacing w:after="0" w:line="117" w:lineRule="exact"/>
        <w:rPr>
          <w:sz w:val="20"/>
          <w:szCs w:val="20"/>
          <w:color w:val="auto"/>
        </w:rPr>
      </w:pPr>
    </w:p>
    <w:p>
      <w:pPr>
        <w:ind w:left="540" w:right="280"/>
        <w:spacing w:after="0" w:line="277" w:lineRule="auto"/>
        <w:rPr>
          <w:sz w:val="20"/>
          <w:szCs w:val="20"/>
          <w:color w:val="auto"/>
        </w:rPr>
      </w:pPr>
      <w:r>
        <w:rPr>
          <w:rFonts w:ascii="Arial" w:cs="Arial" w:eastAsia="Arial" w:hAnsi="Arial"/>
          <w:sz w:val="18"/>
          <w:szCs w:val="18"/>
          <w:color w:val="auto"/>
        </w:rPr>
        <w:t>As of December 31, 2016 and 2015, the fair value of certain financial instruments (cash and cash equivalents, restricted cash, other receivables and accounts payable) approximates their carrying value.</w:t>
      </w:r>
    </w:p>
    <w:p>
      <w:pPr>
        <w:spacing w:after="0" w:line="166" w:lineRule="exact"/>
        <w:rPr>
          <w:sz w:val="20"/>
          <w:szCs w:val="20"/>
          <w:color w:val="auto"/>
        </w:rPr>
      </w:pPr>
    </w:p>
    <w:p>
      <w:pPr>
        <w:ind w:left="540" w:hanging="352"/>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of financial instruments by groups: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Loans and</w:t>
            </w:r>
          </w:p>
        </w:tc>
      </w:tr>
      <w:tr>
        <w:trPr>
          <w:trHeight w:val="186"/>
        </w:trPr>
        <w:tc>
          <w:tcPr>
            <w:tcW w:w="10200" w:type="dxa"/>
            <w:vAlign w:val="bottom"/>
          </w:tcPr>
          <w:p>
            <w:pPr>
              <w:spacing w:after="0"/>
              <w:rPr>
                <w:sz w:val="16"/>
                <w:szCs w:val="16"/>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receivables</w:t>
            </w:r>
          </w:p>
        </w:tc>
      </w:tr>
      <w:tr>
        <w:trPr>
          <w:trHeight w:val="26"/>
        </w:trPr>
        <w:tc>
          <w:tcPr>
            <w:tcW w:w="102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77"/>
        </w:trPr>
        <w:tc>
          <w:tcPr>
            <w:tcW w:w="10200" w:type="dxa"/>
            <w:vAlign w:val="bottom"/>
          </w:tcPr>
          <w:p>
            <w:pPr>
              <w:spacing w:after="0"/>
              <w:rPr>
                <w:sz w:val="15"/>
                <w:szCs w:val="15"/>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color w:val="auto"/>
              </w:rPr>
              <w:t>U.S. dollars</w:t>
            </w:r>
          </w:p>
        </w:tc>
      </w:tr>
      <w:tr>
        <w:trPr>
          <w:trHeight w:val="181"/>
        </w:trPr>
        <w:tc>
          <w:tcPr>
            <w:tcW w:w="10200" w:type="dxa"/>
            <w:vAlign w:val="bottom"/>
          </w:tcPr>
          <w:p>
            <w:pPr>
              <w:spacing w:after="0"/>
              <w:rPr>
                <w:sz w:val="15"/>
                <w:szCs w:val="15"/>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color w:val="auto"/>
              </w:rPr>
              <w:t>in thousands</w:t>
            </w:r>
          </w:p>
        </w:tc>
      </w:tr>
      <w:tr>
        <w:trPr>
          <w:trHeight w:val="297"/>
        </w:trPr>
        <w:tc>
          <w:tcPr>
            <w:tcW w:w="10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257"/>
        </w:trPr>
        <w:tc>
          <w:tcPr>
            <w:tcW w:w="10200" w:type="dxa"/>
            <w:vAlign w:val="bottom"/>
          </w:tcPr>
          <w:p>
            <w:pPr>
              <w:ind w:left="540"/>
              <w:spacing w:after="0"/>
              <w:rPr>
                <w:sz w:val="20"/>
                <w:szCs w:val="20"/>
                <w:color w:val="auto"/>
              </w:rPr>
            </w:pPr>
            <w:r>
              <w:rPr>
                <w:rFonts w:ascii="Arial" w:cs="Arial" w:eastAsia="Arial" w:hAnsi="Arial"/>
                <w:sz w:val="18"/>
                <w:szCs w:val="18"/>
                <w:b w:val="1"/>
                <w:bCs w:val="1"/>
                <w:color w:val="auto"/>
              </w:rPr>
              <w:t>As of December 31, 2016:</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0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420" w:type="dxa"/>
            <w:vAlign w:val="bottom"/>
            <w:shd w:val="clear" w:color="auto" w:fill="CCEEFF"/>
          </w:tcPr>
          <w:p>
            <w:pPr>
              <w:spacing w:after="0"/>
              <w:rPr>
                <w:sz w:val="22"/>
                <w:szCs w:val="22"/>
                <w:color w:val="auto"/>
              </w:rPr>
            </w:pPr>
          </w:p>
        </w:tc>
      </w:tr>
      <w:tr>
        <w:trPr>
          <w:trHeight w:val="257"/>
        </w:trPr>
        <w:tc>
          <w:tcPr>
            <w:tcW w:w="10200" w:type="dxa"/>
            <w:vAlign w:val="bottom"/>
          </w:tcPr>
          <w:p>
            <w:pPr>
              <w:ind w:left="720"/>
              <w:spacing w:after="0"/>
              <w:rPr>
                <w:sz w:val="20"/>
                <w:szCs w:val="20"/>
                <w:color w:val="auto"/>
              </w:rPr>
            </w:pPr>
            <w:r>
              <w:rPr>
                <w:rFonts w:ascii="Arial" w:cs="Arial" w:eastAsia="Arial" w:hAnsi="Arial"/>
                <w:sz w:val="18"/>
                <w:szCs w:val="18"/>
                <w:color w:val="auto"/>
              </w:rPr>
              <w:t>Restricted deposits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420" w:type="dxa"/>
            <w:vAlign w:val="bottom"/>
          </w:tcPr>
          <w:p>
            <w:pPr>
              <w:spacing w:after="0"/>
              <w:rPr>
                <w:sz w:val="22"/>
                <w:szCs w:val="22"/>
                <w:color w:val="auto"/>
              </w:rPr>
            </w:pPr>
          </w:p>
        </w:tc>
      </w:tr>
      <w:tr>
        <w:trPr>
          <w:trHeight w:val="264"/>
        </w:trPr>
        <w:tc>
          <w:tcPr>
            <w:tcW w:w="10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(excluding prepaid expenses)</w:t>
            </w: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304"/>
        </w:trPr>
        <w:tc>
          <w:tcPr>
            <w:tcW w:w="10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5,395</w:t>
            </w:r>
          </w:p>
        </w:tc>
        <w:tc>
          <w:tcPr>
            <w:tcW w:w="420" w:type="dxa"/>
            <w:vAlign w:val="bottom"/>
          </w:tcPr>
          <w:p>
            <w:pPr>
              <w:spacing w:after="0"/>
              <w:rPr>
                <w:sz w:val="24"/>
                <w:szCs w:val="24"/>
                <w:color w:val="auto"/>
              </w:rPr>
            </w:pPr>
          </w:p>
        </w:tc>
      </w:tr>
      <w:tr>
        <w:trPr>
          <w:trHeight w:val="311"/>
        </w:trPr>
        <w:tc>
          <w:tcPr>
            <w:tcW w:w="102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2015:</w:t>
            </w:r>
          </w:p>
        </w:tc>
        <w:tc>
          <w:tcPr>
            <w:tcW w:w="4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CCEEFF"/>
            </w:tcBorders>
            <w:shd w:val="clear" w:color="auto" w:fill="CCEEFF"/>
          </w:tcPr>
          <w:p>
            <w:pPr>
              <w:spacing w:after="0"/>
              <w:rPr>
                <w:sz w:val="24"/>
                <w:szCs w:val="24"/>
                <w:color w:val="auto"/>
              </w:rPr>
            </w:pPr>
          </w:p>
        </w:tc>
      </w:tr>
      <w:tr>
        <w:trPr>
          <w:trHeight w:val="257"/>
        </w:trPr>
        <w:tc>
          <w:tcPr>
            <w:tcW w:w="1020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420" w:type="dxa"/>
            <w:vAlign w:val="bottom"/>
          </w:tcPr>
          <w:p>
            <w:pPr>
              <w:spacing w:after="0"/>
              <w:rPr>
                <w:sz w:val="22"/>
                <w:szCs w:val="22"/>
                <w:color w:val="auto"/>
              </w:rPr>
            </w:pPr>
          </w:p>
        </w:tc>
      </w:tr>
      <w:tr>
        <w:trPr>
          <w:trHeight w:val="264"/>
        </w:trPr>
        <w:tc>
          <w:tcPr>
            <w:tcW w:w="10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(excluding prepaid expenses)</w:t>
            </w:r>
          </w:p>
        </w:tc>
        <w:tc>
          <w:tcPr>
            <w:tcW w:w="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57"/>
        </w:trPr>
        <w:tc>
          <w:tcPr>
            <w:tcW w:w="10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1,365</w:t>
            </w:r>
          </w:p>
        </w:tc>
        <w:tc>
          <w:tcPr>
            <w:tcW w:w="420" w:type="dxa"/>
            <w:vAlign w:val="bottom"/>
          </w:tcPr>
          <w:p>
            <w:pPr>
              <w:spacing w:after="0"/>
              <w:rPr>
                <w:sz w:val="22"/>
                <w:szCs w:val="22"/>
                <w:color w:val="auto"/>
              </w:rPr>
            </w:pPr>
          </w:p>
        </w:tc>
      </w:tr>
      <w:tr>
        <w:trPr>
          <w:trHeight w:val="20"/>
        </w:trPr>
        <w:tc>
          <w:tcPr>
            <w:tcW w:w="10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5"/>
              </w:rPr>
              <w:t>Financial</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4"/>
              </w:rPr>
              <w:t>liabilities at fair</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value through</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liabilities at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profit or loss</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4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1"/>
              </w:rPr>
              <w:t>(Level 3)</w:t>
            </w:r>
          </w:p>
        </w:tc>
        <w:tc>
          <w:tcPr>
            <w:tcW w:w="840" w:type="dxa"/>
            <w:vAlign w:val="bottom"/>
          </w:tcPr>
          <w:p>
            <w:pPr>
              <w:spacing w:after="0"/>
              <w:rPr>
                <w:sz w:val="16"/>
                <w:szCs w:val="16"/>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cost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6"/>
        </w:trPr>
        <w:tc>
          <w:tcPr>
            <w:tcW w:w="4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right"/>
              <w:ind w:right="540"/>
              <w:spacing w:after="0"/>
              <w:rPr>
                <w:sz w:val="20"/>
                <w:szCs w:val="20"/>
                <w:color w:val="auto"/>
              </w:rPr>
            </w:pPr>
            <w:r>
              <w:rPr>
                <w:rFonts w:ascii="Arial" w:cs="Arial" w:eastAsia="Arial" w:hAnsi="Arial"/>
                <w:sz w:val="14"/>
                <w:szCs w:val="14"/>
                <w:color w:val="auto"/>
                <w:w w:val="91"/>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48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2016:</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4880" w:type="dxa"/>
            <w:vAlign w:val="bottom"/>
          </w:tcPr>
          <w:p>
            <w:pPr>
              <w:ind w:left="720"/>
              <w:spacing w:after="0"/>
              <w:rPr>
                <w:sz w:val="20"/>
                <w:szCs w:val="20"/>
                <w:color w:val="auto"/>
              </w:rPr>
            </w:pPr>
            <w:r>
              <w:rPr>
                <w:rFonts w:ascii="Arial" w:cs="Arial" w:eastAsia="Arial" w:hAnsi="Arial"/>
                <w:sz w:val="18"/>
                <w:szCs w:val="18"/>
                <w:color w:val="auto"/>
              </w:rPr>
              <w:t>Trade and other payable</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740"/>
              <w:spacing w:after="0"/>
              <w:rPr>
                <w:sz w:val="20"/>
                <w:szCs w:val="20"/>
                <w:color w:val="auto"/>
              </w:rPr>
            </w:pPr>
            <w:r>
              <w:rPr>
                <w:rFonts w:ascii="Arial" w:cs="Arial" w:eastAsia="Arial" w:hAnsi="Arial"/>
                <w:sz w:val="18"/>
                <w:szCs w:val="18"/>
                <w:color w:val="auto"/>
              </w:rPr>
              <w:t>657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r>
      <w:tr>
        <w:trPr>
          <w:trHeight w:val="230"/>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loans</w:t>
            </w:r>
          </w:p>
        </w:tc>
        <w:tc>
          <w:tcPr>
            <w:tcW w:w="3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13,715</w:t>
            </w:r>
          </w:p>
        </w:tc>
        <w:tc>
          <w:tcPr>
            <w:tcW w:w="19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1,005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14,720</w:t>
            </w:r>
          </w:p>
        </w:tc>
      </w:tr>
      <w:tr>
        <w:trPr>
          <w:trHeight w:val="230"/>
        </w:trPr>
        <w:tc>
          <w:tcPr>
            <w:tcW w:w="4880" w:type="dxa"/>
            <w:vAlign w:val="bottom"/>
          </w:tcPr>
          <w:p>
            <w:pPr>
              <w:ind w:left="720"/>
              <w:spacing w:after="0"/>
              <w:rPr>
                <w:sz w:val="20"/>
                <w:szCs w:val="20"/>
                <w:color w:val="auto"/>
              </w:rPr>
            </w:pPr>
            <w:r>
              <w:rPr>
                <w:rFonts w:ascii="Arial" w:cs="Arial" w:eastAsia="Arial" w:hAnsi="Arial"/>
                <w:sz w:val="18"/>
                <w:szCs w:val="18"/>
                <w:color w:val="auto"/>
              </w:rPr>
              <w:t>Preferred shares</w:t>
            </w:r>
          </w:p>
        </w:tc>
        <w:tc>
          <w:tcPr>
            <w:tcW w:w="3640" w:type="dxa"/>
            <w:vAlign w:val="bottom"/>
            <w:gridSpan w:val="3"/>
          </w:tcPr>
          <w:p>
            <w:pPr>
              <w:jc w:val="center"/>
              <w:ind w:left="3070"/>
              <w:spacing w:after="0"/>
              <w:rPr>
                <w:sz w:val="20"/>
                <w:szCs w:val="20"/>
                <w:color w:val="auto"/>
              </w:rPr>
            </w:pPr>
            <w:r>
              <w:rPr>
                <w:rFonts w:ascii="Arial" w:cs="Arial" w:eastAsia="Arial" w:hAnsi="Arial"/>
                <w:sz w:val="18"/>
                <w:szCs w:val="18"/>
                <w:color w:val="auto"/>
                <w:w w:val="87"/>
              </w:rPr>
              <w:t>11,031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11,031</w:t>
            </w:r>
          </w:p>
        </w:tc>
      </w:tr>
      <w:tr>
        <w:trPr>
          <w:trHeight w:val="230"/>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Warrants to purchase preferred shares and shares</w:t>
            </w:r>
          </w:p>
        </w:tc>
        <w:tc>
          <w:tcPr>
            <w:tcW w:w="3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8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w:t>
            </w:r>
          </w:p>
        </w:tc>
      </w:tr>
      <w:tr>
        <w:trPr>
          <w:trHeight w:val="263"/>
        </w:trPr>
        <w:tc>
          <w:tcPr>
            <w:tcW w:w="4880" w:type="dxa"/>
            <w:vAlign w:val="bottom"/>
          </w:tcPr>
          <w:p>
            <w:pPr>
              <w:ind w:left="720"/>
              <w:spacing w:after="0"/>
              <w:rPr>
                <w:sz w:val="20"/>
                <w:szCs w:val="20"/>
                <w:color w:val="auto"/>
              </w:rPr>
            </w:pPr>
            <w:r>
              <w:rPr>
                <w:rFonts w:ascii="Arial" w:cs="Arial" w:eastAsia="Arial" w:hAnsi="Arial"/>
                <w:sz w:val="18"/>
                <w:szCs w:val="18"/>
                <w:color w:val="auto"/>
              </w:rPr>
              <w:t>Liability to issue preferred shares and warrants</w:t>
            </w:r>
          </w:p>
        </w:tc>
        <w:tc>
          <w:tcPr>
            <w:tcW w:w="3160" w:type="dxa"/>
            <w:vAlign w:val="bottom"/>
            <w:gridSpan w:val="2"/>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840" w:type="dxa"/>
            <w:vAlign w:val="bottom"/>
          </w:tcPr>
          <w:p>
            <w:pPr>
              <w:spacing w:after="0"/>
              <w:rPr>
                <w:sz w:val="22"/>
                <w:szCs w:val="22"/>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r>
      <w:tr>
        <w:trPr>
          <w:trHeight w:val="20"/>
        </w:trPr>
        <w:tc>
          <w:tcPr>
            <w:tcW w:w="48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880" w:type="dxa"/>
            <w:vAlign w:val="bottom"/>
            <w:shd w:val="clear" w:color="auto" w:fill="CCEEFF"/>
          </w:tcPr>
          <w:p>
            <w:pPr>
              <w:spacing w:after="0"/>
              <w:rPr>
                <w:sz w:val="22"/>
                <w:szCs w:val="22"/>
                <w:color w:val="auto"/>
              </w:rPr>
            </w:pPr>
          </w:p>
        </w:tc>
        <w:tc>
          <w:tcPr>
            <w:tcW w:w="3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29,819</w:t>
            </w:r>
          </w:p>
        </w:tc>
        <w:tc>
          <w:tcPr>
            <w:tcW w:w="19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1,662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31,481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507"/>
        </w:trPr>
        <w:tc>
          <w:tcPr>
            <w:tcW w:w="4880" w:type="dxa"/>
            <w:vAlign w:val="bottom"/>
          </w:tcPr>
          <w:p>
            <w:pPr>
              <w:spacing w:after="0"/>
              <w:rPr>
                <w:sz w:val="24"/>
                <w:szCs w:val="24"/>
                <w:color w:val="auto"/>
              </w:rPr>
            </w:pPr>
          </w:p>
        </w:tc>
        <w:tc>
          <w:tcPr>
            <w:tcW w:w="3880" w:type="dxa"/>
            <w:vAlign w:val="bottom"/>
            <w:gridSpan w:val="4"/>
          </w:tcPr>
          <w:p>
            <w:pPr>
              <w:jc w:val="right"/>
              <w:ind w:right="2880"/>
              <w:spacing w:after="0"/>
              <w:rPr>
                <w:sz w:val="20"/>
                <w:szCs w:val="20"/>
                <w:color w:val="auto"/>
              </w:rPr>
            </w:pPr>
            <w:r>
              <w:rPr>
                <w:rFonts w:ascii="Arial" w:cs="Arial" w:eastAsia="Arial" w:hAnsi="Arial"/>
                <w:sz w:val="18"/>
                <w:szCs w:val="18"/>
                <w:color w:val="auto"/>
              </w:rPr>
              <w:t>F-14</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5"/>
        </w:trPr>
        <w:tc>
          <w:tcPr>
            <w:tcW w:w="48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-788035</wp:posOffset>
            </wp:positionV>
            <wp:extent cx="1117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68179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-1817370</wp:posOffset>
            </wp:positionV>
            <wp:extent cx="137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-1817370</wp:posOffset>
            </wp:positionV>
            <wp:extent cx="137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8" w:name="page189"/>
    <w:bookmarkEnd w:id="188"/>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 (Continued)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liabilities at fair</w:t>
            </w:r>
          </w:p>
        </w:tc>
        <w:tc>
          <w:tcPr>
            <w:tcW w:w="13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Financial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value through</w:t>
            </w:r>
          </w:p>
        </w:tc>
        <w:tc>
          <w:tcPr>
            <w:tcW w:w="13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liabilities at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profit or loss</w:t>
            </w:r>
          </w:p>
        </w:tc>
        <w:tc>
          <w:tcPr>
            <w:tcW w:w="13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6"/>
              </w:rPr>
              <w:t>amortized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Pr>
          <w:p>
            <w:pPr>
              <w:spacing w:after="0"/>
              <w:rPr>
                <w:sz w:val="16"/>
                <w:szCs w:val="16"/>
                <w:color w:val="auto"/>
              </w:rPr>
            </w:pPr>
          </w:p>
        </w:tc>
        <w:tc>
          <w:tcPr>
            <w:tcW w:w="11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cost</w:t>
            </w: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4"/>
                <w:szCs w:val="14"/>
                <w:color w:val="auto"/>
              </w:rPr>
              <w:t>U.S. dollars in thousands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As of December 31, 2015:</w:t>
            </w: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40" w:type="dxa"/>
            <w:vAlign w:val="bottom"/>
          </w:tcPr>
          <w:p>
            <w:pPr>
              <w:ind w:left="720"/>
              <w:spacing w:after="0"/>
              <w:rPr>
                <w:sz w:val="20"/>
                <w:szCs w:val="20"/>
                <w:color w:val="auto"/>
              </w:rPr>
            </w:pPr>
            <w:r>
              <w:rPr>
                <w:rFonts w:ascii="Arial" w:cs="Arial" w:eastAsia="Arial" w:hAnsi="Arial"/>
                <w:sz w:val="18"/>
                <w:szCs w:val="18"/>
                <w:color w:val="auto"/>
              </w:rPr>
              <w:t>Trade and other payable</w:t>
            </w:r>
          </w:p>
        </w:tc>
        <w:tc>
          <w:tcPr>
            <w:tcW w:w="500" w:type="dxa"/>
            <w:vAlign w:val="bottom"/>
          </w:tcPr>
          <w:p>
            <w:pPr>
              <w:spacing w:after="0"/>
              <w:rPr>
                <w:sz w:val="22"/>
                <w:szCs w:val="22"/>
                <w:color w:val="auto"/>
              </w:rPr>
            </w:pPr>
          </w:p>
        </w:tc>
        <w:tc>
          <w:tcPr>
            <w:tcW w:w="13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740"/>
              <w:spacing w:after="0"/>
              <w:rPr>
                <w:sz w:val="20"/>
                <w:szCs w:val="20"/>
                <w:color w:val="auto"/>
              </w:rPr>
            </w:pPr>
            <w:r>
              <w:rPr>
                <w:rFonts w:ascii="Arial" w:cs="Arial" w:eastAsia="Arial" w:hAnsi="Arial"/>
                <w:sz w:val="18"/>
                <w:szCs w:val="18"/>
                <w:color w:val="auto"/>
              </w:rPr>
              <w:t>804</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loan</w:t>
            </w:r>
          </w:p>
        </w:tc>
        <w:tc>
          <w:tcPr>
            <w:tcW w:w="15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6,160</w:t>
            </w:r>
          </w:p>
        </w:tc>
        <w:tc>
          <w:tcPr>
            <w:tcW w:w="320" w:type="dxa"/>
            <w:vAlign w:val="bottom"/>
            <w:shd w:val="clear" w:color="auto" w:fill="CCEEFF"/>
          </w:tcPr>
          <w:p>
            <w:pPr>
              <w:spacing w:after="0"/>
              <w:rPr>
                <w:sz w:val="22"/>
                <w:szCs w:val="22"/>
                <w:color w:val="auto"/>
              </w:rPr>
            </w:pPr>
          </w:p>
        </w:tc>
        <w:tc>
          <w:tcPr>
            <w:tcW w:w="13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1,893</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57"/>
        </w:trPr>
        <w:tc>
          <w:tcPr>
            <w:tcW w:w="7540" w:type="dxa"/>
            <w:vAlign w:val="bottom"/>
          </w:tcPr>
          <w:p>
            <w:pPr>
              <w:ind w:left="720"/>
              <w:spacing w:after="0"/>
              <w:rPr>
                <w:sz w:val="20"/>
                <w:szCs w:val="20"/>
                <w:color w:val="auto"/>
              </w:rPr>
            </w:pPr>
            <w:r>
              <w:rPr>
                <w:rFonts w:ascii="Arial" w:cs="Arial" w:eastAsia="Arial" w:hAnsi="Arial"/>
                <w:sz w:val="18"/>
                <w:szCs w:val="18"/>
                <w:color w:val="auto"/>
              </w:rPr>
              <w:t>Preferred shares</w:t>
            </w:r>
          </w:p>
        </w:tc>
        <w:tc>
          <w:tcPr>
            <w:tcW w:w="1560" w:type="dxa"/>
            <w:vAlign w:val="bottom"/>
            <w:gridSpan w:val="3"/>
          </w:tcPr>
          <w:p>
            <w:pPr>
              <w:jc w:val="right"/>
              <w:ind w:right="488"/>
              <w:spacing w:after="0"/>
              <w:rPr>
                <w:sz w:val="20"/>
                <w:szCs w:val="20"/>
                <w:color w:val="auto"/>
              </w:rPr>
            </w:pPr>
            <w:r>
              <w:rPr>
                <w:rFonts w:ascii="Arial" w:cs="Arial" w:eastAsia="Arial" w:hAnsi="Arial"/>
                <w:sz w:val="18"/>
                <w:szCs w:val="18"/>
                <w:color w:val="auto"/>
              </w:rPr>
              <w:t>13,062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13,062</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Warrants to purchase preferred shares and shares</w:t>
            </w:r>
          </w:p>
        </w:tc>
        <w:tc>
          <w:tcPr>
            <w:tcW w:w="15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4,332</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90"/>
        </w:trPr>
        <w:tc>
          <w:tcPr>
            <w:tcW w:w="7540" w:type="dxa"/>
            <w:vAlign w:val="bottom"/>
          </w:tcPr>
          <w:p>
            <w:pPr>
              <w:ind w:left="720"/>
              <w:spacing w:after="0"/>
              <w:rPr>
                <w:sz w:val="20"/>
                <w:szCs w:val="20"/>
                <w:color w:val="auto"/>
              </w:rPr>
            </w:pPr>
            <w:r>
              <w:rPr>
                <w:rFonts w:ascii="Arial" w:cs="Arial" w:eastAsia="Arial" w:hAnsi="Arial"/>
                <w:sz w:val="18"/>
                <w:szCs w:val="18"/>
                <w:color w:val="auto"/>
              </w:rPr>
              <w:t>Liability to issue preferred shares and warrants</w:t>
            </w:r>
          </w:p>
        </w:tc>
        <w:tc>
          <w:tcPr>
            <w:tcW w:w="500" w:type="dxa"/>
            <w:vAlign w:val="bottom"/>
          </w:tcPr>
          <w:p>
            <w:pPr>
              <w:spacing w:after="0"/>
              <w:rPr>
                <w:sz w:val="24"/>
                <w:szCs w:val="24"/>
                <w:color w:val="auto"/>
              </w:rPr>
            </w:pPr>
          </w:p>
        </w:tc>
        <w:tc>
          <w:tcPr>
            <w:tcW w:w="1060" w:type="dxa"/>
            <w:vAlign w:val="bottom"/>
            <w:gridSpan w:val="2"/>
          </w:tcPr>
          <w:p>
            <w:pPr>
              <w:jc w:val="right"/>
              <w:ind w:right="488"/>
              <w:spacing w:after="0"/>
              <w:rPr>
                <w:sz w:val="20"/>
                <w:szCs w:val="20"/>
                <w:color w:val="auto"/>
              </w:rPr>
            </w:pPr>
            <w:r>
              <w:rPr>
                <w:rFonts w:ascii="Arial" w:cs="Arial" w:eastAsia="Arial" w:hAnsi="Arial"/>
                <w:sz w:val="18"/>
                <w:szCs w:val="18"/>
                <w:color w:val="auto"/>
              </w:rPr>
              <w:t>2,154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25,708</w:t>
            </w:r>
          </w:p>
        </w:tc>
        <w:tc>
          <w:tcPr>
            <w:tcW w:w="320" w:type="dxa"/>
            <w:vAlign w:val="bottom"/>
            <w:shd w:val="clear" w:color="auto" w:fill="CCEEFF"/>
          </w:tcPr>
          <w:p>
            <w:pPr>
              <w:spacing w:after="0"/>
              <w:rPr>
                <w:sz w:val="23"/>
                <w:szCs w:val="23"/>
                <w:color w:val="auto"/>
              </w:rPr>
            </w:pPr>
          </w:p>
        </w:tc>
        <w:tc>
          <w:tcPr>
            <w:tcW w:w="13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2,697</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28,405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CASH AND CASH EQUIVALENTS</w:t>
            </w: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7"/>
          </w:tcPr>
          <w:p>
            <w:pPr>
              <w:jc w:val="right"/>
              <w:ind w:right="440"/>
              <w:spacing w:after="0"/>
              <w:rPr>
                <w:sz w:val="20"/>
                <w:szCs w:val="20"/>
                <w:color w:val="auto"/>
              </w:rPr>
            </w:pPr>
            <w:r>
              <w:rPr>
                <w:rFonts w:ascii="Arial" w:cs="Arial" w:eastAsia="Arial" w:hAnsi="Arial"/>
                <w:sz w:val="14"/>
                <w:szCs w:val="14"/>
                <w:color w:val="auto"/>
                <w:w w:val="98"/>
              </w:rPr>
              <w:t>U.S. dollars in thousands</w:t>
            </w:r>
          </w:p>
        </w:tc>
        <w:tc>
          <w:tcPr>
            <w:tcW w:w="0" w:type="dxa"/>
            <w:vAlign w:val="bottom"/>
          </w:tcPr>
          <w:p>
            <w:pPr>
              <w:spacing w:after="0"/>
              <w:rPr>
                <w:sz w:val="1"/>
                <w:szCs w:val="1"/>
                <w:color w:val="auto"/>
              </w:rPr>
            </w:pPr>
          </w:p>
        </w:tc>
      </w:tr>
      <w:tr>
        <w:trPr>
          <w:trHeight w:val="257"/>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in bank</w:t>
            </w: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84"/>
              </w:rPr>
              <w:t>4,159</w:t>
            </w: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1,201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540"/>
              <w:spacing w:after="0"/>
              <w:rPr>
                <w:sz w:val="20"/>
                <w:szCs w:val="20"/>
                <w:color w:val="auto"/>
              </w:rPr>
            </w:pPr>
            <w:r>
              <w:rPr>
                <w:rFonts w:ascii="Arial" w:cs="Arial" w:eastAsia="Arial" w:hAnsi="Arial"/>
                <w:sz w:val="18"/>
                <w:szCs w:val="18"/>
                <w:color w:val="auto"/>
              </w:rPr>
              <w:t>Short-term bank deposits</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108"/>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84"/>
              </w:rPr>
              <w:t>4,163</w:t>
            </w:r>
          </w:p>
        </w:tc>
        <w:tc>
          <w:tcPr>
            <w:tcW w:w="7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1,205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-1525905</wp:posOffset>
            </wp:positionV>
            <wp:extent cx="1117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68179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-2666365</wp:posOffset>
            </wp:positionV>
            <wp:extent cx="137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-2666365</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-659765</wp:posOffset>
            </wp:positionV>
            <wp:extent cx="137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40" w:lineRule="exact"/>
        <w:rPr>
          <w:sz w:val="20"/>
          <w:szCs w:val="20"/>
          <w:color w:val="auto"/>
        </w:rPr>
      </w:pPr>
    </w:p>
    <w:p>
      <w:pPr>
        <w:ind w:left="540" w:right="480" w:hanging="352"/>
        <w:spacing w:after="0" w:line="257" w:lineRule="auto"/>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66" w:lineRule="exact"/>
        <w:rPr>
          <w:rFonts w:ascii="Arial" w:cs="Arial" w:eastAsia="Arial" w:hAnsi="Arial"/>
          <w:sz w:val="18"/>
          <w:szCs w:val="18"/>
          <w:b w:val="1"/>
          <w:bCs w:val="1"/>
          <w:color w:val="auto"/>
        </w:rPr>
      </w:pPr>
    </w:p>
    <w:p>
      <w:pPr>
        <w:ind w:left="540" w:right="3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since 2010, under certain conditions. Under this agreement, the Company is obligated to pay Oramed royalties equal to 3% of its net revenues (as defined in the Patent Transfer Agreement). The IPR&amp;D is not yet ready to use and as such is not subject to amortization.</w:t>
      </w:r>
    </w:p>
    <w:p>
      <w:pPr>
        <w:spacing w:after="0" w:line="4" w:lineRule="exact"/>
        <w:rPr>
          <w:rFonts w:ascii="Arial" w:cs="Arial" w:eastAsia="Arial" w:hAnsi="Arial"/>
          <w:sz w:val="18"/>
          <w:szCs w:val="18"/>
          <w:b w:val="1"/>
          <w:bCs w:val="1"/>
          <w:color w:val="auto"/>
        </w:rPr>
      </w:pPr>
    </w:p>
    <w:p>
      <w:pPr>
        <w:ind w:left="540" w:right="440" w:hanging="352"/>
        <w:spacing w:after="0" w:line="272" w:lineRule="auto"/>
        <w:tabs>
          <w:tab w:leader="none" w:pos="540" w:val="left"/>
        </w:tabs>
        <w:numPr>
          <w:ilvl w:val="0"/>
          <w:numId w:val="104"/>
        </w:numPr>
        <w:rPr>
          <w:rFonts w:ascii="Arial" w:cs="Arial" w:eastAsia="Arial" w:hAnsi="Arial"/>
          <w:sz w:val="17"/>
          <w:szCs w:val="17"/>
          <w:b w:val="1"/>
          <w:bCs w:val="1"/>
          <w:color w:val="auto"/>
        </w:rPr>
      </w:pPr>
      <w:r>
        <w:rPr>
          <w:rFonts w:ascii="Arial" w:cs="Arial" w:eastAsia="Arial" w:hAnsi="Arial"/>
          <w:sz w:val="17"/>
          <w:szCs w:val="17"/>
          <w:color w:val="auto"/>
        </w:rPr>
        <w:t>The Company tests intangible assets for impairment at least once a year at December 31 by calculating the recoverable amount of the cash generating unit to which the intangible asset belongs, which is the Company as a whole. The recoverable amount was calculated based on a fair value less cost to sell. For the purpose of calculating fair value of the Company’s equity as of December 31, 2016 the Company prepared a valuation of the cash generating unit based on discounted cash flows (DCF). For both years, based on such assessments, the Company concluded that the recoverable amount of the cash generating unit to which the IPR&amp;D intangible asset belongs is significantly higher than its book value, and there is no need for impairment. The DCF model is based on the assumption that the Company will raise the necessary funds to serve the projected activities. Main assumptions used in the valuations are as follows: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9" w:name="page190"/>
    <w:bookmarkEnd w:id="189"/>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 (Continued)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280" w:type="dxa"/>
            <w:vAlign w:val="bottom"/>
            <w:gridSpan w:val="3"/>
          </w:tcPr>
          <w:p>
            <w:pPr>
              <w:ind w:left="12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8040" w:type="dxa"/>
            <w:vAlign w:val="bottom"/>
          </w:tcPr>
          <w:p>
            <w:pPr>
              <w:spacing w:after="0"/>
              <w:rPr>
                <w:sz w:val="17"/>
                <w:szCs w:val="17"/>
                <w:color w:val="auto"/>
              </w:rPr>
            </w:pPr>
          </w:p>
        </w:tc>
        <w:tc>
          <w:tcPr>
            <w:tcW w:w="1740" w:type="dxa"/>
            <w:vAlign w:val="bottom"/>
          </w:tcPr>
          <w:p>
            <w:pPr>
              <w:jc w:val="right"/>
              <w:ind w:right="65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Weighted average cost of capital (WACC)</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1"/>
                <w:szCs w:val="21"/>
                <w:color w:val="auto"/>
              </w:rPr>
            </w:pPr>
          </w:p>
        </w:tc>
      </w:tr>
      <w:tr>
        <w:trPr>
          <w:trHeight w:val="257"/>
        </w:trPr>
        <w:tc>
          <w:tcPr>
            <w:tcW w:w="8040" w:type="dxa"/>
            <w:vAlign w:val="bottom"/>
          </w:tcPr>
          <w:p>
            <w:pPr>
              <w:ind w:left="1120"/>
              <w:spacing w:after="0"/>
              <w:rPr>
                <w:sz w:val="20"/>
                <w:szCs w:val="20"/>
                <w:color w:val="auto"/>
              </w:rPr>
            </w:pPr>
            <w:r>
              <w:rPr>
                <w:rFonts w:ascii="Arial" w:cs="Arial" w:eastAsia="Arial" w:hAnsi="Arial"/>
                <w:sz w:val="18"/>
                <w:szCs w:val="18"/>
                <w:color w:val="auto"/>
              </w:rPr>
              <w:t>Commencement of sales</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2021 – 2025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2018 – 2020</w:t>
            </w:r>
          </w:p>
        </w:tc>
      </w:tr>
      <w:tr>
        <w:trPr>
          <w:trHeight w:val="257"/>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Probability of reaching sales</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20.1% – 37.9%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-496570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63373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w:t>
      </w:r>
    </w:p>
    <w:p>
      <w:pPr>
        <w:spacing w:after="0" w:line="135" w:lineRule="exact"/>
        <w:rPr>
          <w:sz w:val="20"/>
          <w:szCs w:val="20"/>
          <w:color w:val="auto"/>
        </w:rPr>
      </w:pPr>
    </w:p>
    <w:p>
      <w:pPr>
        <w:ind w:left="900" w:hanging="352"/>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2012 Convertible Loan</w:t>
      </w:r>
    </w:p>
    <w:p>
      <w:pPr>
        <w:spacing w:after="0" w:line="117" w:lineRule="exact"/>
        <w:rPr>
          <w:rFonts w:ascii="Arial" w:cs="Arial" w:eastAsia="Arial" w:hAnsi="Arial"/>
          <w:sz w:val="18"/>
          <w:szCs w:val="18"/>
          <w:color w:val="auto"/>
        </w:rPr>
      </w:pPr>
    </w:p>
    <w:p>
      <w:pPr>
        <w:ind w:left="900" w:right="60"/>
        <w:spacing w:after="0" w:line="270" w:lineRule="auto"/>
        <w:rPr>
          <w:rFonts w:ascii="Arial" w:cs="Arial" w:eastAsia="Arial" w:hAnsi="Arial"/>
          <w:sz w:val="18"/>
          <w:szCs w:val="18"/>
          <w:color w:val="auto"/>
        </w:rPr>
      </w:pPr>
      <w:r>
        <w:rPr>
          <w:rFonts w:ascii="Arial" w:cs="Arial" w:eastAsia="Arial" w:hAnsi="Arial"/>
          <w:sz w:val="17"/>
          <w:szCs w:val="17"/>
          <w:color w:val="auto"/>
        </w:rPr>
        <w:t>In 2012, the Company entered into loan agreements with certain lenders for an aggregate amount of $1.15 million. Each of the loans bears interest at a rate of 0.6% per year, which is to be repaid every five years, and is due and payable after a term of twenty years. Each of the investors has the right during the term to convert its respective loan amount into ordinary shares at a conversion price of $240.26 per ordinary share (subject to adjustment), and for a period of the initial five years of the term of the loan agreement to exchange all such ordinary shares received into ordinary shares of D.N.A at the rate of one of the Company’s ordinary shares for 5,590 ordinary shares of D.N.A or 2,795 ordinary shares after the stock merge performed by D.N.A in October 2015 (also subject to adjustment) (the “D.N.A option”). In addition, under the terms of the loan agreements the outstanding loan amounts will be automatically converted into the Company’s ordinary shares upon the closing of an initial public offering and certain merger and acquisition transactions. The Company has designated the 2012 Convertible Loan on initial recognition as a financial liability at fair value through profit or loss.</w:t>
      </w:r>
    </w:p>
    <w:p>
      <w:pPr>
        <w:spacing w:after="0" w:line="127" w:lineRule="exact"/>
        <w:rPr>
          <w:rFonts w:ascii="Arial" w:cs="Arial" w:eastAsia="Arial" w:hAnsi="Arial"/>
          <w:sz w:val="18"/>
          <w:szCs w:val="18"/>
          <w:color w:val="auto"/>
        </w:rPr>
      </w:pPr>
    </w:p>
    <w:p>
      <w:pPr>
        <w:ind w:left="900" w:hanging="352"/>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2015 Convertible Loan</w:t>
      </w:r>
    </w:p>
    <w:p>
      <w:pPr>
        <w:spacing w:after="0" w:line="117" w:lineRule="exact"/>
        <w:rPr>
          <w:rFonts w:ascii="Arial" w:cs="Arial" w:eastAsia="Arial" w:hAnsi="Arial"/>
          <w:sz w:val="18"/>
          <w:szCs w:val="18"/>
          <w:color w:val="auto"/>
        </w:rPr>
      </w:pPr>
    </w:p>
    <w:p>
      <w:pPr>
        <w:ind w:left="900"/>
        <w:spacing w:after="0" w:line="255" w:lineRule="auto"/>
        <w:rPr>
          <w:rFonts w:ascii="Arial" w:cs="Arial" w:eastAsia="Arial" w:hAnsi="Arial"/>
          <w:sz w:val="18"/>
          <w:szCs w:val="18"/>
          <w:color w:val="auto"/>
        </w:rPr>
      </w:pPr>
      <w:r>
        <w:rPr>
          <w:rFonts w:ascii="Arial" w:cs="Arial" w:eastAsia="Arial" w:hAnsi="Arial"/>
          <w:sz w:val="18"/>
          <w:szCs w:val="18"/>
          <w:color w:val="auto"/>
        </w:rPr>
        <w:t>On August 5, 2015, the Company entered into a Convertible Promissory Note and Loan Agreement (“2015 Convertible Loan”) with certain lenders. Pursuant to the loan agreement, the lenders loaned the Company an aggregate amount of $2.005 million. The loan would have been automatically converted upon occurrence of the following events as described in the agreement: initial public offering (IPO), private placement in an aggregate amount of no less than $10 million or change of control (Triggering Event). The loan would have converted into the same class of shares issued in such a transaction at a 25% discount to the applicable price per share in the Triggering Event. The loan was due to mature in February 2017 and bore interest at a rate of 5% per year.</w:t>
      </w:r>
    </w:p>
    <w:p>
      <w:pPr>
        <w:spacing w:after="0" w:line="85" w:lineRule="exact"/>
        <w:rPr>
          <w:rFonts w:ascii="Arial" w:cs="Arial" w:eastAsia="Arial" w:hAnsi="Arial"/>
          <w:sz w:val="18"/>
          <w:szCs w:val="18"/>
          <w:color w:val="auto"/>
        </w:rPr>
      </w:pPr>
    </w:p>
    <w:p>
      <w:pPr>
        <w:ind w:left="900" w:right="60"/>
        <w:spacing w:after="0" w:line="277" w:lineRule="auto"/>
        <w:rPr>
          <w:rFonts w:ascii="Arial" w:cs="Arial" w:eastAsia="Arial" w:hAnsi="Arial"/>
          <w:sz w:val="18"/>
          <w:szCs w:val="18"/>
          <w:color w:val="auto"/>
        </w:rPr>
      </w:pPr>
      <w:r>
        <w:rPr>
          <w:rFonts w:ascii="Arial" w:cs="Arial" w:eastAsia="Arial" w:hAnsi="Arial"/>
          <w:sz w:val="18"/>
          <w:szCs w:val="18"/>
          <w:color w:val="auto"/>
        </w:rPr>
        <w:t>In addition the Company issued to the lenders warrants to purchase an additional shares equal to 40% of the shares issued upon conversion of the loan (for the earlier of 2 years from the warrant date or 1 year from consummation of an IPO).</w:t>
      </w:r>
    </w:p>
    <w:p>
      <w:pPr>
        <w:spacing w:after="0" w:line="62" w:lineRule="exact"/>
        <w:rPr>
          <w:rFonts w:ascii="Arial" w:cs="Arial" w:eastAsia="Arial" w:hAnsi="Arial"/>
          <w:sz w:val="18"/>
          <w:szCs w:val="18"/>
          <w:color w:val="auto"/>
        </w:rPr>
      </w:pPr>
    </w:p>
    <w:p>
      <w:pPr>
        <w:ind w:left="900" w:right="60"/>
        <w:spacing w:after="0" w:line="276" w:lineRule="auto"/>
        <w:rPr>
          <w:rFonts w:ascii="Arial" w:cs="Arial" w:eastAsia="Arial" w:hAnsi="Arial"/>
          <w:sz w:val="18"/>
          <w:szCs w:val="18"/>
          <w:color w:val="auto"/>
        </w:rPr>
      </w:pPr>
      <w:r>
        <w:rPr>
          <w:rFonts w:ascii="Arial" w:cs="Arial" w:eastAsia="Arial" w:hAnsi="Arial"/>
          <w:sz w:val="17"/>
          <w:szCs w:val="17"/>
          <w:color w:val="auto"/>
        </w:rPr>
        <w:t>The Company allocated the total consideration of $2,005 thousand between the warrants and the loan as following: $240 thousand was allocated to the warrants based on their fair value and the remaining consideration was allocated to the loan agreement. The Company measures the loan according to the amortized cost using the effective interest method. The Company treated the warrants as a liability at fair value through profit or loss. As part of the 2016 Convertible Loan agreement as detailed below (See Note 7(a)(3)), the Company provided the right to the lenders of the 2015 Convertible Loan to exchange the 2015 Convertible Loan to the 2016</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0" w:name="page191"/>
    <w:bookmarkEnd w:id="190"/>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202" w:lineRule="exact"/>
        <w:rPr>
          <w:sz w:val="20"/>
          <w:szCs w:val="20"/>
          <w:color w:val="auto"/>
        </w:rPr>
      </w:pPr>
    </w:p>
    <w:p>
      <w:pPr>
        <w:ind w:left="900" w:right="220"/>
        <w:spacing w:after="0" w:line="342" w:lineRule="auto"/>
        <w:rPr>
          <w:sz w:val="20"/>
          <w:szCs w:val="20"/>
          <w:color w:val="auto"/>
        </w:rPr>
      </w:pPr>
      <w:r>
        <w:rPr>
          <w:rFonts w:ascii="Arial" w:cs="Arial" w:eastAsia="Arial" w:hAnsi="Arial"/>
          <w:sz w:val="16"/>
          <w:szCs w:val="16"/>
          <w:color w:val="auto"/>
        </w:rPr>
        <w:t>Convertible Loan including the maturity date. As a result, from total amount of $2,005 thousand, an amount of $1,057 thousand (consisting of $1,025 thousand principal amount plus interest accrued up to June 14, 2016 less withholding tax) exchanged to the new convertible loan.</w:t>
      </w:r>
    </w:p>
    <w:p>
      <w:pPr>
        <w:spacing w:after="0" w:line="16" w:lineRule="exact"/>
        <w:rPr>
          <w:sz w:val="20"/>
          <w:szCs w:val="20"/>
          <w:color w:val="auto"/>
        </w:rPr>
      </w:pPr>
    </w:p>
    <w:p>
      <w:pPr>
        <w:ind w:left="900" w:right="200"/>
        <w:spacing w:after="0" w:line="264" w:lineRule="auto"/>
        <w:rPr>
          <w:sz w:val="20"/>
          <w:szCs w:val="20"/>
          <w:color w:val="auto"/>
        </w:rPr>
      </w:pPr>
      <w:r>
        <w:rPr>
          <w:rFonts w:ascii="Arial" w:cs="Arial" w:eastAsia="Arial" w:hAnsi="Arial"/>
          <w:sz w:val="18"/>
          <w:szCs w:val="18"/>
          <w:color w:val="auto"/>
        </w:rPr>
        <w:t>Since the terms of the loans are substantially different, the exchange was considered as an extinguishment, which in essence means recording a loss due to 2015 Convertible Loan that were exchanged for the new convertible loan recorded at fair value. The loss of extinguishment of $64 thousand was recognized.</w:t>
      </w:r>
    </w:p>
    <w:p>
      <w:pPr>
        <w:spacing w:after="0" w:line="73" w:lineRule="exact"/>
        <w:rPr>
          <w:sz w:val="20"/>
          <w:szCs w:val="20"/>
          <w:color w:val="auto"/>
        </w:rPr>
      </w:pPr>
    </w:p>
    <w:p>
      <w:pPr>
        <w:ind w:left="900" w:right="100"/>
        <w:spacing w:after="0" w:line="259" w:lineRule="auto"/>
        <w:rPr>
          <w:sz w:val="20"/>
          <w:szCs w:val="20"/>
          <w:color w:val="auto"/>
        </w:rPr>
      </w:pPr>
      <w:r>
        <w:rPr>
          <w:rFonts w:ascii="Arial" w:cs="Arial" w:eastAsia="Arial" w:hAnsi="Arial"/>
          <w:sz w:val="18"/>
          <w:szCs w:val="18"/>
          <w:color w:val="auto"/>
        </w:rPr>
        <w:t>According to the 2016 Convertible Loan agreement, the Company deposited at the trustee an amount of $1,053 thousand to be held until the earlier of the conversion of the 2015 Convertible Loan into shares or the 2015 Convertible Loan maturity date, February 5, 2017. The deposit is presented as a separate line item as restricted cash on the balance sheet. On the maturity date, February 5, 2017, the Company repaid the amount of $1,053 thousand using the cash deposited at the trustee.</w:t>
      </w:r>
    </w:p>
    <w:p>
      <w:pPr>
        <w:spacing w:after="0" w:line="133" w:lineRule="exact"/>
        <w:rPr>
          <w:sz w:val="20"/>
          <w:szCs w:val="20"/>
          <w:color w:val="auto"/>
        </w:rPr>
      </w:pPr>
    </w:p>
    <w:p>
      <w:pPr>
        <w:ind w:left="900" w:hanging="352"/>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2016 Convertible Loan</w:t>
      </w:r>
    </w:p>
    <w:p>
      <w:pPr>
        <w:spacing w:after="0" w:line="117" w:lineRule="exact"/>
        <w:rPr>
          <w:rFonts w:ascii="Arial" w:cs="Arial" w:eastAsia="Arial" w:hAnsi="Arial"/>
          <w:sz w:val="18"/>
          <w:szCs w:val="18"/>
          <w:color w:val="auto"/>
        </w:rPr>
      </w:pPr>
    </w:p>
    <w:p>
      <w:pPr>
        <w:ind w:left="900" w:right="900"/>
        <w:spacing w:after="0" w:line="277" w:lineRule="auto"/>
        <w:rPr>
          <w:rFonts w:ascii="Arial" w:cs="Arial" w:eastAsia="Arial" w:hAnsi="Arial"/>
          <w:sz w:val="18"/>
          <w:szCs w:val="18"/>
          <w:color w:val="auto"/>
        </w:rPr>
      </w:pPr>
      <w:r>
        <w:rPr>
          <w:rFonts w:ascii="Arial" w:cs="Arial" w:eastAsia="Arial" w:hAnsi="Arial"/>
          <w:sz w:val="18"/>
          <w:szCs w:val="18"/>
          <w:color w:val="auto"/>
        </w:rPr>
        <w:t>In June 2016, the Company closed a private placement (the “2016 Convertible Loan”) with certain lenders in an aggregate amount of approximately $7.44 million in exchange for the following instruments:</w:t>
      </w:r>
    </w:p>
    <w:p>
      <w:pPr>
        <w:spacing w:after="0" w:line="62" w:lineRule="exact"/>
        <w:rPr>
          <w:rFonts w:ascii="Arial" w:cs="Arial" w:eastAsia="Arial" w:hAnsi="Arial"/>
          <w:sz w:val="18"/>
          <w:szCs w:val="18"/>
          <w:color w:val="auto"/>
        </w:rPr>
      </w:pPr>
    </w:p>
    <w:p>
      <w:pPr>
        <w:ind w:left="900"/>
        <w:spacing w:after="0" w:line="255" w:lineRule="auto"/>
        <w:rPr>
          <w:rFonts w:ascii="Arial" w:cs="Arial" w:eastAsia="Arial" w:hAnsi="Arial"/>
          <w:sz w:val="18"/>
          <w:szCs w:val="18"/>
          <w:color w:val="auto"/>
        </w:rPr>
      </w:pPr>
      <w:r>
        <w:rPr>
          <w:rFonts w:ascii="Arial" w:cs="Arial" w:eastAsia="Arial" w:hAnsi="Arial"/>
          <w:sz w:val="18"/>
          <w:szCs w:val="18"/>
          <w:color w:val="auto"/>
        </w:rPr>
        <w:t>a) Loan for a term of 18 months. The loan bears interest at a rate of 5% per year. The loan will be automatically converted upon occurrence of the following events as described in the agreement: initial public offering (IPO) of at least $20 million, private placement in an aggregate amount of no less than $10 million or change of control (the “Triggering Event”). Furthermore, in case of private placement in an aggregate amount of $4-$10 million the lenders shall have the right to convert the loan to shares. The loan will convert into the same class of shares issued in such a transaction at the lower of a 25% discount to the applicable price per share in the Triggering Event or value of equity on a fully diluted basis of $65 million.</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has designated the 2016 Convertible Loan on initial recognition as a financial liability at fair value through profit or loss.</w:t>
      </w:r>
    </w:p>
    <w:p>
      <w:pPr>
        <w:spacing w:after="0" w:line="129" w:lineRule="exact"/>
        <w:rPr>
          <w:sz w:val="20"/>
          <w:szCs w:val="20"/>
          <w:color w:val="auto"/>
        </w:rPr>
      </w:pPr>
    </w:p>
    <w:p>
      <w:pPr>
        <w:ind w:left="900" w:right="40" w:firstLine="8"/>
        <w:spacing w:after="0" w:line="277" w:lineRule="auto"/>
        <w:tabs>
          <w:tab w:leader="none" w:pos="10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Warrants to purchase additional shares equal to 40% of the shares issued upon conversion in exchange for an exercise price of the fair value of the shares in a Triggering Event. The warrant will be exercisable for 4 years from the grant date.</w:t>
      </w:r>
    </w:p>
    <w:p>
      <w:pPr>
        <w:spacing w:after="0" w:line="62"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color w:val="auto"/>
        </w:rPr>
        <w:t>Total transaction expenses amounted to $363 thousand, out of which $150 thousand were payable in Company shares. The proceeds were allocated to the convertible loan and the warrants according to their fair value.</w:t>
      </w:r>
    </w:p>
    <w:p>
      <w:pPr>
        <w:spacing w:after="0" w:line="62" w:lineRule="exact"/>
        <w:rPr>
          <w:sz w:val="20"/>
          <w:szCs w:val="20"/>
          <w:color w:val="auto"/>
        </w:rPr>
      </w:pPr>
    </w:p>
    <w:p>
      <w:pPr>
        <w:jc w:val="both"/>
        <w:ind w:left="900" w:right="60"/>
        <w:spacing w:after="0" w:line="312" w:lineRule="auto"/>
        <w:rPr>
          <w:sz w:val="20"/>
          <w:szCs w:val="20"/>
          <w:color w:val="auto"/>
        </w:rPr>
      </w:pPr>
      <w:r>
        <w:rPr>
          <w:rFonts w:ascii="Arial" w:cs="Arial" w:eastAsia="Arial" w:hAnsi="Arial"/>
          <w:sz w:val="16"/>
          <w:szCs w:val="16"/>
          <w:color w:val="auto"/>
        </w:rPr>
        <w:t>As part of the agreement, the Company gave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taxes) exchanged to the 2016 Convertible Loan.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1" w:name="page192"/>
    <w:bookmarkEnd w:id="191"/>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202" w:lineRule="exact"/>
        <w:rPr>
          <w:sz w:val="20"/>
          <w:szCs w:val="20"/>
          <w:color w:val="auto"/>
        </w:rPr>
      </w:pPr>
    </w:p>
    <w:p>
      <w:pPr>
        <w:ind w:left="900" w:right="60"/>
        <w:spacing w:after="0" w:line="259" w:lineRule="auto"/>
        <w:rPr>
          <w:sz w:val="20"/>
          <w:szCs w:val="20"/>
          <w:color w:val="auto"/>
        </w:rPr>
      </w:pPr>
      <w:r>
        <w:rPr>
          <w:rFonts w:ascii="Arial" w:cs="Arial" w:eastAsia="Arial" w:hAnsi="Arial"/>
          <w:sz w:val="18"/>
          <w:szCs w:val="18"/>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1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6"/>
                <w:szCs w:val="16"/>
                <w:color w:val="auto"/>
              </w:rPr>
            </w:pPr>
          </w:p>
        </w:tc>
      </w:tr>
      <w:tr>
        <w:trPr>
          <w:trHeight w:val="26"/>
        </w:trPr>
        <w:tc>
          <w:tcPr>
            <w:tcW w:w="9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8"/>
        </w:trPr>
        <w:tc>
          <w:tcPr>
            <w:tcW w:w="9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6"/>
        </w:trPr>
        <w:tc>
          <w:tcPr>
            <w:tcW w:w="9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920" w:type="dxa"/>
            <w:vAlign w:val="bottom"/>
            <w:shd w:val="clear" w:color="auto" w:fill="CCEEFF"/>
          </w:tcPr>
          <w:p>
            <w:pPr>
              <w:spacing w:after="0"/>
              <w:rPr>
                <w:sz w:val="21"/>
                <w:szCs w:val="21"/>
                <w:color w:val="auto"/>
              </w:rPr>
            </w:pPr>
          </w:p>
        </w:tc>
        <w:tc>
          <w:tcPr>
            <w:tcW w:w="7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WACC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Arial" w:cs="Arial" w:eastAsia="Arial" w:hAnsi="Arial"/>
                <w:sz w:val="18"/>
                <w:szCs w:val="18"/>
                <w:color w:val="auto"/>
              </w:rPr>
              <w:t>Value of equity*</w:t>
            </w:r>
          </w:p>
        </w:tc>
        <w:tc>
          <w:tcPr>
            <w:tcW w:w="2100" w:type="dxa"/>
            <w:vAlign w:val="bottom"/>
            <w:gridSpan w:val="3"/>
          </w:tcPr>
          <w:p>
            <w:pPr>
              <w:ind w:left="600"/>
              <w:spacing w:after="0"/>
              <w:rPr>
                <w:sz w:val="20"/>
                <w:szCs w:val="20"/>
                <w:color w:val="auto"/>
              </w:rPr>
            </w:pPr>
            <w:r>
              <w:rPr>
                <w:rFonts w:ascii="Arial" w:cs="Arial" w:eastAsia="Arial" w:hAnsi="Arial"/>
                <w:sz w:val="18"/>
                <w:szCs w:val="18"/>
                <w:color w:val="auto"/>
              </w:rPr>
              <w:t>$71 million</w:t>
            </w:r>
          </w:p>
        </w:tc>
        <w:tc>
          <w:tcPr>
            <w:tcW w:w="1020" w:type="dxa"/>
            <w:vAlign w:val="bottom"/>
          </w:tcPr>
          <w:p>
            <w:pPr>
              <w:jc w:val="right"/>
              <w:spacing w:after="0"/>
              <w:rPr>
                <w:sz w:val="20"/>
                <w:szCs w:val="20"/>
                <w:color w:val="auto"/>
              </w:rPr>
            </w:pPr>
            <w:r>
              <w:rPr>
                <w:rFonts w:ascii="Arial" w:cs="Arial" w:eastAsia="Arial" w:hAnsi="Arial"/>
                <w:sz w:val="18"/>
                <w:szCs w:val="18"/>
                <w:color w:val="auto"/>
              </w:rPr>
              <w:t>$76 million</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Volatility</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Arial" w:cs="Arial" w:eastAsia="Arial" w:hAnsi="Arial"/>
                <w:sz w:val="18"/>
                <w:szCs w:val="18"/>
                <w:color w:val="auto"/>
              </w:rPr>
              <w:t>Commencement of sales</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2021 – 2025</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2018 – 2020</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Probability for success in phase 2</w:t>
            </w:r>
          </w:p>
        </w:tc>
        <w:tc>
          <w:tcPr>
            <w:tcW w:w="2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920" w:type="dxa"/>
            <w:vAlign w:val="bottom"/>
          </w:tcPr>
          <w:p>
            <w:pPr>
              <w:spacing w:after="0"/>
              <w:rPr>
                <w:sz w:val="22"/>
                <w:szCs w:val="22"/>
                <w:color w:val="auto"/>
              </w:rPr>
            </w:pPr>
          </w:p>
        </w:tc>
        <w:tc>
          <w:tcPr>
            <w:tcW w:w="7380" w:type="dxa"/>
            <w:vAlign w:val="bottom"/>
            <w:gridSpan w:val="2"/>
          </w:tcPr>
          <w:p>
            <w:pPr>
              <w:ind w:left="520"/>
              <w:spacing w:after="0"/>
              <w:rPr>
                <w:sz w:val="20"/>
                <w:szCs w:val="20"/>
                <w:color w:val="auto"/>
              </w:rPr>
            </w:pPr>
            <w:r>
              <w:rPr>
                <w:rFonts w:ascii="Arial" w:cs="Arial" w:eastAsia="Arial" w:hAnsi="Arial"/>
                <w:sz w:val="18"/>
                <w:szCs w:val="18"/>
                <w:color w:val="auto"/>
              </w:rPr>
              <w:t>Probability of entering Phase 2b/3 for Hypo</w:t>
            </w: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920" w:type="dxa"/>
            <w:vAlign w:val="bottom"/>
            <w:shd w:val="clear" w:color="auto" w:fill="CCEEFF"/>
          </w:tcPr>
          <w:p>
            <w:pPr>
              <w:spacing w:after="0"/>
              <w:rPr>
                <w:sz w:val="22"/>
                <w:szCs w:val="22"/>
                <w:color w:val="auto"/>
              </w:rPr>
            </w:pPr>
          </w:p>
        </w:tc>
        <w:tc>
          <w:tcPr>
            <w:tcW w:w="7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Probability for IPO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920" w:type="dxa"/>
            <w:vAlign w:val="bottom"/>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c>
          <w:tcPr>
            <w:tcW w:w="4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63201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191" w:lineRule="exact"/>
        <w:rPr>
          <w:sz w:val="20"/>
          <w:szCs w:val="20"/>
          <w:color w:val="auto"/>
        </w:rPr>
      </w:pPr>
    </w:p>
    <w:p>
      <w:pPr>
        <w:ind w:left="1260" w:hanging="352"/>
        <w:spacing w:after="0"/>
        <w:tabs>
          <w:tab w:leader="none" w:pos="12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value of equity as of December 31, 2016 and 2015 was based on the valuations performed as detailed in note 6.</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w:t>
      </w:r>
    </w:p>
    <w:p>
      <w:pPr>
        <w:spacing w:after="0" w:line="113" w:lineRule="exact"/>
        <w:rPr>
          <w:sz w:val="20"/>
          <w:szCs w:val="20"/>
          <w:color w:val="auto"/>
        </w:rPr>
      </w:pPr>
    </w:p>
    <w:p>
      <w:pPr>
        <w:ind w:left="10040"/>
        <w:spacing w:after="0"/>
        <w:rPr>
          <w:sz w:val="20"/>
          <w:szCs w:val="20"/>
          <w:color w:val="auto"/>
        </w:rPr>
      </w:pPr>
      <w:r>
        <w:rPr>
          <w:rFonts w:ascii="Arial" w:cs="Arial" w:eastAsia="Arial" w:hAnsi="Arial"/>
          <w:sz w:val="14"/>
          <w:szCs w:val="14"/>
          <w:b w:val="1"/>
          <w:bCs w:val="1"/>
          <w:color w:val="auto"/>
        </w:rPr>
        <w:t>Convertible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32385</wp:posOffset>
            </wp:positionV>
            <wp:extent cx="10718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66"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U.S. dollars</w:t>
      </w:r>
    </w:p>
    <w:p>
      <w:pPr>
        <w:spacing w:after="0" w:line="13"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3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Balance as of January 1, 2015</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Financial expenses</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Balance as of December 31, 2015</w:t>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Additions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Financial expenses</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Balance as of December 31, 2016</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6,158</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1,765</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128</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8,053</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6,110</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452</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14,720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317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620" w:space="720"/>
            <w:col w:w="1080"/>
          </w:cols>
          <w:pgMar w:left="240" w:top="132"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 (Continued)</w:t>
      </w:r>
    </w:p>
    <w:p>
      <w:pPr>
        <w:spacing w:after="0" w:line="194"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Warrants to</w:t>
      </w:r>
    </w:p>
    <w:p>
      <w:pPr>
        <w:spacing w:after="0" w:line="17" w:lineRule="exact"/>
        <w:rPr>
          <w:sz w:val="20"/>
          <w:szCs w:val="20"/>
          <w:color w:val="auto"/>
        </w:rPr>
      </w:pPr>
    </w:p>
    <w:p>
      <w:pPr>
        <w:jc w:val="right"/>
        <w:ind w:right="320"/>
        <w:spacing w:after="0"/>
        <w:rPr>
          <w:sz w:val="20"/>
          <w:szCs w:val="20"/>
          <w:color w:val="auto"/>
        </w:rPr>
      </w:pPr>
      <w:r>
        <w:rPr>
          <w:rFonts w:ascii="Arial" w:cs="Arial" w:eastAsia="Arial" w:hAnsi="Arial"/>
          <w:sz w:val="14"/>
          <w:szCs w:val="14"/>
          <w:b w:val="1"/>
          <w:bCs w:val="1"/>
          <w:color w:val="auto"/>
        </w:rPr>
        <w:t>purchase preferred</w:t>
      </w:r>
    </w:p>
    <w:p>
      <w:pPr>
        <w:spacing w:after="0" w:line="1" w:lineRule="exact"/>
        <w:rPr>
          <w:sz w:val="20"/>
          <w:szCs w:val="20"/>
          <w:color w:val="auto"/>
        </w:rPr>
      </w:pPr>
    </w:p>
    <w:p>
      <w:pPr>
        <w:jc w:val="right"/>
        <w:ind w:right="340"/>
        <w:spacing w:after="0"/>
        <w:rPr>
          <w:sz w:val="20"/>
          <w:szCs w:val="20"/>
          <w:color w:val="auto"/>
        </w:rPr>
      </w:pPr>
      <w:r>
        <w:rPr>
          <w:rFonts w:ascii="Arial" w:cs="Arial" w:eastAsia="Arial" w:hAnsi="Arial"/>
          <w:sz w:val="14"/>
          <w:szCs w:val="14"/>
          <w:b w:val="1"/>
          <w:bCs w:val="1"/>
          <w:color w:val="auto"/>
        </w:rPr>
        <w:t>shares 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22225</wp:posOffset>
            </wp:positionV>
            <wp:extent cx="11233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50" w:lineRule="exact"/>
        <w:rPr>
          <w:sz w:val="20"/>
          <w:szCs w:val="20"/>
          <w:color w:val="auto"/>
        </w:rPr>
      </w:pPr>
    </w:p>
    <w:p>
      <w:pPr>
        <w:ind w:left="10180"/>
        <w:spacing w:after="0"/>
        <w:rPr>
          <w:sz w:val="20"/>
          <w:szCs w:val="20"/>
          <w:color w:val="auto"/>
        </w:rPr>
      </w:pPr>
      <w:r>
        <w:rPr>
          <w:rFonts w:ascii="Arial" w:cs="Arial" w:eastAsia="Arial" w:hAnsi="Arial"/>
          <w:sz w:val="14"/>
          <w:szCs w:val="14"/>
          <w:color w:val="auto"/>
        </w:rPr>
        <w:t>U.S. dollars</w:t>
      </w:r>
    </w:p>
    <w:p>
      <w:pPr>
        <w:spacing w:after="0" w:line="13" w:lineRule="exact"/>
        <w:rPr>
          <w:sz w:val="20"/>
          <w:szCs w:val="20"/>
          <w:color w:val="auto"/>
        </w:rPr>
      </w:pPr>
    </w:p>
    <w:p>
      <w:pPr>
        <w:ind w:left="101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p>
      <w:pPr>
        <w:spacing w:after="0" w:line="3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Balance as of January 1, 2015</w:t>
      </w:r>
    </w:p>
    <w:p>
      <w:pPr>
        <w:spacing w:after="0" w:line="6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Changes in fair value</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Balance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Additions during 2016</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Balance as of December 31, 2016</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240</w:t>
      </w:r>
    </w:p>
    <w:p>
      <w:pPr>
        <w:spacing w:after="0" w:line="50"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(25)</w:t>
      </w:r>
    </w:p>
    <w:p>
      <w:pPr>
        <w:spacing w:after="0" w:line="77"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215</w:t>
      </w:r>
    </w:p>
    <w:p>
      <w:pPr>
        <w:spacing w:after="0" w:line="50" w:lineRule="exact"/>
        <w:rPr>
          <w:sz w:val="20"/>
          <w:szCs w:val="20"/>
          <w:color w:val="auto"/>
        </w:rPr>
      </w:pPr>
    </w:p>
    <w:p>
      <w:pPr>
        <w:jc w:val="right"/>
        <w:ind w:right="680"/>
        <w:spacing w:after="0"/>
        <w:rPr>
          <w:sz w:val="20"/>
          <w:szCs w:val="20"/>
          <w:color w:val="auto"/>
        </w:rPr>
      </w:pPr>
      <w:r>
        <w:rPr>
          <w:rFonts w:ascii="Arial" w:cs="Arial" w:eastAsia="Arial" w:hAnsi="Arial"/>
          <w:sz w:val="16"/>
          <w:szCs w:val="16"/>
          <w:color w:val="auto"/>
        </w:rPr>
        <w:t>1,319</w:t>
      </w:r>
    </w:p>
    <w:p>
      <w:pPr>
        <w:spacing w:after="0" w:line="7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2571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720"/>
            <w:col w:w="1100"/>
          </w:cols>
          <w:pgMar w:left="240" w:top="132"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w:t>
      </w:r>
    </w:p>
    <w:p>
      <w:pPr>
        <w:spacing w:after="0" w:line="148" w:lineRule="exact"/>
        <w:rPr>
          <w:sz w:val="20"/>
          <w:szCs w:val="20"/>
          <w:color w:val="auto"/>
        </w:rPr>
      </w:pPr>
    </w:p>
    <w:p>
      <w:pPr>
        <w:ind w:left="540" w:right="380" w:hanging="352"/>
        <w:spacing w:after="0" w:line="286" w:lineRule="auto"/>
        <w:tabs>
          <w:tab w:leader="none" w:pos="540"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On January 29, 2014, the Company and Centillion entered into a Series A Preferred Share Purchase Agreement (the “Centillion preferred share purchase agreement”). According to the Centillion preferred share purchase agreement, Centillion purchased 4,172 of the Company’s preferred shares, for an aggregate purchase price of $2,000 thousand at a purchase price of $479.38 per share (the “per share purchase price”). The Company also issued to Centillion a warrant to purchase up to 1,043 of its applicable shares upon exercise of the warrant (“applicable shares”) at the per share purchase price. According to the Centillion Preferred share purchase agreement, upon the Company’s filing of a registration statement for an initial public offering with the SEC no later than June 29, 2014, or the “first milestone”, Centillion was required to purchase from the Company an additional 4,172 preferred shares at the per share purchase price (for additional proceeds of $2,000 thousand) and the Company was required to issue to Centillion a warrant to purchase an additional 1,043 applicable shares at the per share purchase price. Finally, pursuant to the terms of the Centillion preferred share purchase agreement, upon the consummation of an initial public offering of the Company’s ordinary shares on or prior to December 29, 2014, pursuant to which the ordinary shares are listed on the Nasdaq or AMEX, or a “Qualified IPO” and such event the “second milestone”, Centillion was required to purchase from the Company an additional 2,086 preferred shares at the per share purchase price (for additional proceeds of $1,000 thousand) and the Company was required to issue to Centillion a warrant to purchase an additional 522 preferred shares at the per share purchase price. Centillion also had the right to acquire the preferred shares and warrant to be issued upon either of the milestones prior to the applicable milestone date.</w:t>
      </w:r>
    </w:p>
    <w:p>
      <w:pPr>
        <w:spacing w:after="0" w:line="63" w:lineRule="exact"/>
        <w:rPr>
          <w:rFonts w:ascii="Arial" w:cs="Arial" w:eastAsia="Arial" w:hAnsi="Arial"/>
          <w:sz w:val="16"/>
          <w:szCs w:val="16"/>
          <w:b w:val="1"/>
          <w:bCs w:val="1"/>
          <w:color w:val="auto"/>
        </w:rPr>
      </w:pPr>
    </w:p>
    <w:p>
      <w:pPr>
        <w:ind w:left="5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June 18, 2014, the Company and Centillion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73" w:lineRule="exact"/>
        <w:rPr>
          <w:rFonts w:ascii="Arial" w:cs="Arial" w:eastAsia="Arial" w:hAnsi="Arial"/>
          <w:sz w:val="16"/>
          <w:szCs w:val="16"/>
          <w:b w:val="1"/>
          <w:bCs w:val="1"/>
          <w:color w:val="auto"/>
        </w:rPr>
      </w:pPr>
    </w:p>
    <w:p>
      <w:pPr>
        <w:ind w:left="540" w:right="1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January 21, 2015, the Company and Centillion entered into the second amendment to the Centillion preferred share purchase agreement, or the “second amendment”. Pursuant to the second amendment, Centillion exercised its right to acquire the preferred shares and warrant to be issued upon the first milestone although as of such date the Company had not filed a registration statement for its initial public offering, and paid the Company $2,000 thousand. In consideration therefor, the Company also issued to Centillion an additional warrant, or the “additional Centillion warrant”. The additional Centillion warrant is exercisable upon (and for a period of one year following) the first to occur of a significant financing round, an M&amp;A event (as defined in the warrant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202"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or the Company’s initial public offering, to purchase up to $2,000 thousand of the type of shares issued in such a transaction at a 25% discount to the applicable price per share. In addition, pursuant to the second amendment the date for the second milestone was extended from May 1, 2015 to October 1, 2015. According to the second amendment as the second milestone was not achieved by October 1, 2015, Centillion has extended it until October 1, 2017.</w:t>
      </w:r>
    </w:p>
    <w:p>
      <w:pPr>
        <w:spacing w:after="0" w:line="79" w:lineRule="exact"/>
        <w:rPr>
          <w:sz w:val="20"/>
          <w:szCs w:val="20"/>
          <w:color w:val="auto"/>
        </w:rPr>
      </w:pPr>
    </w:p>
    <w:p>
      <w:pPr>
        <w:ind w:left="540"/>
        <w:spacing w:after="0" w:line="270" w:lineRule="auto"/>
        <w:rPr>
          <w:sz w:val="20"/>
          <w:szCs w:val="20"/>
          <w:color w:val="auto"/>
        </w:rPr>
      </w:pPr>
      <w:r>
        <w:rPr>
          <w:rFonts w:ascii="Arial" w:cs="Arial" w:eastAsia="Arial" w:hAnsi="Arial"/>
          <w:sz w:val="17"/>
          <w:szCs w:val="17"/>
          <w:color w:val="auto"/>
        </w:rPr>
        <w:t>In the course of 2014, the Company consummated the closings of the Series A Preferred Share Purchase Agreements it had entered into with each of WFI E Bio LLC., or WFI, and White Car Group Ltd., or “White Car”, and on January 11, 2015 the Company consummated the closing of the Series A Preferred Share Purchase Agreement it had entered into with HFN Trust Company 2013 Ltd., or “HFN Trust”, and such agreements together the “additional preferred share purchase agreements”. Pursuant to the terms of the additional share purchase agreements WFI, White Car and HFN Trust purchased from the Company 501, 417 and 21 preferred shares for an aggregate purchase price of $240 thousand, $200 thousand and $10 thousand, respectively, and the Company issued to each of WFI, White Car and HFN Trust a warrant to purchase up to 125, 104 and five of its applicable shares, respectively, each upon substantially the same terms as the Centillion preferred share purchase agreement and the form of warrants the Company issued to Centillion. The additional preferred share purchase agreements also provide for the issuance of preferred shares and warrants upon the achievement of those milestones set forth in the Centillion preferred share purchase agreement on terms substantially identical to those contained in the Centillion preferred share purchase agreement.</w:t>
      </w:r>
    </w:p>
    <w:p>
      <w:pPr>
        <w:spacing w:after="0" w:line="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In March 2015, the Company entered into the first Amendment to each of the additional preferred share purchase agreements, which contained terms substantially identical to those contained in the second amendment to the Centillion preferred share purchase agreement, and the Company issued to each of WFI, White Car and HFN Trust an additional warrant, or together with the additional Centillion warrant the “additional warrants”, to purchase up to $240 thousand, $200 thousand and $10 thousand, respectively, upon terms substantially identical to those contained in the additional warrant the Company issued to Centillion in connection with the second amendment to the Centillion preferred share purchase agreement including the extension of the second milestone to October 1, 2017.</w:t>
      </w:r>
    </w:p>
    <w:p>
      <w:pPr>
        <w:spacing w:after="0" w:line="112" w:lineRule="exact"/>
        <w:rPr>
          <w:sz w:val="20"/>
          <w:szCs w:val="20"/>
          <w:color w:val="auto"/>
        </w:rPr>
      </w:pPr>
    </w:p>
    <w:p>
      <w:pPr>
        <w:ind w:left="540" w:right="640" w:hanging="352"/>
        <w:spacing w:after="0" w:line="342" w:lineRule="auto"/>
        <w:tabs>
          <w:tab w:leader="none" w:pos="54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 xml:space="preserve">The preferred shares confer on the holders thereof all rights accruing to holders of Ordinary Shares in the Company, on an as-converted basis, and in addition, the preferred shares have the rights, preferences and privileges granted to the preferred shares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as follows:</w:t>
      </w:r>
    </w:p>
    <w:p>
      <w:pPr>
        <w:spacing w:after="0" w:line="29" w:lineRule="exact"/>
        <w:rPr>
          <w:rFonts w:ascii="Arial" w:cs="Arial" w:eastAsia="Arial" w:hAnsi="Arial"/>
          <w:sz w:val="16"/>
          <w:szCs w:val="16"/>
          <w:b w:val="1"/>
          <w:bCs w:val="1"/>
          <w:color w:val="auto"/>
        </w:rPr>
      </w:pPr>
    </w:p>
    <w:p>
      <w:pPr>
        <w:ind w:left="900" w:right="700" w:hanging="352"/>
        <w:spacing w:after="0" w:line="264"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Each holder of preferred shares has the right to convert such preferred shares into the Company’s ordinary shares at the then-applicable conversion price. In addition, the preferred shares will be automatically converted into ordinary shares at the then-applicable conversion price upon the consummation of a Qualified IPO.</w:t>
      </w:r>
    </w:p>
    <w:p>
      <w:pPr>
        <w:spacing w:after="0" w:line="100" w:lineRule="exact"/>
        <w:rPr>
          <w:rFonts w:ascii="Arial" w:cs="Arial" w:eastAsia="Arial" w:hAnsi="Arial"/>
          <w:sz w:val="18"/>
          <w:szCs w:val="18"/>
          <w:color w:val="auto"/>
        </w:rPr>
      </w:pPr>
    </w:p>
    <w:p>
      <w:pPr>
        <w:ind w:left="900" w:right="780"/>
        <w:spacing w:after="0" w:line="257" w:lineRule="auto"/>
        <w:rPr>
          <w:rFonts w:ascii="Arial" w:cs="Arial" w:eastAsia="Arial" w:hAnsi="Arial"/>
          <w:sz w:val="18"/>
          <w:szCs w:val="18"/>
          <w:color w:val="auto"/>
        </w:rPr>
      </w:pPr>
      <w:r>
        <w:rPr>
          <w:rFonts w:ascii="Arial" w:cs="Arial" w:eastAsia="Arial" w:hAnsi="Arial"/>
          <w:sz w:val="18"/>
          <w:szCs w:val="18"/>
          <w:color w:val="auto"/>
        </w:rPr>
        <w:t>The conversion price of such preferred shares is $479.38 per preferred share, which is the per share purchase price or the original issuance price. This conversion price is subject to appropriate adjustments in the event of certain stock dividends or other distributions payable without payment of any consideration, a stock split, stock subdivision, stock combination or reverse stock split, or in the event that prior to a Qualified IPO the Company issues certain new securities at a price per share lower than the then-applicable conversion price of such preferred shares.</w:t>
      </w:r>
    </w:p>
    <w:p>
      <w:pPr>
        <w:spacing w:after="0" w:line="93" w:lineRule="exact"/>
        <w:rPr>
          <w:rFonts w:ascii="Arial" w:cs="Arial" w:eastAsia="Arial" w:hAnsi="Arial"/>
          <w:sz w:val="18"/>
          <w:szCs w:val="18"/>
          <w:color w:val="auto"/>
        </w:rPr>
      </w:pPr>
    </w:p>
    <w:p>
      <w:pPr>
        <w:ind w:left="900" w:right="780" w:hanging="352"/>
        <w:spacing w:after="0" w:line="34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 any liquidation, bankruptcy, reorganization, dissolution or winding up of the Company as defined in Article 66(d) of the Company’s Fourth Amended and Restated Articles of Association, whether voluntary or involuntary (each, a “Liquidation Event”) or “Deemed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94" w:name="page195"/>
    <w:bookmarkEnd w:id="194"/>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202" w:lineRule="exact"/>
        <w:rPr>
          <w:sz w:val="20"/>
          <w:szCs w:val="20"/>
          <w:color w:val="auto"/>
        </w:rPr>
      </w:pPr>
    </w:p>
    <w:p>
      <w:pPr>
        <w:ind w:left="900" w:right="180"/>
        <w:spacing w:after="0" w:line="289" w:lineRule="auto"/>
        <w:rPr>
          <w:sz w:val="20"/>
          <w:szCs w:val="20"/>
          <w:color w:val="auto"/>
        </w:rPr>
      </w:pPr>
      <w:r>
        <w:rPr>
          <w:rFonts w:ascii="Arial" w:cs="Arial" w:eastAsia="Arial" w:hAnsi="Arial"/>
          <w:sz w:val="16"/>
          <w:szCs w:val="16"/>
          <w:color w:val="auto"/>
        </w:rPr>
        <w:t>Liquidation Event”, the assets available for distribution will be applied, first to the holders of preferred shares. Each preferred share shall be entitled to receive an amount per share equal to the original preferred share price, plus all declared but unpaid dividends and annual 5% interest on the original preferred share price (“Preferred Shares Preference”). If such assets available for distribution shall be insufficient to permit the payment of the full Preferred Shares Preference, then the assets available for distribution shall be distributed pro rata among the holders of the Preferred Shares. Any remaining assets available for distribution to shareholders shall be distributed among the holders of Ordinary Shares and Preferred Shares on a pro rata basis and on an as-converted basis. In the event that the holders of Preferred Shares, upon distribution pro rata to all shareholders on as converted basis receive an aggregate amount per Preferred Share greater than three (3) times the original preferred share price then the holders of preferred shares shall not be entitled to the Preferred Shares Preference described above and all the assets available for distribution shall be distributed among the holders of ordinary shares and preferred shares on a pro rata basis on an as-converted basis.</w:t>
      </w:r>
    </w:p>
    <w:p>
      <w:pPr>
        <w:spacing w:after="0" w:line="113" w:lineRule="exact"/>
        <w:rPr>
          <w:sz w:val="20"/>
          <w:szCs w:val="20"/>
          <w:color w:val="auto"/>
        </w:rPr>
      </w:pPr>
    </w:p>
    <w:p>
      <w:pPr>
        <w:ind w:left="540" w:right="500" w:hanging="352"/>
        <w:spacing w:after="0" w:line="259" w:lineRule="auto"/>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For accounting of purposes, the preferred shares are classified as a financial liability considering, inter alia, the deemed liquidation events mechanism described above. In addition, the conversion ratio of Series A Preferred Shares into ordinary shares is subject to certain adjustments, which do not meet the ‘fixed for fixed’ requirement of IAS 32. Therefore, the conversion option represents an embedded derivative, which should be bifurcated and accounted for separately at fair value through profit or loss.</w:t>
      </w:r>
    </w:p>
    <w:p>
      <w:pPr>
        <w:spacing w:after="0" w:line="78"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Company elected to designate the entire instrument at fair value through profit or loss, as permitted by IAS 39.</w:t>
      </w:r>
    </w:p>
    <w:p>
      <w:pPr>
        <w:spacing w:after="0" w:line="117" w:lineRule="exact"/>
        <w:rPr>
          <w:rFonts w:ascii="Arial" w:cs="Arial" w:eastAsia="Arial" w:hAnsi="Arial"/>
          <w:sz w:val="18"/>
          <w:szCs w:val="18"/>
          <w:b w:val="1"/>
          <w:bCs w:val="1"/>
          <w:color w:val="auto"/>
        </w:rPr>
      </w:pPr>
    </w:p>
    <w:p>
      <w:pPr>
        <w:ind w:left="5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Warrants to purchase preferred shares issued concurrently with the Series A Preferred Shares also meet the definition of a financial liability since they are exercisable into a financial liability. These warrants are measured at fair value through profit or loss at each balance sheet date.</w:t>
      </w:r>
    </w:p>
    <w:p>
      <w:pPr>
        <w:spacing w:after="0" w:line="15" w:lineRule="exact"/>
        <w:rPr>
          <w:rFonts w:ascii="Arial" w:cs="Arial" w:eastAsia="Arial" w:hAnsi="Arial"/>
          <w:sz w:val="18"/>
          <w:szCs w:val="18"/>
          <w:b w:val="1"/>
          <w:bCs w:val="1"/>
          <w:color w:val="auto"/>
        </w:rPr>
      </w:pPr>
    </w:p>
    <w:p>
      <w:pPr>
        <w:ind w:left="54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liability for future issuances of preferred shares and warrants upon fulfillment of the first and second milestones as described in a) above, are contingent forward contracts, and are therefore accounted for at fair value through profit or loss at each balance sheet date.</w:t>
      </w:r>
    </w:p>
    <w:p>
      <w:pPr>
        <w:spacing w:after="0" w:line="92" w:lineRule="exact"/>
        <w:rPr>
          <w:rFonts w:ascii="Arial" w:cs="Arial" w:eastAsia="Arial" w:hAnsi="Arial"/>
          <w:sz w:val="18"/>
          <w:szCs w:val="18"/>
          <w:b w:val="1"/>
          <w:bCs w:val="1"/>
          <w:color w:val="auto"/>
        </w:rPr>
      </w:pPr>
    </w:p>
    <w:p>
      <w:pPr>
        <w:ind w:left="540" w:right="580" w:hanging="352"/>
        <w:spacing w:after="0" w:line="264" w:lineRule="auto"/>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The consideration received in 2015 and 2014 pursuant to the transactions described above, amounted to $2,460 thousand and $2,440 thousand, respectively, and were allocated to the components based on their relative fair values. The table below presents the movements in the three components during 2016 and 2015: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Warrants to</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purchase</w:t>
            </w: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Liability to</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preferred</w:t>
            </w:r>
          </w:p>
        </w:tc>
        <w:tc>
          <w:tcPr>
            <w:tcW w:w="1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issue preferred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Preferred</w:t>
            </w: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shares and</w:t>
            </w: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shares and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4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shares</w:t>
            </w:r>
          </w:p>
        </w:tc>
        <w:tc>
          <w:tcPr>
            <w:tcW w:w="460" w:type="dxa"/>
            <w:vAlign w:val="bottom"/>
          </w:tcPr>
          <w:p>
            <w:pPr>
              <w:spacing w:after="0"/>
              <w:rPr>
                <w:sz w:val="16"/>
                <w:szCs w:val="16"/>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shares</w:t>
            </w:r>
          </w:p>
        </w:tc>
        <w:tc>
          <w:tcPr>
            <w:tcW w:w="1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6"/>
        </w:trPr>
        <w:tc>
          <w:tcPr>
            <w:tcW w:w="4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0" w:type="dxa"/>
            <w:vAlign w:val="bottom"/>
            <w:gridSpan w:val="5"/>
          </w:tcPr>
          <w:p>
            <w:pPr>
              <w:jc w:val="right"/>
              <w:ind w:right="1120"/>
              <w:spacing w:after="0"/>
              <w:rPr>
                <w:sz w:val="20"/>
                <w:szCs w:val="20"/>
                <w:color w:val="auto"/>
              </w:rPr>
            </w:pPr>
            <w:r>
              <w:rPr>
                <w:rFonts w:ascii="Arial" w:cs="Arial" w:eastAsia="Arial" w:hAnsi="Arial"/>
                <w:sz w:val="14"/>
                <w:szCs w:val="14"/>
                <w:color w:val="auto"/>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0"/>
        </w:trPr>
        <w:tc>
          <w:tcPr>
            <w:tcW w:w="4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Balance as of January 1, 2015</w:t>
            </w:r>
          </w:p>
        </w:tc>
        <w:tc>
          <w:tcPr>
            <w:tcW w:w="31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6,550</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1,380</w:t>
            </w:r>
          </w:p>
        </w:tc>
        <w:tc>
          <w:tcPr>
            <w:tcW w:w="19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8,473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16,403</w:t>
            </w:r>
          </w:p>
        </w:tc>
      </w:tr>
      <w:tr>
        <w:trPr>
          <w:trHeight w:val="230"/>
        </w:trPr>
        <w:tc>
          <w:tcPr>
            <w:tcW w:w="4380" w:type="dxa"/>
            <w:vAlign w:val="bottom"/>
          </w:tcPr>
          <w:p>
            <w:pPr>
              <w:ind w:left="800"/>
              <w:spacing w:after="0"/>
              <w:rPr>
                <w:sz w:val="20"/>
                <w:szCs w:val="20"/>
                <w:color w:val="auto"/>
              </w:rPr>
            </w:pPr>
            <w:r>
              <w:rPr>
                <w:rFonts w:ascii="Arial" w:cs="Arial" w:eastAsia="Arial" w:hAnsi="Arial"/>
                <w:sz w:val="18"/>
                <w:szCs w:val="18"/>
                <w:color w:val="auto"/>
              </w:rPr>
              <w:t>Additions during 2015</w:t>
            </w:r>
          </w:p>
        </w:tc>
        <w:tc>
          <w:tcPr>
            <w:tcW w:w="3100" w:type="dxa"/>
            <w:vAlign w:val="bottom"/>
            <w:gridSpan w:val="4"/>
          </w:tcPr>
          <w:p>
            <w:pPr>
              <w:jc w:val="right"/>
              <w:ind w:right="360"/>
              <w:spacing w:after="0"/>
              <w:rPr>
                <w:sz w:val="20"/>
                <w:szCs w:val="20"/>
                <w:color w:val="auto"/>
              </w:rPr>
            </w:pPr>
            <w:r>
              <w:rPr>
                <w:rFonts w:ascii="Arial" w:cs="Arial" w:eastAsia="Arial" w:hAnsi="Arial"/>
                <w:sz w:val="18"/>
                <w:szCs w:val="18"/>
                <w:color w:val="auto"/>
              </w:rPr>
              <w:t>1,903</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557</w:t>
            </w:r>
          </w:p>
        </w:tc>
        <w:tc>
          <w:tcPr>
            <w:tcW w:w="56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2,460</w:t>
            </w:r>
          </w:p>
        </w:tc>
      </w:tr>
      <w:tr>
        <w:trPr>
          <w:trHeight w:val="230"/>
        </w:trPr>
        <w:tc>
          <w:tcPr>
            <w:tcW w:w="4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Changes in fair value</w:t>
            </w:r>
          </w:p>
        </w:tc>
        <w:tc>
          <w:tcPr>
            <w:tcW w:w="31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4,609</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2,180</w:t>
            </w: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(6,319)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r>
      <w:tr>
        <w:trPr>
          <w:trHeight w:val="230"/>
        </w:trPr>
        <w:tc>
          <w:tcPr>
            <w:tcW w:w="4380" w:type="dxa"/>
            <w:vAlign w:val="bottom"/>
          </w:tcPr>
          <w:p>
            <w:pPr>
              <w:ind w:left="800"/>
              <w:spacing w:after="0"/>
              <w:rPr>
                <w:sz w:val="20"/>
                <w:szCs w:val="20"/>
                <w:color w:val="auto"/>
              </w:rPr>
            </w:pPr>
            <w:r>
              <w:rPr>
                <w:rFonts w:ascii="Arial" w:cs="Arial" w:eastAsia="Arial" w:hAnsi="Arial"/>
                <w:sz w:val="18"/>
                <w:szCs w:val="18"/>
                <w:color w:val="auto"/>
              </w:rPr>
              <w:t>Balance as of December 31, 2015</w:t>
            </w:r>
          </w:p>
        </w:tc>
        <w:tc>
          <w:tcPr>
            <w:tcW w:w="3100" w:type="dxa"/>
            <w:vAlign w:val="bottom"/>
            <w:gridSpan w:val="4"/>
          </w:tcPr>
          <w:p>
            <w:pPr>
              <w:jc w:val="right"/>
              <w:ind w:right="360"/>
              <w:spacing w:after="0"/>
              <w:rPr>
                <w:sz w:val="20"/>
                <w:szCs w:val="20"/>
                <w:color w:val="auto"/>
              </w:rPr>
            </w:pPr>
            <w:r>
              <w:rPr>
                <w:rFonts w:ascii="Arial" w:cs="Arial" w:eastAsia="Arial" w:hAnsi="Arial"/>
                <w:sz w:val="18"/>
                <w:szCs w:val="18"/>
                <w:color w:val="auto"/>
              </w:rPr>
              <w:t>13,062</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4,117</w:t>
            </w:r>
          </w:p>
        </w:tc>
        <w:tc>
          <w:tcPr>
            <w:tcW w:w="1900" w:type="dxa"/>
            <w:vAlign w:val="bottom"/>
            <w:gridSpan w:val="3"/>
          </w:tcPr>
          <w:p>
            <w:pPr>
              <w:jc w:val="right"/>
              <w:ind w:right="860"/>
              <w:spacing w:after="0"/>
              <w:rPr>
                <w:sz w:val="20"/>
                <w:szCs w:val="20"/>
                <w:color w:val="auto"/>
              </w:rPr>
            </w:pPr>
            <w:r>
              <w:rPr>
                <w:rFonts w:ascii="Arial" w:cs="Arial" w:eastAsia="Arial" w:hAnsi="Arial"/>
                <w:sz w:val="18"/>
                <w:szCs w:val="18"/>
                <w:color w:val="auto"/>
              </w:rPr>
              <w:t>2,154</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19,333</w:t>
            </w:r>
          </w:p>
        </w:tc>
      </w:tr>
      <w:tr>
        <w:trPr>
          <w:trHeight w:val="263"/>
        </w:trPr>
        <w:tc>
          <w:tcPr>
            <w:tcW w:w="4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Changes in fair value</w:t>
            </w:r>
          </w:p>
        </w:tc>
        <w:tc>
          <w:tcPr>
            <w:tcW w:w="2240" w:type="dxa"/>
            <w:vAlign w:val="bottom"/>
            <w:gridSpan w:val="2"/>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(2,031)</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(954)</w:t>
            </w: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(1,881)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(4,866)</w:t>
            </w:r>
          </w:p>
        </w:tc>
      </w:tr>
      <w:tr>
        <w:trPr>
          <w:trHeight w:val="20"/>
        </w:trPr>
        <w:tc>
          <w:tcPr>
            <w:tcW w:w="438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380" w:type="dxa"/>
            <w:vAlign w:val="bottom"/>
          </w:tcPr>
          <w:p>
            <w:pPr>
              <w:ind w:left="800"/>
              <w:spacing w:after="0"/>
              <w:rPr>
                <w:sz w:val="20"/>
                <w:szCs w:val="20"/>
                <w:color w:val="auto"/>
              </w:rPr>
            </w:pPr>
            <w:r>
              <w:rPr>
                <w:rFonts w:ascii="Arial" w:cs="Arial" w:eastAsia="Arial" w:hAnsi="Arial"/>
                <w:sz w:val="18"/>
                <w:szCs w:val="18"/>
                <w:color w:val="auto"/>
              </w:rPr>
              <w:t>Balance as of December 31, 2016</w:t>
            </w:r>
          </w:p>
        </w:tc>
        <w:tc>
          <w:tcPr>
            <w:tcW w:w="2240" w:type="dxa"/>
            <w:vAlign w:val="bottom"/>
            <w:gridSpan w:val="2"/>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11,031</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3,163</w:t>
            </w:r>
          </w:p>
        </w:tc>
        <w:tc>
          <w:tcPr>
            <w:tcW w:w="1900" w:type="dxa"/>
            <w:vAlign w:val="bottom"/>
            <w:gridSpan w:val="3"/>
          </w:tcPr>
          <w:p>
            <w:pPr>
              <w:jc w:val="right"/>
              <w:ind w:right="860"/>
              <w:spacing w:after="0"/>
              <w:rPr>
                <w:sz w:val="20"/>
                <w:szCs w:val="20"/>
                <w:color w:val="auto"/>
              </w:rPr>
            </w:pPr>
            <w:r>
              <w:rPr>
                <w:rFonts w:ascii="Arial" w:cs="Arial" w:eastAsia="Arial" w:hAnsi="Arial"/>
                <w:sz w:val="18"/>
                <w:szCs w:val="18"/>
                <w:color w:val="auto"/>
              </w:rPr>
              <w:t>273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14,467</w:t>
            </w:r>
          </w:p>
        </w:tc>
      </w:tr>
      <w:tr>
        <w:trPr>
          <w:trHeight w:val="20"/>
        </w:trPr>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07"/>
        </w:trPr>
        <w:tc>
          <w:tcPr>
            <w:tcW w:w="4380" w:type="dxa"/>
            <w:vAlign w:val="bottom"/>
          </w:tcPr>
          <w:p>
            <w:pPr>
              <w:spacing w:after="0"/>
              <w:rPr>
                <w:sz w:val="24"/>
                <w:szCs w:val="24"/>
                <w:color w:val="auto"/>
              </w:rPr>
            </w:pPr>
          </w:p>
        </w:tc>
        <w:tc>
          <w:tcPr>
            <w:tcW w:w="3100" w:type="dxa"/>
            <w:vAlign w:val="bottom"/>
            <w:gridSpan w:val="4"/>
          </w:tcPr>
          <w:p>
            <w:pPr>
              <w:jc w:val="right"/>
              <w:ind w:right="1600"/>
              <w:spacing w:after="0"/>
              <w:rPr>
                <w:sz w:val="20"/>
                <w:szCs w:val="20"/>
                <w:color w:val="auto"/>
              </w:rPr>
            </w:pPr>
            <w:r>
              <w:rPr>
                <w:rFonts w:ascii="Arial" w:cs="Arial" w:eastAsia="Arial" w:hAnsi="Arial"/>
                <w:sz w:val="18"/>
                <w:szCs w:val="18"/>
                <w:color w:val="auto"/>
              </w:rPr>
              <w:t>F-21</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5"/>
        </w:trPr>
        <w:tc>
          <w:tcPr>
            <w:tcW w:w="43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6574155</wp:posOffset>
            </wp:positionH>
            <wp:positionV relativeFrom="paragraph">
              <wp:posOffset>-1671955</wp:posOffset>
            </wp:positionV>
            <wp:extent cx="1371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-1671955</wp:posOffset>
            </wp:positionV>
            <wp:extent cx="137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-1671955</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5" w:name="page196"/>
    <w:bookmarkEnd w:id="19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 (Continued)</w:t>
      </w:r>
    </w:p>
    <w:p>
      <w:pPr>
        <w:spacing w:after="0" w:line="162" w:lineRule="exact"/>
        <w:rPr>
          <w:sz w:val="20"/>
          <w:szCs w:val="20"/>
          <w:color w:val="auto"/>
        </w:rPr>
      </w:pPr>
    </w:p>
    <w:p>
      <w:pPr>
        <w:ind w:left="540" w:right="760" w:hanging="352"/>
        <w:spacing w:after="0" w:line="342" w:lineRule="auto"/>
        <w:tabs>
          <w:tab w:leader="none" w:pos="54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The Company prepared valuations of the fair value of the three components described above (Level 3 valuations) using a combination of the Probability-Weighted Expected Return Method and Back Solve option pricing method model. The following parameters were used: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8"/>
              </w:rPr>
              <w:t>December 31,</w:t>
            </w:r>
          </w:p>
        </w:tc>
        <w:tc>
          <w:tcPr>
            <w:tcW w:w="980" w:type="dxa"/>
            <w:vAlign w:val="bottom"/>
          </w:tcPr>
          <w:p>
            <w:pPr>
              <w:spacing w:after="0"/>
              <w:rPr>
                <w:sz w:val="16"/>
                <w:szCs w:val="16"/>
                <w:color w:val="auto"/>
              </w:rPr>
            </w:pPr>
          </w:p>
        </w:tc>
      </w:tr>
      <w:tr>
        <w:trPr>
          <w:trHeight w:val="26"/>
        </w:trPr>
        <w:tc>
          <w:tcPr>
            <w:tcW w:w="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8"/>
        </w:trPr>
        <w:tc>
          <w:tcPr>
            <w:tcW w:w="5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6"/>
        </w:trPr>
        <w:tc>
          <w:tcPr>
            <w:tcW w:w="5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40" w:type="dxa"/>
            <w:vAlign w:val="bottom"/>
            <w:shd w:val="clear" w:color="auto" w:fill="CCEEFF"/>
          </w:tcPr>
          <w:p>
            <w:pPr>
              <w:spacing w:after="0"/>
              <w:rPr>
                <w:sz w:val="21"/>
                <w:szCs w:val="21"/>
                <w:color w:val="auto"/>
              </w:rPr>
            </w:pPr>
          </w:p>
        </w:tc>
        <w:tc>
          <w:tcPr>
            <w:tcW w:w="7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WACC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Arial" w:cs="Arial" w:eastAsia="Arial" w:hAnsi="Arial"/>
                <w:sz w:val="18"/>
                <w:szCs w:val="18"/>
                <w:color w:val="auto"/>
              </w:rPr>
              <w:t>Value of equity*</w:t>
            </w:r>
          </w:p>
        </w:tc>
        <w:tc>
          <w:tcPr>
            <w:tcW w:w="2000" w:type="dxa"/>
            <w:vAlign w:val="bottom"/>
            <w:gridSpan w:val="3"/>
          </w:tcPr>
          <w:p>
            <w:pPr>
              <w:ind w:left="540"/>
              <w:spacing w:after="0"/>
              <w:rPr>
                <w:sz w:val="20"/>
                <w:szCs w:val="20"/>
                <w:color w:val="auto"/>
              </w:rPr>
            </w:pPr>
            <w:r>
              <w:rPr>
                <w:rFonts w:ascii="Arial" w:cs="Arial" w:eastAsia="Arial" w:hAnsi="Arial"/>
                <w:sz w:val="18"/>
                <w:szCs w:val="18"/>
                <w:color w:val="auto"/>
              </w:rPr>
              <w:t>$71 million</w:t>
            </w:r>
          </w:p>
        </w:tc>
        <w:tc>
          <w:tcPr>
            <w:tcW w:w="980" w:type="dxa"/>
            <w:vAlign w:val="bottom"/>
          </w:tcPr>
          <w:p>
            <w:pPr>
              <w:jc w:val="right"/>
              <w:spacing w:after="0"/>
              <w:rPr>
                <w:sz w:val="20"/>
                <w:szCs w:val="20"/>
                <w:color w:val="auto"/>
              </w:rPr>
            </w:pPr>
            <w:r>
              <w:rPr>
                <w:rFonts w:ascii="Arial" w:cs="Arial" w:eastAsia="Arial" w:hAnsi="Arial"/>
                <w:sz w:val="18"/>
                <w:szCs w:val="18"/>
                <w:color w:val="auto"/>
              </w:rPr>
              <w:t>$76 million</w:t>
            </w: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Arial" w:cs="Arial" w:eastAsia="Arial" w:hAnsi="Arial"/>
                <w:sz w:val="18"/>
                <w:szCs w:val="18"/>
                <w:color w:val="auto"/>
              </w:rPr>
              <w:t>Commencement of sales</w:t>
            </w:r>
          </w:p>
        </w:tc>
        <w:tc>
          <w:tcPr>
            <w:tcW w:w="2000" w:type="dxa"/>
            <w:vAlign w:val="bottom"/>
            <w:gridSpan w:val="3"/>
          </w:tcPr>
          <w:p>
            <w:pPr>
              <w:jc w:val="right"/>
              <w:ind w:right="620"/>
              <w:spacing w:after="0"/>
              <w:rPr>
                <w:sz w:val="20"/>
                <w:szCs w:val="20"/>
                <w:color w:val="auto"/>
              </w:rPr>
            </w:pPr>
            <w:r>
              <w:rPr>
                <w:rFonts w:ascii="Arial" w:cs="Arial" w:eastAsia="Arial" w:hAnsi="Arial"/>
                <w:sz w:val="18"/>
                <w:szCs w:val="18"/>
                <w:color w:val="auto"/>
              </w:rPr>
              <w:t>2021 – 2025</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2018 – 2020</w:t>
            </w: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Probability for success in phase 2</w:t>
            </w: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540" w:type="dxa"/>
            <w:vAlign w:val="bottom"/>
          </w:tcPr>
          <w:p>
            <w:pPr>
              <w:spacing w:after="0"/>
              <w:rPr>
                <w:sz w:val="22"/>
                <w:szCs w:val="22"/>
                <w:color w:val="auto"/>
              </w:rPr>
            </w:pPr>
          </w:p>
        </w:tc>
        <w:tc>
          <w:tcPr>
            <w:tcW w:w="7900" w:type="dxa"/>
            <w:vAlign w:val="bottom"/>
            <w:gridSpan w:val="2"/>
          </w:tcPr>
          <w:p>
            <w:pPr>
              <w:ind w:left="300"/>
              <w:spacing w:after="0"/>
              <w:rPr>
                <w:sz w:val="20"/>
                <w:szCs w:val="20"/>
                <w:color w:val="auto"/>
              </w:rPr>
            </w:pPr>
            <w:r>
              <w:rPr>
                <w:rFonts w:ascii="Arial" w:cs="Arial" w:eastAsia="Arial" w:hAnsi="Arial"/>
                <w:sz w:val="18"/>
                <w:szCs w:val="18"/>
                <w:color w:val="auto"/>
              </w:rPr>
              <w:t>Probability of entering Phase 2b/3 for Hypo</w:t>
            </w: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540" w:type="dxa"/>
            <w:vAlign w:val="bottom"/>
            <w:shd w:val="clear" w:color="auto" w:fill="CCEEFF"/>
          </w:tcPr>
          <w:p>
            <w:pPr>
              <w:spacing w:after="0"/>
              <w:rPr>
                <w:sz w:val="22"/>
                <w:szCs w:val="22"/>
                <w:color w:val="auto"/>
              </w:rPr>
            </w:pPr>
          </w:p>
        </w:tc>
        <w:tc>
          <w:tcPr>
            <w:tcW w:w="7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Probability for IPO</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40" w:type="dxa"/>
            <w:vAlign w:val="bottom"/>
          </w:tcPr>
          <w:p>
            <w:pPr>
              <w:spacing w:after="0"/>
              <w:rPr>
                <w:sz w:val="23"/>
                <w:szCs w:val="23"/>
                <w:color w:val="auto"/>
              </w:rPr>
            </w:pPr>
          </w:p>
        </w:tc>
        <w:tc>
          <w:tcPr>
            <w:tcW w:w="2580" w:type="dxa"/>
            <w:vAlign w:val="bottom"/>
            <w:tcBorders>
              <w:bottom w:val="single" w:sz="8" w:color="auto"/>
            </w:tcBorders>
          </w:tcPr>
          <w:p>
            <w:pPr>
              <w:spacing w:after="0"/>
              <w:rPr>
                <w:sz w:val="23"/>
                <w:szCs w:val="23"/>
                <w:color w:val="auto"/>
              </w:rPr>
            </w:pPr>
          </w:p>
        </w:tc>
        <w:tc>
          <w:tcPr>
            <w:tcW w:w="5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63715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91" w:lineRule="exact"/>
        <w:rPr>
          <w:sz w:val="20"/>
          <w:szCs w:val="20"/>
          <w:color w:val="auto"/>
        </w:rPr>
      </w:pPr>
    </w:p>
    <w:p>
      <w:pPr>
        <w:ind w:left="900" w:hanging="352"/>
        <w:spacing w:after="0"/>
        <w:tabs>
          <w:tab w:leader="none" w:pos="9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value of equity was based on the valuation performed as detailed in note 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135" w:lineRule="exact"/>
        <w:rPr>
          <w:sz w:val="20"/>
          <w:szCs w:val="20"/>
          <w:color w:val="auto"/>
        </w:rPr>
      </w:pPr>
    </w:p>
    <w:p>
      <w:pPr>
        <w:ind w:left="540" w:right="500" w:hanging="352"/>
        <w:spacing w:after="0" w:line="264" w:lineRule="auto"/>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On June 29, 2014, the Company entered into a lease agreement for the building it uses in consideration of approximately $58 thousand per year. The lease agreement expired on June 30, 2016 and the Company utilized its option to extend it for an additional one year period until June 30, 2017.</w:t>
      </w:r>
    </w:p>
    <w:p>
      <w:pPr>
        <w:spacing w:after="0" w:line="127" w:lineRule="exact"/>
        <w:rPr>
          <w:rFonts w:ascii="Arial" w:cs="Arial" w:eastAsia="Arial" w:hAnsi="Arial"/>
          <w:sz w:val="18"/>
          <w:szCs w:val="18"/>
          <w:b w:val="1"/>
          <w:bCs w:val="1"/>
          <w:color w:val="auto"/>
        </w:rPr>
      </w:pPr>
    </w:p>
    <w:p>
      <w:pPr>
        <w:ind w:left="540" w:right="800" w:hanging="352"/>
        <w:spacing w:after="0" w:line="308" w:lineRule="auto"/>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In 2014, the Company entered into operating lease agreements for two vehicles and in 2015 for an additional vehicle. The leases will expire during the years 2017 and 2018. The projected annual lease payments are approximately $26 thousand per year.</w:t>
      </w:r>
    </w:p>
    <w:p>
      <w:pPr>
        <w:spacing w:after="0" w:line="92" w:lineRule="exact"/>
        <w:rPr>
          <w:rFonts w:ascii="Arial" w:cs="Arial" w:eastAsia="Arial" w:hAnsi="Arial"/>
          <w:sz w:val="17"/>
          <w:szCs w:val="17"/>
          <w:b w:val="1"/>
          <w:bCs w:val="1"/>
          <w:color w:val="auto"/>
        </w:rPr>
      </w:pPr>
    </w:p>
    <w:p>
      <w:pPr>
        <w:ind w:left="540" w:hanging="352"/>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The Company is committed to pay royalties to Oramed — see also note 6.</w:t>
      </w:r>
    </w:p>
    <w:p>
      <w:pPr>
        <w:spacing w:after="0" w:line="171" w:lineRule="exact"/>
        <w:rPr>
          <w:rFonts w:ascii="Arial" w:cs="Arial" w:eastAsia="Arial" w:hAnsi="Arial"/>
          <w:sz w:val="18"/>
          <w:szCs w:val="18"/>
          <w:b w:val="1"/>
          <w:bCs w:val="1"/>
          <w:color w:val="auto"/>
        </w:rPr>
      </w:pPr>
    </w:p>
    <w:p>
      <w:pPr>
        <w:ind w:left="540" w:right="460" w:hanging="352"/>
        <w:spacing w:after="0" w:line="270" w:lineRule="auto"/>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2016, the total royalty amount that would be payable by the Company, before the additional Libor interest, is approximately $460 thousand.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6" w:name="page197"/>
    <w:bookmarkEnd w:id="19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w:t>
      </w:r>
    </w:p>
    <w:p>
      <w:pPr>
        <w:spacing w:after="0" w:line="67" w:lineRule="exact"/>
        <w:rPr>
          <w:sz w:val="20"/>
          <w:szCs w:val="20"/>
          <w:color w:val="auto"/>
        </w:rPr>
      </w:pPr>
    </w:p>
    <w:p>
      <w:pPr>
        <w:ind w:left="540" w:hanging="352"/>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Composed of ordinary shares of NIS 0.01 par value,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Number of shares</w:t>
            </w:r>
          </w:p>
        </w:tc>
      </w:tr>
      <w:tr>
        <w:trPr>
          <w:trHeight w:val="26"/>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7"/>
          </w:tcPr>
          <w:p>
            <w:pPr>
              <w:spacing w:after="0"/>
              <w:rPr>
                <w:sz w:val="2"/>
                <w:szCs w:val="2"/>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December 31</w:t>
            </w:r>
          </w:p>
        </w:tc>
      </w:tr>
      <w:tr>
        <w:trPr>
          <w:trHeight w:val="26"/>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2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Authorized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8940" w:type="dxa"/>
            <w:vAlign w:val="bottom"/>
            <w:gridSpan w:val="2"/>
          </w:tcPr>
          <w:p>
            <w:pPr>
              <w:ind w:left="1100"/>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34,544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34,396</w:t>
            </w:r>
          </w:p>
        </w:tc>
        <w:tc>
          <w:tcPr>
            <w:tcW w:w="26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64401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168" w:lineRule="exact"/>
        <w:rPr>
          <w:sz w:val="20"/>
          <w:szCs w:val="20"/>
          <w:color w:val="auto"/>
        </w:rPr>
      </w:pPr>
    </w:p>
    <w:p>
      <w:pPr>
        <w:ind w:left="540"/>
        <w:spacing w:after="0" w:line="286" w:lineRule="auto"/>
        <w:rPr>
          <w:sz w:val="20"/>
          <w:szCs w:val="20"/>
          <w:color w:val="auto"/>
        </w:rPr>
      </w:pPr>
      <w:r>
        <w:rPr>
          <w:rFonts w:ascii="Arial" w:cs="Arial" w:eastAsia="Arial" w:hAnsi="Arial"/>
          <w:sz w:val="17"/>
          <w:szCs w:val="17"/>
          <w:color w:val="auto"/>
        </w:rPr>
        <w:t>The Ordinary Shares confer upon their holders the following rights: (i) the right to vote in any general meeting of the Company, (ii) the right to receive dividends,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62" w:lineRule="exact"/>
        <w:rPr>
          <w:sz w:val="20"/>
          <w:szCs w:val="20"/>
          <w:color w:val="auto"/>
        </w:rPr>
      </w:pPr>
    </w:p>
    <w:p>
      <w:pPr>
        <w:ind w:left="540" w:hanging="352"/>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80" w:lineRule="exact"/>
        <w:rPr>
          <w:rFonts w:ascii="Arial" w:cs="Arial" w:eastAsia="Arial" w:hAnsi="Arial"/>
          <w:sz w:val="18"/>
          <w:szCs w:val="18"/>
          <w:b w:val="1"/>
          <w:bCs w:val="1"/>
          <w:color w:val="auto"/>
        </w:rPr>
      </w:pPr>
    </w:p>
    <w:p>
      <w:pPr>
        <w:ind w:left="900" w:hanging="352"/>
        <w:spacing w:after="0"/>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Share based compensation plan</w:t>
      </w:r>
    </w:p>
    <w:p>
      <w:pPr>
        <w:spacing w:after="0" w:line="117" w:lineRule="exact"/>
        <w:rPr>
          <w:rFonts w:ascii="Arial" w:cs="Arial" w:eastAsia="Arial" w:hAnsi="Arial"/>
          <w:sz w:val="18"/>
          <w:szCs w:val="18"/>
          <w:color w:val="auto"/>
        </w:rPr>
      </w:pPr>
    </w:p>
    <w:p>
      <w:pPr>
        <w:ind w:left="900" w:right="140"/>
        <w:spacing w:after="0" w:line="259" w:lineRule="auto"/>
        <w:rPr>
          <w:rFonts w:ascii="Arial" w:cs="Arial" w:eastAsia="Arial" w:hAnsi="Arial"/>
          <w:sz w:val="18"/>
          <w:szCs w:val="18"/>
          <w:color w:val="auto"/>
        </w:rPr>
      </w:pPr>
      <w:r>
        <w:rPr>
          <w:rFonts w:ascii="Arial" w:cs="Arial" w:eastAsia="Arial" w:hAnsi="Arial"/>
          <w:sz w:val="18"/>
          <w:szCs w:val="18"/>
          <w:color w:val="auto"/>
        </w:rPr>
        <w:t>On March 17, 2013, the Company’s board of directors approved a Share Incentive Plan (the “Plan”). Under the Plan, the Company shall reserve sufficient number of Ordinary Shares, NIS 0.01 par value, of the Company for allocation of stock options, restricted share units, restricted share awards and performance-based awards (the “Option”), to employees and non-employees. Each Option is exercisable to acquire one ordinary share.</w:t>
      </w:r>
    </w:p>
    <w:p>
      <w:pPr>
        <w:spacing w:after="0" w:line="7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Any option granted under the Plan that is not exercised within six years from the date upon which it becomes exercisable will expire.</w:t>
      </w:r>
    </w:p>
    <w:p>
      <w:pPr>
        <w:spacing w:after="0" w:line="117" w:lineRule="exact"/>
        <w:rPr>
          <w:rFonts w:ascii="Arial" w:cs="Arial" w:eastAsia="Arial" w:hAnsi="Arial"/>
          <w:sz w:val="18"/>
          <w:szCs w:val="18"/>
          <w:color w:val="auto"/>
        </w:rPr>
      </w:pPr>
    </w:p>
    <w:p>
      <w:pPr>
        <w:ind w:left="900" w:right="60"/>
        <w:spacing w:after="0" w:line="264" w:lineRule="auto"/>
        <w:rPr>
          <w:rFonts w:ascii="Arial" w:cs="Arial" w:eastAsia="Arial" w:hAnsi="Arial"/>
          <w:sz w:val="18"/>
          <w:szCs w:val="18"/>
          <w:color w:val="auto"/>
        </w:rPr>
      </w:pPr>
      <w:r>
        <w:rPr>
          <w:rFonts w:ascii="Arial" w:cs="Arial" w:eastAsia="Arial" w:hAnsi="Arial"/>
          <w:sz w:val="18"/>
          <w:szCs w:val="18"/>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73" w:lineRule="exact"/>
        <w:rPr>
          <w:rFonts w:ascii="Arial" w:cs="Arial" w:eastAsia="Arial" w:hAnsi="Arial"/>
          <w:sz w:val="18"/>
          <w:szCs w:val="18"/>
          <w:color w:val="auto"/>
        </w:rPr>
      </w:pPr>
    </w:p>
    <w:p>
      <w:pPr>
        <w:jc w:val="both"/>
        <w:ind w:left="900" w:right="500"/>
        <w:spacing w:after="0" w:line="334" w:lineRule="auto"/>
        <w:rPr>
          <w:rFonts w:ascii="Arial" w:cs="Arial" w:eastAsia="Arial" w:hAnsi="Arial"/>
          <w:sz w:val="18"/>
          <w:szCs w:val="18"/>
          <w:color w:val="auto"/>
        </w:rPr>
      </w:pPr>
      <w:r>
        <w:rPr>
          <w:rFonts w:ascii="Arial" w:cs="Arial" w:eastAsia="Arial" w:hAnsi="Arial"/>
          <w:sz w:val="16"/>
          <w:szCs w:val="16"/>
          <w:color w:val="auto"/>
        </w:rPr>
        <w:t>Options granted to related parties or non-employees of the Company are governed by Section 3(i) of the Ordinance. The Company will be allowed to claim as an expense for tax purposes in the year in which the related parties or non-employees exercised the options into shares.</w:t>
      </w:r>
    </w:p>
    <w:p>
      <w:pPr>
        <w:spacing w:after="0" w:line="1" w:lineRule="exact"/>
        <w:rPr>
          <w:rFonts w:ascii="Arial" w:cs="Arial" w:eastAsia="Arial" w:hAnsi="Arial"/>
          <w:sz w:val="18"/>
          <w:szCs w:val="18"/>
          <w:color w:val="auto"/>
        </w:rPr>
      </w:pPr>
    </w:p>
    <w:p>
      <w:pPr>
        <w:ind w:left="900" w:hanging="352"/>
        <w:spacing w:after="0"/>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Options grants:</w:t>
      </w:r>
    </w:p>
    <w:p>
      <w:pPr>
        <w:spacing w:after="0" w:line="90" w:lineRule="exact"/>
        <w:rPr>
          <w:rFonts w:ascii="Arial" w:cs="Arial" w:eastAsia="Arial" w:hAnsi="Arial"/>
          <w:sz w:val="18"/>
          <w:szCs w:val="18"/>
          <w:color w:val="auto"/>
        </w:rPr>
      </w:pPr>
    </w:p>
    <w:p>
      <w:pPr>
        <w:ind w:left="1260" w:right="900" w:hanging="352"/>
        <w:spacing w:after="0" w:line="286" w:lineRule="auto"/>
        <w:tabs>
          <w:tab w:leader="none" w:pos="1260" w:val="left"/>
        </w:tabs>
        <w:numPr>
          <w:ilvl w:val="2"/>
          <w:numId w:val="116"/>
        </w:numPr>
        <w:rPr>
          <w:rFonts w:ascii="Arial" w:cs="Arial" w:eastAsia="Arial" w:hAnsi="Arial"/>
          <w:sz w:val="17"/>
          <w:szCs w:val="17"/>
          <w:color w:val="auto"/>
        </w:rPr>
      </w:pPr>
      <w:r>
        <w:rPr>
          <w:rFonts w:ascii="Arial" w:cs="Arial" w:eastAsia="Arial" w:hAnsi="Arial"/>
          <w:sz w:val="17"/>
          <w:szCs w:val="17"/>
          <w:color w:val="auto"/>
        </w:rPr>
        <w:t>As part of the Joint Venture Agreement, the Company granted to its CEO 3,296 options, that reflected upon exercise 9.9% of the Company’s equity at the date of grant, with an exercise price of NIS 0.01 (par value). The options vested over a period of three years from the grant date. The fair value of the options at the date of grant was $132 thousand.</w:t>
      </w:r>
    </w:p>
    <w:p>
      <w:pPr>
        <w:spacing w:after="0" w:line="30" w:lineRule="exact"/>
        <w:rPr>
          <w:rFonts w:ascii="Arial" w:cs="Arial" w:eastAsia="Arial" w:hAnsi="Arial"/>
          <w:sz w:val="17"/>
          <w:szCs w:val="17"/>
          <w:color w:val="auto"/>
        </w:rPr>
      </w:pPr>
    </w:p>
    <w:p>
      <w:pPr>
        <w:ind w:left="1260" w:right="720" w:hanging="352"/>
        <w:spacing w:after="0" w:line="243" w:lineRule="auto"/>
        <w:tabs>
          <w:tab w:leader="none" w:pos="12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 xml:space="preserve">In January 2014, the Company granted to two service providers (which were accounted for as “employees and others providing similar services” under IFRS 2) 500 options with an exercise price of $273.88. 100 options were granted immediately and will vest over 4 years from the date of grant;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vest on the first anniversary of the date of grant and the remaining vest in twelve equal quarterly installments following the first anniversary of the applicable grant date. The grant of the remaining 400 options is subject to the fulfillment of certain milestones with respect to certain trials conducted by the subcontractors as part of the Company’s development plans. The fair value of the options at the date of grant was $70 thousand. In March 2016, the Company terminated a service agreement with one of the service providers, but the Company did not forfeit the options granted. As such, the Company accelerated the vesting period.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7" w:name="page198"/>
    <w:bookmarkEnd w:id="19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 (Continued)</w:t>
      </w:r>
    </w:p>
    <w:p>
      <w:pPr>
        <w:spacing w:after="0" w:line="162" w:lineRule="exact"/>
        <w:rPr>
          <w:sz w:val="20"/>
          <w:szCs w:val="20"/>
          <w:color w:val="auto"/>
        </w:rPr>
      </w:pPr>
    </w:p>
    <w:p>
      <w:pPr>
        <w:ind w:left="1260" w:right="740" w:hanging="352"/>
        <w:spacing w:after="0" w:line="261" w:lineRule="auto"/>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 March 2015, the Company granted options to purchase 327 ordinary shares to certain of the Company’s directors, out of which 85 options were with an exercise price of $240, and 242 options were with an exercise price of NIS 0.01 (par value). The options vest over 4 years from the date of appointment as directors;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vest on the first anniversary of the date of grant and the remaining vest in twelve equal quarterly installments following the first anniversary of the applicable grant date. The fair value of the options at the date of grant was $398 thousand.</w:t>
      </w:r>
    </w:p>
    <w:p>
      <w:pPr>
        <w:spacing w:after="0" w:line="130" w:lineRule="exact"/>
        <w:rPr>
          <w:rFonts w:ascii="Arial" w:cs="Arial" w:eastAsia="Arial" w:hAnsi="Arial"/>
          <w:sz w:val="18"/>
          <w:szCs w:val="18"/>
          <w:color w:val="auto"/>
        </w:rPr>
      </w:pPr>
    </w:p>
    <w:p>
      <w:pPr>
        <w:jc w:val="both"/>
        <w:ind w:left="1260" w:right="840" w:hanging="352"/>
        <w:spacing w:after="0" w:line="295"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In December 2015, the Company granted options to purchase 1,133 ordinary shares to a certain director with an exercise price of $479.38.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xml:space="preserve"> of the options vested on April 23, 2016, </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xml:space="preserve"> of the options shall vest on April 23, 2017 and the remaining shall vest on April 23, 2018. The fair value of the options at the date of grant was $1,067 thousand.</w:t>
      </w:r>
    </w:p>
    <w:p>
      <w:pPr>
        <w:spacing w:after="0" w:line="103" w:lineRule="exact"/>
        <w:rPr>
          <w:rFonts w:ascii="Arial" w:cs="Arial" w:eastAsia="Arial" w:hAnsi="Arial"/>
          <w:sz w:val="17"/>
          <w:szCs w:val="17"/>
          <w:color w:val="auto"/>
        </w:rPr>
      </w:pPr>
    </w:p>
    <w:p>
      <w:pPr>
        <w:ind w:left="1260" w:hanging="352"/>
        <w:spacing w:after="0"/>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March 2016, the Company granted options to purchase 1,133 ordinary shares to a certain director with an exercise price of</w:t>
      </w:r>
    </w:p>
    <w:p>
      <w:pPr>
        <w:spacing w:after="0" w:line="23" w:lineRule="exact"/>
        <w:rPr>
          <w:rFonts w:ascii="Arial" w:cs="Arial" w:eastAsia="Arial" w:hAnsi="Arial"/>
          <w:sz w:val="18"/>
          <w:szCs w:val="18"/>
          <w:color w:val="auto"/>
        </w:rPr>
      </w:pPr>
    </w:p>
    <w:p>
      <w:pPr>
        <w:ind w:left="1260" w:right="920"/>
        <w:spacing w:after="0" w:line="276" w:lineRule="auto"/>
        <w:rPr>
          <w:rFonts w:ascii="Arial" w:cs="Arial" w:eastAsia="Arial" w:hAnsi="Arial"/>
          <w:sz w:val="18"/>
          <w:szCs w:val="18"/>
          <w:color w:val="auto"/>
        </w:rPr>
      </w:pPr>
      <w:r>
        <w:rPr>
          <w:rFonts w:ascii="Arial" w:cs="Arial" w:eastAsia="Arial" w:hAnsi="Arial"/>
          <w:sz w:val="18"/>
          <w:szCs w:val="18"/>
          <w:color w:val="auto"/>
        </w:rPr>
        <w:t xml:space="preserve">$479.38.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options vested on April 29, 2016,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options shall vest on July 29, 2017 and the remaining shall vest on July 29, 2018. The fair value of the options at the date of grant was $827 thousand.</w:t>
      </w:r>
    </w:p>
    <w:p>
      <w:pPr>
        <w:spacing w:after="0" w:line="117" w:lineRule="exact"/>
        <w:rPr>
          <w:rFonts w:ascii="Arial" w:cs="Arial" w:eastAsia="Arial" w:hAnsi="Arial"/>
          <w:sz w:val="18"/>
          <w:szCs w:val="18"/>
          <w:color w:val="auto"/>
        </w:rPr>
      </w:pPr>
    </w:p>
    <w:p>
      <w:pPr>
        <w:jc w:val="both"/>
        <w:ind w:left="1260" w:right="940" w:hanging="352"/>
        <w:spacing w:after="0" w:line="264" w:lineRule="auto"/>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Through May and during November 2016, the Company granted options to purchase 24 ordinary shares to a certain consultant, with an exercise price of par value (0.01 NIS). The options vested immediately. The fair value of the options at the date of grant was $24 thousand.</w:t>
      </w:r>
    </w:p>
    <w:p>
      <w:pPr>
        <w:spacing w:after="0" w:line="127" w:lineRule="exact"/>
        <w:rPr>
          <w:rFonts w:ascii="Arial" w:cs="Arial" w:eastAsia="Arial" w:hAnsi="Arial"/>
          <w:sz w:val="18"/>
          <w:szCs w:val="18"/>
          <w:color w:val="auto"/>
        </w:rPr>
      </w:pPr>
    </w:p>
    <w:p>
      <w:pPr>
        <w:ind w:left="1260" w:hanging="352"/>
        <w:spacing w:after="0"/>
        <w:tabs>
          <w:tab w:leader="none" w:pos="1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August 2016, the Company granted options to purchase 494 ordinary shares to certain employees with an exercise price of</w:t>
      </w:r>
    </w:p>
    <w:p>
      <w:pPr>
        <w:spacing w:after="0" w:line="23" w:lineRule="exact"/>
        <w:rPr>
          <w:rFonts w:ascii="Arial" w:cs="Arial" w:eastAsia="Arial" w:hAnsi="Arial"/>
          <w:sz w:val="18"/>
          <w:szCs w:val="18"/>
          <w:color w:val="auto"/>
        </w:rPr>
      </w:pPr>
    </w:p>
    <w:p>
      <w:pPr>
        <w:ind w:left="1260" w:right="7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$479. The options vest over 4 years from the date of grant;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4</w:t>
      </w:r>
      <w:r>
        <w:rPr>
          <w:rFonts w:ascii="Arial" w:cs="Arial" w:eastAsia="Arial" w:hAnsi="Arial"/>
          <w:sz w:val="18"/>
          <w:szCs w:val="18"/>
          <w:color w:val="auto"/>
        </w:rPr>
        <w:t xml:space="preserve"> vest on the first anniversary of the date of grant and the remaining vest in twelve equal quarterly installments following the first anniversary of the applicable grant date. The fair value of the options at the date of grant was $362 thousand.</w:t>
      </w:r>
    </w:p>
    <w:p>
      <w:pPr>
        <w:spacing w:after="0" w:line="129" w:lineRule="exact"/>
        <w:rPr>
          <w:rFonts w:ascii="Arial" w:cs="Arial" w:eastAsia="Arial" w:hAnsi="Arial"/>
          <w:sz w:val="18"/>
          <w:szCs w:val="18"/>
          <w:color w:val="auto"/>
        </w:rPr>
      </w:pPr>
    </w:p>
    <w:p>
      <w:pPr>
        <w:ind w:left="900" w:right="780" w:hanging="352"/>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fair value of each option granted (except options with an exercise price of par value, as described below) is estimated at the date of grant using the Black-Scholes option-pricing model, with the following weighted average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9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952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Ordinary share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9520" w:type="dxa"/>
            <w:vAlign w:val="bottom"/>
            <w:tcBorders>
              <w:bottom w:val="single" w:sz="8" w:color="CCEEFF"/>
            </w:tcBorders>
            <w:gridSpan w:val="2"/>
          </w:tcPr>
          <w:p>
            <w:pPr>
              <w:ind w:left="1400"/>
              <w:spacing w:after="0"/>
              <w:rPr>
                <w:sz w:val="20"/>
                <w:szCs w:val="20"/>
                <w:color w:val="auto"/>
              </w:rPr>
            </w:pPr>
            <w:r>
              <w:rPr>
                <w:rFonts w:ascii="Arial" w:cs="Arial" w:eastAsia="Arial" w:hAnsi="Arial"/>
                <w:sz w:val="18"/>
                <w:szCs w:val="18"/>
                <w:color w:val="auto"/>
              </w:rPr>
              <w:t>Exercise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r>
      <w:tr>
        <w:trPr>
          <w:trHeight w:val="237"/>
        </w:trPr>
        <w:tc>
          <w:tcPr>
            <w:tcW w:w="952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Dividend yield</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spacing w:after="0"/>
              <w:rPr>
                <w:sz w:val="20"/>
                <w:szCs w:val="20"/>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7"/>
        </w:trPr>
        <w:tc>
          <w:tcPr>
            <w:tcW w:w="9520" w:type="dxa"/>
            <w:vAlign w:val="bottom"/>
            <w:gridSpan w:val="2"/>
          </w:tcPr>
          <w:p>
            <w:pPr>
              <w:ind w:left="1400"/>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r>
      <w:tr>
        <w:trPr>
          <w:trHeight w:val="20"/>
        </w:trPr>
        <w:tc>
          <w:tcPr>
            <w:tcW w:w="9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237"/>
        </w:trPr>
        <w:tc>
          <w:tcPr>
            <w:tcW w:w="9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9520" w:type="dxa"/>
            <w:vAlign w:val="bottom"/>
            <w:gridSpan w:val="2"/>
          </w:tcPr>
          <w:p>
            <w:pPr>
              <w:ind w:left="1400"/>
              <w:spacing w:after="0"/>
              <w:rPr>
                <w:sz w:val="20"/>
                <w:szCs w:val="20"/>
                <w:color w:val="auto"/>
              </w:rPr>
            </w:pPr>
            <w:r>
              <w:rPr>
                <w:rFonts w:ascii="Arial" w:cs="Arial" w:eastAsia="Arial" w:hAnsi="Arial"/>
                <w:sz w:val="18"/>
                <w:szCs w:val="18"/>
                <w:color w:val="auto"/>
              </w:rPr>
              <w:t>Expected life – in years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66376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36" w:lineRule="exact"/>
        <w:rPr>
          <w:sz w:val="20"/>
          <w:szCs w:val="20"/>
          <w:color w:val="auto"/>
        </w:rPr>
      </w:pPr>
    </w:p>
    <w:p>
      <w:pPr>
        <w:ind w:left="900" w:right="80"/>
        <w:spacing w:after="0" w:line="259" w:lineRule="auto"/>
        <w:rPr>
          <w:sz w:val="20"/>
          <w:szCs w:val="20"/>
          <w:color w:val="auto"/>
        </w:rPr>
      </w:pPr>
      <w:r>
        <w:rPr>
          <w:rFonts w:ascii="Arial" w:cs="Arial" w:eastAsia="Arial" w:hAnsi="Arial"/>
          <w:sz w:val="18"/>
          <w:szCs w:val="18"/>
          <w:color w:val="auto"/>
        </w:rPr>
        <w:t>The fair value of each option with an exercise price of NIS 0.01 is based on the fair value of ordinary share at the date of grant. The ordinary share price is derived from the value of equity and was based on the valuation performed (as detailed in note 6). The expected volatility is based on comparable companies. The risk-free interest rate is determined based on rates of return on maturity of unlinked treasury bonds with a time to maturity that equals the average life of the options.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8" w:name="page199"/>
    <w:bookmarkEnd w:id="198"/>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 (Continued)</w:t>
      </w:r>
    </w:p>
    <w:p>
      <w:pPr>
        <w:spacing w:after="0" w:line="162" w:lineRule="exact"/>
        <w:rPr>
          <w:sz w:val="20"/>
          <w:szCs w:val="20"/>
          <w:color w:val="auto"/>
        </w:rPr>
      </w:pPr>
    </w:p>
    <w:p>
      <w:pPr>
        <w:ind w:left="900" w:hanging="352"/>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Changes in the number of options and weighted average exercise prices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6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6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ind w:left="2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500" w:type="dxa"/>
            <w:vAlign w:val="bottom"/>
          </w:tcPr>
          <w:p>
            <w:pPr>
              <w:spacing w:after="0"/>
              <w:rPr>
                <w:sz w:val="14"/>
                <w:szCs w:val="14"/>
                <w:color w:val="auto"/>
              </w:rPr>
            </w:pPr>
          </w:p>
        </w:tc>
        <w:tc>
          <w:tcPr>
            <w:tcW w:w="9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exercise</w:t>
            </w:r>
          </w:p>
        </w:tc>
        <w:tc>
          <w:tcPr>
            <w:tcW w:w="96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5"/>
          </w:tcPr>
          <w:p>
            <w:pPr>
              <w:ind w:left="280"/>
              <w:spacing w:after="0"/>
              <w:rPr>
                <w:sz w:val="20"/>
                <w:szCs w:val="20"/>
                <w:color w:val="auto"/>
              </w:rPr>
            </w:pPr>
            <w:r>
              <w:rPr>
                <w:rFonts w:ascii="Arial" w:cs="Arial" w:eastAsia="Arial" w:hAnsi="Arial"/>
                <w:sz w:val="14"/>
                <w:szCs w:val="14"/>
                <w:b w:val="1"/>
                <w:bCs w:val="1"/>
                <w:color w:val="auto"/>
              </w:rPr>
              <w:t>exercise</w:t>
            </w:r>
          </w:p>
        </w:tc>
      </w:tr>
      <w:tr>
        <w:trPr>
          <w:trHeight w:val="186"/>
        </w:trPr>
        <w:tc>
          <w:tcPr>
            <w:tcW w:w="6500" w:type="dxa"/>
            <w:vAlign w:val="bottom"/>
          </w:tcPr>
          <w:p>
            <w:pPr>
              <w:spacing w:after="0"/>
              <w:rPr>
                <w:sz w:val="16"/>
                <w:szCs w:val="16"/>
                <w:color w:val="auto"/>
              </w:rPr>
            </w:pPr>
          </w:p>
        </w:tc>
        <w:tc>
          <w:tcPr>
            <w:tcW w:w="92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price</w:t>
            </w:r>
          </w:p>
        </w:tc>
        <w:tc>
          <w:tcPr>
            <w:tcW w:w="9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price</w:t>
            </w:r>
          </w:p>
        </w:tc>
      </w:tr>
      <w:tr>
        <w:trPr>
          <w:trHeight w:val="26"/>
        </w:trPr>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65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Outstanding at beginning of year</w:t>
            </w:r>
          </w:p>
        </w:tc>
        <w:tc>
          <w:tcPr>
            <w:tcW w:w="720" w:type="dxa"/>
            <w:vAlign w:val="bottom"/>
            <w:gridSpan w:val="2"/>
            <w:shd w:val="clear" w:color="auto" w:fill="CCEEFF"/>
          </w:tcPr>
          <w:p>
            <w:pPr>
              <w:jc w:val="center"/>
              <w:ind w:left="236"/>
              <w:spacing w:after="0"/>
              <w:rPr>
                <w:sz w:val="20"/>
                <w:szCs w:val="20"/>
                <w:color w:val="auto"/>
              </w:rPr>
            </w:pPr>
            <w:r>
              <w:rPr>
                <w:rFonts w:ascii="Arial" w:cs="Arial" w:eastAsia="Arial" w:hAnsi="Arial"/>
                <w:sz w:val="18"/>
                <w:szCs w:val="18"/>
                <w:color w:val="auto"/>
                <w:w w:val="88"/>
              </w:rPr>
              <w:t>7,092</w:t>
            </w:r>
          </w:p>
        </w:tc>
        <w:tc>
          <w:tcPr>
            <w:tcW w:w="200" w:type="dxa"/>
            <w:vAlign w:val="bottom"/>
            <w:shd w:val="clear" w:color="auto" w:fill="CCEEFF"/>
          </w:tcPr>
          <w:p>
            <w:pPr>
              <w:spacing w:after="0"/>
              <w:rPr>
                <w:sz w:val="21"/>
                <w:szCs w:val="21"/>
                <w:color w:val="auto"/>
              </w:rPr>
            </w:pPr>
          </w:p>
        </w:tc>
        <w:tc>
          <w:tcPr>
            <w:tcW w:w="1400" w:type="dxa"/>
            <w:vAlign w:val="bottom"/>
            <w:gridSpan w:val="5"/>
            <w:shd w:val="clear" w:color="auto" w:fill="CCEEFF"/>
          </w:tcPr>
          <w:p>
            <w:pPr>
              <w:jc w:val="center"/>
              <w:ind w:left="254"/>
              <w:spacing w:after="0"/>
              <w:rPr>
                <w:sz w:val="20"/>
                <w:szCs w:val="20"/>
                <w:color w:val="auto"/>
              </w:rPr>
            </w:pPr>
            <w:r>
              <w:rPr>
                <w:rFonts w:ascii="Arial" w:cs="Arial" w:eastAsia="Arial" w:hAnsi="Arial"/>
                <w:sz w:val="18"/>
                <w:szCs w:val="18"/>
                <w:color w:val="auto"/>
                <w:w w:val="90"/>
              </w:rPr>
              <w:t>$119.7</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93"/>
              </w:rPr>
              <w:t>5,632</w:t>
            </w:r>
          </w:p>
        </w:tc>
        <w:tc>
          <w:tcPr>
            <w:tcW w:w="720" w:type="dxa"/>
            <w:vAlign w:val="bottom"/>
            <w:gridSpan w:val="4"/>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50.69</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3"/>
        </w:trPr>
        <w:tc>
          <w:tcPr>
            <w:tcW w:w="6500" w:type="dxa"/>
            <w:vAlign w:val="bottom"/>
          </w:tcPr>
          <w:p>
            <w:pPr>
              <w:ind w:left="1400"/>
              <w:spacing w:after="0"/>
              <w:rPr>
                <w:sz w:val="20"/>
                <w:szCs w:val="20"/>
                <w:color w:val="auto"/>
              </w:rPr>
            </w:pPr>
            <w:r>
              <w:rPr>
                <w:rFonts w:ascii="Arial" w:cs="Arial" w:eastAsia="Arial" w:hAnsi="Arial"/>
                <w:sz w:val="18"/>
                <w:szCs w:val="18"/>
                <w:color w:val="auto"/>
              </w:rPr>
              <w:t>Granted</w:t>
            </w:r>
          </w:p>
        </w:tc>
        <w:tc>
          <w:tcPr>
            <w:tcW w:w="720" w:type="dxa"/>
            <w:vAlign w:val="bottom"/>
            <w:gridSpan w:val="2"/>
          </w:tcPr>
          <w:p>
            <w:pPr>
              <w:jc w:val="center"/>
              <w:ind w:left="236"/>
              <w:spacing w:after="0"/>
              <w:rPr>
                <w:sz w:val="20"/>
                <w:szCs w:val="20"/>
                <w:color w:val="auto"/>
              </w:rPr>
            </w:pPr>
            <w:r>
              <w:rPr>
                <w:rFonts w:ascii="Arial" w:cs="Arial" w:eastAsia="Arial" w:hAnsi="Arial"/>
                <w:sz w:val="18"/>
                <w:szCs w:val="18"/>
                <w:color w:val="auto"/>
                <w:w w:val="88"/>
              </w:rPr>
              <w:t>1,651</w:t>
            </w:r>
          </w:p>
        </w:tc>
        <w:tc>
          <w:tcPr>
            <w:tcW w:w="200" w:type="dxa"/>
            <w:vAlign w:val="bottom"/>
          </w:tcPr>
          <w:p>
            <w:pPr>
              <w:spacing w:after="0"/>
              <w:rPr>
                <w:sz w:val="22"/>
                <w:szCs w:val="22"/>
                <w:color w:val="auto"/>
              </w:rPr>
            </w:pPr>
          </w:p>
        </w:tc>
        <w:tc>
          <w:tcPr>
            <w:tcW w:w="1400" w:type="dxa"/>
            <w:vAlign w:val="bottom"/>
            <w:gridSpan w:val="5"/>
          </w:tcPr>
          <w:p>
            <w:pPr>
              <w:jc w:val="center"/>
              <w:ind w:left="254"/>
              <w:spacing w:after="0"/>
              <w:rPr>
                <w:sz w:val="20"/>
                <w:szCs w:val="20"/>
                <w:color w:val="auto"/>
              </w:rPr>
            </w:pPr>
            <w:r>
              <w:rPr>
                <w:rFonts w:ascii="Arial" w:cs="Arial" w:eastAsia="Arial" w:hAnsi="Arial"/>
                <w:sz w:val="18"/>
                <w:szCs w:val="18"/>
                <w:color w:val="auto"/>
                <w:w w:val="90"/>
              </w:rPr>
              <w:t>$472.3</w:t>
            </w:r>
          </w:p>
        </w:tc>
        <w:tc>
          <w:tcPr>
            <w:tcW w:w="200" w:type="dxa"/>
            <w:vAlign w:val="bottom"/>
          </w:tcPr>
          <w:p>
            <w:pPr>
              <w:spacing w:after="0"/>
              <w:rPr>
                <w:sz w:val="22"/>
                <w:szCs w:val="22"/>
                <w:color w:val="auto"/>
              </w:rPr>
            </w:pPr>
          </w:p>
        </w:tc>
        <w:tc>
          <w:tcPr>
            <w:tcW w:w="960" w:type="dxa"/>
            <w:vAlign w:val="bottom"/>
            <w:gridSpan w:val="3"/>
          </w:tcPr>
          <w:p>
            <w:pPr>
              <w:jc w:val="center"/>
              <w:ind w:left="56"/>
              <w:spacing w:after="0"/>
              <w:rPr>
                <w:sz w:val="20"/>
                <w:szCs w:val="20"/>
                <w:color w:val="auto"/>
              </w:rPr>
            </w:pPr>
            <w:r>
              <w:rPr>
                <w:rFonts w:ascii="Arial" w:cs="Arial" w:eastAsia="Arial" w:hAnsi="Arial"/>
                <w:sz w:val="18"/>
                <w:szCs w:val="18"/>
                <w:color w:val="auto"/>
                <w:w w:val="93"/>
              </w:rPr>
              <w:t>1,460</w:t>
            </w:r>
          </w:p>
        </w:tc>
        <w:tc>
          <w:tcPr>
            <w:tcW w:w="720" w:type="dxa"/>
            <w:vAlign w:val="bottom"/>
            <w:gridSpan w:val="4"/>
          </w:tcPr>
          <w:p>
            <w:pPr>
              <w:ind w:left="6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64"/>
        </w:trPr>
        <w:tc>
          <w:tcPr>
            <w:tcW w:w="65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Outstanding at end of year</w:t>
            </w:r>
          </w:p>
        </w:tc>
        <w:tc>
          <w:tcPr>
            <w:tcW w:w="720" w:type="dxa"/>
            <w:vAlign w:val="bottom"/>
            <w:gridSpan w:val="2"/>
            <w:shd w:val="clear" w:color="auto" w:fill="CCEEFF"/>
          </w:tcPr>
          <w:p>
            <w:pPr>
              <w:jc w:val="center"/>
              <w:ind w:left="236"/>
              <w:spacing w:after="0"/>
              <w:rPr>
                <w:sz w:val="20"/>
                <w:szCs w:val="20"/>
                <w:color w:val="auto"/>
              </w:rPr>
            </w:pPr>
            <w:r>
              <w:rPr>
                <w:rFonts w:ascii="Arial" w:cs="Arial" w:eastAsia="Arial" w:hAnsi="Arial"/>
                <w:sz w:val="18"/>
                <w:szCs w:val="18"/>
                <w:color w:val="auto"/>
                <w:w w:val="88"/>
              </w:rPr>
              <w:t>8,743</w:t>
            </w:r>
          </w:p>
        </w:tc>
        <w:tc>
          <w:tcPr>
            <w:tcW w:w="200" w:type="dxa"/>
            <w:vAlign w:val="bottom"/>
            <w:shd w:val="clear" w:color="auto" w:fill="CCEEFF"/>
          </w:tcPr>
          <w:p>
            <w:pPr>
              <w:spacing w:after="0"/>
              <w:rPr>
                <w:sz w:val="22"/>
                <w:szCs w:val="22"/>
                <w:color w:val="auto"/>
              </w:rPr>
            </w:pPr>
          </w:p>
        </w:tc>
        <w:tc>
          <w:tcPr>
            <w:tcW w:w="1400" w:type="dxa"/>
            <w:vAlign w:val="bottom"/>
            <w:gridSpan w:val="5"/>
            <w:shd w:val="clear" w:color="auto" w:fill="CCEEFF"/>
          </w:tcPr>
          <w:p>
            <w:pPr>
              <w:jc w:val="center"/>
              <w:ind w:left="254"/>
              <w:spacing w:after="0"/>
              <w:rPr>
                <w:sz w:val="20"/>
                <w:szCs w:val="20"/>
                <w:color w:val="auto"/>
              </w:rPr>
            </w:pPr>
            <w:r>
              <w:rPr>
                <w:rFonts w:ascii="Arial" w:cs="Arial" w:eastAsia="Arial" w:hAnsi="Arial"/>
                <w:sz w:val="18"/>
                <w:szCs w:val="18"/>
                <w:color w:val="auto"/>
                <w:w w:val="90"/>
              </w:rPr>
              <w:t>$186.3</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93"/>
              </w:rPr>
              <w:t>7,092</w:t>
            </w:r>
          </w:p>
        </w:tc>
        <w:tc>
          <w:tcPr>
            <w:tcW w:w="720" w:type="dxa"/>
            <w:vAlign w:val="bottom"/>
            <w:gridSpan w:val="4"/>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6500" w:type="dxa"/>
            <w:vAlign w:val="bottom"/>
          </w:tcPr>
          <w:p>
            <w:pPr>
              <w:ind w:left="1400"/>
              <w:spacing w:after="0"/>
              <w:rPr>
                <w:sz w:val="20"/>
                <w:szCs w:val="20"/>
                <w:color w:val="auto"/>
              </w:rPr>
            </w:pPr>
            <w:r>
              <w:rPr>
                <w:rFonts w:ascii="Arial" w:cs="Arial" w:eastAsia="Arial" w:hAnsi="Arial"/>
                <w:sz w:val="18"/>
                <w:szCs w:val="18"/>
                <w:color w:val="auto"/>
              </w:rPr>
              <w:t>Exercisable at end of year</w:t>
            </w:r>
          </w:p>
        </w:tc>
        <w:tc>
          <w:tcPr>
            <w:tcW w:w="720" w:type="dxa"/>
            <w:vAlign w:val="bottom"/>
            <w:gridSpan w:val="2"/>
          </w:tcPr>
          <w:p>
            <w:pPr>
              <w:jc w:val="center"/>
              <w:ind w:left="236"/>
              <w:spacing w:after="0"/>
              <w:rPr>
                <w:sz w:val="20"/>
                <w:szCs w:val="20"/>
                <w:color w:val="auto"/>
              </w:rPr>
            </w:pPr>
            <w:r>
              <w:rPr>
                <w:rFonts w:ascii="Arial" w:cs="Arial" w:eastAsia="Arial" w:hAnsi="Arial"/>
                <w:sz w:val="18"/>
                <w:szCs w:val="18"/>
                <w:color w:val="auto"/>
                <w:w w:val="88"/>
              </w:rPr>
              <w:t>6,426</w:t>
            </w:r>
          </w:p>
        </w:tc>
        <w:tc>
          <w:tcPr>
            <w:tcW w:w="200" w:type="dxa"/>
            <w:vAlign w:val="bottom"/>
          </w:tcPr>
          <w:p>
            <w:pPr>
              <w:spacing w:after="0"/>
              <w:rPr>
                <w:sz w:val="20"/>
                <w:szCs w:val="20"/>
                <w:color w:val="auto"/>
              </w:rPr>
            </w:pPr>
          </w:p>
        </w:tc>
        <w:tc>
          <w:tcPr>
            <w:tcW w:w="1400" w:type="dxa"/>
            <w:vAlign w:val="bottom"/>
            <w:gridSpan w:val="5"/>
          </w:tcPr>
          <w:p>
            <w:pPr>
              <w:jc w:val="center"/>
              <w:ind w:left="254"/>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93.73</w:t>
            </w:r>
          </w:p>
        </w:tc>
        <w:tc>
          <w:tcPr>
            <w:tcW w:w="200" w:type="dxa"/>
            <w:vAlign w:val="bottom"/>
          </w:tcPr>
          <w:p>
            <w:pPr>
              <w:spacing w:after="0"/>
              <w:rPr>
                <w:sz w:val="20"/>
                <w:szCs w:val="20"/>
                <w:color w:val="auto"/>
              </w:rPr>
            </w:pPr>
          </w:p>
        </w:tc>
        <w:tc>
          <w:tcPr>
            <w:tcW w:w="960" w:type="dxa"/>
            <w:vAlign w:val="bottom"/>
            <w:gridSpan w:val="3"/>
          </w:tcPr>
          <w:p>
            <w:pPr>
              <w:jc w:val="center"/>
              <w:ind w:left="56"/>
              <w:spacing w:after="0"/>
              <w:rPr>
                <w:sz w:val="20"/>
                <w:szCs w:val="20"/>
                <w:color w:val="auto"/>
              </w:rPr>
            </w:pPr>
            <w:r>
              <w:rPr>
                <w:rFonts w:ascii="Arial" w:cs="Arial" w:eastAsia="Arial" w:hAnsi="Arial"/>
                <w:sz w:val="18"/>
                <w:szCs w:val="18"/>
                <w:color w:val="auto"/>
                <w:w w:val="93"/>
              </w:rPr>
              <w:t>5,097</w:t>
            </w:r>
          </w:p>
        </w:tc>
        <w:tc>
          <w:tcPr>
            <w:tcW w:w="720" w:type="dxa"/>
            <w:vAlign w:val="bottom"/>
            <w:gridSpan w:val="4"/>
          </w:tcPr>
          <w:p>
            <w:pPr>
              <w:ind w:left="64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7054215</wp:posOffset>
            </wp:positionH>
            <wp:positionV relativeFrom="paragraph">
              <wp:posOffset>-385445</wp:posOffset>
            </wp:positionV>
            <wp:extent cx="1974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7322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-728345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-728345</wp:posOffset>
            </wp:positionV>
            <wp:extent cx="137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57283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155" w:lineRule="exact"/>
        <w:rPr>
          <w:sz w:val="20"/>
          <w:szCs w:val="20"/>
          <w:color w:val="auto"/>
        </w:rPr>
      </w:pPr>
    </w:p>
    <w:p>
      <w:pPr>
        <w:ind w:left="900" w:hanging="352"/>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following is information about the exercise price and remaining contractual life of outstanding options at year-end: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 2016</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124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68"/>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average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of</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68"/>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remaining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8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r>
      <w:tr>
        <w:trPr>
          <w:trHeight w:val="162"/>
        </w:trPr>
        <w:tc>
          <w:tcPr>
            <w:tcW w:w="20" w:type="dxa"/>
            <w:vAlign w:val="bottom"/>
          </w:tcPr>
          <w:p>
            <w:pPr>
              <w:spacing w:after="0"/>
              <w:rPr>
                <w:sz w:val="14"/>
                <w:szCs w:val="14"/>
                <w:color w:val="auto"/>
              </w:rPr>
            </w:pPr>
          </w:p>
        </w:tc>
        <w:tc>
          <w:tcPr>
            <w:tcW w:w="3080" w:type="dxa"/>
            <w:vAlign w:val="bottom"/>
          </w:tcPr>
          <w:p>
            <w:pPr>
              <w:jc w:val="center"/>
              <w:ind w:left="1488"/>
              <w:spacing w:after="0"/>
              <w:rPr>
                <w:sz w:val="20"/>
                <w:szCs w:val="20"/>
                <w:color w:val="auto"/>
              </w:rPr>
            </w:pPr>
            <w:r>
              <w:rPr>
                <w:rFonts w:ascii="Arial" w:cs="Arial" w:eastAsia="Arial" w:hAnsi="Arial"/>
                <w:sz w:val="14"/>
                <w:szCs w:val="14"/>
                <w:b w:val="1"/>
                <w:bCs w:val="1"/>
                <w:color w:val="auto"/>
                <w:w w:val="91"/>
              </w:rPr>
              <w:t>outstanding at</w:t>
            </w:r>
          </w:p>
        </w:tc>
        <w:tc>
          <w:tcPr>
            <w:tcW w:w="48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Exercise</w:t>
            </w: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contractual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at end of</w:t>
            </w:r>
          </w:p>
        </w:tc>
        <w:tc>
          <w:tcPr>
            <w:tcW w:w="48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86"/>
        </w:trPr>
        <w:tc>
          <w:tcPr>
            <w:tcW w:w="20" w:type="dxa"/>
            <w:vAlign w:val="bottom"/>
          </w:tcPr>
          <w:p>
            <w:pPr>
              <w:spacing w:after="0"/>
              <w:rPr>
                <w:sz w:val="16"/>
                <w:szCs w:val="16"/>
                <w:color w:val="auto"/>
              </w:rPr>
            </w:pPr>
          </w:p>
        </w:tc>
        <w:tc>
          <w:tcPr>
            <w:tcW w:w="3080" w:type="dxa"/>
            <w:vAlign w:val="bottom"/>
          </w:tcPr>
          <w:p>
            <w:pPr>
              <w:jc w:val="center"/>
              <w:ind w:left="1508"/>
              <w:spacing w:after="0"/>
              <w:rPr>
                <w:sz w:val="20"/>
                <w:szCs w:val="20"/>
                <w:color w:val="auto"/>
              </w:rPr>
            </w:pPr>
            <w:r>
              <w:rPr>
                <w:rFonts w:ascii="Arial" w:cs="Arial" w:eastAsia="Arial" w:hAnsi="Arial"/>
                <w:sz w:val="14"/>
                <w:szCs w:val="14"/>
                <w:b w:val="1"/>
                <w:bCs w:val="1"/>
                <w:color w:val="auto"/>
                <w:w w:val="93"/>
              </w:rPr>
              <w:t>end of year</w:t>
            </w:r>
          </w:p>
        </w:tc>
        <w:tc>
          <w:tcPr>
            <w:tcW w:w="480" w:type="dxa"/>
            <w:vAlign w:val="bottom"/>
          </w:tcPr>
          <w:p>
            <w:pPr>
              <w:spacing w:after="0"/>
              <w:rPr>
                <w:sz w:val="16"/>
                <w:szCs w:val="16"/>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price range</w:t>
            </w: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life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480" w:type="dxa"/>
            <w:vAlign w:val="bottom"/>
          </w:tcPr>
          <w:p>
            <w:pPr>
              <w:spacing w:after="0"/>
              <w:rPr>
                <w:sz w:val="16"/>
                <w:szCs w:val="16"/>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range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life</w:t>
            </w:r>
          </w:p>
        </w:tc>
      </w:tr>
      <w:tr>
        <w:trPr>
          <w:trHeight w:val="26"/>
        </w:trPr>
        <w:tc>
          <w:tcPr>
            <w:tcW w:w="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31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$240.26</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$240.26</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57"/>
        </w:trPr>
        <w:tc>
          <w:tcPr>
            <w:tcW w:w="31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$273.88</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$273.88</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57"/>
        </w:trPr>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57"/>
        </w:trPr>
        <w:tc>
          <w:tcPr>
            <w:tcW w:w="3100" w:type="dxa"/>
            <w:vAlign w:val="bottom"/>
            <w:gridSpan w:val="2"/>
          </w:tcPr>
          <w:p>
            <w:pPr>
              <w:jc w:val="right"/>
              <w:spacing w:after="0"/>
              <w:rPr>
                <w:sz w:val="20"/>
                <w:szCs w:val="20"/>
                <w:color w:val="auto"/>
              </w:rPr>
            </w:pPr>
            <w:r>
              <w:rPr>
                <w:rFonts w:ascii="Arial" w:cs="Arial" w:eastAsia="Arial" w:hAnsi="Arial"/>
                <w:sz w:val="18"/>
                <w:szCs w:val="18"/>
                <w:color w:val="auto"/>
              </w:rPr>
              <w:t>2,266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$479.38</w:t>
            </w:r>
          </w:p>
        </w:tc>
        <w:tc>
          <w:tcPr>
            <w:tcW w:w="5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$479.38</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57"/>
        </w:trPr>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-1148715</wp:posOffset>
            </wp:positionV>
            <wp:extent cx="30861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-1148715</wp:posOffset>
            </wp:positionV>
            <wp:extent cx="3086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-1148715</wp:posOffset>
            </wp:positionV>
            <wp:extent cx="3086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-1148715</wp:posOffset>
            </wp:positionV>
            <wp:extent cx="3086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-1148715</wp:posOffset>
            </wp:positionV>
            <wp:extent cx="3086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154305</wp:posOffset>
            </wp:positionV>
            <wp:extent cx="15779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hanging="352"/>
        <w:spacing w:after="0"/>
        <w:tabs>
          <w:tab w:leader="none" w:pos="12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Par value</w:t>
      </w:r>
    </w:p>
    <w:p>
      <w:pPr>
        <w:spacing w:after="0" w:line="113" w:lineRule="exact"/>
        <w:rPr>
          <w:sz w:val="20"/>
          <w:szCs w:val="20"/>
          <w:color w:val="auto"/>
        </w:rPr>
      </w:pPr>
    </w:p>
    <w:p>
      <w:pPr>
        <w:ind w:left="1260" w:right="860" w:hanging="352"/>
        <w:spacing w:after="0" w:line="277" w:lineRule="auto"/>
        <w:tabs>
          <w:tab w:leader="none" w:pos="1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remaining unrecognized compensation expense as of December 31, 2016 is $914 thousand. This amount will be expensed in full by August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taxed according to Israeli tax laws:</w:t>
      </w:r>
    </w:p>
    <w:p>
      <w:pPr>
        <w:spacing w:after="0" w:line="221" w:lineRule="exact"/>
        <w:rPr>
          <w:sz w:val="20"/>
          <w:szCs w:val="20"/>
          <w:color w:val="auto"/>
        </w:rPr>
      </w:pPr>
    </w:p>
    <w:p>
      <w:pPr>
        <w:ind w:left="540" w:hanging="352"/>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107" w:lineRule="exact"/>
        <w:rPr>
          <w:rFonts w:ascii="Arial" w:cs="Arial" w:eastAsia="Arial" w:hAnsi="Arial"/>
          <w:sz w:val="18"/>
          <w:szCs w:val="18"/>
          <w:b w:val="1"/>
          <w:bCs w:val="1"/>
          <w:color w:val="auto"/>
        </w:rPr>
      </w:pPr>
    </w:p>
    <w:p>
      <w:pPr>
        <w:jc w:val="both"/>
        <w:ind w:left="5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 U.S. dollars and in accordance with IFRS. Therefore, there are differences between the Company’s taxable income (loss) and income (loss) reflected in these financial statements.</w:t>
      </w:r>
    </w:p>
    <w:p>
      <w:pPr>
        <w:spacing w:after="0" w:line="182" w:lineRule="exact"/>
        <w:rPr>
          <w:rFonts w:ascii="Arial" w:cs="Arial" w:eastAsia="Arial" w:hAnsi="Arial"/>
          <w:sz w:val="18"/>
          <w:szCs w:val="18"/>
          <w:b w:val="1"/>
          <w:bCs w:val="1"/>
          <w:color w:val="auto"/>
        </w:rPr>
      </w:pPr>
    </w:p>
    <w:p>
      <w:pPr>
        <w:ind w:left="540" w:hanging="352"/>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income of the Company is subject to the Israel corporate tax rates which was 25% for 2016 and 26.5% for 2015.</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9" w:name="page200"/>
    <w:bookmarkEnd w:id="199"/>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 (Continued)</w:t>
      </w:r>
    </w:p>
    <w:p>
      <w:pPr>
        <w:spacing w:after="0" w:line="202" w:lineRule="exact"/>
        <w:rPr>
          <w:sz w:val="20"/>
          <w:szCs w:val="20"/>
          <w:color w:val="auto"/>
        </w:rPr>
      </w:pPr>
    </w:p>
    <w:p>
      <w:pPr>
        <w:ind w:left="540"/>
        <w:spacing w:after="0" w:line="264" w:lineRule="auto"/>
        <w:rPr>
          <w:sz w:val="20"/>
          <w:szCs w:val="20"/>
          <w:color w:val="auto"/>
        </w:rPr>
      </w:pPr>
      <w:r>
        <w:rPr>
          <w:rFonts w:ascii="Arial" w:cs="Arial" w:eastAsia="Arial" w:hAnsi="Arial"/>
          <w:sz w:val="18"/>
          <w:szCs w:val="18"/>
          <w:color w:val="auto"/>
        </w:rPr>
        <w:t>In January 2016, the Law for the Amendment of the Income Tax Ordinance (No.216) was published, which enacted a reduction of the corporate tax rate beginning in 2016 and thereafter, from 26.5% to 25%. There is no impact on the financial statements of the Company as a result of the changes in the Israeli corporate tax rate as the Israeli subsidiary is in a loss position for tax purposes.</w:t>
      </w:r>
    </w:p>
    <w:p>
      <w:pPr>
        <w:spacing w:after="0" w:line="73" w:lineRule="exact"/>
        <w:rPr>
          <w:sz w:val="20"/>
          <w:szCs w:val="20"/>
          <w:color w:val="auto"/>
        </w:rPr>
      </w:pPr>
    </w:p>
    <w:p>
      <w:pPr>
        <w:ind w:left="540" w:right="260"/>
        <w:spacing w:after="0" w:line="312" w:lineRule="auto"/>
        <w:rPr>
          <w:sz w:val="20"/>
          <w:szCs w:val="20"/>
          <w:color w:val="auto"/>
        </w:rPr>
      </w:pPr>
      <w:r>
        <w:rPr>
          <w:rFonts w:ascii="Arial" w:cs="Arial" w:eastAsia="Arial" w:hAnsi="Arial"/>
          <w:sz w:val="16"/>
          <w:szCs w:val="16"/>
          <w:color w:val="auto"/>
        </w:rPr>
        <w:t>In December 2016, the Economic Efficiency Law (Legislative Amendments for Implementing the Economic Policy for the 2017 and 2018 Budget Year), 2016 was published, introducing a gradual reduction in corporate tax rate from 25% to 23%. However, the law also included a temporary provision setting the corporate tax rate in 2017 at 24%. As a result, the corporate tax rate will be 24% in 2017 and 23% in 2018 and thereafter.</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gains are subject to capital gain tax according to the corporate tax rate for the year during which the assets are sold.</w:t>
      </w:r>
    </w:p>
    <w:p>
      <w:pPr>
        <w:spacing w:after="0" w:line="221" w:lineRule="exact"/>
        <w:rPr>
          <w:sz w:val="20"/>
          <w:szCs w:val="20"/>
          <w:color w:val="auto"/>
        </w:rPr>
      </w:pPr>
    </w:p>
    <w:p>
      <w:pPr>
        <w:ind w:left="540" w:hanging="352"/>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107" w:lineRule="exact"/>
        <w:rPr>
          <w:rFonts w:ascii="Arial" w:cs="Arial" w:eastAsia="Arial" w:hAnsi="Arial"/>
          <w:sz w:val="18"/>
          <w:szCs w:val="18"/>
          <w:b w:val="1"/>
          <w:bCs w:val="1"/>
          <w:color w:val="auto"/>
        </w:rPr>
      </w:pPr>
    </w:p>
    <w:p>
      <w:pPr>
        <w:ind w:left="540" w:right="122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balance of carryforward losses as of December 31, 2016 and 2015 are approximately $9.9 million and $6.3 million, respectively. Under Israeli tax law, tax loss carry forwards have no expiration date.</w:t>
      </w:r>
    </w:p>
    <w:p>
      <w:pPr>
        <w:spacing w:after="0" w:line="1" w:lineRule="exact"/>
        <w:rPr>
          <w:rFonts w:ascii="Arial" w:cs="Arial" w:eastAsia="Arial" w:hAnsi="Arial"/>
          <w:sz w:val="18"/>
          <w:szCs w:val="18"/>
          <w:b w:val="1"/>
          <w:bCs w:val="1"/>
          <w:color w:val="auto"/>
        </w:rPr>
      </w:pPr>
    </w:p>
    <w:p>
      <w:pPr>
        <w:ind w:left="5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tax assets on losses for tax purposes carried forward to subsequent years are recognized if utilization of the related tax benefit against a future taxable income is expected. The Company has not created deferred tax assets on its carry forward losses and other temporary assets since their utilization is not expected in the foreseeable future.</w:t>
      </w:r>
    </w:p>
    <w:p>
      <w:pPr>
        <w:spacing w:after="0" w:line="190" w:lineRule="exact"/>
        <w:rPr>
          <w:rFonts w:ascii="Arial" w:cs="Arial" w:eastAsia="Arial" w:hAnsi="Arial"/>
          <w:sz w:val="18"/>
          <w:szCs w:val="18"/>
          <w:b w:val="1"/>
          <w:bCs w:val="1"/>
          <w:color w:val="auto"/>
        </w:rPr>
      </w:pPr>
    </w:p>
    <w:p>
      <w:pPr>
        <w:ind w:left="540" w:hanging="352"/>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107" w:lineRule="exact"/>
        <w:rPr>
          <w:rFonts w:ascii="Arial" w:cs="Arial" w:eastAsia="Arial" w:hAnsi="Arial"/>
          <w:sz w:val="18"/>
          <w:szCs w:val="18"/>
          <w:b w:val="1"/>
          <w:bCs w:val="1"/>
          <w:color w:val="auto"/>
        </w:rPr>
      </w:pPr>
    </w:p>
    <w:p>
      <w:pPr>
        <w:ind w:left="5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Income Tax Ordinance, as of December 31, 2016, all of the Company’s tax assessments through tax year 2012 are considered final.</w:t>
      </w:r>
    </w:p>
    <w:p>
      <w:pPr>
        <w:sectPr>
          <w:pgSz w:w="11900" w:h="16838" w:orient="portrait"/>
          <w:cols w:equalWidth="0" w:num="1">
            <w:col w:w="11360"/>
          </w:cols>
          <w:pgMar w:left="240" w:top="132" w:right="29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SUPPLEMENTARY FINANCIAL INFORMATION:</w:t>
      </w:r>
    </w:p>
    <w:p>
      <w:pPr>
        <w:spacing w:after="0" w:line="104" w:lineRule="exact"/>
        <w:rPr>
          <w:sz w:val="20"/>
          <w:szCs w:val="20"/>
          <w:color w:val="auto"/>
        </w:rPr>
      </w:pPr>
    </w:p>
    <w:p>
      <w:pPr>
        <w:ind w:left="540" w:hanging="352"/>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631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Prepaid expenses</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40" w:hanging="352"/>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payable — </w:t>
      </w: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Employees and employees related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Provision for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803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Accrued expenses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32385</wp:posOffset>
            </wp:positionV>
            <wp:extent cx="14833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62" w:lineRule="exact"/>
        <w:rPr>
          <w:sz w:val="20"/>
          <w:szCs w:val="20"/>
          <w:color w:val="auto"/>
        </w:rPr>
      </w:pPr>
    </w:p>
    <w:p>
      <w:pPr>
        <w:spacing w:after="0"/>
        <w:tabs>
          <w:tab w:leader="none" w:pos="126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39370</wp:posOffset>
            </wp:positionV>
            <wp:extent cx="14833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78" w:lineRule="exact"/>
        <w:rPr>
          <w:sz w:val="20"/>
          <w:szCs w:val="20"/>
          <w:color w:val="auto"/>
        </w:rPr>
      </w:pPr>
    </w:p>
    <w:p>
      <w:pPr>
        <w:ind w:left="80"/>
        <w:spacing w:after="0"/>
        <w:rPr>
          <w:sz w:val="20"/>
          <w:szCs w:val="20"/>
          <w:color w:val="auto"/>
        </w:rPr>
      </w:pPr>
      <w:r>
        <w:rPr>
          <w:rFonts w:ascii="Arial" w:cs="Arial" w:eastAsia="Arial" w:hAnsi="Arial"/>
          <w:sz w:val="13"/>
          <w:szCs w:val="13"/>
          <w:color w:val="auto"/>
        </w:rPr>
        <w:t>U.S. dollars in thousands</w:t>
      </w:r>
    </w:p>
    <w:p>
      <w:pPr>
        <w:spacing w:after="0" w:line="44"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535</w:t>
      </w:r>
    </w:p>
    <w:p>
      <w:pPr>
        <w:spacing w:after="0" w:line="6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7"/>
          <w:szCs w:val="17"/>
          <w:color w:val="auto"/>
        </w:rPr>
        <w:t>160</w:t>
      </w:r>
    </w:p>
    <w:p>
      <w:pPr>
        <w:spacing w:after="0" w:line="8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u w:val="single" w:color="auto"/>
          <w:color w:val="auto"/>
        </w:rPr>
        <w:t>195</w:t>
      </w:r>
      <w:r>
        <w:rPr>
          <w:sz w:val="20"/>
          <w:szCs w:val="20"/>
          <w:color w:val="auto"/>
        </w:rPr>
        <w:tab/>
      </w:r>
      <w:r>
        <w:rPr>
          <w:rFonts w:ascii="Arial" w:cs="Arial" w:eastAsia="Arial" w:hAnsi="Arial"/>
          <w:sz w:val="17"/>
          <w:szCs w:val="17"/>
          <w:u w:val="single" w:color="auto"/>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39370</wp:posOffset>
            </wp:positionV>
            <wp:extent cx="1714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39370</wp:posOffset>
            </wp:positionV>
            <wp:extent cx="1714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46990</wp:posOffset>
            </wp:positionV>
            <wp:extent cx="14833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85" w:lineRule="exact"/>
        <w:rPr>
          <w:sz w:val="20"/>
          <w:szCs w:val="20"/>
          <w:color w:val="auto"/>
        </w:rPr>
      </w:pPr>
    </w:p>
    <w:p>
      <w:pPr>
        <w:spacing w:after="0"/>
        <w:tabs>
          <w:tab w:leader="none" w:pos="126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39370</wp:posOffset>
            </wp:positionV>
            <wp:extent cx="14833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78" w:lineRule="exact"/>
        <w:rPr>
          <w:sz w:val="20"/>
          <w:szCs w:val="20"/>
          <w:color w:val="auto"/>
        </w:rPr>
      </w:pPr>
    </w:p>
    <w:p>
      <w:pPr>
        <w:ind w:left="80"/>
        <w:spacing w:after="0"/>
        <w:rPr>
          <w:sz w:val="20"/>
          <w:szCs w:val="20"/>
          <w:color w:val="auto"/>
        </w:rPr>
      </w:pPr>
      <w:r>
        <w:rPr>
          <w:rFonts w:ascii="Arial" w:cs="Arial" w:eastAsia="Arial" w:hAnsi="Arial"/>
          <w:sz w:val="13"/>
          <w:szCs w:val="13"/>
          <w:color w:val="auto"/>
        </w:rPr>
        <w:t>U.S. dollars in thousands</w:t>
      </w:r>
    </w:p>
    <w:p>
      <w:pPr>
        <w:spacing w:after="0" w:line="4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7"/>
          <w:szCs w:val="17"/>
          <w:color w:val="auto"/>
        </w:rPr>
        <w:t>139</w:t>
      </w:r>
      <w:r>
        <w:rPr>
          <w:sz w:val="20"/>
          <w:szCs w:val="20"/>
          <w:color w:val="auto"/>
        </w:rPr>
        <w:tab/>
      </w:r>
      <w:r>
        <w:rPr>
          <w:rFonts w:ascii="Arial" w:cs="Arial" w:eastAsia="Arial" w:hAnsi="Arial"/>
          <w:sz w:val="17"/>
          <w:szCs w:val="17"/>
          <w:color w:val="auto"/>
        </w:rPr>
        <w:t>103</w:t>
      </w:r>
    </w:p>
    <w:p>
      <w:pPr>
        <w:spacing w:after="0" w:line="35" w:lineRule="exact"/>
        <w:rPr>
          <w:sz w:val="20"/>
          <w:szCs w:val="20"/>
          <w:color w:val="auto"/>
        </w:rPr>
      </w:pPr>
    </w:p>
    <w:p>
      <w:pPr>
        <w:ind w:left="1280" w:hanging="1265"/>
        <w:spacing w:after="0"/>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107</w:t>
      </w:r>
    </w:p>
    <w:p>
      <w:pPr>
        <w:spacing w:after="0" w:line="34" w:lineRule="exact"/>
        <w:rPr>
          <w:rFonts w:ascii="Arial" w:cs="Arial" w:eastAsia="Arial" w:hAnsi="Arial"/>
          <w:sz w:val="17"/>
          <w:szCs w:val="17"/>
          <w:color w:val="auto"/>
        </w:rPr>
      </w:pPr>
    </w:p>
    <w:p>
      <w:pPr>
        <w:ind w:left="1280" w:hanging="1265"/>
        <w:spacing w:after="0"/>
        <w:tabs>
          <w:tab w:leader="none" w:pos="12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243</w:t>
      </w:r>
    </w:p>
    <w:p>
      <w:pPr>
        <w:spacing w:after="0" w:line="87" w:lineRule="exact"/>
        <w:rPr>
          <w:rFonts w:ascii="Arial" w:cs="Arial" w:eastAsia="Arial" w:hAnsi="Arial"/>
          <w:sz w:val="17"/>
          <w:szCs w:val="17"/>
          <w:color w:val="auto"/>
        </w:rPr>
      </w:pPr>
    </w:p>
    <w:p>
      <w:pPr>
        <w:ind w:left="1280" w:hanging="1265"/>
        <w:spacing w:after="0"/>
        <w:tabs>
          <w:tab w:leader="none" w:pos="1280" w:val="left"/>
        </w:tabs>
        <w:numPr>
          <w:ilvl w:val="0"/>
          <w:numId w:val="12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39370</wp:posOffset>
            </wp:positionV>
            <wp:extent cx="1714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39370</wp:posOffset>
            </wp:positionV>
            <wp:extent cx="17145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40" w:space="720"/>
            <w:col w:w="1900"/>
          </w:cols>
          <w:pgMar w:left="240" w:top="132" w:right="299" w:bottom="1440" w:gutter="0" w:footer="0" w:header="0"/>
          <w:type w:val="continuous"/>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720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BASIC AND DILUTED LOSS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loss per share is calculated by dividing the result attributable to equity holders of the Company by the weighted average number of Ordinary Shares in issue during the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outstanding options, 2012 Convertible Loan, preferred shares and warrants to preferred shares have been excluded from the calculation of the diluted loss per share for the year ended December 31, 2015 since their effect was anti-dilutive. The total number of ordinary shares related to the 2012 Convertible Loan, preferred shares and warrants to issue preferred shares excluded from the calculation of diluted loss per share was 23,213 for the year ended December 31, 2015.</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outstanding options have been excluded from the calculation of the diluted loss per share for the year ended December 31, 2016 since their effect was anti-dilutive. The total number of ordinary shares related to the outstanding options excluded from the calculation of diluted loss per share was 8,136 for the year ended December 31, 2016.</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2015 Convertible Loan, the 2016 Convertible Loan, warrants and liability to issue preferred shares and are not taken into account in the diluted loss per share calculation for the years ended December 31, 2016 and 2015, as the conversion terms depend on future events.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left="616"/>
              <w:spacing w:after="0"/>
              <w:rPr>
                <w:sz w:val="20"/>
                <w:szCs w:val="20"/>
                <w:color w:val="auto"/>
              </w:rPr>
            </w:pPr>
            <w:r>
              <w:rPr>
                <w:rFonts w:ascii="Arial" w:cs="Arial" w:eastAsia="Arial" w:hAnsi="Arial"/>
                <w:sz w:val="14"/>
                <w:szCs w:val="14"/>
                <w:color w:val="auto"/>
                <w:w w:val="93"/>
              </w:rPr>
              <w:t>U.S. dollars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4"/>
          </w:tcPr>
          <w:p>
            <w:pPr>
              <w:jc w:val="center"/>
              <w:ind w:right="260"/>
              <w:spacing w:after="0"/>
              <w:rPr>
                <w:sz w:val="20"/>
                <w:szCs w:val="20"/>
                <w:color w:val="auto"/>
              </w:rPr>
            </w:pPr>
            <w:r>
              <w:rPr>
                <w:rFonts w:ascii="Arial" w:cs="Arial" w:eastAsia="Arial" w:hAnsi="Arial"/>
                <w:sz w:val="14"/>
                <w:szCs w:val="14"/>
                <w:color w:val="auto"/>
                <w:w w:val="91"/>
              </w:rPr>
              <w:t>(except for share numbers)</w:t>
            </w:r>
          </w:p>
        </w:tc>
        <w:tc>
          <w:tcPr>
            <w:tcW w:w="0" w:type="dxa"/>
            <w:vAlign w:val="bottom"/>
          </w:tcPr>
          <w:p>
            <w:pPr>
              <w:spacing w:after="0"/>
              <w:rPr>
                <w:sz w:val="1"/>
                <w:szCs w:val="1"/>
                <w:color w:val="auto"/>
              </w:rPr>
            </w:pPr>
          </w:p>
        </w:tc>
      </w:tr>
      <w:tr>
        <w:trPr>
          <w:trHeight w:val="257"/>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equity holders of the Company</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1,199,000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4,282,000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020" w:type="dxa"/>
            <w:vAlign w:val="bottom"/>
            <w:gridSpan w:val="2"/>
          </w:tcPr>
          <w:p>
            <w:pPr>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4,125,000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used for the computation of diluted loss per share</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5,324,000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4,282,000</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Weighted average number of Ordinary Shares used in the computation of basic loss per share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34,409</w:t>
            </w: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7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spacing w:after="0"/>
              <w:rPr>
                <w:sz w:val="20"/>
                <w:szCs w:val="20"/>
                <w:color w:val="auto"/>
              </w:rPr>
            </w:pPr>
            <w:r>
              <w:rPr>
                <w:rFonts w:ascii="Arial" w:cs="Arial" w:eastAsia="Arial" w:hAnsi="Arial"/>
                <w:sz w:val="18"/>
                <w:szCs w:val="18"/>
                <w:color w:val="auto"/>
              </w:rPr>
              <w:t>Weighted average number of additional shares issuable upon the assumed conversion of 2012 convertible loan,</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20" w:type="dxa"/>
            <w:vAlign w:val="bottom"/>
            <w:gridSpan w:val="2"/>
          </w:tcPr>
          <w:p>
            <w:pPr>
              <w:ind w:left="180"/>
              <w:spacing w:after="0"/>
              <w:rPr>
                <w:sz w:val="20"/>
                <w:szCs w:val="20"/>
                <w:color w:val="auto"/>
              </w:rPr>
            </w:pPr>
            <w:r>
              <w:rPr>
                <w:rFonts w:ascii="Arial" w:cs="Arial" w:eastAsia="Arial" w:hAnsi="Arial"/>
                <w:sz w:val="18"/>
                <w:szCs w:val="18"/>
                <w:color w:val="auto"/>
              </w:rPr>
              <w:t>preferred shares and the assumed exercise of warrants to issue preferred shares</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17,563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the computation of diluted loss per share</w:t>
            </w:r>
          </w:p>
        </w:tc>
        <w:tc>
          <w:tcPr>
            <w:tcW w:w="14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51,972</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20" w:type="dxa"/>
            <w:vAlign w:val="bottom"/>
            <w:gridSpan w:val="2"/>
          </w:tcPr>
          <w:p>
            <w:pPr>
              <w:spacing w:after="0"/>
              <w:rPr>
                <w:sz w:val="20"/>
                <w:szCs w:val="20"/>
                <w:color w:val="auto"/>
              </w:rPr>
            </w:pPr>
            <w:r>
              <w:rPr>
                <w:rFonts w:ascii="Arial" w:cs="Arial" w:eastAsia="Arial" w:hAnsi="Arial"/>
                <w:sz w:val="18"/>
                <w:szCs w:val="18"/>
                <w:color w:val="auto"/>
              </w:rPr>
              <w:t>Basic loss per Ordinary Share</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loss per Ordinary Share</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Arial" w:cs="Arial" w:eastAsia="Arial" w:hAnsi="Arial"/>
                <w:sz w:val="18"/>
                <w:szCs w:val="18"/>
                <w:color w:val="auto"/>
              </w:rPr>
              <w:t>F-27</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90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-2580640</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1" w:name="page202"/>
    <w:bookmarkEnd w:id="201"/>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PARTIES — TRANSACTIONS AND BALANCES:</w:t>
      </w:r>
    </w:p>
    <w:p>
      <w:pPr>
        <w:spacing w:after="0" w:line="198" w:lineRule="exact"/>
        <w:rPr>
          <w:sz w:val="20"/>
          <w:szCs w:val="20"/>
          <w:color w:val="auto"/>
        </w:rPr>
      </w:pPr>
    </w:p>
    <w:p>
      <w:pPr>
        <w:ind w:left="540" w:hanging="352"/>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07" w:lineRule="exact"/>
        <w:rPr>
          <w:rFonts w:ascii="Arial" w:cs="Arial" w:eastAsia="Arial" w:hAnsi="Arial"/>
          <w:sz w:val="18"/>
          <w:szCs w:val="18"/>
          <w:b w:val="1"/>
          <w:bCs w:val="1"/>
          <w:color w:val="auto"/>
        </w:rPr>
      </w:pPr>
    </w:p>
    <w:p>
      <w:pPr>
        <w:ind w:left="900" w:right="720" w:hanging="352"/>
        <w:spacing w:after="0" w:line="277"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Key management personnel include members of the Board of Directors, the Chief Executive Officer, Chief Operating Officer and Chief Financial Officer.</w:t>
      </w:r>
    </w:p>
    <w:p>
      <w:pPr>
        <w:spacing w:after="0" w:line="89" w:lineRule="exact"/>
        <w:rPr>
          <w:rFonts w:ascii="Arial" w:cs="Arial" w:eastAsia="Arial" w:hAnsi="Arial"/>
          <w:sz w:val="18"/>
          <w:szCs w:val="18"/>
          <w:color w:val="auto"/>
        </w:rPr>
      </w:pPr>
    </w:p>
    <w:p>
      <w:pPr>
        <w:ind w:left="900" w:hanging="352"/>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During 2016 and 2015, the Company granted stock options to certain key management personnel and directors, see note 10b.</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840" w:type="dxa"/>
            <w:vAlign w:val="bottom"/>
          </w:tcPr>
          <w:p>
            <w:pPr>
              <w:spacing w:after="0"/>
              <w:rPr>
                <w:sz w:val="17"/>
                <w:szCs w:val="17"/>
                <w:color w:val="auto"/>
              </w:rPr>
            </w:pPr>
          </w:p>
        </w:tc>
        <w:tc>
          <w:tcPr>
            <w:tcW w:w="700" w:type="dxa"/>
            <w:vAlign w:val="bottom"/>
            <w:gridSpan w:val="4"/>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color w:val="auto"/>
                <w:w w:val="92"/>
              </w:rPr>
              <w:t>U.S. dollars in thousands</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   Key management compensation:</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80" w:type="dxa"/>
            <w:vAlign w:val="bottom"/>
            <w:gridSpan w:val="2"/>
          </w:tcPr>
          <w:p>
            <w:pPr>
              <w:ind w:left="1360"/>
              <w:spacing w:after="0"/>
              <w:rPr>
                <w:sz w:val="20"/>
                <w:szCs w:val="20"/>
                <w:color w:val="auto"/>
              </w:rPr>
            </w:pPr>
            <w:r>
              <w:rPr>
                <w:rFonts w:ascii="Arial" w:cs="Arial" w:eastAsia="Arial" w:hAnsi="Arial"/>
                <w:sz w:val="18"/>
                <w:szCs w:val="18"/>
                <w:color w:val="auto"/>
              </w:rPr>
              <w:t>Labor cost and related expenses</w:t>
            </w:r>
          </w:p>
        </w:tc>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830</w:t>
            </w:r>
          </w:p>
        </w:tc>
        <w:tc>
          <w:tcPr>
            <w:tcW w:w="700" w:type="dxa"/>
            <w:vAlign w:val="bottom"/>
            <w:gridSpan w:val="4"/>
          </w:tcPr>
          <w:p>
            <w:pPr>
              <w:ind w:lef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84"/>
              </w:rPr>
              <w:t>1,351</w:t>
            </w:r>
          </w:p>
        </w:tc>
        <w:tc>
          <w:tcPr>
            <w:tcW w:w="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63"/>
        </w:trPr>
        <w:tc>
          <w:tcPr>
            <w:tcW w:w="9480" w:type="dxa"/>
            <w:vAlign w:val="bottom"/>
            <w:gridSpan w:val="2"/>
          </w:tcPr>
          <w:p>
            <w:pPr>
              <w:ind w:left="1360"/>
              <w:spacing w:after="0"/>
              <w:rPr>
                <w:sz w:val="20"/>
                <w:szCs w:val="20"/>
                <w:color w:val="auto"/>
              </w:rPr>
            </w:pPr>
            <w:r>
              <w:rPr>
                <w:rFonts w:ascii="Arial" w:cs="Arial" w:eastAsia="Arial" w:hAnsi="Arial"/>
                <w:sz w:val="18"/>
                <w:szCs w:val="18"/>
                <w:color w:val="auto"/>
              </w:rPr>
              <w:t>Others</w:t>
            </w:r>
          </w:p>
        </w:tc>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98</w:t>
            </w:r>
          </w:p>
        </w:tc>
        <w:tc>
          <w:tcPr>
            <w:tcW w:w="700" w:type="dxa"/>
            <w:vAlign w:val="bottom"/>
            <w:gridSpan w:val="4"/>
          </w:tcPr>
          <w:p>
            <w:pPr>
              <w:ind w:lef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9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84"/>
              </w:rPr>
              <w:t>2,279</w:t>
            </w:r>
          </w:p>
        </w:tc>
        <w:tc>
          <w:tcPr>
            <w:tcW w:w="7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b w:val="1"/>
                <w:bCs w:val="1"/>
                <w:color w:val="auto"/>
              </w:rPr>
              <w:t>b.  Balances with related parties: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83"/>
              </w:rPr>
              <w:t>2016</w:t>
            </w:r>
          </w:p>
        </w:tc>
        <w:tc>
          <w:tcPr>
            <w:tcW w:w="84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7"/>
          </w:tcPr>
          <w:p>
            <w:pPr>
              <w:jc w:val="center"/>
              <w:ind w:right="380"/>
              <w:spacing w:after="0"/>
              <w:rPr>
                <w:sz w:val="20"/>
                <w:szCs w:val="20"/>
                <w:color w:val="auto"/>
              </w:rPr>
            </w:pPr>
            <w:r>
              <w:rPr>
                <w:rFonts w:ascii="Arial" w:cs="Arial" w:eastAsia="Arial" w:hAnsi="Arial"/>
                <w:sz w:val="14"/>
                <w:szCs w:val="14"/>
                <w:color w:val="auto"/>
                <w:w w:val="92"/>
              </w:rPr>
              <w:t>U.S. dollars in thousands</w:t>
            </w:r>
          </w:p>
        </w:tc>
        <w:tc>
          <w:tcPr>
            <w:tcW w:w="0" w:type="dxa"/>
            <w:vAlign w:val="bottom"/>
          </w:tcPr>
          <w:p>
            <w:pPr>
              <w:spacing w:after="0"/>
              <w:rPr>
                <w:sz w:val="1"/>
                <w:szCs w:val="1"/>
                <w:color w:val="auto"/>
              </w:rPr>
            </w:pPr>
          </w:p>
        </w:tc>
      </w:tr>
      <w:tr>
        <w:trPr>
          <w:trHeight w:val="257"/>
        </w:trPr>
        <w:tc>
          <w:tcPr>
            <w:tcW w:w="9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Key management:</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480" w:type="dxa"/>
            <w:vAlign w:val="bottom"/>
            <w:gridSpan w:val="2"/>
          </w:tcPr>
          <w:p>
            <w:pPr>
              <w:ind w:left="1000"/>
              <w:spacing w:after="0"/>
              <w:rPr>
                <w:sz w:val="20"/>
                <w:szCs w:val="20"/>
                <w:color w:val="auto"/>
              </w:rPr>
            </w:pPr>
            <w:r>
              <w:rPr>
                <w:rFonts w:ascii="Arial" w:cs="Arial" w:eastAsia="Arial" w:hAnsi="Arial"/>
                <w:sz w:val="18"/>
                <w:szCs w:val="18"/>
                <w:color w:val="auto"/>
              </w:rPr>
              <w:t>Payables and accrued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Severance pay obligations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gridSpan w:val="2"/>
          </w:tcPr>
          <w:p>
            <w:pPr>
              <w:ind w:left="1000"/>
              <w:spacing w:after="0"/>
              <w:rPr>
                <w:sz w:val="20"/>
                <w:szCs w:val="20"/>
                <w:color w:val="auto"/>
              </w:rPr>
            </w:pPr>
            <w:r>
              <w:rPr>
                <w:rFonts w:ascii="Arial" w:cs="Arial" w:eastAsia="Arial" w:hAnsi="Arial"/>
                <w:sz w:val="18"/>
                <w:szCs w:val="18"/>
                <w:color w:val="auto"/>
              </w:rPr>
              <w:t>Provision for vacation</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138</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Directors fee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-2700655</wp:posOffset>
            </wp:positionV>
            <wp:extent cx="137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-1045845</wp:posOffset>
            </wp:positionV>
            <wp:extent cx="137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08" w:lineRule="exact"/>
        <w:rPr>
          <w:sz w:val="20"/>
          <w:szCs w:val="20"/>
          <w:color w:val="auto"/>
        </w:rPr>
      </w:pPr>
    </w:p>
    <w:p>
      <w:pPr>
        <w:ind w:left="540" w:hanging="35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February 2017, the Company repaid the amount of 1.053 million of the 2015 convertible loan (See Note 7(a)(2)).</w:t>
      </w:r>
    </w:p>
    <w:p>
      <w:pPr>
        <w:spacing w:after="0" w:line="144" w:lineRule="exact"/>
        <w:rPr>
          <w:rFonts w:ascii="Arial" w:cs="Arial" w:eastAsia="Arial" w:hAnsi="Arial"/>
          <w:sz w:val="18"/>
          <w:szCs w:val="18"/>
          <w:color w:val="auto"/>
        </w:rPr>
      </w:pPr>
    </w:p>
    <w:p>
      <w:pPr>
        <w:ind w:left="540" w:right="620" w:hanging="352"/>
        <w:spacing w:after="0" w:line="264"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March, 2017, the Company entered into a new lease agreement for the building it uses in consideration of approximately $61 thousand per year. The lease agreement expired on June 30, 2023 with a onetime option for the Company to early terminate the agreement on June 30, 2020 subject to a notice period of 6 months.</w:t>
      </w:r>
    </w:p>
    <w:p>
      <w:pPr>
        <w:spacing w:after="0" w:line="100" w:lineRule="exact"/>
        <w:rPr>
          <w:rFonts w:ascii="Arial" w:cs="Arial" w:eastAsia="Arial" w:hAnsi="Arial"/>
          <w:sz w:val="18"/>
          <w:szCs w:val="18"/>
          <w:color w:val="auto"/>
        </w:rPr>
      </w:pPr>
    </w:p>
    <w:p>
      <w:pPr>
        <w:jc w:val="both"/>
        <w:ind w:left="540" w:right="880" w:hanging="352"/>
        <w:spacing w:after="0" w:line="264"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March 27, 2017, the board of directors approved the nomination of Mr. Luke Beshar as Executive chairman of the board and Dr. Roger Graceau as Chief Development Advisor. The nominations and the compensation were subject to shareholder approval that was received on April 6, 2017.</w:t>
      </w:r>
    </w:p>
    <w:p>
      <w:pPr>
        <w:spacing w:after="0" w:line="7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7"/>
          <w:szCs w:val="17"/>
          <w:color w:val="auto"/>
        </w:rPr>
        <w:t>According to the agreements with Mr. Luke Beshar, and Dr. Graceau, Mr. Beshar and Dr. Graceau will receive a monthly fees in the amount of</w:t>
      </w:r>
    </w:p>
    <w:p>
      <w:pPr>
        <w:spacing w:after="0" w:line="34" w:lineRule="exact"/>
        <w:rPr>
          <w:rFonts w:ascii="Arial" w:cs="Arial" w:eastAsia="Arial" w:hAnsi="Arial"/>
          <w:sz w:val="18"/>
          <w:szCs w:val="18"/>
          <w:color w:val="auto"/>
        </w:rPr>
      </w:pPr>
    </w:p>
    <w:p>
      <w:pPr>
        <w:jc w:val="both"/>
        <w:ind w:left="540" w:right="40"/>
        <w:spacing w:after="0" w:line="302" w:lineRule="auto"/>
        <w:rPr>
          <w:rFonts w:ascii="Arial" w:cs="Arial" w:eastAsia="Arial" w:hAnsi="Arial"/>
          <w:sz w:val="18"/>
          <w:szCs w:val="18"/>
          <w:color w:val="auto"/>
        </w:rPr>
      </w:pPr>
      <w:r>
        <w:rPr>
          <w:rFonts w:ascii="Arial" w:cs="Arial" w:eastAsia="Arial" w:hAnsi="Arial"/>
          <w:sz w:val="16"/>
          <w:szCs w:val="16"/>
          <w:color w:val="auto"/>
        </w:rPr>
        <w:t>$21,500 and $6,500, respectively. In addition upon the occurrence of a private placement or IPO, which are defined as a Triggering Event as described in Note 7(a)(3) (“the Qualified Event”), Mr. Beshar and Dr. Graceau will be granted options to purchase ordinary shares of the Company representing 6.5% and 1.5%, respectively, of the Company’s share capital on a “fully diluted basis” as determined immediately following the Qualified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2" w:name="page203"/>
    <w:bookmarkEnd w:id="202"/>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ENTERA BIO LTD.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 (Continued)</w:t>
      </w:r>
    </w:p>
    <w:p>
      <w:pPr>
        <w:spacing w:after="0" w:line="202"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Event, provided however, that if the amount of new funds actually received by the Company in a Qualified Event exceeds $10 million, then it shall be deemed for the purpose of calculating the “fully diluted basis” under this Agreement as if such amount is equal to $10 million. The exercise price of the Options shall be equal to the per share fair market value of ordinary shares immediately following the Qualified Event. The Options will vest in 36 equal monthly installments over a period of 36 months, commencing as of the Commencement Date, and are subject to acceleration under certain circumstances as described in the service agreement. If a Change of Control that constitutes a “change in control event” described in Treas. Reg. §1.409A-3(i)(5) occurs before a Qualified Event, then in lieu of the issuance of Options as described above, the Company will pay to each of</w:t>
      </w:r>
    </w:p>
    <w:p>
      <w:pPr>
        <w:spacing w:after="0" w:line="5" w:lineRule="exact"/>
        <w:rPr>
          <w:sz w:val="20"/>
          <w:szCs w:val="20"/>
          <w:color w:val="auto"/>
        </w:rPr>
      </w:pPr>
    </w:p>
    <w:p>
      <w:pPr>
        <w:ind w:left="540" w:right="360"/>
        <w:spacing w:after="0" w:line="290" w:lineRule="auto"/>
        <w:rPr>
          <w:sz w:val="20"/>
          <w:szCs w:val="20"/>
          <w:color w:val="auto"/>
        </w:rPr>
      </w:pPr>
      <w:r>
        <w:rPr>
          <w:rFonts w:ascii="Arial" w:cs="Arial" w:eastAsia="Arial" w:hAnsi="Arial"/>
          <w:sz w:val="17"/>
          <w:szCs w:val="17"/>
          <w:color w:val="auto"/>
        </w:rPr>
        <w:t>Mr. Beshar and Dr. Graceau an amount that, taking into account all federal, state, local and foreign taxes (including excise taxes) arising from the payment of such amount, will yield net after-tax proceeds to each of Mr. Beshar and Dr. Graceau of $1,000,000; or (ii) $3,619,254.</w:t>
      </w:r>
    </w:p>
    <w:p>
      <w:pPr>
        <w:spacing w:after="0" w:line="108" w:lineRule="exact"/>
        <w:rPr>
          <w:sz w:val="20"/>
          <w:szCs w:val="20"/>
          <w:color w:val="auto"/>
        </w:rPr>
      </w:pPr>
    </w:p>
    <w:p>
      <w:pPr>
        <w:jc w:val="both"/>
        <w:ind w:left="540" w:right="420" w:hanging="352"/>
        <w:spacing w:after="0" w:line="235"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On April 6, 2017, the Company granted options to purchase 1,133 ordinary shares to a certain director, with an exercise price of $980.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options are vested on the grant date,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of the options shall vest on September 21, 2017 and the remaining shall vest on September 21, 2018. The fair value of the options at the date of grant is $574 thousand.</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207"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CONDENSED INTERIM STATEMENTS OF FINANCIAL POSITION</w:t>
      </w:r>
    </w:p>
    <w:p>
      <w:pPr>
        <w:jc w:val="center"/>
        <w:spacing w:after="0"/>
        <w:rPr>
          <w:sz w:val="20"/>
          <w:szCs w:val="20"/>
          <w:color w:val="auto"/>
        </w:rPr>
      </w:pPr>
      <w:r>
        <w:rPr>
          <w:rFonts w:ascii="Arial" w:cs="Arial" w:eastAsia="Arial" w:hAnsi="Arial"/>
          <w:sz w:val="22"/>
          <w:szCs w:val="22"/>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center"/>
              <w:ind w:left="272"/>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color w:val="auto"/>
              </w:rPr>
              <w:t>U.S. dollars in thousands</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5640" w:type="dxa"/>
            <w:vAlign w:val="bottom"/>
            <w:shd w:val="clear" w:color="auto" w:fill="CCEEFF"/>
          </w:tcPr>
          <w:p>
            <w:pPr>
              <w:jc w:val="center"/>
              <w:ind w:right="259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2,899</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Restricted deposits</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3,351</w:t>
            </w:r>
          </w:p>
        </w:tc>
        <w:tc>
          <w:tcPr>
            <w:tcW w:w="220" w:type="dxa"/>
            <w:vAlign w:val="bottom"/>
          </w:tcPr>
          <w:p>
            <w:pPr>
              <w:spacing w:after="0"/>
              <w:rPr>
                <w:sz w:val="20"/>
                <w:szCs w:val="20"/>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60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4,220</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center"/>
              <w:ind w:right="2610"/>
              <w:spacing w:after="0"/>
              <w:rPr>
                <w:sz w:val="20"/>
                <w:szCs w:val="20"/>
                <w:color w:val="auto"/>
              </w:rPr>
            </w:pPr>
            <w:r>
              <w:rPr>
                <w:rFonts w:ascii="Arial" w:cs="Arial" w:eastAsia="Arial" w:hAnsi="Arial"/>
                <w:sz w:val="18"/>
                <w:szCs w:val="18"/>
                <w:b w:val="1"/>
                <w:bCs w:val="1"/>
                <w:color w:val="auto"/>
                <w:w w:val="89"/>
              </w:rPr>
              <w:t>Liabilities net of capital deficiency</w:t>
            </w: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Receipts on account of sale of Preferred B shares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1,575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Convertible loans</w:t>
            </w:r>
          </w:p>
        </w:tc>
        <w:tc>
          <w:tcPr>
            <w:tcW w:w="600" w:type="dxa"/>
            <w:vAlign w:val="bottom"/>
            <w:tcBorders>
              <w:bottom w:val="single" w:sz="8" w:color="CCEEFF"/>
            </w:tcBorders>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w:t>
            </w:r>
          </w:p>
        </w:tc>
        <w:tc>
          <w:tcPr>
            <w:tcW w:w="3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14,273</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loans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3,919</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Preferred shares A</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8,841</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 to purchase preferred shares A and shares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4,723</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Liability to issue preferred shares A and warrants</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Severance pay obligations, net</w:t>
            </w: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600" w:type="dxa"/>
            <w:vAlign w:val="bottom"/>
            <w:tcBorders>
              <w:bottom w:val="single" w:sz="8" w:color="CCEEFF"/>
            </w:tcBorders>
            <w:gridSpan w:val="2"/>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20,990</w:t>
            </w:r>
          </w:p>
        </w:tc>
        <w:tc>
          <w:tcPr>
            <w:tcW w:w="3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32,856</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31,532</w:t>
            </w:r>
          </w:p>
        </w:tc>
        <w:tc>
          <w:tcPr>
            <w:tcW w:w="0" w:type="dxa"/>
            <w:vAlign w:val="bottom"/>
          </w:tcPr>
          <w:p>
            <w:pPr>
              <w:spacing w:after="0"/>
              <w:rPr>
                <w:sz w:val="1"/>
                <w:szCs w:val="1"/>
                <w:color w:val="auto"/>
              </w:rPr>
            </w:pPr>
          </w:p>
        </w:tc>
      </w:tr>
      <w:tr>
        <w:trPr>
          <w:trHeight w:val="331"/>
        </w:trPr>
        <w:tc>
          <w:tcPr>
            <w:tcW w:w="83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CAPITAL DEFICIENCY:</w:t>
            </w: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reserves</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6,876</w:t>
            </w: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Additional paid in capital</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2,485</w:t>
            </w:r>
          </w:p>
        </w:tc>
        <w:tc>
          <w:tcPr>
            <w:tcW w:w="220" w:type="dxa"/>
            <w:vAlign w:val="bottom"/>
          </w:tcPr>
          <w:p>
            <w:pPr>
              <w:spacing w:after="0"/>
              <w:rPr>
                <w:sz w:val="19"/>
                <w:szCs w:val="19"/>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0" w:type="dxa"/>
            <w:vAlign w:val="bottom"/>
            <w:gridSpan w:val="2"/>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(38,038)</w:t>
            </w:r>
          </w:p>
        </w:tc>
        <w:tc>
          <w:tcPr>
            <w:tcW w:w="2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(30,616)</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TOTAL CAPITAL DEFICIENCY</w:t>
            </w:r>
          </w:p>
        </w:tc>
        <w:tc>
          <w:tcPr>
            <w:tcW w:w="600" w:type="dxa"/>
            <w:vAlign w:val="bottom"/>
            <w:gridSpan w:val="2"/>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(28,636)</w:t>
            </w:r>
          </w:p>
        </w:tc>
        <w:tc>
          <w:tcPr>
            <w:tcW w:w="220" w:type="dxa"/>
            <w:vAlign w:val="bottom"/>
          </w:tcPr>
          <w:p>
            <w:pPr>
              <w:spacing w:after="0"/>
              <w:rPr>
                <w:sz w:val="20"/>
                <w:szCs w:val="20"/>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(25,246)</w:t>
            </w:r>
          </w:p>
        </w:tc>
        <w:tc>
          <w:tcPr>
            <w:tcW w:w="0" w:type="dxa"/>
            <w:vAlign w:val="bottom"/>
          </w:tcPr>
          <w:p>
            <w:pPr>
              <w:spacing w:after="0"/>
              <w:rPr>
                <w:sz w:val="1"/>
                <w:szCs w:val="1"/>
                <w:color w:val="auto"/>
              </w:rPr>
            </w:pPr>
          </w:p>
        </w:tc>
      </w:tr>
      <w:tr>
        <w:trPr>
          <w:trHeight w:val="237"/>
        </w:trPr>
        <w:tc>
          <w:tcPr>
            <w:tcW w:w="8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6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-1654810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-4270375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-4956175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-5976620</wp:posOffset>
            </wp:positionV>
            <wp:extent cx="1371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Represents an amount less than one thousand.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4" w:name="page205"/>
    <w:bookmarkEnd w:id="204"/>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ENTERA BIO LTD.</w:t>
      </w:r>
    </w:p>
    <w:p>
      <w:pPr>
        <w:spacing w:after="0" w:line="20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CONDENSED INTERIM STATEMENTS OF COMPREHENSIVE LOSS (INCOME)</w:t>
      </w:r>
    </w:p>
    <w:p>
      <w:pPr>
        <w:jc w:val="center"/>
        <w:spacing w:after="0"/>
        <w:rPr>
          <w:sz w:val="20"/>
          <w:szCs w:val="20"/>
          <w:color w:val="auto"/>
        </w:rPr>
      </w:pPr>
      <w:r>
        <w:rPr>
          <w:rFonts w:ascii="Arial" w:cs="Arial" w:eastAsia="Arial" w:hAnsi="Arial"/>
          <w:sz w:val="22"/>
          <w:szCs w:val="22"/>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90"/>
              </w:rPr>
              <w:t>Nine months ended</w:t>
            </w:r>
          </w:p>
        </w:tc>
        <w:tc>
          <w:tcPr>
            <w:tcW w:w="19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5"/>
          </w:tcPr>
          <w:p>
            <w:pPr>
              <w:jc w:val="center"/>
              <w:ind w:right="1220"/>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jc w:val="center"/>
              <w:ind w:right="800"/>
              <w:spacing w:after="0"/>
              <w:rPr>
                <w:sz w:val="20"/>
                <w:szCs w:val="20"/>
                <w:color w:val="auto"/>
              </w:rPr>
            </w:pPr>
            <w:r>
              <w:rPr>
                <w:rFonts w:ascii="Arial" w:cs="Arial" w:eastAsia="Arial" w:hAnsi="Arial"/>
                <w:sz w:val="14"/>
                <w:szCs w:val="14"/>
                <w:color w:val="auto"/>
                <w:w w:val="92"/>
              </w:rPr>
              <w:t>U.S. dollars in thousands</w:t>
            </w:r>
          </w:p>
        </w:tc>
        <w:tc>
          <w:tcPr>
            <w:tcW w:w="1960" w:type="dxa"/>
            <w:vAlign w:val="bottom"/>
            <w:gridSpan w:val="4"/>
          </w:tcPr>
          <w:p>
            <w:pPr>
              <w:jc w:val="center"/>
              <w:ind w:right="320"/>
              <w:spacing w:after="0"/>
              <w:rPr>
                <w:sz w:val="20"/>
                <w:szCs w:val="20"/>
                <w:color w:val="auto"/>
              </w:rPr>
            </w:pPr>
            <w:r>
              <w:rPr>
                <w:rFonts w:ascii="Arial" w:cs="Arial" w:eastAsia="Arial" w:hAnsi="Arial"/>
                <w:sz w:val="14"/>
                <w:szCs w:val="14"/>
                <w:color w:val="auto"/>
                <w:w w:val="92"/>
              </w:rPr>
              <w:t>U.S. dollars in thousands</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1,686</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5,267</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2,296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w w:val="84"/>
              </w:rPr>
              <w:t>2,373</w:t>
            </w:r>
          </w:p>
        </w:tc>
        <w:tc>
          <w:tcPr>
            <w:tcW w:w="4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6,953</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4,147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4"/>
              </w:rPr>
              <w:t>2,779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1,434</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694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FINANCIAL EXPENSES (INCOME):</w:t>
            </w: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Loss (income) from change in fair value of financial liabilities at fair value</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(3,917)</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882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40" w:type="dxa"/>
            <w:vAlign w:val="bottom"/>
            <w:gridSpan w:val="3"/>
          </w:tcPr>
          <w:p>
            <w:pPr>
              <w:ind w:left="180"/>
              <w:spacing w:after="0"/>
              <w:rPr>
                <w:sz w:val="20"/>
                <w:szCs w:val="20"/>
                <w:color w:val="auto"/>
              </w:rPr>
            </w:pPr>
            <w:r>
              <w:rPr>
                <w:rFonts w:ascii="Arial" w:cs="Arial" w:eastAsia="Arial" w:hAnsi="Arial"/>
                <w:sz w:val="18"/>
                <w:szCs w:val="18"/>
                <w:color w:val="auto"/>
              </w:rPr>
              <w:t>Other financial expenses (income), net</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FINANCIAL LOSS (INCOME)</w:t>
            </w:r>
            <w:r>
              <w:rPr>
                <w:rFonts w:ascii="Arial" w:cs="Arial" w:eastAsia="Arial" w:hAnsi="Arial"/>
                <w:sz w:val="18"/>
                <w:szCs w:val="18"/>
                <w:color w:val="auto"/>
              </w:rPr>
              <w:t>, net</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877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NET LOSS and NET COMPREHENSIVE LOSS FOR THE PERIOD</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7,422</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8"/>
                <w:szCs w:val="18"/>
                <w:color w:val="auto"/>
                <w:w w:val="84"/>
              </w:rPr>
              <w:t>3,656</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7054215</wp:posOffset>
            </wp:positionH>
            <wp:positionV relativeFrom="paragraph">
              <wp:posOffset>-385445</wp:posOffset>
            </wp:positionV>
            <wp:extent cx="1974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7919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-1139825</wp:posOffset>
            </wp:positionV>
            <wp:extent cx="1974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67919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9196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-1602740</wp:posOffset>
            </wp:positionV>
            <wp:extent cx="1371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-1602740</wp:posOffset>
            </wp:positionV>
            <wp:extent cx="1371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6"/>
          </w:tcPr>
          <w:p>
            <w:pPr>
              <w:ind w:left="420"/>
              <w:spacing w:after="0"/>
              <w:rPr>
                <w:sz w:val="20"/>
                <w:szCs w:val="20"/>
                <w:color w:val="auto"/>
              </w:rPr>
            </w:pPr>
            <w:r>
              <w:rPr>
                <w:rFonts w:ascii="Arial" w:cs="Arial" w:eastAsia="Arial" w:hAnsi="Arial"/>
                <w:sz w:val="14"/>
                <w:szCs w:val="14"/>
                <w:color w:val="auto"/>
              </w:rPr>
              <w:t>U.S. dollars</w:t>
            </w:r>
          </w:p>
        </w:tc>
        <w:tc>
          <w:tcPr>
            <w:tcW w:w="1700" w:type="dxa"/>
            <w:vAlign w:val="bottom"/>
            <w:gridSpan w:val="4"/>
          </w:tcPr>
          <w:p>
            <w:pPr>
              <w:ind w:left="420"/>
              <w:spacing w:after="0"/>
              <w:rPr>
                <w:sz w:val="20"/>
                <w:szCs w:val="20"/>
                <w:color w:val="auto"/>
              </w:rPr>
            </w:pPr>
            <w:r>
              <w:rPr>
                <w:rFonts w:ascii="Arial" w:cs="Arial" w:eastAsia="Arial" w:hAnsi="Arial"/>
                <w:sz w:val="14"/>
                <w:szCs w:val="14"/>
                <w:color w:val="auto"/>
              </w:rPr>
              <w:t>U.S. dollars</w:t>
            </w:r>
          </w:p>
        </w:tc>
        <w:tc>
          <w:tcPr>
            <w:tcW w:w="0" w:type="dxa"/>
            <w:vAlign w:val="bottom"/>
          </w:tcPr>
          <w:p>
            <w:pPr>
              <w:spacing w:after="0"/>
              <w:rPr>
                <w:sz w:val="1"/>
                <w:szCs w:val="1"/>
                <w:color w:val="auto"/>
              </w:rPr>
            </w:pPr>
          </w:p>
        </w:tc>
      </w:tr>
      <w:tr>
        <w:trPr>
          <w:trHeight w:val="26"/>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PER ORDINARY SHARE –</w:t>
            </w: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214.86</w:t>
            </w:r>
          </w:p>
        </w:tc>
        <w:tc>
          <w:tcPr>
            <w:tcW w:w="5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105.84</w:t>
            </w:r>
          </w:p>
        </w:tc>
        <w:tc>
          <w:tcPr>
            <w:tcW w:w="5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111.02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OUTSTANDING –</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7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34,544</w:t>
            </w: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34,396</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34,544</w:t>
            </w: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34,396</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37,098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51,958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41,884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6062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5" w:name="page206"/>
    <w:bookmarkEnd w:id="20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ENTERA BIO LTD.</w:t>
      </w:r>
    </w:p>
    <w:p>
      <w:pPr>
        <w:spacing w:after="0" w:line="207"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CONDENSED INTERIM STATEMENTS OF</w:t>
      </w:r>
    </w:p>
    <w:p>
      <w:pPr>
        <w:jc w:val="center"/>
        <w:ind w:right="40"/>
        <w:spacing w:after="0" w:line="217" w:lineRule="auto"/>
        <w:rPr>
          <w:sz w:val="20"/>
          <w:szCs w:val="20"/>
          <w:color w:val="auto"/>
        </w:rPr>
      </w:pPr>
      <w:r>
        <w:rPr>
          <w:rFonts w:ascii="Arial" w:cs="Arial" w:eastAsia="Arial" w:hAnsi="Arial"/>
          <w:sz w:val="22"/>
          <w:szCs w:val="22"/>
          <w:color w:val="auto"/>
        </w:rPr>
        <w:t>CHANGES IN CAPITAL DEFICIENCY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Ordinary</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paid in</w:t>
            </w:r>
          </w:p>
        </w:tc>
        <w:tc>
          <w:tcPr>
            <w:tcW w:w="15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income</w:t>
            </w:r>
          </w:p>
        </w:tc>
        <w:tc>
          <w:tcPr>
            <w:tcW w:w="800" w:type="dxa"/>
            <w:vAlign w:val="bottom"/>
            <w:gridSpan w:val="3"/>
          </w:tcPr>
          <w:p>
            <w:pPr>
              <w:ind w:left="180"/>
              <w:spacing w:after="0"/>
              <w:rPr>
                <w:sz w:val="20"/>
                <w:szCs w:val="20"/>
                <w:color w:val="auto"/>
              </w:rPr>
            </w:pPr>
            <w:r>
              <w:rPr>
                <w:rFonts w:ascii="Arial" w:cs="Arial" w:eastAsia="Arial" w:hAnsi="Arial"/>
                <w:sz w:val="14"/>
                <w:szCs w:val="14"/>
                <w:b w:val="1"/>
                <w:bCs w:val="1"/>
                <w:color w:val="auto"/>
              </w:rPr>
              <w:t>reserve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380" w:type="dxa"/>
            <w:vAlign w:val="bottom"/>
          </w:tcPr>
          <w:p>
            <w:pPr>
              <w:spacing w:after="0"/>
              <w:rPr>
                <w:sz w:val="16"/>
                <w:szCs w:val="16"/>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7"/>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7"/>
          </w:tcPr>
          <w:p>
            <w:pPr>
              <w:ind w:left="300"/>
              <w:spacing w:after="0"/>
              <w:rPr>
                <w:sz w:val="20"/>
                <w:szCs w:val="20"/>
                <w:color w:val="auto"/>
              </w:rPr>
            </w:pPr>
            <w:r>
              <w:rPr>
                <w:rFonts w:ascii="Arial" w:cs="Arial" w:eastAsia="Arial" w:hAnsi="Arial"/>
                <w:sz w:val="14"/>
                <w:szCs w:val="14"/>
                <w:color w:val="auto"/>
              </w:rPr>
              <w:t>U.S. dollars in thousands</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34,396</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89"/>
              </w:rPr>
              <w:t>41</w:t>
            </w:r>
          </w:p>
        </w:tc>
        <w:tc>
          <w:tcPr>
            <w:tcW w:w="5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1,354</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2,335</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(29,417)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(25,687)</w:t>
            </w:r>
          </w:p>
        </w:tc>
        <w:tc>
          <w:tcPr>
            <w:tcW w:w="0" w:type="dxa"/>
            <w:vAlign w:val="bottom"/>
          </w:tcPr>
          <w:p>
            <w:pPr>
              <w:spacing w:after="0"/>
              <w:rPr>
                <w:sz w:val="1"/>
                <w:szCs w:val="1"/>
                <w:color w:val="auto"/>
              </w:rPr>
            </w:pPr>
          </w:p>
        </w:tc>
      </w:tr>
      <w:tr>
        <w:trPr>
          <w:trHeight w:val="33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CHANGES FOR NINE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for the period</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468"/>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63"/>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2"/>
                <w:szCs w:val="22"/>
                <w:color w:val="auto"/>
              </w:rPr>
            </w:pPr>
          </w:p>
        </w:tc>
        <w:tc>
          <w:tcPr>
            <w:tcW w:w="720" w:type="dxa"/>
            <w:vAlign w:val="bottom"/>
            <w:gridSpan w:val="2"/>
          </w:tcPr>
          <w:p>
            <w:pPr>
              <w:jc w:val="center"/>
              <w:ind w:right="468"/>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1,211</w:t>
            </w:r>
          </w:p>
        </w:tc>
        <w:tc>
          <w:tcPr>
            <w:tcW w:w="320" w:type="dxa"/>
            <w:vAlign w:val="bottom"/>
          </w:tcPr>
          <w:p>
            <w:pPr>
              <w:spacing w:after="0"/>
              <w:rPr>
                <w:sz w:val="22"/>
                <w:szCs w:val="2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2016</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vMerge w:val="continue"/>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34,396</w:t>
            </w:r>
          </w:p>
        </w:tc>
        <w:tc>
          <w:tcPr>
            <w:tcW w:w="9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89"/>
              </w:rPr>
              <w:t>41</w:t>
            </w:r>
          </w:p>
        </w:tc>
        <w:tc>
          <w:tcPr>
            <w:tcW w:w="5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2,565</w:t>
            </w:r>
          </w:p>
        </w:tc>
        <w:tc>
          <w:tcPr>
            <w:tcW w:w="10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2,335</w:t>
            </w:r>
          </w:p>
        </w:tc>
        <w:tc>
          <w:tcPr>
            <w:tcW w:w="15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(29,759)</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(24,818)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BALANCE AT JANUARY 1, 2017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gridSpan w:val="2"/>
            <w:vMerge w:val="continue"/>
          </w:tcPr>
          <w:p>
            <w:pPr>
              <w:spacing w:after="0"/>
              <w:rPr>
                <w:sz w:val="19"/>
                <w:szCs w:val="19"/>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34,544</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left="479"/>
              <w:spacing w:after="0"/>
              <w:rPr>
                <w:sz w:val="20"/>
                <w:szCs w:val="20"/>
                <w:color w:val="auto"/>
              </w:rPr>
            </w:pPr>
            <w:r>
              <w:rPr>
                <w:rFonts w:ascii="Arial" w:cs="Arial" w:eastAsia="Arial" w:hAnsi="Arial"/>
                <w:sz w:val="18"/>
                <w:szCs w:val="18"/>
                <w:color w:val="auto"/>
                <w:w w:val="89"/>
              </w:rPr>
              <w:t>41</w:t>
            </w:r>
          </w:p>
        </w:tc>
        <w:tc>
          <w:tcPr>
            <w:tcW w:w="54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2,844</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2,485</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(30,616)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(25,246)</w:t>
            </w:r>
          </w:p>
        </w:tc>
        <w:tc>
          <w:tcPr>
            <w:tcW w:w="0" w:type="dxa"/>
            <w:vAlign w:val="bottom"/>
          </w:tcPr>
          <w:p>
            <w:pPr>
              <w:spacing w:after="0"/>
              <w:rPr>
                <w:sz w:val="1"/>
                <w:szCs w:val="1"/>
                <w:color w:val="auto"/>
              </w:rPr>
            </w:pPr>
          </w:p>
        </w:tc>
      </w:tr>
      <w:tr>
        <w:trPr>
          <w:trHeight w:val="333"/>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FOR NINE MONTHS ENDED</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Net loss for the period</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2"/>
                <w:szCs w:val="22"/>
                <w:color w:val="auto"/>
              </w:rPr>
            </w:pPr>
          </w:p>
        </w:tc>
        <w:tc>
          <w:tcPr>
            <w:tcW w:w="720" w:type="dxa"/>
            <w:vAlign w:val="bottom"/>
            <w:gridSpan w:val="2"/>
          </w:tcPr>
          <w:p>
            <w:pPr>
              <w:jc w:val="center"/>
              <w:ind w:right="468"/>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(7,422)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63"/>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468"/>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4,032</w:t>
            </w:r>
          </w:p>
        </w:tc>
        <w:tc>
          <w:tcPr>
            <w:tcW w:w="3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2017</w:t>
            </w:r>
          </w:p>
        </w:tc>
        <w:tc>
          <w:tcPr>
            <w:tcW w:w="360" w:type="dxa"/>
            <w:vAlign w:val="bottom"/>
            <w:gridSpan w:val="2"/>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34,544</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left="479"/>
              <w:spacing w:after="0"/>
              <w:rPr>
                <w:sz w:val="20"/>
                <w:szCs w:val="20"/>
                <w:color w:val="auto"/>
              </w:rPr>
            </w:pPr>
            <w:r>
              <w:rPr>
                <w:rFonts w:ascii="Arial" w:cs="Arial" w:eastAsia="Arial" w:hAnsi="Arial"/>
                <w:sz w:val="18"/>
                <w:szCs w:val="18"/>
                <w:color w:val="auto"/>
                <w:w w:val="89"/>
              </w:rPr>
              <w:t>41</w:t>
            </w:r>
          </w:p>
        </w:tc>
        <w:tc>
          <w:tcPr>
            <w:tcW w:w="540" w:type="dxa"/>
            <w:vAlign w:val="bottom"/>
          </w:tcPr>
          <w:p>
            <w:pPr>
              <w:spacing w:after="0"/>
              <w:rPr>
                <w:sz w:val="21"/>
                <w:szCs w:val="21"/>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6,876</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2,485</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(38,038)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(28,636)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-1448435</wp:posOffset>
            </wp:positionV>
            <wp:extent cx="12001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-1448435</wp:posOffset>
            </wp:positionV>
            <wp:extent cx="3943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601154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-2443480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-2443480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-2443480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-2443480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-2443480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-2443480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Represents less than one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6" w:name="page207"/>
    <w:bookmarkEnd w:id="20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ENTERA BIO LTD.</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CONDENSED INTERIM CASH FLOW STATEMENTS</w:t>
      </w:r>
    </w:p>
    <w:p>
      <w:pPr>
        <w:jc w:val="center"/>
        <w:spacing w:after="0"/>
        <w:rPr>
          <w:sz w:val="20"/>
          <w:szCs w:val="20"/>
          <w:color w:val="auto"/>
        </w:rPr>
      </w:pPr>
      <w:r>
        <w:rPr>
          <w:rFonts w:ascii="Arial" w:cs="Arial" w:eastAsia="Arial" w:hAnsi="Arial"/>
          <w:sz w:val="22"/>
          <w:szCs w:val="22"/>
          <w:color w:val="auto"/>
        </w:rPr>
        <w:t>(UNAUDITED)</w:t>
      </w:r>
    </w:p>
    <w:p>
      <w:pPr>
        <w:spacing w:after="0" w:line="92"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22225</wp:posOffset>
            </wp:positionV>
            <wp:extent cx="14579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6"/>
                <w:szCs w:val="16"/>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4"/>
                <w:szCs w:val="14"/>
                <w:color w:val="auto"/>
              </w:rPr>
              <w:t>U.S. dollars in thousands</w:t>
            </w:r>
          </w:p>
        </w:tc>
        <w:tc>
          <w:tcPr>
            <w:tcW w:w="0" w:type="dxa"/>
            <w:vAlign w:val="bottom"/>
          </w:tcPr>
          <w:p>
            <w:pPr>
              <w:spacing w:after="0"/>
              <w:rPr>
                <w:sz w:val="1"/>
                <w:szCs w:val="1"/>
                <w:color w:val="auto"/>
              </w:rPr>
            </w:pPr>
          </w:p>
        </w:tc>
      </w:tr>
      <w:tr>
        <w:trPr>
          <w:trHeight w:val="257"/>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Net loss for the period</w:t>
            </w: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w w:val="91"/>
              </w:rPr>
              <w:t>(7,422)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 (see appendix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4,557</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(1,882)</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gridSpan w:val="2"/>
          </w:tcPr>
          <w:p>
            <w:pPr>
              <w:jc w:val="right"/>
              <w:ind w:right="648"/>
              <w:spacing w:after="0"/>
              <w:rPr>
                <w:sz w:val="20"/>
                <w:szCs w:val="20"/>
                <w:color w:val="auto"/>
              </w:rPr>
            </w:pPr>
            <w:r>
              <w:rPr>
                <w:rFonts w:ascii="Arial" w:cs="Arial" w:eastAsia="Arial" w:hAnsi="Arial"/>
                <w:sz w:val="18"/>
                <w:szCs w:val="18"/>
                <w:color w:val="auto"/>
                <w:w w:val="91"/>
              </w:rPr>
              <w:t>(2,865)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(2,224)</w:t>
            </w:r>
          </w:p>
        </w:tc>
        <w:tc>
          <w:tcPr>
            <w:tcW w:w="0" w:type="dxa"/>
            <w:vAlign w:val="bottom"/>
          </w:tcPr>
          <w:p>
            <w:pPr>
              <w:spacing w:after="0"/>
              <w:rPr>
                <w:sz w:val="1"/>
                <w:szCs w:val="1"/>
                <w:color w:val="auto"/>
              </w:rPr>
            </w:pPr>
          </w:p>
        </w:tc>
      </w:tr>
      <w:tr>
        <w:trPr>
          <w:trHeight w:val="365"/>
        </w:trPr>
        <w:tc>
          <w:tcPr>
            <w:tcW w:w="9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Decrease (increase) in restricted deposits</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1,053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(1,074)</w:t>
            </w:r>
          </w:p>
        </w:tc>
        <w:tc>
          <w:tcPr>
            <w:tcW w:w="0" w:type="dxa"/>
            <w:vAlign w:val="bottom"/>
          </w:tcPr>
          <w:p>
            <w:pPr>
              <w:spacing w:after="0"/>
              <w:rPr>
                <w:sz w:val="1"/>
                <w:szCs w:val="1"/>
                <w:color w:val="auto"/>
              </w:rPr>
            </w:pPr>
          </w:p>
        </w:tc>
      </w:tr>
      <w:tr>
        <w:trPr>
          <w:trHeight w:val="263"/>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1,006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(1,102)</w:t>
            </w:r>
          </w:p>
        </w:tc>
        <w:tc>
          <w:tcPr>
            <w:tcW w:w="0" w:type="dxa"/>
            <w:vAlign w:val="bottom"/>
          </w:tcPr>
          <w:p>
            <w:pPr>
              <w:spacing w:after="0"/>
              <w:rPr>
                <w:sz w:val="1"/>
                <w:szCs w:val="1"/>
                <w:color w:val="auto"/>
              </w:rPr>
            </w:pPr>
          </w:p>
        </w:tc>
      </w:tr>
      <w:tr>
        <w:trPr>
          <w:trHeight w:val="365"/>
        </w:trPr>
        <w:tc>
          <w:tcPr>
            <w:tcW w:w="9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48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Receipts on account of sale of Preferred B shares</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1,575</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for maturity of Convertible loans</w:t>
            </w: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(980)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0" w:type="dxa"/>
            <w:vAlign w:val="bottom"/>
            <w:gridSpan w:val="3"/>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595</w:t>
            </w:r>
          </w:p>
        </w:tc>
        <w:tc>
          <w:tcPr>
            <w:tcW w:w="500" w:type="dxa"/>
            <w:vAlign w:val="bottom"/>
          </w:tcPr>
          <w:p>
            <w:pPr>
              <w:jc w:val="right"/>
              <w:spacing w:after="0"/>
              <w:rPr>
                <w:sz w:val="20"/>
                <w:szCs w:val="20"/>
                <w:color w:val="auto"/>
              </w:rPr>
            </w:pPr>
            <w:r>
              <w:rPr>
                <w:rFonts w:ascii="Arial" w:cs="Arial" w:eastAsia="Arial" w:hAnsi="Arial"/>
                <w:sz w:val="18"/>
                <w:szCs w:val="18"/>
                <w:color w:val="auto"/>
              </w:rPr>
              <w:t>7,216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400" w:type="dxa"/>
            <w:vAlign w:val="bottom"/>
            <w:gridSpan w:val="3"/>
            <w:vMerge w:val="continue"/>
            <w:shd w:val="clear" w:color="auto" w:fill="CCEEFF"/>
          </w:tcPr>
          <w:p>
            <w:pPr>
              <w:spacing w:after="0"/>
              <w:rPr>
                <w:sz w:val="22"/>
                <w:szCs w:val="22"/>
                <w:color w:val="auto"/>
              </w:rPr>
            </w:pPr>
          </w:p>
        </w:tc>
        <w:tc>
          <w:tcPr>
            <w:tcW w:w="12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91"/>
              </w:rPr>
              <w:t>(1,264)</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BEGINNING OF THE YEAR</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4,163</w:t>
            </w:r>
          </w:p>
        </w:tc>
        <w:tc>
          <w:tcPr>
            <w:tcW w:w="500" w:type="dxa"/>
            <w:vAlign w:val="bottom"/>
          </w:tcPr>
          <w:p>
            <w:pPr>
              <w:jc w:val="right"/>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EXCHANGE DIFFERENCES ON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260" w:type="dxa"/>
            <w:vAlign w:val="bottom"/>
            <w:gridSpan w:val="2"/>
          </w:tcPr>
          <w:p>
            <w:pPr>
              <w:jc w:val="right"/>
              <w:ind w:right="708"/>
              <w:spacing w:after="0"/>
              <w:rPr>
                <w:sz w:val="20"/>
                <w:szCs w:val="20"/>
                <w:color w:val="auto"/>
              </w:rPr>
            </w:pPr>
            <w:r>
              <w:rPr>
                <w:rFonts w:ascii="Arial" w:cs="Arial" w:eastAsia="Arial" w:hAnsi="Arial"/>
                <w:sz w:val="18"/>
                <w:szCs w:val="18"/>
                <w:color w:val="auto"/>
              </w:rPr>
              <w:t>2,899</w:t>
            </w:r>
          </w:p>
        </w:tc>
        <w:tc>
          <w:tcPr>
            <w:tcW w:w="500" w:type="dxa"/>
            <w:vAlign w:val="bottom"/>
          </w:tcPr>
          <w:p>
            <w:pPr>
              <w:jc w:val="right"/>
              <w:spacing w:after="0"/>
              <w:rPr>
                <w:sz w:val="20"/>
                <w:szCs w:val="20"/>
                <w:color w:val="auto"/>
              </w:rPr>
            </w:pPr>
            <w:r>
              <w:rPr>
                <w:rFonts w:ascii="Arial" w:cs="Arial" w:eastAsia="Arial" w:hAnsi="Arial"/>
                <w:sz w:val="18"/>
                <w:szCs w:val="18"/>
                <w:color w:val="auto"/>
              </w:rPr>
              <w:t>5,095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00" w:type="dxa"/>
            <w:vAlign w:val="bottom"/>
            <w:tcBorders>
              <w:bottom w:val="single" w:sz="8" w:color="auto"/>
            </w:tcBorders>
          </w:tcPr>
          <w:p>
            <w:pPr>
              <w:spacing w:after="0"/>
              <w:rPr>
                <w:sz w:val="21"/>
                <w:szCs w:val="21"/>
                <w:color w:val="auto"/>
              </w:rPr>
            </w:pPr>
          </w:p>
        </w:tc>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-3352800</wp:posOffset>
            </wp:positionV>
            <wp:extent cx="1371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7"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Represents less than one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7" w:name="page208"/>
    <w:bookmarkEnd w:id="20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ENTERA BIO LTD.</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CONDENSED INTERIM CASH FLOW STATEMENTS</w:t>
      </w:r>
    </w:p>
    <w:p>
      <w:pPr>
        <w:jc w:val="center"/>
        <w:spacing w:after="0"/>
        <w:rPr>
          <w:sz w:val="20"/>
          <w:szCs w:val="20"/>
          <w:color w:val="auto"/>
        </w:rPr>
      </w:pPr>
      <w:r>
        <w:rPr>
          <w:rFonts w:ascii="Arial" w:cs="Arial" w:eastAsia="Arial" w:hAnsi="Arial"/>
          <w:sz w:val="22"/>
          <w:szCs w:val="22"/>
          <w:color w:val="auto"/>
        </w:rPr>
        <w:t>(UNAUDITED)</w:t>
      </w:r>
    </w:p>
    <w:p>
      <w:pPr>
        <w:spacing w:after="0" w:line="92"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22225</wp:posOffset>
            </wp:positionV>
            <wp:extent cx="14490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r>
      <w:tr>
        <w:trPr>
          <w:trHeight w:val="26"/>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198"/>
        </w:trPr>
        <w:tc>
          <w:tcPr>
            <w:tcW w:w="9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5"/>
              </w:rPr>
              <w:t>(Unaudited)</w:t>
            </w:r>
          </w:p>
        </w:tc>
      </w:tr>
      <w:tr>
        <w:trPr>
          <w:trHeight w:val="26"/>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r>
      <w:tr>
        <w:trPr>
          <w:trHeight w:val="183"/>
        </w:trPr>
        <w:tc>
          <w:tcPr>
            <w:tcW w:w="9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color w:val="auto"/>
              </w:rPr>
              <w:t>U.S. dollars in thousands</w:t>
            </w:r>
          </w:p>
        </w:tc>
      </w:tr>
      <w:tr>
        <w:trPr>
          <w:trHeight w:val="257"/>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APPENDIX A:</w:t>
            </w: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57"/>
        </w:trPr>
        <w:tc>
          <w:tcPr>
            <w:tcW w:w="9420" w:type="dxa"/>
            <w:vAlign w:val="bottom"/>
            <w:gridSpan w:val="2"/>
          </w:tcPr>
          <w:p>
            <w:pPr>
              <w:ind w:left="18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r>
      <w:tr>
        <w:trPr>
          <w:trHeight w:val="257"/>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Loss (Gain) from change in fair value of financial liabilities at fair value</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(3,917)</w:t>
            </w:r>
          </w:p>
        </w:tc>
      </w:tr>
      <w:tr>
        <w:trPr>
          <w:trHeight w:val="257"/>
        </w:trPr>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costs related to convertible loans and warrants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r>
      <w:tr>
        <w:trPr>
          <w:trHeight w:val="257"/>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Financial expenses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87</w:t>
            </w:r>
          </w:p>
        </w:tc>
      </w:tr>
      <w:tr>
        <w:trPr>
          <w:trHeight w:val="257"/>
        </w:trPr>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changes in severance pay</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r>
      <w:tr>
        <w:trPr>
          <w:trHeight w:val="263"/>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4,032</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1,211</w:t>
            </w: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64"/>
        </w:trPr>
        <w:tc>
          <w:tcPr>
            <w:tcW w:w="9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4,520</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(2,207)</w:t>
            </w:r>
          </w:p>
        </w:tc>
      </w:tr>
      <w:tr>
        <w:trPr>
          <w:trHeight w:val="365"/>
        </w:trPr>
        <w:tc>
          <w:tcPr>
            <w:tcW w:w="94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Changes in working capital:</w:t>
            </w: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57"/>
        </w:trPr>
        <w:tc>
          <w:tcPr>
            <w:tcW w:w="9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other current assets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433</w:t>
            </w:r>
          </w:p>
        </w:tc>
      </w:tr>
      <w:tr>
        <w:trPr>
          <w:trHeight w:val="257"/>
        </w:trPr>
        <w:tc>
          <w:tcPr>
            <w:tcW w:w="9420" w:type="dxa"/>
            <w:vAlign w:val="bottom"/>
            <w:gridSpan w:val="2"/>
          </w:tcPr>
          <w:p>
            <w:pPr>
              <w:ind w:left="360"/>
              <w:spacing w:after="0"/>
              <w:rPr>
                <w:sz w:val="20"/>
                <w:szCs w:val="20"/>
                <w:color w:val="auto"/>
              </w:rPr>
            </w:pPr>
            <w:r>
              <w:rPr>
                <w:rFonts w:ascii="Arial" w:cs="Arial" w:eastAsia="Arial" w:hAnsi="Arial"/>
                <w:sz w:val="18"/>
                <w:szCs w:val="18"/>
                <w:color w:val="auto"/>
              </w:rPr>
              <w:t>Increase (decrease) in accounts payable and accruals: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9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Trade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r>
      <w:tr>
        <w:trPr>
          <w:trHeight w:val="263"/>
        </w:trPr>
        <w:tc>
          <w:tcPr>
            <w:tcW w:w="9420" w:type="dxa"/>
            <w:vAlign w:val="bottom"/>
            <w:gridSpan w:val="2"/>
          </w:tcPr>
          <w:p>
            <w:pPr>
              <w:ind w:left="540"/>
              <w:spacing w:after="0"/>
              <w:rPr>
                <w:sz w:val="20"/>
                <w:szCs w:val="20"/>
                <w:color w:val="auto"/>
              </w:rPr>
            </w:pPr>
            <w:r>
              <w:rPr>
                <w:rFonts w:ascii="Arial" w:cs="Arial" w:eastAsia="Arial" w:hAnsi="Arial"/>
                <w:sz w:val="18"/>
                <w:szCs w:val="18"/>
                <w:color w:val="auto"/>
              </w:rPr>
              <w:t>Other</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78</w:t>
            </w: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64"/>
        </w:trPr>
        <w:tc>
          <w:tcPr>
            <w:tcW w:w="9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r>
      <w:tr>
        <w:trPr>
          <w:trHeight w:val="365"/>
        </w:trPr>
        <w:tc>
          <w:tcPr>
            <w:tcW w:w="94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Cash used for operating activities –</w:t>
            </w: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r>
        <w:trPr>
          <w:trHeight w:val="263"/>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0"/>
        </w:trPr>
        <w:tc>
          <w:tcPr>
            <w:tcW w:w="9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304"/>
        </w:trPr>
        <w:tc>
          <w:tcPr>
            <w:tcW w:w="9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4,557</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(1,882)</w:t>
            </w:r>
          </w:p>
        </w:tc>
      </w:tr>
      <w:tr>
        <w:trPr>
          <w:trHeight w:val="311"/>
        </w:trPr>
        <w:tc>
          <w:tcPr>
            <w:tcW w:w="94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APPENDIX B:</w:t>
            </w:r>
          </w:p>
        </w:tc>
        <w:tc>
          <w:tcPr>
            <w:tcW w:w="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r>
      <w:tr>
        <w:trPr>
          <w:trHeight w:val="304"/>
        </w:trPr>
        <w:tc>
          <w:tcPr>
            <w:tcW w:w="94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Supplementary information on financing activities not involving cash flows:</w:t>
            </w: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r>
      <w:tr>
        <w:trPr>
          <w:trHeight w:val="230"/>
        </w:trPr>
        <w:tc>
          <w:tcPr>
            <w:tcW w:w="9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Issuance costs regarding convertible loan and warrants</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-4055745</wp:posOffset>
            </wp:positionV>
            <wp:extent cx="1371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condensed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NOTES TO CONDENSED INTERIM FINANCIAL STATEMENTS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148" w:lineRule="exact"/>
        <w:rPr>
          <w:sz w:val="20"/>
          <w:szCs w:val="20"/>
          <w:color w:val="auto"/>
        </w:rPr>
      </w:pPr>
    </w:p>
    <w:p>
      <w:pPr>
        <w:ind w:left="540" w:right="340" w:hanging="352"/>
        <w:spacing w:after="0" w:line="259"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Entera Bio Ltd. (the “Company”) was incorporated in September 2009, and commenced operations as a joint venture of D.N.A Biomedical and Oramed in June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132" w:lineRule="exact"/>
        <w:rPr>
          <w:rFonts w:ascii="Arial" w:cs="Arial" w:eastAsia="Arial" w:hAnsi="Arial"/>
          <w:sz w:val="18"/>
          <w:szCs w:val="18"/>
          <w:color w:val="auto"/>
        </w:rPr>
      </w:pPr>
    </w:p>
    <w:p>
      <w:pPr>
        <w:ind w:left="540" w:right="340" w:hanging="352"/>
        <w:spacing w:after="0" w:line="297"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Since the Company is engaged in research and development activities, it has not yet derived income from its activity and has incurred through September 30, 2017, accumulated losses in the amount of $38,038 thousand. The Company also has negative working capital and has cash outflows from operating activities. The Company’s management is of the opinion that its available funds as of September 30, 2017 will not allow the Company to execute its development plans in the upcoming year. These factors raise substantial doubt as to the Company’s ability to continue as a going concern. In October 2017, the Company raised $12.4 million in the Preferred B Financing (See also Note 9(a)).</w:t>
      </w:r>
    </w:p>
    <w:p>
      <w:pPr>
        <w:spacing w:after="0" w:line="50" w:lineRule="exact"/>
        <w:rPr>
          <w:rFonts w:ascii="Arial" w:cs="Arial" w:eastAsia="Arial" w:hAnsi="Arial"/>
          <w:sz w:val="16"/>
          <w:szCs w:val="16"/>
          <w:color w:val="auto"/>
        </w:rPr>
      </w:pPr>
    </w:p>
    <w:p>
      <w:pPr>
        <w:ind w:left="540" w:right="20"/>
        <w:spacing w:after="0" w:line="264" w:lineRule="auto"/>
        <w:rPr>
          <w:rFonts w:ascii="Arial" w:cs="Arial" w:eastAsia="Arial" w:hAnsi="Arial"/>
          <w:sz w:val="16"/>
          <w:szCs w:val="16"/>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73" w:lineRule="exact"/>
        <w:rPr>
          <w:rFonts w:ascii="Arial" w:cs="Arial" w:eastAsia="Arial" w:hAnsi="Arial"/>
          <w:sz w:val="16"/>
          <w:szCs w:val="16"/>
          <w:color w:val="auto"/>
        </w:rPr>
      </w:pPr>
    </w:p>
    <w:p>
      <w:pPr>
        <w:jc w:val="both"/>
        <w:ind w:left="540"/>
        <w:spacing w:after="0" w:line="312" w:lineRule="auto"/>
        <w:rPr>
          <w:rFonts w:ascii="Arial" w:cs="Arial" w:eastAsia="Arial" w:hAnsi="Arial"/>
          <w:sz w:val="16"/>
          <w:szCs w:val="16"/>
          <w:color w:val="auto"/>
        </w:rPr>
      </w:pPr>
      <w:r>
        <w:rPr>
          <w:rFonts w:ascii="Arial" w:cs="Arial" w:eastAsia="Arial" w:hAnsi="Arial"/>
          <w:sz w:val="16"/>
          <w:szCs w:val="16"/>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 These financial statements do not include any adjustments that may be necessary should the Company be unable to continue as a going concern.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PREPARATION</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condensed interim financial statements as of September 30, 2017 and for the nine months then ended (the “interim financial statements”) have been prepared in accordance with International Accounting Standard No. 34, “Interim Financial Reporting” (“IAS 34”). These interim financial statements, which are unaudited, do not include all disclosures necessary for a complete presentation of financial position, comprehensive loss, changes in capital deficiency and cash flows in conformity with generally accepted accounting principles. The condensed interim financial statements should be read in conjunction with the Company’s annual financial statements as of December 31, 2016 and for the year then ended and their accompanying notes, which have been prepared in accordance with International Financial Reporting Standards (“IFRS”) as issued by the IASB. The results of operations for the nine months ended September 30, 2017 are not necessarily indicative of the results that may be expected for the entire fiscal year or for any other interim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SIGNIFICANT ACCOUNTING POLICIES</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accounting policies and calculation methods applied in the preparation of the interim financial statements are consistent with those applied in the preparation of the annual financial statements as of December 31, 2016 and for the year then ended.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9" w:name="page210"/>
    <w:bookmarkEnd w:id="209"/>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RISK MANAGEMENTAND FINANCIAL INSTRUMENTS:</w:t>
      </w:r>
    </w:p>
    <w:p>
      <w:pPr>
        <w:spacing w:after="0" w:line="131" w:lineRule="exact"/>
        <w:rPr>
          <w:sz w:val="20"/>
          <w:szCs w:val="20"/>
          <w:color w:val="auto"/>
        </w:rPr>
      </w:pPr>
    </w:p>
    <w:p>
      <w:pPr>
        <w:ind w:left="540" w:hanging="35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Financial risk factors</w:t>
      </w:r>
    </w:p>
    <w:p>
      <w:pPr>
        <w:spacing w:after="0" w:line="12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Company’s activities expose it to a variety of financial risks.</w:t>
      </w:r>
    </w:p>
    <w:p>
      <w:pPr>
        <w:spacing w:after="0" w:line="117" w:lineRule="exact"/>
        <w:rPr>
          <w:rFonts w:ascii="Arial" w:cs="Arial" w:eastAsia="Arial" w:hAnsi="Arial"/>
          <w:sz w:val="18"/>
          <w:szCs w:val="18"/>
          <w:color w:val="auto"/>
        </w:rPr>
      </w:pPr>
    </w:p>
    <w:p>
      <w:pPr>
        <w:ind w:left="540" w:right="260"/>
        <w:spacing w:after="0" w:line="277" w:lineRule="auto"/>
        <w:rPr>
          <w:rFonts w:ascii="Arial" w:cs="Arial" w:eastAsia="Arial" w:hAnsi="Arial"/>
          <w:sz w:val="18"/>
          <w:szCs w:val="18"/>
          <w:color w:val="auto"/>
        </w:rPr>
      </w:pPr>
      <w:r>
        <w:rPr>
          <w:rFonts w:ascii="Arial" w:cs="Arial" w:eastAsia="Arial" w:hAnsi="Arial"/>
          <w:sz w:val="18"/>
          <w:szCs w:val="18"/>
          <w:color w:val="auto"/>
        </w:rPr>
        <w:t>The condensed interim financial statements do not include all financial risk information and disclosures required in the annual financial statements; they should be read in conjunction with the Company’s annual financial statements as of December 31, 2016.</w:t>
      </w:r>
    </w:p>
    <w:p>
      <w:pPr>
        <w:spacing w:after="0" w:line="6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There have been no changes in the risk management policies since the year end.</w:t>
      </w:r>
    </w:p>
    <w:p>
      <w:pPr>
        <w:spacing w:after="0" w:line="167" w:lineRule="exact"/>
        <w:rPr>
          <w:rFonts w:ascii="Arial" w:cs="Arial" w:eastAsia="Arial" w:hAnsi="Arial"/>
          <w:sz w:val="18"/>
          <w:szCs w:val="18"/>
          <w:color w:val="auto"/>
        </w:rPr>
      </w:pPr>
    </w:p>
    <w:p>
      <w:pPr>
        <w:ind w:left="540" w:hanging="35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Classification of financial instruments by groups: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5"/>
              </w:rPr>
              <w:t>Financial</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6"/>
              </w:rPr>
              <w:t>liabilities at fair</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2"/>
              </w:rPr>
              <w:t>value through</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132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1"/>
              </w:rPr>
              <w:t>profit or loss</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liabilities at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7200" w:type="dxa"/>
            <w:vAlign w:val="bottom"/>
          </w:tcPr>
          <w:p>
            <w:pPr>
              <w:spacing w:after="0"/>
              <w:rPr>
                <w:sz w:val="16"/>
                <w:szCs w:val="16"/>
                <w:color w:val="auto"/>
              </w:rPr>
            </w:pPr>
          </w:p>
        </w:tc>
        <w:tc>
          <w:tcPr>
            <w:tcW w:w="132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w w:val="94"/>
              </w:rPr>
              <w:t>(Level 3)</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amortized cost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6"/>
        </w:trPr>
        <w:tc>
          <w:tcPr>
            <w:tcW w:w="7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7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3"/>
          </w:tcPr>
          <w:p>
            <w:pPr>
              <w:ind w:left="80"/>
              <w:spacing w:after="0"/>
              <w:rPr>
                <w:sz w:val="20"/>
                <w:szCs w:val="20"/>
                <w:color w:val="auto"/>
              </w:rPr>
            </w:pPr>
            <w:r>
              <w:rPr>
                <w:rFonts w:ascii="Arial" w:cs="Arial" w:eastAsia="Arial" w:hAnsi="Arial"/>
                <w:sz w:val="14"/>
                <w:szCs w:val="14"/>
                <w:color w:val="auto"/>
              </w:rPr>
              <w:t>U.S. dollars 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7"/>
        </w:trPr>
        <w:tc>
          <w:tcPr>
            <w:tcW w:w="72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As of September 30, 2017:</w:t>
            </w: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7200" w:type="dxa"/>
            <w:vAlign w:val="bottom"/>
          </w:tcPr>
          <w:p>
            <w:pPr>
              <w:ind w:left="980"/>
              <w:spacing w:after="0"/>
              <w:rPr>
                <w:sz w:val="20"/>
                <w:szCs w:val="20"/>
                <w:color w:val="auto"/>
              </w:rPr>
            </w:pPr>
            <w:r>
              <w:rPr>
                <w:rFonts w:ascii="Arial" w:cs="Arial" w:eastAsia="Arial" w:hAnsi="Arial"/>
                <w:sz w:val="18"/>
                <w:szCs w:val="18"/>
                <w:color w:val="auto"/>
              </w:rPr>
              <w:t>Trade and other payable</w:t>
            </w:r>
          </w:p>
        </w:tc>
        <w:tc>
          <w:tcPr>
            <w:tcW w:w="52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880"/>
              <w:spacing w:after="0"/>
              <w:rPr>
                <w:sz w:val="20"/>
                <w:szCs w:val="20"/>
                <w:color w:val="auto"/>
              </w:rPr>
            </w:pPr>
            <w:r>
              <w:rPr>
                <w:rFonts w:ascii="Arial" w:cs="Arial" w:eastAsia="Arial" w:hAnsi="Arial"/>
                <w:sz w:val="18"/>
                <w:szCs w:val="18"/>
                <w:color w:val="auto"/>
              </w:rPr>
              <w:t>1,003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1,003</w:t>
            </w:r>
          </w:p>
        </w:tc>
      </w:tr>
      <w:tr>
        <w:trPr>
          <w:trHeight w:val="257"/>
        </w:trPr>
        <w:tc>
          <w:tcPr>
            <w:tcW w:w="7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Receipts on account of sale of Preferred B shares</w:t>
            </w:r>
          </w:p>
        </w:tc>
        <w:tc>
          <w:tcPr>
            <w:tcW w:w="5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1,575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1,575</w:t>
            </w:r>
          </w:p>
        </w:tc>
      </w:tr>
      <w:tr>
        <w:trPr>
          <w:trHeight w:val="257"/>
        </w:trPr>
        <w:tc>
          <w:tcPr>
            <w:tcW w:w="7200" w:type="dxa"/>
            <w:vAlign w:val="bottom"/>
          </w:tcPr>
          <w:p>
            <w:pPr>
              <w:ind w:left="980"/>
              <w:spacing w:after="0"/>
              <w:rPr>
                <w:sz w:val="20"/>
                <w:szCs w:val="20"/>
                <w:color w:val="auto"/>
              </w:rPr>
            </w:pPr>
            <w:r>
              <w:rPr>
                <w:rFonts w:ascii="Arial" w:cs="Arial" w:eastAsia="Arial" w:hAnsi="Arial"/>
                <w:sz w:val="18"/>
                <w:szCs w:val="18"/>
                <w:color w:val="auto"/>
              </w:rPr>
              <w:t>Convertible loans</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15,614</w:t>
            </w:r>
          </w:p>
        </w:tc>
        <w:tc>
          <w:tcPr>
            <w:tcW w:w="920" w:type="dxa"/>
            <w:vAlign w:val="bottom"/>
          </w:tcPr>
          <w:p>
            <w:pPr>
              <w:spacing w:after="0"/>
              <w:rPr>
                <w:sz w:val="22"/>
                <w:szCs w:val="22"/>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15,614</w:t>
            </w:r>
          </w:p>
        </w:tc>
      </w:tr>
      <w:tr>
        <w:trPr>
          <w:trHeight w:val="257"/>
        </w:trPr>
        <w:tc>
          <w:tcPr>
            <w:tcW w:w="7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Preferred shares 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8,841</w:t>
            </w:r>
          </w:p>
        </w:tc>
      </w:tr>
      <w:tr>
        <w:trPr>
          <w:trHeight w:val="250"/>
        </w:trPr>
        <w:tc>
          <w:tcPr>
            <w:tcW w:w="7200" w:type="dxa"/>
            <w:vAlign w:val="bottom"/>
          </w:tcPr>
          <w:p>
            <w:pPr>
              <w:ind w:left="980"/>
              <w:spacing w:after="0"/>
              <w:rPr>
                <w:sz w:val="20"/>
                <w:szCs w:val="20"/>
                <w:color w:val="auto"/>
              </w:rPr>
            </w:pPr>
            <w:r>
              <w:rPr>
                <w:rFonts w:ascii="Arial" w:cs="Arial" w:eastAsia="Arial" w:hAnsi="Arial"/>
                <w:sz w:val="18"/>
                <w:szCs w:val="18"/>
                <w:color w:val="auto"/>
              </w:rPr>
              <w:t>Warrants to purchase preferred shares A and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4,723</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4,723</w:t>
            </w:r>
          </w:p>
        </w:tc>
      </w:tr>
      <w:tr>
        <w:trPr>
          <w:trHeight w:val="270"/>
        </w:trPr>
        <w:tc>
          <w:tcPr>
            <w:tcW w:w="7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Liability to issue preferred shares A and warrants</w:t>
            </w:r>
          </w:p>
        </w:tc>
        <w:tc>
          <w:tcPr>
            <w:tcW w:w="5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1,044</w:t>
            </w:r>
          </w:p>
        </w:tc>
      </w:tr>
      <w:tr>
        <w:trPr>
          <w:trHeight w:val="20"/>
        </w:trPr>
        <w:tc>
          <w:tcPr>
            <w:tcW w:w="7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304"/>
        </w:trPr>
        <w:tc>
          <w:tcPr>
            <w:tcW w:w="7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30,222</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2,578</w:t>
            </w:r>
          </w:p>
        </w:tc>
        <w:tc>
          <w:tcPr>
            <w:tcW w:w="8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32,800</w:t>
            </w:r>
          </w:p>
        </w:tc>
      </w:tr>
      <w:tr>
        <w:trPr>
          <w:trHeight w:val="311"/>
        </w:trPr>
        <w:tc>
          <w:tcPr>
            <w:tcW w:w="720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As of December 31, 2016:</w:t>
            </w:r>
          </w:p>
        </w:tc>
        <w:tc>
          <w:tcPr>
            <w:tcW w:w="5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r>
      <w:tr>
        <w:trPr>
          <w:trHeight w:val="257"/>
        </w:trPr>
        <w:tc>
          <w:tcPr>
            <w:tcW w:w="7200" w:type="dxa"/>
            <w:vAlign w:val="bottom"/>
          </w:tcPr>
          <w:p>
            <w:pPr>
              <w:ind w:left="980"/>
              <w:spacing w:after="0"/>
              <w:rPr>
                <w:sz w:val="20"/>
                <w:szCs w:val="20"/>
                <w:color w:val="auto"/>
              </w:rPr>
            </w:pPr>
            <w:r>
              <w:rPr>
                <w:rFonts w:ascii="Arial" w:cs="Arial" w:eastAsia="Arial" w:hAnsi="Arial"/>
                <w:sz w:val="18"/>
                <w:szCs w:val="18"/>
                <w:color w:val="auto"/>
              </w:rPr>
              <w:t>Trade and other payable</w:t>
            </w:r>
          </w:p>
        </w:tc>
        <w:tc>
          <w:tcPr>
            <w:tcW w:w="520" w:type="dxa"/>
            <w:vAlign w:val="bottom"/>
          </w:tcPr>
          <w:p>
            <w:pPr>
              <w:spacing w:after="0"/>
              <w:rPr>
                <w:sz w:val="22"/>
                <w:szCs w:val="2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880"/>
              <w:spacing w:after="0"/>
              <w:rPr>
                <w:sz w:val="20"/>
                <w:szCs w:val="20"/>
                <w:color w:val="auto"/>
              </w:rPr>
            </w:pPr>
            <w:r>
              <w:rPr>
                <w:rFonts w:ascii="Arial" w:cs="Arial" w:eastAsia="Arial" w:hAnsi="Arial"/>
                <w:sz w:val="18"/>
                <w:szCs w:val="18"/>
                <w:color w:val="auto"/>
              </w:rPr>
              <w:t>657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r>
      <w:tr>
        <w:trPr>
          <w:trHeight w:val="257"/>
        </w:trPr>
        <w:tc>
          <w:tcPr>
            <w:tcW w:w="7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Convertible loans</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13,715</w:t>
            </w:r>
          </w:p>
        </w:tc>
        <w:tc>
          <w:tcPr>
            <w:tcW w:w="222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1,005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14,720</w:t>
            </w:r>
          </w:p>
        </w:tc>
      </w:tr>
      <w:tr>
        <w:trPr>
          <w:trHeight w:val="257"/>
        </w:trPr>
        <w:tc>
          <w:tcPr>
            <w:tcW w:w="7200" w:type="dxa"/>
            <w:vAlign w:val="bottom"/>
          </w:tcPr>
          <w:p>
            <w:pPr>
              <w:ind w:left="980"/>
              <w:spacing w:after="0"/>
              <w:rPr>
                <w:sz w:val="20"/>
                <w:szCs w:val="20"/>
                <w:color w:val="auto"/>
              </w:rPr>
            </w:pPr>
            <w:r>
              <w:rPr>
                <w:rFonts w:ascii="Arial" w:cs="Arial" w:eastAsia="Arial" w:hAnsi="Arial"/>
                <w:sz w:val="18"/>
                <w:szCs w:val="18"/>
                <w:color w:val="auto"/>
              </w:rPr>
              <w:t>Preferred shares 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11,031</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11,031</w:t>
            </w:r>
          </w:p>
        </w:tc>
      </w:tr>
      <w:tr>
        <w:trPr>
          <w:trHeight w:val="257"/>
        </w:trPr>
        <w:tc>
          <w:tcPr>
            <w:tcW w:w="72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Warrants to purchase preferred shares A and shares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4,800</w:t>
            </w:r>
          </w:p>
        </w:tc>
      </w:tr>
      <w:tr>
        <w:trPr>
          <w:trHeight w:val="263"/>
        </w:trPr>
        <w:tc>
          <w:tcPr>
            <w:tcW w:w="7200" w:type="dxa"/>
            <w:vAlign w:val="bottom"/>
          </w:tcPr>
          <w:p>
            <w:pPr>
              <w:ind w:left="980"/>
              <w:spacing w:after="0"/>
              <w:rPr>
                <w:sz w:val="20"/>
                <w:szCs w:val="20"/>
                <w:color w:val="auto"/>
              </w:rPr>
            </w:pPr>
            <w:r>
              <w:rPr>
                <w:rFonts w:ascii="Arial" w:cs="Arial" w:eastAsia="Arial" w:hAnsi="Arial"/>
                <w:sz w:val="18"/>
                <w:szCs w:val="18"/>
                <w:color w:val="auto"/>
              </w:rPr>
              <w:t>Liability to issue preferred shares A and warrants</w:t>
            </w:r>
          </w:p>
        </w:tc>
        <w:tc>
          <w:tcPr>
            <w:tcW w:w="5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r>
      <w:tr>
        <w:trPr>
          <w:trHeight w:val="20"/>
        </w:trPr>
        <w:tc>
          <w:tcPr>
            <w:tcW w:w="7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7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29,819</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1,662</w:t>
            </w: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31,481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-196850</wp:posOffset>
            </wp:positionV>
            <wp:extent cx="1117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681799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-2709545</wp:posOffset>
            </wp:positionV>
            <wp:extent cx="1371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-2709545</wp:posOffset>
            </wp:positionV>
            <wp:extent cx="1371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All of the Company’s financial assets are measured at amortized costs. The fair value of the financial assets and financial liabilities that are measured at amortized costs is close or identical to their book value.</w:t>
      </w:r>
    </w:p>
    <w:p>
      <w:pPr>
        <w:spacing w:after="0" w:line="62" w:lineRule="exact"/>
        <w:rPr>
          <w:sz w:val="20"/>
          <w:szCs w:val="20"/>
          <w:color w:val="auto"/>
        </w:rPr>
      </w:pPr>
    </w:p>
    <w:p>
      <w:pPr>
        <w:ind w:left="540" w:right="100"/>
        <w:spacing w:after="0" w:line="312" w:lineRule="auto"/>
        <w:rPr>
          <w:sz w:val="20"/>
          <w:szCs w:val="20"/>
          <w:color w:val="auto"/>
        </w:rPr>
      </w:pPr>
      <w:r>
        <w:rPr>
          <w:rFonts w:ascii="Arial" w:cs="Arial" w:eastAsia="Arial" w:hAnsi="Arial"/>
          <w:sz w:val="16"/>
          <w:szCs w:val="16"/>
          <w:color w:val="auto"/>
        </w:rPr>
        <w:t>The Company prepared a valuation of the financial liabilities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0" w:name="page211"/>
    <w:bookmarkEnd w:id="210"/>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RISK MANAGEMENTAND FINANCIAL INSTRUMENTS: (Continued)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September 30, 2017, the valuation of the Company’s financial liabilities was based on the market approach and used a price per share of</w:t>
      </w:r>
    </w:p>
    <w:p>
      <w:pPr>
        <w:spacing w:after="0" w:line="35" w:lineRule="exact"/>
        <w:rPr>
          <w:sz w:val="20"/>
          <w:szCs w:val="20"/>
          <w:color w:val="auto"/>
        </w:rPr>
      </w:pPr>
    </w:p>
    <w:p>
      <w:pPr>
        <w:ind w:left="540" w:right="380"/>
        <w:spacing w:after="0" w:line="261" w:lineRule="auto"/>
        <w:rPr>
          <w:sz w:val="20"/>
          <w:szCs w:val="20"/>
          <w:color w:val="auto"/>
        </w:rPr>
      </w:pPr>
      <w:r>
        <w:rPr>
          <w:rFonts w:ascii="Arial" w:cs="Arial" w:eastAsia="Arial" w:hAnsi="Arial"/>
          <w:sz w:val="18"/>
          <w:szCs w:val="18"/>
          <w:color w:val="auto"/>
        </w:rPr>
        <w:t>$908.78 per preferred B shares from the Company’s preferred share issuance in October 2017 (see Note 9(a)) as a basis for fair market value. The following parameters were used: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0" w:type="dxa"/>
            <w:vAlign w:val="bottom"/>
          </w:tcPr>
          <w:p>
            <w:pPr>
              <w:spacing w:after="0"/>
              <w:rPr>
                <w:sz w:val="14"/>
                <w:szCs w:val="14"/>
                <w:color w:val="auto"/>
              </w:rPr>
            </w:pPr>
          </w:p>
        </w:tc>
        <w:tc>
          <w:tcPr>
            <w:tcW w:w="142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100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r>
      <w:tr>
        <w:trPr>
          <w:trHeight w:val="26"/>
        </w:trPr>
        <w:tc>
          <w:tcPr>
            <w:tcW w:w="100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10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Preferred B price per share</w:t>
            </w:r>
          </w:p>
        </w:tc>
        <w:tc>
          <w:tcPr>
            <w:tcW w:w="14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$908.78</w:t>
            </w:r>
          </w:p>
        </w:tc>
      </w:tr>
      <w:tr>
        <w:trPr>
          <w:trHeight w:val="257"/>
        </w:trPr>
        <w:tc>
          <w:tcPr>
            <w:tcW w:w="10000" w:type="dxa"/>
            <w:vAlign w:val="bottom"/>
          </w:tcPr>
          <w:p>
            <w:pPr>
              <w:ind w:left="800"/>
              <w:spacing w:after="0"/>
              <w:rPr>
                <w:sz w:val="20"/>
                <w:szCs w:val="20"/>
                <w:color w:val="auto"/>
              </w:rPr>
            </w:pPr>
            <w:r>
              <w:rPr>
                <w:rFonts w:ascii="Arial" w:cs="Arial" w:eastAsia="Arial" w:hAnsi="Arial"/>
                <w:sz w:val="18"/>
                <w:szCs w:val="18"/>
                <w:color w:val="auto"/>
              </w:rPr>
              <w:t>Volatility</w:t>
            </w:r>
          </w:p>
        </w:tc>
        <w:tc>
          <w:tcPr>
            <w:tcW w:w="1420" w:type="dxa"/>
            <w:vAlign w:val="bottom"/>
          </w:tcPr>
          <w:p>
            <w:pPr>
              <w:jc w:val="right"/>
              <w:ind w:right="176"/>
              <w:spacing w:after="0"/>
              <w:rPr>
                <w:sz w:val="20"/>
                <w:szCs w:val="20"/>
                <w:color w:val="auto"/>
              </w:rPr>
            </w:pPr>
            <w:r>
              <w:rPr>
                <w:rFonts w:ascii="Arial" w:cs="Arial" w:eastAsia="Arial" w:hAnsi="Arial"/>
                <w:sz w:val="18"/>
                <w:szCs w:val="18"/>
                <w:color w:val="auto"/>
              </w:rPr>
              <w:t>65%</w:t>
            </w:r>
          </w:p>
        </w:tc>
      </w:tr>
      <w:tr>
        <w:trPr>
          <w:trHeight w:val="257"/>
        </w:trPr>
        <w:tc>
          <w:tcPr>
            <w:tcW w:w="10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Probability of entering Phase 2b/3 for Hypo</w:t>
            </w: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70%</w:t>
            </w:r>
          </w:p>
        </w:tc>
      </w:tr>
      <w:tr>
        <w:trPr>
          <w:trHeight w:val="257"/>
        </w:trPr>
        <w:tc>
          <w:tcPr>
            <w:tcW w:w="10000" w:type="dxa"/>
            <w:vAlign w:val="bottom"/>
          </w:tcPr>
          <w:p>
            <w:pPr>
              <w:ind w:left="800"/>
              <w:spacing w:after="0"/>
              <w:rPr>
                <w:sz w:val="20"/>
                <w:szCs w:val="20"/>
                <w:color w:val="auto"/>
              </w:rPr>
            </w:pPr>
            <w:r>
              <w:rPr>
                <w:rFonts w:ascii="Arial" w:cs="Arial" w:eastAsia="Arial" w:hAnsi="Arial"/>
                <w:sz w:val="18"/>
                <w:szCs w:val="18"/>
                <w:color w:val="auto"/>
              </w:rPr>
              <w:t>Probability for IPO/shares registration</w:t>
            </w:r>
          </w:p>
        </w:tc>
        <w:tc>
          <w:tcPr>
            <w:tcW w:w="1420" w:type="dxa"/>
            <w:vAlign w:val="bottom"/>
          </w:tcPr>
          <w:p>
            <w:pPr>
              <w:jc w:val="right"/>
              <w:ind w:right="176"/>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63461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63"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For the purpose of calculating fair value of the Company’s equity and financial liabilities as of December 31, 2016 the Company prepared a valuation of the cash generating unit based on discounted cash flows (DCF). The following parameters were used: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10040" w:type="dxa"/>
            <w:vAlign w:val="bottom"/>
          </w:tcPr>
          <w:p>
            <w:pPr>
              <w:spacing w:after="0"/>
              <w:rPr>
                <w:sz w:val="16"/>
                <w:szCs w:val="16"/>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r>
      <w:tr>
        <w:trPr>
          <w:trHeight w:val="26"/>
        </w:trPr>
        <w:tc>
          <w:tcPr>
            <w:tcW w:w="10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0"/>
        </w:trPr>
        <w:tc>
          <w:tcPr>
            <w:tcW w:w="10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WACC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1"/>
                <w:szCs w:val="21"/>
                <w:color w:val="auto"/>
              </w:rPr>
            </w:pPr>
          </w:p>
        </w:tc>
      </w:tr>
      <w:tr>
        <w:trPr>
          <w:trHeight w:val="257"/>
        </w:trPr>
        <w:tc>
          <w:tcPr>
            <w:tcW w:w="10040" w:type="dxa"/>
            <w:vAlign w:val="bottom"/>
          </w:tcPr>
          <w:p>
            <w:pPr>
              <w:ind w:left="800"/>
              <w:spacing w:after="0"/>
              <w:rPr>
                <w:sz w:val="20"/>
                <w:szCs w:val="20"/>
                <w:color w:val="auto"/>
              </w:rPr>
            </w:pPr>
            <w:r>
              <w:rPr>
                <w:rFonts w:ascii="Arial" w:cs="Arial" w:eastAsia="Arial" w:hAnsi="Arial"/>
                <w:sz w:val="18"/>
                <w:szCs w:val="18"/>
                <w:color w:val="auto"/>
              </w:rPr>
              <w:t>Value of equity</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w w:val="97"/>
              </w:rPr>
              <w:t>$71 million</w:t>
            </w:r>
          </w:p>
        </w:tc>
      </w:tr>
      <w:tr>
        <w:trPr>
          <w:trHeight w:val="257"/>
        </w:trPr>
        <w:tc>
          <w:tcPr>
            <w:tcW w:w="10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22"/>
                <w:szCs w:val="22"/>
                <w:color w:val="auto"/>
              </w:rPr>
            </w:pPr>
          </w:p>
        </w:tc>
      </w:tr>
      <w:tr>
        <w:trPr>
          <w:trHeight w:val="257"/>
        </w:trPr>
        <w:tc>
          <w:tcPr>
            <w:tcW w:w="10040" w:type="dxa"/>
            <w:vAlign w:val="bottom"/>
          </w:tcPr>
          <w:p>
            <w:pPr>
              <w:ind w:left="800"/>
              <w:spacing w:after="0"/>
              <w:rPr>
                <w:sz w:val="20"/>
                <w:szCs w:val="20"/>
                <w:color w:val="auto"/>
              </w:rPr>
            </w:pPr>
            <w:r>
              <w:rPr>
                <w:rFonts w:ascii="Arial" w:cs="Arial" w:eastAsia="Arial" w:hAnsi="Arial"/>
                <w:sz w:val="18"/>
                <w:szCs w:val="18"/>
                <w:color w:val="auto"/>
              </w:rPr>
              <w:t>Commencement of sales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2021 – 2025</w:t>
            </w:r>
          </w:p>
        </w:tc>
      </w:tr>
      <w:tr>
        <w:trPr>
          <w:trHeight w:val="257"/>
        </w:trPr>
        <w:tc>
          <w:tcPr>
            <w:tcW w:w="10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Probability of entering Phase 2b/3 for Hypo</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22"/>
                <w:szCs w:val="22"/>
                <w:color w:val="auto"/>
              </w:rPr>
            </w:pPr>
          </w:p>
        </w:tc>
      </w:tr>
      <w:tr>
        <w:trPr>
          <w:trHeight w:val="257"/>
        </w:trPr>
        <w:tc>
          <w:tcPr>
            <w:tcW w:w="10040" w:type="dxa"/>
            <w:vAlign w:val="bottom"/>
          </w:tcPr>
          <w:p>
            <w:pPr>
              <w:ind w:left="800"/>
              <w:spacing w:after="0"/>
              <w:rPr>
                <w:sz w:val="20"/>
                <w:szCs w:val="20"/>
                <w:color w:val="auto"/>
              </w:rPr>
            </w:pPr>
            <w:r>
              <w:rPr>
                <w:rFonts w:ascii="Arial" w:cs="Arial" w:eastAsia="Arial" w:hAnsi="Arial"/>
                <w:sz w:val="18"/>
                <w:szCs w:val="18"/>
                <w:color w:val="auto"/>
              </w:rPr>
              <w:t>Probability for IPO/shares registration</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presents the movements in the financial liabilities during the nine months ended September 30, 2017 and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Warrants</w:t>
            </w: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Liability to</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to purchase</w:t>
            </w:r>
          </w:p>
        </w:tc>
        <w:tc>
          <w:tcPr>
            <w:tcW w:w="320" w:type="dxa"/>
            <w:vAlign w:val="bottom"/>
          </w:tcPr>
          <w:p>
            <w:pPr>
              <w:spacing w:after="0"/>
              <w:rPr>
                <w:sz w:val="14"/>
                <w:szCs w:val="14"/>
                <w:color w:val="auto"/>
              </w:rPr>
            </w:pPr>
          </w:p>
        </w:tc>
        <w:tc>
          <w:tcPr>
            <w:tcW w:w="11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78"/>
              </w:rPr>
              <w:t>issue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preferred</w:t>
            </w: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preferred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Convertible</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Preferred</w:t>
            </w: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shares A</w:t>
            </w: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shares A and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loans</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shares A</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and shares</w:t>
            </w: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warrants</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U.S. dollars in thousands</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14,720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11,031</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4,800</w:t>
            </w:r>
          </w:p>
        </w:tc>
        <w:tc>
          <w:tcPr>
            <w:tcW w:w="1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30,824</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Maturity during period</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(1,054)</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Arial" w:cs="Arial" w:eastAsia="Arial" w:hAnsi="Arial"/>
                <w:sz w:val="18"/>
                <w:szCs w:val="18"/>
                <w:color w:val="auto"/>
              </w:rPr>
              <w:t>Changes in fair value</w:t>
            </w:r>
          </w:p>
        </w:tc>
        <w:tc>
          <w:tcPr>
            <w:tcW w:w="500" w:type="dxa"/>
            <w:vAlign w:val="bottom"/>
            <w:gridSpan w:val="2"/>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1,899</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(2,190)</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(77)</w:t>
            </w:r>
          </w:p>
        </w:tc>
        <w:tc>
          <w:tcPr>
            <w:tcW w:w="1480" w:type="dxa"/>
            <w:vAlign w:val="bottom"/>
            <w:gridSpan w:val="3"/>
          </w:tcPr>
          <w:p>
            <w:pPr>
              <w:jc w:val="right"/>
              <w:ind w:right="760"/>
              <w:spacing w:after="0"/>
              <w:rPr>
                <w:sz w:val="20"/>
                <w:szCs w:val="20"/>
                <w:color w:val="auto"/>
              </w:rPr>
            </w:pPr>
            <w:r>
              <w:rPr>
                <w:rFonts w:ascii="Arial" w:cs="Arial" w:eastAsia="Arial" w:hAnsi="Arial"/>
                <w:sz w:val="18"/>
                <w:szCs w:val="18"/>
                <w:color w:val="auto"/>
              </w:rPr>
              <w:t>771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2017</w:t>
            </w: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vMerge w:val="continue"/>
            <w:shd w:val="clear" w:color="auto" w:fill="CCEEFF"/>
          </w:tcPr>
          <w:p>
            <w:pPr>
              <w:spacing w:after="0"/>
              <w:rPr>
                <w:sz w:val="22"/>
                <w:szCs w:val="22"/>
                <w:color w:val="auto"/>
              </w:rPr>
            </w:pP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15,614</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8,841</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4,723</w:t>
            </w:r>
          </w:p>
        </w:tc>
        <w:tc>
          <w:tcPr>
            <w:tcW w:w="1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30,222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December 31, 2015</w:t>
            </w: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280" w:type="dxa"/>
            <w:vAlign w:val="bottom"/>
            <w:vMerge w:val="continue"/>
          </w:tcPr>
          <w:p>
            <w:pPr>
              <w:spacing w:after="0"/>
              <w:rPr>
                <w:sz w:val="24"/>
                <w:szCs w:val="24"/>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8"/>
                <w:szCs w:val="18"/>
                <w:color w:val="auto"/>
              </w:rPr>
              <w:t>8,053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13,062</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4,332</w:t>
            </w:r>
          </w:p>
        </w:tc>
        <w:tc>
          <w:tcPr>
            <w:tcW w:w="1480" w:type="dxa"/>
            <w:vAlign w:val="bottom"/>
            <w:gridSpan w:val="3"/>
          </w:tcPr>
          <w:p>
            <w:pPr>
              <w:jc w:val="right"/>
              <w:ind w:right="760"/>
              <w:spacing w:after="0"/>
              <w:rPr>
                <w:sz w:val="20"/>
                <w:szCs w:val="20"/>
                <w:color w:val="auto"/>
              </w:rPr>
            </w:pPr>
            <w:r>
              <w:rPr>
                <w:rFonts w:ascii="Arial" w:cs="Arial" w:eastAsia="Arial" w:hAnsi="Arial"/>
                <w:sz w:val="18"/>
                <w:szCs w:val="18"/>
                <w:color w:val="auto"/>
              </w:rPr>
              <w:t>2,154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27,601</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period</w:t>
            </w:r>
          </w:p>
        </w:tc>
        <w:tc>
          <w:tcPr>
            <w:tcW w:w="13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6,110</w:t>
            </w:r>
          </w:p>
        </w:tc>
        <w:tc>
          <w:tcPr>
            <w:tcW w:w="3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1,319</w:t>
            </w:r>
          </w:p>
        </w:tc>
        <w:tc>
          <w:tcPr>
            <w:tcW w:w="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Financial expenses</w:t>
            </w:r>
          </w:p>
        </w:tc>
        <w:tc>
          <w:tcPr>
            <w:tcW w:w="1380" w:type="dxa"/>
            <w:vAlign w:val="bottom"/>
            <w:gridSpan w:val="4"/>
          </w:tcPr>
          <w:p>
            <w:pPr>
              <w:jc w:val="right"/>
              <w:ind w:right="38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(2,522)</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(796)</w:t>
            </w:r>
          </w:p>
        </w:tc>
        <w:tc>
          <w:tcPr>
            <w:tcW w:w="14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(521)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(3,917)</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500" w:type="dxa"/>
            <w:vAlign w:val="bottom"/>
            <w:gridSpan w:val="2"/>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14,172</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10,540</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4,855</w:t>
            </w:r>
          </w:p>
        </w:tc>
        <w:tc>
          <w:tcPr>
            <w:tcW w:w="1480" w:type="dxa"/>
            <w:vAlign w:val="bottom"/>
            <w:gridSpan w:val="3"/>
          </w:tcPr>
          <w:p>
            <w:pPr>
              <w:jc w:val="right"/>
              <w:ind w:right="760"/>
              <w:spacing w:after="0"/>
              <w:rPr>
                <w:sz w:val="20"/>
                <w:szCs w:val="20"/>
                <w:color w:val="auto"/>
              </w:rPr>
            </w:pPr>
            <w:r>
              <w:rPr>
                <w:rFonts w:ascii="Arial" w:cs="Arial" w:eastAsia="Arial" w:hAnsi="Arial"/>
                <w:sz w:val="18"/>
                <w:szCs w:val="18"/>
                <w:color w:val="auto"/>
              </w:rPr>
              <w:t>1,633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31,200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780"/>
              <w:spacing w:after="0"/>
              <w:rPr>
                <w:sz w:val="20"/>
                <w:szCs w:val="20"/>
                <w:color w:val="auto"/>
              </w:rPr>
            </w:pPr>
            <w:r>
              <w:rPr>
                <w:rFonts w:ascii="Arial" w:cs="Arial" w:eastAsia="Arial" w:hAnsi="Arial"/>
                <w:sz w:val="18"/>
                <w:szCs w:val="18"/>
                <w:color w:val="auto"/>
                <w:w w:val="97"/>
              </w:rPr>
              <w:t>F-37</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-1714500</wp:posOffset>
            </wp:positionV>
            <wp:extent cx="1028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68262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-2503805</wp:posOffset>
            </wp:positionV>
            <wp:extent cx="1371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-2503805</wp:posOffset>
            </wp:positionV>
            <wp:extent cx="1371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-2503805</wp:posOffset>
            </wp:positionV>
            <wp:extent cx="1371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-2503805</wp:posOffset>
            </wp:positionV>
            <wp:extent cx="1371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1" w:name="page212"/>
    <w:bookmarkEnd w:id="211"/>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jc w:val="center"/>
        <w:ind w:right="-339"/>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BASED COMPENSATION:</w:t>
      </w:r>
    </w:p>
    <w:p>
      <w:pPr>
        <w:spacing w:after="0" w:line="135" w:lineRule="exact"/>
        <w:rPr>
          <w:sz w:val="20"/>
          <w:szCs w:val="20"/>
          <w:color w:val="auto"/>
        </w:rPr>
      </w:pPr>
    </w:p>
    <w:p>
      <w:pPr>
        <w:ind w:left="540" w:right="380" w:hanging="352"/>
        <w:spacing w:after="0" w:line="277"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March 2017, the Company granted options to purchase 12 ordinary shares to a certain consultant, with an exercise price of par value (0.01 NIS). The options shall vest immediately. The fair value of the options at the date of grant was $12 thousand.</w:t>
      </w:r>
    </w:p>
    <w:p>
      <w:pPr>
        <w:spacing w:after="0" w:line="116" w:lineRule="exact"/>
        <w:rPr>
          <w:rFonts w:ascii="Arial" w:cs="Arial" w:eastAsia="Arial" w:hAnsi="Arial"/>
          <w:sz w:val="18"/>
          <w:szCs w:val="18"/>
          <w:color w:val="auto"/>
        </w:rPr>
      </w:pPr>
    </w:p>
    <w:p>
      <w:pPr>
        <w:jc w:val="both"/>
        <w:ind w:left="540" w:right="40" w:hanging="352"/>
        <w:spacing w:after="0" w:line="264" w:lineRule="auto"/>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127" w:lineRule="exact"/>
        <w:rPr>
          <w:rFonts w:ascii="Arial" w:cs="Arial" w:eastAsia="Arial" w:hAnsi="Arial"/>
          <w:sz w:val="18"/>
          <w:szCs w:val="18"/>
          <w:color w:val="auto"/>
        </w:rPr>
      </w:pPr>
    </w:p>
    <w:p>
      <w:pPr>
        <w:ind w:left="540" w:right="40" w:hanging="352"/>
        <w:spacing w:after="0" w:line="268" w:lineRule="auto"/>
        <w:tabs>
          <w:tab w:leader="none" w:pos="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Garceau, Mr. Beshar and Dr. Garceau will receive a monthly fees in the amount of $21,500 and $6,500, respectively. In addition upon the occurrence of a private placement or IPO, which are defined as a Triggering Event (“the Qualified Event”), Mr. Beshar and Dr. Garceau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“Contingent options”). The exercise price of the Options shall be equal to the per share fair market value of ordinary shares immediately following the Qualified Event. The Options will vest in 36 equal monthly installments over a period of 36 months, commencing as of the Commencement Date, and are subject to acceleration under certain circumstances as described in the service agreement. Following the completion of the Preferred B Financing the Company determined the amount of options to purchase ordinary shares of the Company to be granted to Mr. Beshar and Dr. Garceau of 6,970 and 1,608, respectively. See also Note 9(b)</w:t>
      </w:r>
    </w:p>
    <w:p>
      <w:pPr>
        <w:spacing w:after="0" w:line="79" w:lineRule="exact"/>
        <w:rPr>
          <w:rFonts w:ascii="Arial" w:cs="Arial" w:eastAsia="Arial" w:hAnsi="Arial"/>
          <w:sz w:val="17"/>
          <w:szCs w:val="17"/>
          <w:color w:val="auto"/>
        </w:rPr>
      </w:pPr>
    </w:p>
    <w:p>
      <w:pPr>
        <w:ind w:left="540"/>
        <w:spacing w:after="0" w:line="277" w:lineRule="auto"/>
        <w:rPr>
          <w:rFonts w:ascii="Arial" w:cs="Arial" w:eastAsia="Arial" w:hAnsi="Arial"/>
          <w:sz w:val="17"/>
          <w:szCs w:val="17"/>
          <w:color w:val="auto"/>
        </w:rPr>
      </w:pPr>
      <w:r>
        <w:rPr>
          <w:rFonts w:ascii="Arial" w:cs="Arial" w:eastAsia="Arial" w:hAnsi="Arial"/>
          <w:sz w:val="18"/>
          <w:szCs w:val="18"/>
          <w:color w:val="auto"/>
        </w:rPr>
        <w:t>The Company treated the awards as performance-based awards. Given that the performance condition was probable as of September 30, 2017, the Company recognized expenses with respect to this grant.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CONVERTIBLE LOANS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February 2017, the Company repaid the amount of 1,054 thousand (including interest) with respect to the maturity of the 2015 convertible loan. With respect to the automatic conversion of the 2016 convertible loan see note 9(a).</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212" w:name="page213"/>
    <w:bookmarkEnd w:id="212"/>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ind w:left="5000"/>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PREFERRED SHARES AND WARRANTS TO PREFERRED SHARES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July 20, 2017, the Centillion Series A preferred share purchase agreement was amended such that (i) the second milestone was extended to July 20, 2019,</w:t>
      </w:r>
    </w:p>
    <w:p>
      <w:pPr>
        <w:spacing w:after="0" w:line="46" w:lineRule="exact"/>
        <w:rPr>
          <w:sz w:val="20"/>
          <w:szCs w:val="20"/>
          <w:color w:val="auto"/>
        </w:rPr>
      </w:pPr>
    </w:p>
    <w:p>
      <w:pPr>
        <w:ind w:right="100" w:firstLine="8"/>
        <w:spacing w:after="0" w:line="261"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BASIC AND DILUTED LOSS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loss (earnings) per share is calculated by dividing the result attributable to equity holders of the Company by the weighted average number of Ordinary Shares in issue during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All outstanding options, 2012 Convertible Loan and preferred shares A have been excluded from the calculation of the diluted loss per share for the</w:t>
      </w:r>
    </w:p>
    <w:p>
      <w:pPr>
        <w:spacing w:after="0" w:line="35" w:lineRule="exact"/>
        <w:rPr>
          <w:sz w:val="20"/>
          <w:szCs w:val="20"/>
          <w:color w:val="auto"/>
        </w:rPr>
      </w:pPr>
    </w:p>
    <w:p>
      <w:pPr>
        <w:jc w:val="both"/>
        <w:ind w:right="180"/>
        <w:spacing w:after="0" w:line="323" w:lineRule="auto"/>
        <w:rPr>
          <w:sz w:val="20"/>
          <w:szCs w:val="20"/>
          <w:color w:val="auto"/>
        </w:rPr>
      </w:pPr>
      <w:r>
        <w:rPr>
          <w:rFonts w:ascii="Arial" w:cs="Arial" w:eastAsia="Arial" w:hAnsi="Arial"/>
          <w:sz w:val="16"/>
          <w:szCs w:val="16"/>
          <w:color w:val="auto"/>
        </w:rPr>
        <w:t>nine months ended September 30, 2017 since their effect was anti-dilutive. The total number of ordinary shares related to the outstanding options, the 2012 Convertible Loan and preferred shares A excluded from the calculation of diluted loss per share was 24,495 for the nine months ended September 30, 2017.</w:t>
      </w:r>
    </w:p>
    <w:p>
      <w:pPr>
        <w:spacing w:after="0" w:line="31"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All outstanding options and preferred shares A have been excluded from the calculation of the diluted loss per share for the three months ended September 30, 2017 since their effect was anti-dilutive. The total number of ordinary shares related to the outstanding options and preferred shares A excluded from the calculation of diluted loss per share was 20,110 for the three months ended September 30, 2017.</w:t>
      </w:r>
    </w:p>
    <w:p>
      <w:pPr>
        <w:spacing w:after="0" w:line="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All outstanding options have been excluded from the calculation of the diluted loss per share for the nine months ended September 30, 2016 since their effect was anti-dilutive. The total number of ordinary shares related to the outstanding options excluded from the calculation of diluted loss per share was 7,930 for the nine months ended September 30, 2016.</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outstanding options, 2012 Convertible Loan, preferred shares A and warrants to preferred shares A have been excluded from the calculation of the diluted loss per share for the three months ended September 30, 2016 since their effect was anti-dilutive. The total number of ordinary shares related to the outstanding options, 2012 Convertible Loan, preferred shares A and warrants to preferred shares A excluded from the calculation of diluted loss per share was 26,002 for the nine months ended September 30, 2016.</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3" w:name="page214"/>
    <w:bookmarkEnd w:id="213"/>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ind w:left="5000"/>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BASIC AND DILUTED LOSS PER SHARE: (Continued)</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2015 Convertible Loan, the 2016 Convertible Loan, warrants, liability to issue preferred shares A and contingent options are not taken into account in the diluted loss per share calculation for the nine months and the three months ended September 30, 2017 and September 30, 2016 as the conversion terms depend on future events.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September 30</w:t>
            </w: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3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U.S. dollars</w:t>
            </w: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U.S. dollars</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660"/>
              <w:spacing w:after="0"/>
              <w:rPr>
                <w:sz w:val="20"/>
                <w:szCs w:val="20"/>
                <w:color w:val="auto"/>
              </w:rPr>
            </w:pPr>
            <w:r>
              <w:rPr>
                <w:rFonts w:ascii="Arial" w:cs="Arial" w:eastAsia="Arial" w:hAnsi="Arial"/>
                <w:sz w:val="14"/>
                <w:szCs w:val="14"/>
                <w:color w:val="auto"/>
                <w:w w:val="93"/>
              </w:rPr>
              <w:t>(except for share</w:t>
            </w:r>
          </w:p>
        </w:tc>
        <w:tc>
          <w:tcPr>
            <w:tcW w:w="230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(except for share</w:t>
            </w:r>
          </w:p>
        </w:tc>
        <w:tc>
          <w:tcPr>
            <w:tcW w:w="0" w:type="dxa"/>
            <w:vAlign w:val="bottom"/>
          </w:tcPr>
          <w:p>
            <w:pPr>
              <w:spacing w:after="0"/>
              <w:rPr>
                <w:sz w:val="1"/>
                <w:szCs w:val="1"/>
                <w:color w:val="auto"/>
              </w:rPr>
            </w:pPr>
          </w:p>
        </w:tc>
      </w:tr>
      <w:tr>
        <w:trPr>
          <w:trHeight w:val="181"/>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60" w:type="dxa"/>
            <w:vAlign w:val="bottom"/>
            <w:gridSpan w:val="5"/>
          </w:tcPr>
          <w:p>
            <w:pPr>
              <w:jc w:val="center"/>
              <w:ind w:right="1380"/>
              <w:spacing w:after="0"/>
              <w:rPr>
                <w:sz w:val="20"/>
                <w:szCs w:val="20"/>
                <w:color w:val="auto"/>
              </w:rPr>
            </w:pPr>
            <w:r>
              <w:rPr>
                <w:rFonts w:ascii="Arial" w:cs="Arial" w:eastAsia="Arial" w:hAnsi="Arial"/>
                <w:sz w:val="14"/>
                <w:szCs w:val="14"/>
                <w:color w:val="auto"/>
                <w:w w:val="91"/>
              </w:rPr>
              <w:t>numbers)</w:t>
            </w:r>
          </w:p>
        </w:tc>
        <w:tc>
          <w:tcPr>
            <w:tcW w:w="740" w:type="dxa"/>
            <w:vAlign w:val="bottom"/>
          </w:tcPr>
          <w:p>
            <w:pPr>
              <w:spacing w:after="0"/>
              <w:rPr>
                <w:sz w:val="15"/>
                <w:szCs w:val="15"/>
                <w:color w:val="auto"/>
              </w:rPr>
            </w:pPr>
          </w:p>
        </w:tc>
        <w:tc>
          <w:tcPr>
            <w:tcW w:w="1560" w:type="dxa"/>
            <w:vAlign w:val="bottom"/>
            <w:gridSpan w:val="4"/>
          </w:tcPr>
          <w:p>
            <w:pPr>
              <w:jc w:val="center"/>
              <w:ind w:right="980"/>
              <w:spacing w:after="0"/>
              <w:rPr>
                <w:sz w:val="20"/>
                <w:szCs w:val="20"/>
                <w:color w:val="auto"/>
              </w:rPr>
            </w:pPr>
            <w:r>
              <w:rPr>
                <w:rFonts w:ascii="Arial" w:cs="Arial" w:eastAsia="Arial" w:hAnsi="Arial"/>
                <w:sz w:val="14"/>
                <w:szCs w:val="14"/>
                <w:color w:val="auto"/>
                <w:w w:val="91"/>
              </w:rPr>
              <w:t>numbers)</w:t>
            </w:r>
          </w:p>
        </w:tc>
        <w:tc>
          <w:tcPr>
            <w:tcW w:w="0" w:type="dxa"/>
            <w:vAlign w:val="bottom"/>
          </w:tcPr>
          <w:p>
            <w:pPr>
              <w:spacing w:after="0"/>
              <w:rPr>
                <w:sz w:val="1"/>
                <w:szCs w:val="1"/>
                <w:color w:val="auto"/>
              </w:rPr>
            </w:pPr>
          </w:p>
        </w:tc>
      </w:tr>
      <w:tr>
        <w:trPr>
          <w:trHeight w:val="257"/>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equity holders of the Company</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7,422,000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342,000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3,656,000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1,738,000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760" w:type="dxa"/>
            <w:vAlign w:val="bottom"/>
          </w:tcPr>
          <w:p>
            <w:pPr>
              <w:jc w:val="right"/>
              <w:spacing w:after="0"/>
              <w:rPr>
                <w:sz w:val="20"/>
                <w:szCs w:val="20"/>
                <w:color w:val="auto"/>
              </w:rPr>
            </w:pPr>
            <w:r>
              <w:rPr>
                <w:rFonts w:ascii="Arial" w:cs="Arial" w:eastAsia="Arial" w:hAnsi="Arial"/>
                <w:sz w:val="18"/>
                <w:szCs w:val="18"/>
                <w:color w:val="auto"/>
              </w:rPr>
              <w:t>728,000</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4,369,000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994,000</w:t>
            </w:r>
          </w:p>
        </w:tc>
        <w:tc>
          <w:tcPr>
            <w:tcW w:w="60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used for the computation of diluted loss per share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8,150,000</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4,711,000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4,650,000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1,738,000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5"/>
              </w:rPr>
              <w:t>Weighted average number of Ordinary Shares used in the computation of basic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per share</w:t>
            </w:r>
          </w:p>
        </w:tc>
        <w:tc>
          <w:tcPr>
            <w:tcW w:w="760" w:type="dxa"/>
            <w:vAlign w:val="bottom"/>
          </w:tcPr>
          <w:p>
            <w:pPr>
              <w:jc w:val="right"/>
              <w:spacing w:after="0"/>
              <w:rPr>
                <w:sz w:val="20"/>
                <w:szCs w:val="20"/>
                <w:color w:val="auto"/>
              </w:rPr>
            </w:pPr>
            <w:r>
              <w:rPr>
                <w:rFonts w:ascii="Arial" w:cs="Arial" w:eastAsia="Arial" w:hAnsi="Arial"/>
                <w:sz w:val="18"/>
                <w:szCs w:val="18"/>
                <w:color w:val="auto"/>
              </w:rPr>
              <w:t>34,544</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34,396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34,544</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371"/>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76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Weighted average number of additional shares issuable upon the assumed</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conversion of: 2012 convertible loan</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4,786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4,786</w:t>
            </w:r>
          </w:p>
        </w:tc>
        <w:tc>
          <w:tcPr>
            <w:tcW w:w="6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shares 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10,222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Warrants to issue preferred shares A</w:t>
            </w:r>
          </w:p>
        </w:tc>
        <w:tc>
          <w:tcPr>
            <w:tcW w:w="760" w:type="dxa"/>
            <w:vAlign w:val="bottom"/>
          </w:tcPr>
          <w:p>
            <w:pPr>
              <w:jc w:val="right"/>
              <w:spacing w:after="0"/>
              <w:rPr>
                <w:sz w:val="20"/>
                <w:szCs w:val="20"/>
                <w:color w:val="auto"/>
              </w:rPr>
            </w:pPr>
            <w:r>
              <w:rPr>
                <w:rFonts w:ascii="Arial" w:cs="Arial" w:eastAsia="Arial" w:hAnsi="Arial"/>
                <w:sz w:val="18"/>
                <w:szCs w:val="18"/>
                <w:color w:val="auto"/>
              </w:rPr>
              <w:t>2,554</w:t>
            </w:r>
          </w:p>
        </w:tc>
        <w:tc>
          <w:tcPr>
            <w:tcW w:w="6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2,554</w:t>
            </w:r>
          </w:p>
        </w:tc>
        <w:tc>
          <w:tcPr>
            <w:tcW w:w="600" w:type="dxa"/>
            <w:vAlign w:val="bottom"/>
          </w:tcPr>
          <w:p>
            <w:pPr>
              <w:spacing w:after="0"/>
              <w:rPr>
                <w:sz w:val="22"/>
                <w:szCs w:val="22"/>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17,562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6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Weighted average number of Ordinary Shares used in the computation of diluted</w:t>
            </w:r>
          </w:p>
        </w:tc>
        <w:tc>
          <w:tcPr>
            <w:tcW w:w="76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loss per share</w:t>
            </w:r>
          </w:p>
        </w:tc>
        <w:tc>
          <w:tcPr>
            <w:tcW w:w="760" w:type="dxa"/>
            <w:vAlign w:val="bottom"/>
          </w:tcPr>
          <w:p>
            <w:pPr>
              <w:jc w:val="right"/>
              <w:spacing w:after="0"/>
              <w:rPr>
                <w:sz w:val="20"/>
                <w:szCs w:val="20"/>
                <w:color w:val="auto"/>
              </w:rPr>
            </w:pPr>
            <w:r>
              <w:rPr>
                <w:rFonts w:ascii="Arial" w:cs="Arial" w:eastAsia="Arial" w:hAnsi="Arial"/>
                <w:sz w:val="18"/>
                <w:szCs w:val="18"/>
                <w:color w:val="auto"/>
              </w:rPr>
              <w:t>37,098</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51,958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41,884</w:t>
            </w: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34,396</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Ordinary Share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w:t>
            </w: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50.53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Diluted loss per Ordinary Share</w:t>
            </w:r>
          </w:p>
        </w:tc>
        <w:tc>
          <w:tcPr>
            <w:tcW w:w="760" w:type="dxa"/>
            <w:vAlign w:val="bottom"/>
          </w:tcPr>
          <w:p>
            <w:pPr>
              <w:jc w:val="right"/>
              <w:spacing w:after="0"/>
              <w:rPr>
                <w:sz w:val="20"/>
                <w:szCs w:val="20"/>
                <w:color w:val="auto"/>
              </w:rPr>
            </w:pPr>
            <w:r>
              <w:rPr>
                <w:rFonts w:ascii="Arial" w:cs="Arial" w:eastAsia="Arial" w:hAnsi="Arial"/>
                <w:sz w:val="18"/>
                <w:szCs w:val="18"/>
                <w:color w:val="auto"/>
              </w:rPr>
              <w:t>219.69</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90.67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111.02</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50.53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7105650</wp:posOffset>
            </wp:positionH>
            <wp:positionV relativeFrom="paragraph">
              <wp:posOffset>-891540</wp:posOffset>
            </wp:positionV>
            <wp:extent cx="14605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-891540</wp:posOffset>
            </wp:positionV>
            <wp:extent cx="3943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578040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-2237740</wp:posOffset>
            </wp:positionV>
            <wp:extent cx="1460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-2237740</wp:posOffset>
            </wp:positionV>
            <wp:extent cx="3943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-2237740</wp:posOffset>
            </wp:positionV>
            <wp:extent cx="578040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80405" cy="8890"/>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-2915285</wp:posOffset>
            </wp:positionV>
            <wp:extent cx="1028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-2915285</wp:posOffset>
            </wp:positionV>
            <wp:extent cx="1028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148" w:lineRule="exact"/>
        <w:rPr>
          <w:sz w:val="20"/>
          <w:szCs w:val="20"/>
          <w:color w:val="auto"/>
        </w:rPr>
      </w:pPr>
    </w:p>
    <w:p>
      <w:pPr>
        <w:ind w:left="540" w:right="440" w:hanging="352"/>
        <w:spacing w:after="0" w:line="297"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October 2017, the Company entered into a Series B preferred share purchase agreement (the “Preferred B Financing ”), with certain investors, including D.N.A and Centillion (together, the “Investors”), at a price per share of $908.78, for an aggregate purchase price of $12.4 million (a total amount of $1.575 million on account of Series B preferred share was received by September 30, 2017). Pursuant to the terms of the Series B preferred share purchase agreement, the Company issued and sold to the Investors 13,621 Series B Preferred shares. Three other related parties participated in the Preferred B Financing and purchased 130 Series B preferred shares in an aggregate amount of $118,268.</w:t>
      </w:r>
    </w:p>
    <w:p>
      <w:pPr>
        <w:spacing w:after="0" w:line="50" w:lineRule="exact"/>
        <w:rPr>
          <w:rFonts w:ascii="Arial" w:cs="Arial" w:eastAsia="Arial" w:hAnsi="Arial"/>
          <w:sz w:val="16"/>
          <w:szCs w:val="16"/>
          <w:color w:val="auto"/>
        </w:rPr>
      </w:pPr>
    </w:p>
    <w:p>
      <w:pPr>
        <w:ind w:left="540" w:right="20"/>
        <w:spacing w:after="0" w:line="277" w:lineRule="auto"/>
        <w:rPr>
          <w:rFonts w:ascii="Arial" w:cs="Arial" w:eastAsia="Arial" w:hAnsi="Arial"/>
          <w:sz w:val="16"/>
          <w:szCs w:val="16"/>
          <w:color w:val="auto"/>
        </w:rPr>
      </w:pPr>
      <w:r>
        <w:rPr>
          <w:rFonts w:ascii="Arial" w:cs="Arial" w:eastAsia="Arial" w:hAnsi="Arial"/>
          <w:sz w:val="18"/>
          <w:szCs w:val="18"/>
          <w:color w:val="auto"/>
        </w:rPr>
        <w:t>In addition, the Company issued to a broker dealer that served as placement agent, a warrant to purchase up to 460 Series B preferred shares, at a price of $908.78 per share.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4" w:name="page215"/>
    <w:bookmarkEnd w:id="214"/>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ENTERA BIO LTD.</w:t>
      </w:r>
    </w:p>
    <w:p>
      <w:pPr>
        <w:spacing w:after="0" w:line="16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NOTES TO CONDENSED INTERIM FINANCIAL STATEMENTS</w:t>
      </w:r>
    </w:p>
    <w:p>
      <w:pPr>
        <w:jc w:val="center"/>
        <w:ind w:right="-119"/>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 (Continued)</w:t>
      </w:r>
    </w:p>
    <w:p>
      <w:pPr>
        <w:spacing w:after="0" w:line="202"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 The rights of the Series B-1 preferred shares are identical in all respects (other than the price per share) to the Series B preferred shares. As part of the automatic conversion of the 2016 Convertible Loans, four related parties were issued 1,834 Series B-1 preferred shares, and their 2016 warrants now relate to 733 shares.</w:t>
      </w:r>
    </w:p>
    <w:p>
      <w:pPr>
        <w:spacing w:after="0" w:line="80" w:lineRule="exact"/>
        <w:rPr>
          <w:sz w:val="20"/>
          <w:szCs w:val="20"/>
          <w:color w:val="auto"/>
        </w:rPr>
      </w:pPr>
    </w:p>
    <w:p>
      <w:pPr>
        <w:ind w:left="540" w:right="80"/>
        <w:spacing w:after="0" w:line="264" w:lineRule="auto"/>
        <w:rPr>
          <w:sz w:val="20"/>
          <w:szCs w:val="20"/>
          <w:color w:val="auto"/>
        </w:rPr>
      </w:pPr>
      <w:r>
        <w:rPr>
          <w:rFonts w:ascii="Arial" w:cs="Arial" w:eastAsia="Arial" w:hAnsi="Arial"/>
          <w:sz w:val="18"/>
          <w:szCs w:val="18"/>
          <w:color w:val="auto"/>
        </w:rPr>
        <w:t>In addition, additional warrants that the Company previously issued in connection with the second amendment to the Centillion preferred share purchase agreement and the first amendment to the additional preferred share purchase agreements with certain other preferred shareholders became warrants to purchase Series B-1 preferred shares at an exercise price of $681.585.</w:t>
      </w:r>
    </w:p>
    <w:p>
      <w:pPr>
        <w:spacing w:after="0" w:line="127" w:lineRule="exact"/>
        <w:rPr>
          <w:sz w:val="20"/>
          <w:szCs w:val="20"/>
          <w:color w:val="auto"/>
        </w:rPr>
      </w:pPr>
    </w:p>
    <w:p>
      <w:pPr>
        <w:ind w:left="540" w:right="620" w:hanging="352"/>
        <w:spacing w:after="0" w:line="312"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Following the completion of the Preferred B Financing the Company determined the amount of options to purchase ordinary shares of the Company to be granted to Mr. Beshar and Dr. Garceau of 6,970 and 1,608, respectively. The exercise price of the options is $820 determined based on an external valuation and approved by the board of directors of the company on November 10, 2017. See also note 5(c).</w:t>
      </w:r>
    </w:p>
    <w:p>
      <w:pPr>
        <w:spacing w:after="0" w:line="92" w:lineRule="exact"/>
        <w:rPr>
          <w:rFonts w:ascii="Arial" w:cs="Arial" w:eastAsia="Arial" w:hAnsi="Arial"/>
          <w:sz w:val="16"/>
          <w:szCs w:val="16"/>
          <w:color w:val="auto"/>
        </w:rPr>
      </w:pPr>
    </w:p>
    <w:p>
      <w:pPr>
        <w:ind w:left="540" w:right="400" w:hanging="352"/>
        <w:spacing w:after="0" w:line="259" w:lineRule="auto"/>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this filing. The matter is still in its early stages. If Emisphere were to initiate a legal proceeding, the Company would vigorously defend against such claim.</w:t>
      </w:r>
    </w:p>
    <w:p>
      <w:pPr>
        <w:spacing w:after="0" w:line="132" w:lineRule="exact"/>
        <w:rPr>
          <w:rFonts w:ascii="Arial" w:cs="Arial" w:eastAsia="Arial" w:hAnsi="Arial"/>
          <w:sz w:val="18"/>
          <w:szCs w:val="18"/>
          <w:b w:val="1"/>
          <w:bCs w:val="1"/>
          <w:color w:val="auto"/>
        </w:rPr>
      </w:pPr>
    </w:p>
    <w:p>
      <w:pPr>
        <w:ind w:left="540" w:right="360" w:hanging="35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November 15, 2017, the Company granted 2,750, 1,100, 700 and 100 options to purchase ordinary shares to its CEO, COO, CFO and a certain director, respectively, with an exercise price of $820 per ordinary share. The options to the CEO, COO and CFO shall vest over a 4-year period, in sixteen equal quarterly installments. The options granted to a certain director are fully exercisable at the date of grant. The options can be exercised for six years from the date of grant.</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215" w:name="page216"/>
    <w:bookmarkEnd w:id="21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1454785</wp:posOffset>
            </wp:positionV>
            <wp:extent cx="2160905" cy="13379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60905" cy="13379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3959225</wp:posOffset>
            </wp:positionV>
            <wp:extent cx="247840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131445</wp:posOffset>
            </wp:positionV>
            <wp:extent cx="247840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Arial" w:cs="Arial" w:eastAsia="Arial" w:hAnsi="Arial"/>
          <w:sz w:val="22"/>
          <w:szCs w:val="22"/>
          <w:i w:val="1"/>
          <w:iCs w:val="1"/>
          <w:color w:val="auto"/>
        </w:rPr>
        <w:t>Sole Bookrunner</w:t>
      </w:r>
    </w:p>
    <w:p>
      <w:pPr>
        <w:spacing w:after="0" w:line="375" w:lineRule="exact"/>
        <w:rPr>
          <w:sz w:val="20"/>
          <w:szCs w:val="20"/>
          <w:color w:val="auto"/>
        </w:rPr>
      </w:pPr>
    </w:p>
    <w:p>
      <w:pPr>
        <w:jc w:val="center"/>
        <w:ind w:right="-459"/>
        <w:spacing w:after="0"/>
        <w:rPr>
          <w:sz w:val="20"/>
          <w:szCs w:val="20"/>
          <w:color w:val="auto"/>
        </w:rPr>
      </w:pPr>
      <w:r>
        <w:rPr>
          <w:rFonts w:ascii="Arial" w:cs="Arial" w:eastAsia="Arial" w:hAnsi="Arial"/>
          <w:sz w:val="30"/>
          <w:szCs w:val="30"/>
          <w:b w:val="1"/>
          <w:bCs w:val="1"/>
          <w:color w:val="auto"/>
        </w:rPr>
        <w:t>Oppenheimer &amp; Co.</w:t>
      </w:r>
    </w:p>
    <w:p>
      <w:pPr>
        <w:spacing w:after="0" w:line="202" w:lineRule="exact"/>
        <w:rPr>
          <w:sz w:val="20"/>
          <w:szCs w:val="20"/>
          <w:color w:val="auto"/>
        </w:rPr>
      </w:pPr>
    </w:p>
    <w:p>
      <w:pPr>
        <w:jc w:val="center"/>
        <w:ind w:right="-459"/>
        <w:spacing w:after="0"/>
        <w:rPr>
          <w:sz w:val="20"/>
          <w:szCs w:val="20"/>
          <w:color w:val="auto"/>
        </w:rPr>
      </w:pPr>
      <w:r>
        <w:rPr>
          <w:rFonts w:ascii="Arial" w:cs="Arial" w:eastAsia="Arial" w:hAnsi="Arial"/>
          <w:sz w:val="22"/>
          <w:szCs w:val="22"/>
          <w:i w:val="1"/>
          <w:iCs w:val="1"/>
          <w:color w:val="auto"/>
        </w:rPr>
        <w:t>Lead Manager</w:t>
      </w: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20"/>
        <w:spacing w:after="0"/>
        <w:rPr>
          <w:sz w:val="20"/>
          <w:szCs w:val="20"/>
          <w:color w:val="auto"/>
        </w:rPr>
      </w:pPr>
      <w:r>
        <w:rPr>
          <w:rFonts w:ascii="Arial" w:cs="Arial" w:eastAsia="Arial" w:hAnsi="Arial"/>
          <w:sz w:val="22"/>
          <w:szCs w:val="22"/>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Until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502920</wp:posOffset>
            </wp:positionV>
            <wp:extent cx="72720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80"/>
          </w:cols>
          <w:pgMar w:left="240" w:top="132" w:right="679" w:bottom="1440" w:gutter="0" w:footer="0" w:header="0"/>
        </w:sectPr>
      </w:pPr>
    </w:p>
    <w:bookmarkStart w:id="216" w:name="page217"/>
    <w:bookmarkEnd w:id="21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II</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amended Articles set forth the following provisions regarding the grant of insurance coverage, indemnification and an exemption from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are entitled to insure the liability of any director or officer to the fullest extent permitted by law. Without derogating from the aforesaid, we</w:t>
      </w:r>
      <w:r>
        <w:rPr>
          <w:rFonts w:ascii="Arial" w:cs="Arial" w:eastAsia="Arial" w:hAnsi="Arial"/>
          <w:sz w:val="18"/>
          <w:szCs w:val="18"/>
          <w:i w:val="1"/>
          <w:iCs w:val="1"/>
          <w:color w:val="auto"/>
        </w:rPr>
        <w:t xml:space="preserve"> </w:t>
      </w:r>
      <w:r>
        <w:rPr>
          <w:rFonts w:ascii="Arial" w:cs="Arial" w:eastAsia="Arial" w:hAnsi="Arial"/>
          <w:sz w:val="18"/>
          <w:szCs w:val="18"/>
          <w:color w:val="auto"/>
        </w:rPr>
        <w:t>may enter into a contract to insure the liability of a director or officer for an obligation imposed on him or her in consequence of an act done in his or her capacity as such, in any of the following cases:</w:t>
      </w:r>
    </w:p>
    <w:p>
      <w:pPr>
        <w:spacing w:after="0" w:line="100" w:lineRule="exact"/>
        <w:rPr>
          <w:sz w:val="20"/>
          <w:szCs w:val="20"/>
          <w:color w:val="auto"/>
        </w:rPr>
      </w:pPr>
    </w:p>
    <w:p>
      <w:pPr>
        <w:ind w:left="360" w:hanging="172"/>
        <w:spacing w:after="0"/>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breach of the duty of care toward us or a third party, to the extent such a breach arises out of the negligent conduct of the office holder;</w:t>
      </w:r>
    </w:p>
    <w:p>
      <w:pPr>
        <w:spacing w:after="0" w:line="144" w:lineRule="exact"/>
        <w:rPr>
          <w:rFonts w:ascii="Arial" w:cs="Arial" w:eastAsia="Arial" w:hAnsi="Arial"/>
          <w:sz w:val="18"/>
          <w:szCs w:val="18"/>
          <w:color w:val="auto"/>
        </w:rPr>
      </w:pPr>
    </w:p>
    <w:p>
      <w:pPr>
        <w:ind w:left="360" w:right="680" w:hanging="172"/>
        <w:spacing w:after="0" w:line="277" w:lineRule="auto"/>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breach of the duty of loyalty toward us, provided that the director or officer acted in good faith and had reasonable basis to believe that the act would not harm us;</w:t>
      </w:r>
    </w:p>
    <w:p>
      <w:pPr>
        <w:spacing w:after="0" w:line="75" w:lineRule="exact"/>
        <w:rPr>
          <w:rFonts w:ascii="Arial" w:cs="Arial" w:eastAsia="Arial" w:hAnsi="Arial"/>
          <w:sz w:val="18"/>
          <w:szCs w:val="18"/>
          <w:color w:val="auto"/>
        </w:rPr>
      </w:pPr>
    </w:p>
    <w:p>
      <w:pPr>
        <w:ind w:left="360" w:hanging="172"/>
        <w:spacing w:after="0"/>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monetary obligation imposed on him or her in favor of a third party;</w:t>
      </w:r>
    </w:p>
    <w:p>
      <w:pPr>
        <w:spacing w:after="0" w:line="144" w:lineRule="exact"/>
        <w:rPr>
          <w:rFonts w:ascii="Arial" w:cs="Arial" w:eastAsia="Arial" w:hAnsi="Arial"/>
          <w:sz w:val="18"/>
          <w:szCs w:val="18"/>
          <w:color w:val="auto"/>
        </w:rPr>
      </w:pPr>
    </w:p>
    <w:p>
      <w:pPr>
        <w:ind w:left="360" w:hanging="172"/>
        <w:spacing w:after="0"/>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payment imposed on him or her in favor of an injured party as set forth in Section 52(54)(a)(1)(a) of the Israeli Securities Law; or</w:t>
      </w:r>
    </w:p>
    <w:p>
      <w:pPr>
        <w:spacing w:after="0" w:line="130" w:lineRule="exact"/>
        <w:rPr>
          <w:rFonts w:ascii="Arial" w:cs="Arial" w:eastAsia="Arial" w:hAnsi="Arial"/>
          <w:sz w:val="18"/>
          <w:szCs w:val="18"/>
          <w:color w:val="auto"/>
        </w:rPr>
      </w:pPr>
    </w:p>
    <w:p>
      <w:pPr>
        <w:ind w:left="360" w:right="360" w:hanging="172"/>
        <w:spacing w:after="0" w:line="264" w:lineRule="auto"/>
        <w:tabs>
          <w:tab w:leader="none" w:pos="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p>
      <w:pPr>
        <w:spacing w:after="0" w:line="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are entitled to indemnify a director or officer to the fullest extent permitted by law, either retroactively or pursuant to an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advance. Without derogating from the aforesaid, we may indemnify our directors or officers for liability or expense imposed on him or her in consequence of an action taken by him in his capacity as such, as follows:</w:t>
      </w:r>
    </w:p>
    <w:p>
      <w:pPr>
        <w:spacing w:after="0" w:line="100" w:lineRule="exact"/>
        <w:rPr>
          <w:sz w:val="20"/>
          <w:szCs w:val="20"/>
          <w:color w:val="auto"/>
        </w:rPr>
      </w:pPr>
    </w:p>
    <w:p>
      <w:pPr>
        <w:ind w:left="360" w:right="660" w:hanging="172"/>
        <w:spacing w:after="0" w:line="286" w:lineRule="auto"/>
        <w:tabs>
          <w:tab w:leader="none" w:pos="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w:t>
      </w:r>
    </w:p>
    <w:p>
      <w:pPr>
        <w:spacing w:after="0" w:line="84" w:lineRule="exact"/>
        <w:rPr>
          <w:rFonts w:ascii="Arial" w:cs="Arial" w:eastAsia="Arial" w:hAnsi="Arial"/>
          <w:sz w:val="17"/>
          <w:szCs w:val="17"/>
          <w:color w:val="auto"/>
        </w:rPr>
      </w:pPr>
    </w:p>
    <w:p>
      <w:pPr>
        <w:ind w:left="360" w:right="420" w:hanging="172"/>
        <w:spacing w:after="0" w:line="276" w:lineRule="auto"/>
        <w:tabs>
          <w:tab w:leader="none" w:pos="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p>
      <w:pPr>
        <w:spacing w:after="0" w:line="91" w:lineRule="exact"/>
        <w:rPr>
          <w:rFonts w:ascii="Arial" w:cs="Arial" w:eastAsia="Arial" w:hAnsi="Arial"/>
          <w:sz w:val="17"/>
          <w:szCs w:val="17"/>
          <w:color w:val="auto"/>
        </w:rPr>
      </w:pPr>
    </w:p>
    <w:p>
      <w:pPr>
        <w:ind w:left="360" w:right="340" w:hanging="172"/>
        <w:spacing w:after="0" w:line="259" w:lineRule="auto"/>
        <w:tabs>
          <w:tab w:leader="none" w:pos="3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17" w:name="page218"/>
    <w:bookmarkEnd w:id="21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right="100"/>
        <w:spacing w:after="0" w:line="277" w:lineRule="auto"/>
        <w:rPr>
          <w:sz w:val="20"/>
          <w:szCs w:val="20"/>
          <w:color w:val="auto"/>
        </w:rPr>
      </w:pPr>
      <w:r>
        <w:rPr>
          <w:rFonts w:ascii="Arial" w:cs="Arial" w:eastAsia="Arial" w:hAnsi="Arial"/>
          <w:sz w:val="18"/>
          <w:szCs w:val="18"/>
          <w:color w:val="auto"/>
        </w:rPr>
        <w:t>in a criminal prosecution of a crime which does not require proof of criminal intent, in which he or she was convicted, all in respect of actions taken by him or her in his or her capacity as a director or an officer of the Company or of any of its subsidiaries;</w:t>
      </w:r>
    </w:p>
    <w:p>
      <w:pPr>
        <w:spacing w:after="0" w:line="116" w:lineRule="exact"/>
        <w:rPr>
          <w:sz w:val="20"/>
          <w:szCs w:val="20"/>
          <w:color w:val="auto"/>
        </w:rPr>
      </w:pPr>
    </w:p>
    <w:p>
      <w:pPr>
        <w:ind w:left="360" w:hanging="172"/>
        <w:spacing w:after="0"/>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payment he or she was obligated to make to an injured party as set forth in Section 52(54)(a)(1)(a) of the Israeli Securities Law;</w:t>
      </w:r>
    </w:p>
    <w:p>
      <w:pPr>
        <w:spacing w:after="0" w:line="171" w:lineRule="exact"/>
        <w:rPr>
          <w:rFonts w:ascii="Arial" w:cs="Arial" w:eastAsia="Arial" w:hAnsi="Arial"/>
          <w:sz w:val="18"/>
          <w:szCs w:val="18"/>
          <w:color w:val="auto"/>
        </w:rPr>
      </w:pPr>
    </w:p>
    <w:p>
      <w:pPr>
        <w:ind w:left="360" w:right="400" w:hanging="172"/>
        <w:spacing w:after="0" w:line="277" w:lineRule="auto"/>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the director or officer in connection with a proceeding under Chapters H’3, H’4 or I’1 of the Israeli Securities Law; or</w:t>
      </w:r>
    </w:p>
    <w:p>
      <w:pPr>
        <w:spacing w:after="0" w:line="116" w:lineRule="exact"/>
        <w:rPr>
          <w:rFonts w:ascii="Arial" w:cs="Arial" w:eastAsia="Arial" w:hAnsi="Arial"/>
          <w:sz w:val="18"/>
          <w:szCs w:val="18"/>
          <w:color w:val="auto"/>
        </w:rPr>
      </w:pPr>
    </w:p>
    <w:p>
      <w:pPr>
        <w:ind w:left="360" w:right="420" w:hanging="172"/>
        <w:spacing w:after="0" w:line="277" w:lineRule="auto"/>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other circumstances arising under the law in respect of which the Company may indemnify a director or an officer of the Company (including, without limitation, Section 50P(b)(2) of the Israeli Restrictive Trade Practices Law, 5758-1988).</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Exemption. </w:t>
      </w:r>
      <w:r>
        <w:rPr>
          <w:rFonts w:ascii="Arial" w:cs="Arial" w:eastAsia="Arial" w:hAnsi="Arial"/>
          <w:sz w:val="18"/>
          <w:szCs w:val="18"/>
          <w:color w:val="auto"/>
        </w:rPr>
        <w:t>We are entitled to exempt a director or officer in advance from any or all of his or her liability for damage caused by a breach of his or her duty</w:t>
      </w:r>
      <w:r>
        <w:rPr>
          <w:rFonts w:ascii="Arial" w:cs="Arial" w:eastAsia="Arial" w:hAnsi="Arial"/>
          <w:sz w:val="18"/>
          <w:szCs w:val="18"/>
          <w:i w:val="1"/>
          <w:iCs w:val="1"/>
          <w:color w:val="auto"/>
        </w:rPr>
        <w:t xml:space="preserve"> </w:t>
      </w:r>
      <w:r>
        <w:rPr>
          <w:rFonts w:ascii="Arial" w:cs="Arial" w:eastAsia="Arial" w:hAnsi="Arial"/>
          <w:sz w:val="18"/>
          <w:szCs w:val="18"/>
          <w:color w:val="auto"/>
        </w:rPr>
        <w:t>of care toward us, to the fullest extent permitted by law.</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The Companies Law provides that a company may not provide its directors or officers with insurance or indemnification or exempt its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officers from liability with respect to the following:</w:t>
      </w:r>
    </w:p>
    <w:p>
      <w:pPr>
        <w:spacing w:after="0" w:line="116" w:lineRule="exact"/>
        <w:rPr>
          <w:sz w:val="20"/>
          <w:szCs w:val="20"/>
          <w:color w:val="auto"/>
        </w:rPr>
      </w:pPr>
    </w:p>
    <w:p>
      <w:pPr>
        <w:ind w:left="360" w:right="560" w:hanging="172"/>
        <w:spacing w:after="0" w:line="312" w:lineRule="auto"/>
        <w:tabs>
          <w:tab w:leader="none" w:pos="3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p>
      <w:pPr>
        <w:spacing w:after="0" w:line="92" w:lineRule="exact"/>
        <w:rPr>
          <w:rFonts w:ascii="Arial" w:cs="Arial" w:eastAsia="Arial" w:hAnsi="Arial"/>
          <w:sz w:val="16"/>
          <w:szCs w:val="16"/>
          <w:color w:val="auto"/>
        </w:rPr>
      </w:pPr>
    </w:p>
    <w:p>
      <w:pPr>
        <w:ind w:left="360" w:hanging="172"/>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willful or reckless breach of the duty of care, other than a breach committed solely by negligence;</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action taken or not taken with the intent of unlawfully realizing personal gain; or</w:t>
      </w:r>
    </w:p>
    <w:p>
      <w:pPr>
        <w:spacing w:after="0" w:line="171" w:lineRule="exact"/>
        <w:rPr>
          <w:rFonts w:ascii="Arial" w:cs="Arial" w:eastAsia="Arial" w:hAnsi="Arial"/>
          <w:sz w:val="18"/>
          <w:szCs w:val="18"/>
          <w:color w:val="auto"/>
        </w:rPr>
      </w:pPr>
    </w:p>
    <w:p>
      <w:pPr>
        <w:ind w:left="360" w:hanging="172"/>
        <w:spacing w:after="0"/>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fine or penalty imposed upon the director or the officer for an offense.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0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During the past three years, we issued securities that were not registered under the Securities Act of 1933, as amended, or the Securities Act, as set forth below. We believe that each of such issuances was exempt from registration under the Securities Act in reliance on Section 4(a)(2) of the Securities Act, Rule 701 and/or Regulation S under the Securities Act.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transactions during the preceding three fiscal years involving sales of our securities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157" w:lineRule="exact"/>
        <w:rPr>
          <w:sz w:val="20"/>
          <w:szCs w:val="20"/>
          <w:color w:val="auto"/>
        </w:rPr>
      </w:pPr>
    </w:p>
    <w:p>
      <w:pPr>
        <w:ind w:left="360" w:right="440" w:hanging="172"/>
        <w:spacing w:after="0" w:line="297" w:lineRule="auto"/>
        <w:tabs>
          <w:tab w:leader="none" w:pos="3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Pursuant to Convertible Financing Agreements entered into between us, the lenders thereto, or the lenders, and D.N.A Biomedical, between November 2012 and January 2013, the lenders loaned to us an aggregate amount of $1.15 million. Each of the investors has the right during the term to convert its respective loan amount (subject to adjustment) into our ordinary shares at a conversion price of $240.26 per ordinary share, and the outstanding loan amounts will be automatically converted into our ordinary shares immediately prior to the closing of this offering. The total number of our ordinary shares that can be acquired upon conversion of the current outstanding loan amounts is 4,786 ordinary shares;</w:t>
      </w:r>
    </w:p>
    <w:p>
      <w:pPr>
        <w:spacing w:after="0" w:line="104" w:lineRule="exact"/>
        <w:rPr>
          <w:rFonts w:ascii="Arial" w:cs="Arial" w:eastAsia="Arial" w:hAnsi="Arial"/>
          <w:sz w:val="16"/>
          <w:szCs w:val="16"/>
          <w:color w:val="auto"/>
        </w:rPr>
      </w:pPr>
    </w:p>
    <w:p>
      <w:pPr>
        <w:ind w:left="360" w:right="280" w:hanging="172"/>
        <w:spacing w:after="0" w:line="277" w:lineRule="auto"/>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the share purchase agreements entered into between us and the other parties identified therein in September and October 2013, we issued an aggregate of 2,318 of our ordinary shares for an aggregate purchase price of $635,000;</w:t>
      </w:r>
    </w:p>
    <w:p>
      <w:pPr>
        <w:spacing w:after="0" w:line="116" w:lineRule="exact"/>
        <w:rPr>
          <w:rFonts w:ascii="Arial" w:cs="Arial" w:eastAsia="Arial" w:hAnsi="Arial"/>
          <w:sz w:val="18"/>
          <w:szCs w:val="18"/>
          <w:color w:val="auto"/>
        </w:rPr>
      </w:pPr>
    </w:p>
    <w:p>
      <w:pPr>
        <w:ind w:left="360" w:right="300" w:hanging="172"/>
        <w:spacing w:after="0" w:line="259" w:lineRule="auto"/>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 with Centillion on January 29, 2014,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18" w:name="page219"/>
    <w:bookmarkEnd w:id="218"/>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to purchase up to 1,043 of our (i) Series A preferred shares prior to the consummation of this offering and (ii) ordinary shares upon the closing of this offering and otherwise after the conversion of all of our Series A preferred shares into our ordinary shares (the shares described in (i) and (ii), the “applicable shares”).</w:t>
      </w:r>
    </w:p>
    <w:p>
      <w:pPr>
        <w:spacing w:after="0" w:line="46" w:lineRule="exact"/>
        <w:rPr>
          <w:sz w:val="20"/>
          <w:szCs w:val="20"/>
          <w:color w:val="auto"/>
        </w:rPr>
      </w:pPr>
    </w:p>
    <w:p>
      <w:pPr>
        <w:ind w:left="360" w:right="160" w:hanging="172"/>
        <w:spacing w:after="0" w:line="257" w:lineRule="auto"/>
        <w:tabs>
          <w:tab w:leader="none" w:pos="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Agreements we entered into during the course of 2014 and January 2015 with the other parties identified therein, such parties purchased from us an aggregate of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parties warrant to purchase up to 234 of the applicable shares.</w:t>
      </w:r>
    </w:p>
    <w:p>
      <w:pPr>
        <w:spacing w:after="0" w:line="53" w:lineRule="exact"/>
        <w:rPr>
          <w:rFonts w:ascii="Arial" w:cs="Arial" w:eastAsia="Arial" w:hAnsi="Arial"/>
          <w:sz w:val="18"/>
          <w:szCs w:val="18"/>
          <w:color w:val="auto"/>
        </w:rPr>
      </w:pPr>
    </w:p>
    <w:p>
      <w:pPr>
        <w:ind w:left="360" w:right="140" w:hanging="172"/>
        <w:spacing w:after="0" w:line="270" w:lineRule="auto"/>
        <w:tabs>
          <w:tab w:leader="none" w:pos="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Pursuant to the second Amendment to the Series A Preferred Share Purchase Agreement with Centillion that we entered into on January 21, 2015,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applicable shares. In addition, we issued to Centillion an additional warrant that is exercisable upon (and for a period of two years following) the first to occur of a significant financing round, an M&amp;A event (as defined in the warrant), or our initial public offering, or a triggering event, to purchase up to $2.0 million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33" w:lineRule="exact"/>
        <w:rPr>
          <w:rFonts w:ascii="Arial" w:cs="Arial" w:eastAsia="Arial" w:hAnsi="Arial"/>
          <w:sz w:val="17"/>
          <w:szCs w:val="17"/>
          <w:color w:val="auto"/>
        </w:rPr>
      </w:pPr>
    </w:p>
    <w:p>
      <w:pPr>
        <w:ind w:left="360" w:right="160" w:hanging="172"/>
        <w:spacing w:after="0" w:line="270" w:lineRule="auto"/>
        <w:tabs>
          <w:tab w:leader="none" w:pos="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Pursuant to the first Amendment to the Series A Preferred Share Purchase Agreements with other purchasers of our Series A Preferred Shares that we entered into in March 2015, such other purchasers purchased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other purchasers of our Series A Preferred Shares warrants to purchase up to 234 of our applicable shares. In addition, we issued to such other purchasers of our Series A Preferred Shares additional warrants that are exercisable (and for a period of two years thereafter) upon the first to occur of a significant financing round, an M&amp;A event (as defined in the warrant), or our initial public offering, or a triggering event to purchase up to $450,000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42" w:lineRule="exact"/>
        <w:rPr>
          <w:rFonts w:ascii="Arial" w:cs="Arial" w:eastAsia="Arial" w:hAnsi="Arial"/>
          <w:sz w:val="17"/>
          <w:szCs w:val="17"/>
          <w:color w:val="auto"/>
        </w:rPr>
      </w:pPr>
    </w:p>
    <w:p>
      <w:pPr>
        <w:ind w:left="360" w:right="120" w:hanging="172"/>
        <w:spacing w:after="0" w:line="269" w:lineRule="auto"/>
        <w:tabs>
          <w:tab w:leader="none" w:pos="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the a 2015 Triggering Event into the equity securities and/or securities convertible into equity securities of the Company that were issued in such a transaction, at a 25% discount. In addition, the Company issued to each lender under the 2015 Convertible Loan the 2015 Warrants to purchase an additional 40% of the amount of our securities that would have been issued to such lender as a result of the automatic conversion following a 2015 Triggering Event at an exercise price of 125% of the applicable price per share. The 2015 Warrants were exercisable for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bookmarkStart w:id="219" w:name="page220"/>
    <w:bookmarkEnd w:id="219"/>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172"/>
        <w:spacing w:after="0"/>
        <w:tabs>
          <w:tab w:leader="none" w:pos="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On June 14, 2016, the Company entered into the 2016 Convertible Loan with certain lenders for an aggregate amount of approximately</w:t>
      </w:r>
    </w:p>
    <w:p>
      <w:pPr>
        <w:spacing w:after="0" w:line="34" w:lineRule="exact"/>
        <w:rPr>
          <w:rFonts w:ascii="Arial" w:cs="Arial" w:eastAsia="Arial" w:hAnsi="Arial"/>
          <w:sz w:val="17"/>
          <w:szCs w:val="17"/>
          <w:color w:val="auto"/>
        </w:rPr>
      </w:pPr>
    </w:p>
    <w:p>
      <w:pPr>
        <w:ind w:left="360" w:right="60"/>
        <w:spacing w:after="0" w:line="252" w:lineRule="auto"/>
        <w:rPr>
          <w:rFonts w:ascii="Arial" w:cs="Arial" w:eastAsia="Arial" w:hAnsi="Arial"/>
          <w:sz w:val="17"/>
          <w:szCs w:val="17"/>
          <w:color w:val="auto"/>
        </w:rPr>
      </w:pPr>
      <w:r>
        <w:rPr>
          <w:rFonts w:ascii="Arial" w:cs="Arial" w:eastAsia="Arial" w:hAnsi="Arial"/>
          <w:sz w:val="18"/>
          <w:szCs w:val="18"/>
          <w:color w:val="auto"/>
        </w:rPr>
        <w:t>$7.44 million. In addition, an amount of $1.057 million of the 2015 Convertible Loan rolled over to the 2016 Convertible Loan. The 2016 Convertible Loan was given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The 2016 Convertible Loan was to be automatically converted upon the occurrence of a 2016 Triggering Event. Following the completion of the Series B Private Placement, which constituted a 2016 Triggering Event, the loan amount, together with all accrued interest was converted into Series B-1 preferred shares, under the terms and conditions of the 2016 Convertible Loan. In addition, the Series B preferred shares purchase agreement has set the price in which, and the amounts for which, the holders of the 2016 Warrants are entitled to exercise their 2016 Warrants.</w:t>
      </w:r>
    </w:p>
    <w:p>
      <w:pPr>
        <w:spacing w:after="0" w:line="151" w:lineRule="exact"/>
        <w:rPr>
          <w:rFonts w:ascii="Arial" w:cs="Arial" w:eastAsia="Arial" w:hAnsi="Arial"/>
          <w:sz w:val="17"/>
          <w:szCs w:val="17"/>
          <w:color w:val="auto"/>
        </w:rPr>
      </w:pPr>
    </w:p>
    <w:p>
      <w:pPr>
        <w:ind w:left="360" w:right="120" w:hanging="172"/>
        <w:spacing w:after="0" w:line="276" w:lineRule="auto"/>
        <w:tabs>
          <w:tab w:leader="none" w:pos="3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Pursuant to the Series B Preferred Share Purchase Agreements the company entered into from October to December 2017 with the other parties identified therein, such parties purchased from us an aggregate of 14,283 Series B preferred shares (which can be converted into 14,283 of our ordinary shares at the current conversion rate of one ordinary share for one Series B preferred share and will be automatically converted into our ordinary shares at the then-current conversion rate upon the closing of this offering) for an aggregate purchase price of $13 million, and we issued to GP Nurmenkari Inc. representatives warrants to purchase up to 526 of the applicable shares.</w:t>
      </w:r>
    </w:p>
    <w:p>
      <w:pPr>
        <w:spacing w:after="0" w:line="132" w:lineRule="exact"/>
        <w:rPr>
          <w:rFonts w:ascii="Arial" w:cs="Arial" w:eastAsia="Arial" w:hAnsi="Arial"/>
          <w:sz w:val="17"/>
          <w:szCs w:val="17"/>
          <w:color w:val="auto"/>
        </w:rPr>
      </w:pPr>
    </w:p>
    <w:p>
      <w:pPr>
        <w:ind w:left="360" w:hanging="172"/>
        <w:spacing w:after="0" w:line="264" w:lineRule="auto"/>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Pursuant to the applicable Service Agreements entered into in April 2017, our directors Luke Beshar and Roger Garceau received options to acquire 6,970 and 1,608 ordinary shares, respectively, of which 2,904 and 670 ordinary shares, respectively, were exercisable within 60 days of December 31, 2017, with an exercise price of $820 per share and expiring on December 1, 2026.</w:t>
      </w:r>
    </w:p>
    <w:p>
      <w:pPr>
        <w:spacing w:after="0" w:line="154" w:lineRule="exact"/>
        <w:rPr>
          <w:rFonts w:ascii="Arial" w:cs="Arial" w:eastAsia="Arial" w:hAnsi="Arial"/>
          <w:sz w:val="18"/>
          <w:szCs w:val="18"/>
          <w:color w:val="auto"/>
        </w:rPr>
      </w:pPr>
    </w:p>
    <w:p>
      <w:pPr>
        <w:ind w:left="360" w:right="300" w:hanging="172"/>
        <w:spacing w:after="0" w:line="342" w:lineRule="auto"/>
        <w:tabs>
          <w:tab w:leader="none" w:pos="3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November and December 2017, certain directors and officers received options to acquire 4,650 ordinary shares, of which 385 ordinary shares were exercisable within 60 days of December 31, 2017 at an exercise price of $820 per share and expiring on November 15, 2023.</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32" w:right="619" w:bottom="1440" w:gutter="0" w:footer="0" w:header="0"/>
        </w:sectPr>
      </w:pPr>
    </w:p>
    <w:bookmarkStart w:id="220" w:name="page221"/>
    <w:bookmarkEnd w:id="220"/>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gridSpan w:val="19"/>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23"/>
        </w:trPr>
        <w:tc>
          <w:tcPr>
            <w:tcW w:w="640" w:type="dxa"/>
            <w:vAlign w:val="bottom"/>
            <w:gridSpan w:val="3"/>
          </w:tcPr>
          <w:p>
            <w:pPr>
              <w:jc w:val="center"/>
              <w:ind w:left="332"/>
              <w:spacing w:after="0"/>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27"/>
          </w:tcPr>
          <w:p>
            <w:pPr>
              <w:spacing w:after="0"/>
              <w:rPr>
                <w:sz w:val="20"/>
                <w:szCs w:val="20"/>
                <w:color w:val="auto"/>
              </w:rPr>
            </w:pPr>
            <w:r>
              <w:rPr>
                <w:rFonts w:ascii="Arial" w:cs="Arial" w:eastAsia="Arial" w:hAnsi="Arial"/>
                <w:sz w:val="18"/>
                <w:szCs w:val="18"/>
                <w:color w:val="0000EE"/>
              </w:rPr>
              <w:t>Form of Underwriting Agreement.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tcBorders>
              <w:bottom w:val="single" w:sz="8" w:color="0000EE"/>
            </w:tcBorders>
            <w:gridSpan w:val="12"/>
          </w:tcPr>
          <w:p>
            <w:pPr>
              <w:spacing w:after="0"/>
              <w:rPr>
                <w:rFonts w:ascii="Arial" w:cs="Arial" w:eastAsia="Arial" w:hAnsi="Arial"/>
                <w:sz w:val="18"/>
                <w:szCs w:val="18"/>
                <w:color w:val="0000EE"/>
                <w:w w:val="92"/>
              </w:rPr>
            </w:pPr>
            <w:hyperlink r:id="rId514">
              <w:r>
                <w:rPr>
                  <w:rFonts w:ascii="Arial" w:cs="Arial" w:eastAsia="Arial" w:hAnsi="Arial"/>
                  <w:sz w:val="18"/>
                  <w:szCs w:val="18"/>
                  <w:color w:val="0000EE"/>
                  <w:w w:val="92"/>
                </w:rPr>
                <w:t>Fifth Amended and Restated Articles of Association of the Registrant (currently in effect).</w:t>
              </w:r>
            </w:hyperlink>
          </w:p>
        </w:tc>
        <w:tc>
          <w:tcPr>
            <w:tcW w:w="3620" w:type="dxa"/>
            <w:vAlign w:val="bottom"/>
            <w:gridSpan w:val="15"/>
          </w:tcPr>
          <w:p>
            <w:pPr>
              <w:spacing w:after="0"/>
              <w:rPr>
                <w:sz w:val="21"/>
                <w:szCs w:val="21"/>
                <w:color w:val="auto"/>
              </w:rPr>
            </w:pPr>
          </w:p>
        </w:tc>
      </w:tr>
      <w:tr>
        <w:trPr>
          <w:trHeight w:val="210"/>
        </w:trPr>
        <w:tc>
          <w:tcPr>
            <w:tcW w:w="320" w:type="dxa"/>
            <w:vAlign w:val="bottom"/>
          </w:tcPr>
          <w:p>
            <w:pPr>
              <w:spacing w:after="0"/>
              <w:rPr>
                <w:sz w:val="18"/>
                <w:szCs w:val="18"/>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80" w:type="dxa"/>
            <w:vAlign w:val="bottom"/>
            <w:tcBorders>
              <w:bottom w:val="single" w:sz="8" w:color="0000EE"/>
            </w:tcBorders>
            <w:gridSpan w:val="19"/>
          </w:tcPr>
          <w:p>
            <w:pPr>
              <w:spacing w:after="0"/>
              <w:rPr>
                <w:rFonts w:ascii="Arial" w:cs="Arial" w:eastAsia="Arial" w:hAnsi="Arial"/>
                <w:sz w:val="18"/>
                <w:szCs w:val="18"/>
                <w:color w:val="0000EE"/>
                <w:w w:val="91"/>
              </w:rPr>
            </w:pPr>
            <w:hyperlink r:id="rId515">
              <w:r>
                <w:rPr>
                  <w:rFonts w:ascii="Arial" w:cs="Arial" w:eastAsia="Arial" w:hAnsi="Arial"/>
                  <w:sz w:val="18"/>
                  <w:szCs w:val="18"/>
                  <w:color w:val="0000EE"/>
                  <w:w w:val="91"/>
                </w:rPr>
                <w:t>Form of Sixth Amended and Restated Articles of Association of the Registrant (to be effective upon the closing of this offering).</w:t>
              </w:r>
            </w:hyperlink>
          </w:p>
        </w:tc>
        <w:tc>
          <w:tcPr>
            <w:tcW w:w="860" w:type="dxa"/>
            <w:vAlign w:val="bottom"/>
            <w:gridSpan w:val="8"/>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420" w:type="dxa"/>
            <w:vAlign w:val="bottom"/>
            <w:gridSpan w:val="3"/>
          </w:tcPr>
          <w:p>
            <w:pPr>
              <w:jc w:val="center"/>
              <w:spacing w:after="0"/>
              <w:rPr>
                <w:rFonts w:ascii="Arial" w:cs="Arial" w:eastAsia="Arial" w:hAnsi="Arial"/>
                <w:sz w:val="18"/>
                <w:szCs w:val="18"/>
                <w:color w:val="0000EE"/>
              </w:rPr>
            </w:pPr>
            <w:hyperlink r:id="rId51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Arial" w:cs="Arial" w:eastAsia="Arial" w:hAnsi="Arial"/>
                <w:sz w:val="18"/>
                <w:szCs w:val="18"/>
                <w:color w:val="0000EE"/>
              </w:rPr>
            </w:pPr>
            <w:hyperlink r:id="rId516">
              <w:r>
                <w:rPr>
                  <w:rFonts w:ascii="Arial" w:cs="Arial" w:eastAsia="Arial" w:hAnsi="Arial"/>
                  <w:sz w:val="18"/>
                  <w:szCs w:val="18"/>
                  <w:color w:val="0000EE"/>
                </w:rPr>
                <w:t>Specimen Form of Ordinary Share Certificate.</w:t>
              </w:r>
            </w:hyperlink>
          </w:p>
        </w:tc>
      </w:tr>
      <w:tr>
        <w:trPr>
          <w:trHeight w:val="20"/>
        </w:trPr>
        <w:tc>
          <w:tcPr>
            <w:tcW w:w="3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20" w:type="dxa"/>
            <w:vAlign w:val="bottom"/>
            <w:gridSpan w:val="3"/>
          </w:tcPr>
          <w:p>
            <w:pPr>
              <w:jc w:val="center"/>
              <w:spacing w:after="0"/>
              <w:rPr>
                <w:rFonts w:ascii="Arial" w:cs="Arial" w:eastAsia="Arial" w:hAnsi="Arial"/>
                <w:sz w:val="18"/>
                <w:szCs w:val="18"/>
                <w:color w:val="0000EE"/>
              </w:rPr>
            </w:pPr>
            <w:hyperlink r:id="rId51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40" w:type="dxa"/>
            <w:vAlign w:val="bottom"/>
            <w:gridSpan w:val="27"/>
          </w:tcPr>
          <w:p>
            <w:pPr>
              <w:spacing w:after="0"/>
              <w:rPr>
                <w:rFonts w:ascii="Arial" w:cs="Arial" w:eastAsia="Arial" w:hAnsi="Arial"/>
                <w:sz w:val="18"/>
                <w:szCs w:val="18"/>
                <w:color w:val="0000EE"/>
              </w:rPr>
            </w:pPr>
            <w:hyperlink r:id="rId517">
              <w:r>
                <w:rPr>
                  <w:rFonts w:ascii="Arial" w:cs="Arial" w:eastAsia="Arial" w:hAnsi="Arial"/>
                  <w:sz w:val="18"/>
                  <w:szCs w:val="18"/>
                  <w:color w:val="0000EE"/>
                </w:rPr>
                <w:t>Form of Warrant issued by the Registrant to Centillion Fund on each of January 29, 2014 and January 21, 2015.</w:t>
              </w:r>
            </w:hyperlink>
          </w:p>
        </w:tc>
      </w:tr>
      <w:tr>
        <w:trPr>
          <w:trHeight w:val="250"/>
        </w:trPr>
        <w:tc>
          <w:tcPr>
            <w:tcW w:w="320" w:type="dxa"/>
            <w:vAlign w:val="bottom"/>
          </w:tcPr>
          <w:p>
            <w:pPr>
              <w:spacing w:after="0"/>
              <w:rPr>
                <w:sz w:val="21"/>
                <w:szCs w:val="21"/>
                <w:color w:val="auto"/>
              </w:rPr>
            </w:pPr>
          </w:p>
        </w:tc>
        <w:tc>
          <w:tcPr>
            <w:tcW w:w="42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rPr>
            </w:pPr>
            <w:hyperlink r:id="rId51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518">
              <w:r>
                <w:rPr>
                  <w:rFonts w:ascii="Arial" w:cs="Arial" w:eastAsia="Arial" w:hAnsi="Arial"/>
                  <w:sz w:val="18"/>
                  <w:szCs w:val="18"/>
                  <w:color w:val="0000EE"/>
                  <w:w w:val="90"/>
                </w:rPr>
                <w:t>Form of additional Warrant issued by the Registrant to Centillion Fund on January 21, 2015.</w:t>
              </w:r>
            </w:hyperlink>
          </w:p>
        </w:tc>
        <w:tc>
          <w:tcPr>
            <w:tcW w:w="1380" w:type="dxa"/>
            <w:vAlign w:val="bottom"/>
            <w:tcBorders>
              <w:top w:val="single" w:sz="8" w:color="0000EE"/>
            </w:tcBorders>
            <w:gridSpan w:val="3"/>
          </w:tcPr>
          <w:p>
            <w:pPr>
              <w:spacing w:after="0"/>
              <w:rPr>
                <w:sz w:val="21"/>
                <w:szCs w:val="21"/>
                <w:color w:val="auto"/>
              </w:rPr>
            </w:pPr>
          </w:p>
        </w:tc>
        <w:tc>
          <w:tcPr>
            <w:tcW w:w="2100" w:type="dxa"/>
            <w:vAlign w:val="bottom"/>
            <w:gridSpan w:val="11"/>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9">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Borders>
              <w:bottom w:val="single" w:sz="8" w:color="0000EE"/>
            </w:tcBorders>
            <w:gridSpan w:val="9"/>
          </w:tcPr>
          <w:p>
            <w:pPr>
              <w:spacing w:after="0"/>
              <w:rPr>
                <w:rFonts w:ascii="Arial" w:cs="Arial" w:eastAsia="Arial" w:hAnsi="Arial"/>
                <w:sz w:val="18"/>
                <w:szCs w:val="18"/>
                <w:color w:val="0000EE"/>
                <w:w w:val="89"/>
              </w:rPr>
            </w:pPr>
            <w:hyperlink r:id="rId519">
              <w:r>
                <w:rPr>
                  <w:rFonts w:ascii="Arial" w:cs="Arial" w:eastAsia="Arial" w:hAnsi="Arial"/>
                  <w:sz w:val="18"/>
                  <w:szCs w:val="18"/>
                  <w:color w:val="0000EE"/>
                  <w:w w:val="89"/>
                </w:rPr>
                <w:t>Form of Warrant issued by the Registrant to the lenders on June 24, 2016.</w:t>
              </w:r>
            </w:hyperlink>
          </w:p>
        </w:tc>
        <w:tc>
          <w:tcPr>
            <w:tcW w:w="4820" w:type="dxa"/>
            <w:vAlign w:val="bottom"/>
            <w:gridSpan w:val="18"/>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20">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80" w:type="dxa"/>
            <w:vAlign w:val="bottom"/>
            <w:tcBorders>
              <w:bottom w:val="single" w:sz="8" w:color="0000EE"/>
            </w:tcBorders>
            <w:gridSpan w:val="8"/>
          </w:tcPr>
          <w:p>
            <w:pPr>
              <w:spacing w:after="0"/>
              <w:rPr>
                <w:rFonts w:ascii="Arial" w:cs="Arial" w:eastAsia="Arial" w:hAnsi="Arial"/>
                <w:sz w:val="18"/>
                <w:szCs w:val="18"/>
                <w:color w:val="0000EE"/>
                <w:w w:val="90"/>
              </w:rPr>
            </w:pPr>
            <w:hyperlink r:id="rId520">
              <w:r>
                <w:rPr>
                  <w:rFonts w:ascii="Arial" w:cs="Arial" w:eastAsia="Arial" w:hAnsi="Arial"/>
                  <w:sz w:val="18"/>
                  <w:szCs w:val="18"/>
                  <w:color w:val="0000EE"/>
                  <w:w w:val="90"/>
                </w:rPr>
                <w:t>Form of Warrant issued by the Registrant to GP Nurmenkari Inc.</w:t>
              </w:r>
            </w:hyperlink>
          </w:p>
        </w:tc>
        <w:tc>
          <w:tcPr>
            <w:tcW w:w="5460" w:type="dxa"/>
            <w:vAlign w:val="bottom"/>
            <w:gridSpan w:val="19"/>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420" w:type="dxa"/>
            <w:vAlign w:val="bottom"/>
            <w:gridSpan w:val="3"/>
          </w:tcPr>
          <w:p>
            <w:pPr>
              <w:jc w:val="center"/>
              <w:spacing w:after="0"/>
              <w:rPr>
                <w:rFonts w:ascii="Arial" w:cs="Arial" w:eastAsia="Arial" w:hAnsi="Arial"/>
                <w:sz w:val="18"/>
                <w:szCs w:val="18"/>
                <w:color w:val="0000EE"/>
              </w:rPr>
            </w:pPr>
            <w:hyperlink r:id="rId521">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rPr>
            </w:pPr>
            <w:hyperlink r:id="rId521">
              <w:r>
                <w:rPr>
                  <w:rFonts w:ascii="Arial" w:cs="Arial" w:eastAsia="Arial" w:hAnsi="Arial"/>
                  <w:sz w:val="18"/>
                  <w:szCs w:val="18"/>
                  <w:color w:val="0000EE"/>
                </w:rPr>
                <w:t>Opinion of Herzog Fox &amp; Neeman, Israeli counsel to the Registrant, as to the validity of the ordinary shares.</w:t>
              </w:r>
            </w:hyperlink>
          </w:p>
        </w:tc>
      </w:tr>
      <w:tr>
        <w:trPr>
          <w:trHeight w:val="250"/>
        </w:trPr>
        <w:tc>
          <w:tcPr>
            <w:tcW w:w="320" w:type="dxa"/>
            <w:vAlign w:val="bottom"/>
          </w:tcPr>
          <w:p>
            <w:pPr>
              <w:spacing w:after="0"/>
              <w:rPr>
                <w:sz w:val="21"/>
                <w:szCs w:val="21"/>
                <w:color w:val="auto"/>
              </w:rPr>
            </w:pPr>
          </w:p>
        </w:tc>
        <w:tc>
          <w:tcPr>
            <w:tcW w:w="420" w:type="dxa"/>
            <w:vAlign w:val="bottom"/>
            <w:tcBorders>
              <w:top w:val="single" w:sz="8" w:color="0000EE"/>
            </w:tcBorders>
            <w:gridSpan w:val="3"/>
          </w:tcPr>
          <w:p>
            <w:pPr>
              <w:jc w:val="center"/>
              <w:spacing w:after="0"/>
              <w:rPr>
                <w:rFonts w:ascii="Arial" w:cs="Arial" w:eastAsia="Arial" w:hAnsi="Arial"/>
                <w:sz w:val="18"/>
                <w:szCs w:val="18"/>
                <w:color w:val="0000EE"/>
              </w:rPr>
            </w:pPr>
            <w:hyperlink r:id="rId522">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20" w:type="dxa"/>
            <w:vAlign w:val="bottom"/>
            <w:tcBorders>
              <w:top w:val="single" w:sz="8" w:color="0000EE"/>
            </w:tcBorders>
            <w:gridSpan w:val="15"/>
          </w:tcPr>
          <w:p>
            <w:pPr>
              <w:spacing w:after="0"/>
              <w:rPr>
                <w:rFonts w:ascii="Arial" w:cs="Arial" w:eastAsia="Arial" w:hAnsi="Arial"/>
                <w:sz w:val="18"/>
                <w:szCs w:val="18"/>
                <w:color w:val="0000EE"/>
              </w:rPr>
            </w:pPr>
            <w:hyperlink r:id="rId522">
              <w:r>
                <w:rPr>
                  <w:rFonts w:ascii="Arial" w:cs="Arial" w:eastAsia="Arial" w:hAnsi="Arial"/>
                  <w:sz w:val="18"/>
                  <w:szCs w:val="18"/>
                  <w:color w:val="0000EE"/>
                </w:rPr>
                <w:t>Opinion of Davis Polk &amp; Wardwell LLP as to U.S. tax matters.</w:t>
              </w:r>
            </w:hyperlink>
          </w:p>
        </w:tc>
        <w:tc>
          <w:tcPr>
            <w:tcW w:w="2320" w:type="dxa"/>
            <w:vAlign w:val="bottom"/>
            <w:gridSpan w:val="12"/>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80" w:type="dxa"/>
            <w:vAlign w:val="bottom"/>
            <w:gridSpan w:val="4"/>
          </w:tcPr>
          <w:p>
            <w:pPr>
              <w:jc w:val="center"/>
              <w:ind w:right="40"/>
              <w:spacing w:after="0"/>
              <w:rPr>
                <w:rFonts w:ascii="Arial" w:cs="Arial" w:eastAsia="Arial" w:hAnsi="Arial"/>
                <w:sz w:val="18"/>
                <w:szCs w:val="18"/>
                <w:color w:val="0000EE"/>
                <w:w w:val="89"/>
              </w:rPr>
            </w:pPr>
            <w:hyperlink r:id="rId52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rPr>
            </w:pPr>
            <w:hyperlink r:id="rId523">
              <w:r>
                <w:rPr>
                  <w:rFonts w:ascii="Arial" w:cs="Arial" w:eastAsia="Arial" w:hAnsi="Arial"/>
                  <w:sz w:val="18"/>
                  <w:szCs w:val="18"/>
                  <w:color w:val="0000EE"/>
                </w:rPr>
                <w:t>Patent Transfer Agreement, dated as of February 22, 2011, between the Registrant and Oramed Ltd.</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80" w:type="dxa"/>
            <w:vAlign w:val="bottom"/>
            <w:gridSpan w:val="4"/>
          </w:tcPr>
          <w:p>
            <w:pPr>
              <w:jc w:val="center"/>
              <w:ind w:right="40"/>
              <w:spacing w:after="0"/>
              <w:rPr>
                <w:rFonts w:ascii="Arial" w:cs="Arial" w:eastAsia="Arial" w:hAnsi="Arial"/>
                <w:sz w:val="18"/>
                <w:szCs w:val="18"/>
                <w:color w:val="0000EE"/>
                <w:w w:val="89"/>
              </w:rPr>
            </w:pPr>
            <w:hyperlink r:id="rId52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w w:val="91"/>
              </w:rPr>
            </w:pPr>
            <w:hyperlink r:id="rId524">
              <w:r>
                <w:rPr>
                  <w:rFonts w:ascii="Arial" w:cs="Arial" w:eastAsia="Arial" w:hAnsi="Arial"/>
                  <w:sz w:val="18"/>
                  <w:szCs w:val="18"/>
                  <w:color w:val="0000EE"/>
                  <w:w w:val="91"/>
                </w:rPr>
                <w:t>Convertible Financing Agreement, dated as of November 8, 2012, among the Registrant, D.N.A Biomedical Solutions, Ltd. and the lenders</w:t>
              </w:r>
            </w:hyperlink>
          </w:p>
        </w:tc>
      </w:tr>
      <w:tr>
        <w:trPr>
          <w:trHeight w:val="196"/>
        </w:trPr>
        <w:tc>
          <w:tcPr>
            <w:tcW w:w="3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524">
              <w:r>
                <w:rPr>
                  <w:rFonts w:ascii="Arial" w:cs="Arial" w:eastAsia="Arial" w:hAnsi="Arial"/>
                  <w:sz w:val="18"/>
                  <w:szCs w:val="18"/>
                  <w:color w:val="0000EE"/>
                </w:rPr>
                <w:t>thereto.</w:t>
              </w:r>
            </w:hyperlink>
          </w:p>
        </w:tc>
        <w:tc>
          <w:tcPr>
            <w:tcW w:w="10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80" w:type="dxa"/>
            <w:vAlign w:val="bottom"/>
            <w:tcBorders>
              <w:bottom w:val="single" w:sz="8" w:color="0000EE"/>
            </w:tcBorders>
            <w:gridSpan w:val="4"/>
          </w:tcPr>
          <w:p>
            <w:pPr>
              <w:jc w:val="center"/>
              <w:ind w:right="40"/>
              <w:spacing w:after="0"/>
              <w:rPr>
                <w:rFonts w:ascii="Arial" w:cs="Arial" w:eastAsia="Arial" w:hAnsi="Arial"/>
                <w:sz w:val="18"/>
                <w:szCs w:val="18"/>
                <w:color w:val="0000EE"/>
                <w:w w:val="89"/>
              </w:rPr>
            </w:pPr>
            <w:hyperlink r:id="rId525">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3**</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20" w:type="dxa"/>
            <w:vAlign w:val="bottom"/>
            <w:tcBorders>
              <w:bottom w:val="single" w:sz="8" w:color="0000EE"/>
            </w:tcBorders>
            <w:gridSpan w:val="26"/>
          </w:tcPr>
          <w:p>
            <w:pPr>
              <w:spacing w:after="0"/>
              <w:rPr>
                <w:rFonts w:ascii="Arial" w:cs="Arial" w:eastAsia="Arial" w:hAnsi="Arial"/>
                <w:sz w:val="18"/>
                <w:szCs w:val="18"/>
                <w:color w:val="0000EE"/>
                <w:w w:val="90"/>
              </w:rPr>
            </w:pPr>
            <w:hyperlink r:id="rId525">
              <w:r>
                <w:rPr>
                  <w:rFonts w:ascii="Arial" w:cs="Arial" w:eastAsia="Arial" w:hAnsi="Arial"/>
                  <w:sz w:val="18"/>
                  <w:szCs w:val="18"/>
                  <w:color w:val="0000EE"/>
                  <w:w w:val="90"/>
                </w:rPr>
                <w:t>Convertible Financing Agreement, dated as of December 31, 2012, among the Registrant, D.N.A Biomedical Solutions, Ltd. and the lenders</w:t>
              </w:r>
            </w:hyperlink>
          </w:p>
        </w:tc>
        <w:tc>
          <w:tcPr>
            <w:tcW w:w="20" w:type="dxa"/>
            <w:vAlign w:val="bottom"/>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27"/>
          </w:tcPr>
          <w:p>
            <w:pPr>
              <w:spacing w:after="0" w:line="196" w:lineRule="exact"/>
              <w:rPr>
                <w:rFonts w:ascii="Arial" w:cs="Arial" w:eastAsia="Arial" w:hAnsi="Arial"/>
                <w:sz w:val="18"/>
                <w:szCs w:val="18"/>
                <w:color w:val="0000EE"/>
              </w:rPr>
            </w:pPr>
            <w:hyperlink r:id="rId525">
              <w:r>
                <w:rPr>
                  <w:rFonts w:ascii="Arial" w:cs="Arial" w:eastAsia="Arial" w:hAnsi="Arial"/>
                  <w:sz w:val="18"/>
                  <w:szCs w:val="18"/>
                  <w:color w:val="0000EE"/>
                </w:rPr>
                <w:t>thereto.</w:t>
              </w:r>
            </w:hyperlink>
          </w:p>
        </w:tc>
      </w:tr>
      <w:tr>
        <w:trPr>
          <w:trHeight w:val="20"/>
        </w:trPr>
        <w:tc>
          <w:tcPr>
            <w:tcW w:w="3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80" w:type="dxa"/>
            <w:vAlign w:val="bottom"/>
            <w:gridSpan w:val="4"/>
          </w:tcPr>
          <w:p>
            <w:pPr>
              <w:jc w:val="center"/>
              <w:ind w:right="40"/>
              <w:spacing w:after="0"/>
              <w:rPr>
                <w:rFonts w:ascii="Arial" w:cs="Arial" w:eastAsia="Arial" w:hAnsi="Arial"/>
                <w:sz w:val="18"/>
                <w:szCs w:val="18"/>
                <w:color w:val="0000EE"/>
                <w:w w:val="89"/>
              </w:rPr>
            </w:pPr>
            <w:hyperlink r:id="rId52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4**</w:t>
              </w:r>
            </w:hyperlink>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Arial" w:cs="Arial" w:eastAsia="Arial" w:hAnsi="Arial"/>
                <w:sz w:val="18"/>
                <w:szCs w:val="18"/>
                <w:color w:val="0000EE"/>
              </w:rPr>
            </w:pPr>
            <w:hyperlink r:id="rId526">
              <w:r>
                <w:rPr>
                  <w:rFonts w:ascii="Arial" w:cs="Arial" w:eastAsia="Arial" w:hAnsi="Arial"/>
                  <w:sz w:val="18"/>
                  <w:szCs w:val="18"/>
                  <w:color w:val="0000EE"/>
                </w:rPr>
                <w:t>The Entera Bio Ltd. Share Incentive Plan.</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480" w:type="dxa"/>
            <w:vAlign w:val="bottom"/>
            <w:tcBorders>
              <w:bottom w:val="single" w:sz="8" w:color="0000EE"/>
            </w:tcBorders>
            <w:gridSpan w:val="4"/>
          </w:tcPr>
          <w:p>
            <w:pPr>
              <w:jc w:val="center"/>
              <w:ind w:right="40"/>
              <w:spacing w:after="0"/>
              <w:rPr>
                <w:rFonts w:ascii="Arial" w:cs="Arial" w:eastAsia="Arial" w:hAnsi="Arial"/>
                <w:sz w:val="18"/>
                <w:szCs w:val="18"/>
                <w:color w:val="0000EE"/>
                <w:w w:val="89"/>
              </w:rPr>
            </w:pPr>
            <w:hyperlink r:id="rId52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5**</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Borders>
              <w:bottom w:val="single" w:sz="8" w:color="0000EE"/>
            </w:tcBorders>
            <w:gridSpan w:val="18"/>
          </w:tcPr>
          <w:p>
            <w:pPr>
              <w:spacing w:after="0"/>
              <w:rPr>
                <w:rFonts w:ascii="Arial" w:cs="Arial" w:eastAsia="Arial" w:hAnsi="Arial"/>
                <w:sz w:val="18"/>
                <w:szCs w:val="18"/>
                <w:color w:val="0000EE"/>
                <w:w w:val="89"/>
              </w:rPr>
            </w:pPr>
            <w:hyperlink r:id="rId527">
              <w:r>
                <w:rPr>
                  <w:rFonts w:ascii="Arial" w:cs="Arial" w:eastAsia="Arial" w:hAnsi="Arial"/>
                  <w:sz w:val="18"/>
                  <w:szCs w:val="18"/>
                  <w:color w:val="0000EE"/>
                  <w:w w:val="89"/>
                </w:rPr>
                <w:t>Series A Preferred Share Purchase Agreement, dated as of January 29, 2014, between the Registrant and Centillion Fund.</w:t>
              </w:r>
            </w:hyperlink>
          </w:p>
        </w:tc>
        <w:tc>
          <w:tcPr>
            <w:tcW w:w="1400" w:type="dxa"/>
            <w:vAlign w:val="bottom"/>
            <w:gridSpan w:val="9"/>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480" w:type="dxa"/>
            <w:vAlign w:val="bottom"/>
            <w:gridSpan w:val="4"/>
          </w:tcPr>
          <w:p>
            <w:pPr>
              <w:jc w:val="center"/>
              <w:ind w:right="40"/>
              <w:spacing w:after="0"/>
              <w:rPr>
                <w:rFonts w:ascii="Arial" w:cs="Arial" w:eastAsia="Arial" w:hAnsi="Arial"/>
                <w:sz w:val="18"/>
                <w:szCs w:val="18"/>
                <w:color w:val="0000EE"/>
                <w:w w:val="89"/>
              </w:rPr>
            </w:pPr>
            <w:hyperlink r:id="rId528">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6**</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w w:val="90"/>
              </w:rPr>
            </w:pPr>
            <w:hyperlink r:id="rId528">
              <w:r>
                <w:rPr>
                  <w:rFonts w:ascii="Arial" w:cs="Arial" w:eastAsia="Arial" w:hAnsi="Arial"/>
                  <w:sz w:val="18"/>
                  <w:szCs w:val="18"/>
                  <w:color w:val="0000EE"/>
                  <w:w w:val="90"/>
                </w:rPr>
                <w:t>First Amendment to Series A Preferred Share Purchase Agreement, dated as of June 18, 2014, between the Registrant and Centillion Fund.</w:t>
              </w:r>
            </w:hyperlink>
          </w:p>
        </w:tc>
      </w:tr>
      <w:tr>
        <w:trPr>
          <w:trHeight w:val="237"/>
        </w:trPr>
        <w:tc>
          <w:tcPr>
            <w:tcW w:w="320" w:type="dxa"/>
            <w:vAlign w:val="bottom"/>
          </w:tcPr>
          <w:p>
            <w:pPr>
              <w:spacing w:after="0"/>
              <w:rPr>
                <w:sz w:val="20"/>
                <w:szCs w:val="20"/>
                <w:color w:val="auto"/>
              </w:rPr>
            </w:pPr>
          </w:p>
        </w:tc>
        <w:tc>
          <w:tcPr>
            <w:tcW w:w="480" w:type="dxa"/>
            <w:vAlign w:val="bottom"/>
            <w:tcBorders>
              <w:top w:val="single" w:sz="8" w:color="0000EE"/>
              <w:bottom w:val="single" w:sz="8" w:color="0000EE"/>
            </w:tcBorders>
            <w:gridSpan w:val="4"/>
          </w:tcPr>
          <w:p>
            <w:pPr>
              <w:jc w:val="center"/>
              <w:ind w:right="40"/>
              <w:spacing w:after="0"/>
              <w:rPr>
                <w:rFonts w:ascii="Arial" w:cs="Arial" w:eastAsia="Arial" w:hAnsi="Arial"/>
                <w:sz w:val="18"/>
                <w:szCs w:val="18"/>
                <w:color w:val="0000EE"/>
                <w:w w:val="89"/>
              </w:rPr>
            </w:pPr>
            <w:hyperlink r:id="rId529">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7**</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89"/>
              </w:rPr>
            </w:pPr>
            <w:hyperlink r:id="rId529">
              <w:r>
                <w:rPr>
                  <w:rFonts w:ascii="Arial" w:cs="Arial" w:eastAsia="Arial" w:hAnsi="Arial"/>
                  <w:sz w:val="18"/>
                  <w:szCs w:val="18"/>
                  <w:color w:val="0000EE"/>
                  <w:w w:val="89"/>
                </w:rPr>
                <w:t>Second Amendment to Series A Preferred Share Purchase Agreement, dated as of January 21, 2015, between the Registrant and Centillion</w:t>
              </w:r>
            </w:hyperlink>
          </w:p>
        </w:tc>
        <w:tc>
          <w:tcPr>
            <w:tcW w:w="20" w:type="dxa"/>
            <w:vAlign w:val="bottom"/>
            <w:tcBorders>
              <w:top w:val="single" w:sz="8" w:color="0000EE"/>
            </w:tcBorders>
          </w:tcPr>
          <w:p>
            <w:pPr>
              <w:spacing w:after="0"/>
              <w:rPr>
                <w:sz w:val="20"/>
                <w:szCs w:val="20"/>
                <w:color w:val="auto"/>
              </w:rPr>
            </w:pPr>
          </w:p>
        </w:tc>
        <w:tc>
          <w:tcPr>
            <w:tcW w:w="140" w:type="dxa"/>
            <w:vAlign w:val="bottom"/>
            <w:gridSpan w:val="3"/>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29">
              <w:r>
                <w:rPr>
                  <w:rFonts w:ascii="Arial" w:cs="Arial" w:eastAsia="Arial" w:hAnsi="Arial"/>
                  <w:sz w:val="18"/>
                  <w:szCs w:val="18"/>
                  <w:color w:val="0000EE"/>
                  <w:w w:val="86"/>
                </w:rPr>
                <w:t>Fund.</w:t>
              </w:r>
            </w:hyperlink>
          </w:p>
        </w:tc>
        <w:tc>
          <w:tcPr>
            <w:tcW w:w="9720" w:type="dxa"/>
            <w:vAlign w:val="bottom"/>
            <w:gridSpan w:val="26"/>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480" w:type="dxa"/>
            <w:vAlign w:val="bottom"/>
            <w:tcBorders>
              <w:bottom w:val="single" w:sz="8" w:color="0000EE"/>
            </w:tcBorders>
            <w:gridSpan w:val="4"/>
          </w:tcPr>
          <w:p>
            <w:pPr>
              <w:jc w:val="center"/>
              <w:ind w:right="40"/>
              <w:spacing w:after="0"/>
              <w:rPr>
                <w:rFonts w:ascii="Arial" w:cs="Arial" w:eastAsia="Arial" w:hAnsi="Arial"/>
                <w:sz w:val="18"/>
                <w:szCs w:val="18"/>
                <w:color w:val="0000EE"/>
                <w:w w:val="89"/>
              </w:rPr>
            </w:pPr>
            <w:hyperlink r:id="rId530">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8**</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80" w:type="dxa"/>
            <w:vAlign w:val="bottom"/>
            <w:tcBorders>
              <w:bottom w:val="single" w:sz="8" w:color="0000EE"/>
            </w:tcBorders>
            <w:gridSpan w:val="22"/>
          </w:tcPr>
          <w:p>
            <w:pPr>
              <w:spacing w:after="0"/>
              <w:rPr>
                <w:rFonts w:ascii="Arial" w:cs="Arial" w:eastAsia="Arial" w:hAnsi="Arial"/>
                <w:sz w:val="18"/>
                <w:szCs w:val="18"/>
                <w:color w:val="0000EE"/>
                <w:w w:val="89"/>
              </w:rPr>
            </w:pPr>
            <w:hyperlink r:id="rId530">
              <w:r>
                <w:rPr>
                  <w:rFonts w:ascii="Arial" w:cs="Arial" w:eastAsia="Arial" w:hAnsi="Arial"/>
                  <w:sz w:val="18"/>
                  <w:szCs w:val="18"/>
                  <w:color w:val="0000EE"/>
                  <w:w w:val="89"/>
                </w:rPr>
                <w:t>Third Amendment to Series A Preferred Share Purchase Agreement, dated as of November 2015, between the Registrant and Centillion</w:t>
              </w:r>
            </w:hyperlink>
          </w:p>
        </w:tc>
        <w:tc>
          <w:tcPr>
            <w:tcW w:w="360" w:type="dxa"/>
            <w:vAlign w:val="bottom"/>
            <w:gridSpan w:val="5"/>
          </w:tcPr>
          <w:p>
            <w:pPr>
              <w:spacing w:after="0"/>
              <w:rPr>
                <w:sz w:val="20"/>
                <w:szCs w:val="20"/>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30">
              <w:r>
                <w:rPr>
                  <w:rFonts w:ascii="Arial" w:cs="Arial" w:eastAsia="Arial" w:hAnsi="Arial"/>
                  <w:sz w:val="18"/>
                  <w:szCs w:val="18"/>
                  <w:color w:val="0000EE"/>
                  <w:w w:val="86"/>
                </w:rPr>
                <w:t>Fund.</w:t>
              </w:r>
            </w:hyperlink>
          </w:p>
        </w:tc>
        <w:tc>
          <w:tcPr>
            <w:tcW w:w="9720" w:type="dxa"/>
            <w:vAlign w:val="bottom"/>
            <w:gridSpan w:val="26"/>
          </w:tcPr>
          <w:p>
            <w:pPr>
              <w:spacing w:after="0"/>
              <w:rPr>
                <w:sz w:val="17"/>
                <w:szCs w:val="17"/>
                <w:color w:val="auto"/>
              </w:rPr>
            </w:pPr>
          </w:p>
        </w:tc>
      </w:tr>
      <w:tr>
        <w:trPr>
          <w:trHeight w:val="237"/>
        </w:trPr>
        <w:tc>
          <w:tcPr>
            <w:tcW w:w="320" w:type="dxa"/>
            <w:vAlign w:val="bottom"/>
          </w:tcPr>
          <w:p>
            <w:pPr>
              <w:spacing w:after="0"/>
              <w:rPr>
                <w:sz w:val="20"/>
                <w:szCs w:val="20"/>
                <w:color w:val="auto"/>
              </w:rPr>
            </w:pPr>
          </w:p>
        </w:tc>
        <w:tc>
          <w:tcPr>
            <w:tcW w:w="480" w:type="dxa"/>
            <w:vAlign w:val="bottom"/>
            <w:gridSpan w:val="4"/>
          </w:tcPr>
          <w:p>
            <w:pPr>
              <w:jc w:val="center"/>
              <w:ind w:right="40"/>
              <w:spacing w:after="0"/>
              <w:rPr>
                <w:rFonts w:ascii="Arial" w:cs="Arial" w:eastAsia="Arial" w:hAnsi="Arial"/>
                <w:sz w:val="18"/>
                <w:szCs w:val="18"/>
                <w:color w:val="0000EE"/>
                <w:w w:val="89"/>
              </w:rPr>
            </w:pPr>
            <w:hyperlink r:id="rId53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9**</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w w:val="89"/>
              </w:rPr>
            </w:pPr>
            <w:hyperlink r:id="rId531">
              <w:r>
                <w:rPr>
                  <w:rFonts w:ascii="Arial" w:cs="Arial" w:eastAsia="Arial" w:hAnsi="Arial"/>
                  <w:sz w:val="18"/>
                  <w:szCs w:val="18"/>
                  <w:color w:val="0000EE"/>
                  <w:w w:val="89"/>
                </w:rPr>
                <w:t>Fourth Amendment to Series A Preferred Share Purchase Agreement, dated as of July 20, 2017, between the Registrant and Centillion Fund.</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0" w:type="dxa"/>
            <w:vAlign w:val="bottom"/>
            <w:gridSpan w:val="5"/>
          </w:tcPr>
          <w:p>
            <w:pPr>
              <w:jc w:val="center"/>
              <w:ind w:left="132"/>
              <w:spacing w:after="0"/>
              <w:rPr>
                <w:rFonts w:ascii="Arial" w:cs="Arial" w:eastAsia="Arial" w:hAnsi="Arial"/>
                <w:sz w:val="18"/>
                <w:szCs w:val="18"/>
                <w:color w:val="0000EE"/>
                <w:w w:val="98"/>
              </w:rPr>
            </w:pPr>
            <w:hyperlink r:id="rId532">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10**</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w w:val="95"/>
              </w:rPr>
            </w:pPr>
            <w:hyperlink r:id="rId532">
              <w:r>
                <w:rPr>
                  <w:rFonts w:ascii="Arial" w:cs="Arial" w:eastAsia="Arial" w:hAnsi="Arial"/>
                  <w:sz w:val="18"/>
                  <w:szCs w:val="18"/>
                  <w:color w:val="0000EE"/>
                  <w:w w:val="95"/>
                </w:rPr>
                <w:t>Series B Preferred Share Purchase Agreement, dated as of October 4, 2017, October 25, 2017 and December 18, 2017, between the</w:t>
              </w:r>
            </w:hyperlink>
          </w:p>
        </w:tc>
      </w:tr>
      <w:tr>
        <w:trPr>
          <w:trHeight w:val="196"/>
        </w:trPr>
        <w:tc>
          <w:tcPr>
            <w:tcW w:w="3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Registrant and the other parties thereto.</w:t>
              </w:r>
            </w:hyperlink>
          </w:p>
        </w:tc>
        <w:tc>
          <w:tcPr>
            <w:tcW w:w="680" w:type="dxa"/>
            <w:vAlign w:val="bottom"/>
            <w:gridSpan w:val="7"/>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37"/>
        </w:trPr>
        <w:tc>
          <w:tcPr>
            <w:tcW w:w="800" w:type="dxa"/>
            <w:vAlign w:val="bottom"/>
            <w:gridSpan w:val="5"/>
          </w:tcPr>
          <w:p>
            <w:pPr>
              <w:jc w:val="center"/>
              <w:ind w:left="132"/>
              <w:spacing w:after="0"/>
              <w:rPr>
                <w:rFonts w:ascii="Arial" w:cs="Arial" w:eastAsia="Arial" w:hAnsi="Arial"/>
                <w:sz w:val="18"/>
                <w:szCs w:val="18"/>
                <w:color w:val="0000EE"/>
                <w:w w:val="98"/>
              </w:rPr>
            </w:pPr>
            <w:hyperlink r:id="rId533">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11**</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w w:val="93"/>
              </w:rPr>
            </w:pPr>
            <w:hyperlink r:id="rId533">
              <w:r>
                <w:rPr>
                  <w:rFonts w:ascii="Arial" w:cs="Arial" w:eastAsia="Arial" w:hAnsi="Arial"/>
                  <w:sz w:val="18"/>
                  <w:szCs w:val="18"/>
                  <w:color w:val="0000EE"/>
                  <w:w w:val="93"/>
                </w:rPr>
                <w:t>Amended and Restated Investors’ Rights Agreement, dated as of October 4, 2017, between the Registrant and the other parties thereto.</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37"/>
        </w:trPr>
        <w:tc>
          <w:tcPr>
            <w:tcW w:w="800" w:type="dxa"/>
            <w:vAlign w:val="bottom"/>
            <w:gridSpan w:val="5"/>
          </w:tcPr>
          <w:p>
            <w:pPr>
              <w:jc w:val="center"/>
              <w:ind w:left="132"/>
              <w:spacing w:after="0"/>
              <w:rPr>
                <w:rFonts w:ascii="Arial" w:cs="Arial" w:eastAsia="Arial" w:hAnsi="Arial"/>
                <w:sz w:val="18"/>
                <w:szCs w:val="18"/>
                <w:color w:val="0000EE"/>
                <w:w w:val="98"/>
              </w:rPr>
            </w:pPr>
            <w:hyperlink r:id="rId534">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12**</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rPr>
            </w:pPr>
            <w:hyperlink r:id="rId534">
              <w:r>
                <w:rPr>
                  <w:rFonts w:ascii="Arial" w:cs="Arial" w:eastAsia="Arial" w:hAnsi="Arial"/>
                  <w:sz w:val="18"/>
                  <w:szCs w:val="18"/>
                  <w:color w:val="0000EE"/>
                </w:rPr>
                <w:t>Form of indemnification agreement between the Registrant and its directors and executive officers.</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37"/>
        </w:trPr>
        <w:tc>
          <w:tcPr>
            <w:tcW w:w="800" w:type="dxa"/>
            <w:vAlign w:val="bottom"/>
            <w:gridSpan w:val="5"/>
          </w:tcPr>
          <w:p>
            <w:pPr>
              <w:jc w:val="center"/>
              <w:ind w:left="132"/>
              <w:spacing w:after="0"/>
              <w:rPr>
                <w:rFonts w:ascii="Arial" w:cs="Arial" w:eastAsia="Arial" w:hAnsi="Arial"/>
                <w:sz w:val="18"/>
                <w:szCs w:val="18"/>
                <w:color w:val="0000EE"/>
                <w:w w:val="98"/>
              </w:rPr>
            </w:pPr>
            <w:hyperlink r:id="rId535">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13**</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rPr>
            </w:pPr>
            <w:hyperlink r:id="rId535">
              <w:r>
                <w:rPr>
                  <w:rFonts w:ascii="Arial" w:cs="Arial" w:eastAsia="Arial" w:hAnsi="Arial"/>
                  <w:sz w:val="18"/>
                  <w:szCs w:val="18"/>
                  <w:color w:val="0000EE"/>
                </w:rPr>
                <w:t>Form of Convertible Financing Agreement, dated as of June 14, 2016, among the Registrant and the lenders thereto.</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50"/>
        </w:trPr>
        <w:tc>
          <w:tcPr>
            <w:tcW w:w="800" w:type="dxa"/>
            <w:vAlign w:val="bottom"/>
            <w:gridSpan w:val="5"/>
          </w:tcPr>
          <w:p>
            <w:pPr>
              <w:jc w:val="center"/>
              <w:ind w:left="132"/>
              <w:spacing w:after="0"/>
              <w:rPr>
                <w:rFonts w:ascii="Arial" w:cs="Arial" w:eastAsia="Arial" w:hAnsi="Arial"/>
                <w:sz w:val="18"/>
                <w:szCs w:val="18"/>
                <w:color w:val="0000EE"/>
                <w:w w:val="98"/>
              </w:rPr>
            </w:pPr>
            <w:hyperlink r:id="rId536">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14**</w:t>
              </w:r>
            </w:hyperlink>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Arial" w:cs="Arial" w:eastAsia="Arial" w:hAnsi="Arial"/>
                <w:sz w:val="18"/>
                <w:szCs w:val="18"/>
                <w:color w:val="0000EE"/>
              </w:rPr>
            </w:pPr>
            <w:hyperlink r:id="rId536">
              <w:r>
                <w:rPr>
                  <w:rFonts w:ascii="Arial" w:cs="Arial" w:eastAsia="Arial" w:hAnsi="Arial"/>
                  <w:sz w:val="18"/>
                  <w:szCs w:val="18"/>
                  <w:color w:val="0000EE"/>
                </w:rPr>
                <w:t>Service Agreement, dated April 6, 2017, between Roger Garceau and the Company.</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50"/>
        </w:trPr>
        <w:tc>
          <w:tcPr>
            <w:tcW w:w="800" w:type="dxa"/>
            <w:vAlign w:val="bottom"/>
            <w:gridSpan w:val="5"/>
          </w:tcPr>
          <w:p>
            <w:pPr>
              <w:jc w:val="center"/>
              <w:ind w:left="132"/>
              <w:spacing w:after="0"/>
              <w:rPr>
                <w:rFonts w:ascii="Arial" w:cs="Arial" w:eastAsia="Arial" w:hAnsi="Arial"/>
                <w:sz w:val="18"/>
                <w:szCs w:val="18"/>
                <w:color w:val="0000EE"/>
                <w:w w:val="98"/>
              </w:rPr>
            </w:pPr>
            <w:hyperlink r:id="rId537">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15**</w:t>
              </w:r>
            </w:hyperlink>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7"/>
          </w:tcPr>
          <w:p>
            <w:pPr>
              <w:spacing w:after="0"/>
              <w:rPr>
                <w:rFonts w:ascii="Arial" w:cs="Arial" w:eastAsia="Arial" w:hAnsi="Arial"/>
                <w:sz w:val="18"/>
                <w:szCs w:val="18"/>
                <w:color w:val="0000EE"/>
              </w:rPr>
            </w:pPr>
            <w:hyperlink r:id="rId537">
              <w:r>
                <w:rPr>
                  <w:rFonts w:ascii="Arial" w:cs="Arial" w:eastAsia="Arial" w:hAnsi="Arial"/>
                  <w:sz w:val="18"/>
                  <w:szCs w:val="18"/>
                  <w:color w:val="0000EE"/>
                </w:rPr>
                <w:t>Service Agreement, dated April 6, 2017, between Luke Beshar and the Company.</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r>
      <w:tr>
        <w:trPr>
          <w:trHeight w:val="237"/>
        </w:trPr>
        <w:tc>
          <w:tcPr>
            <w:tcW w:w="800" w:type="dxa"/>
            <w:vAlign w:val="bottom"/>
            <w:gridSpan w:val="5"/>
          </w:tcPr>
          <w:p>
            <w:pPr>
              <w:jc w:val="center"/>
              <w:ind w:left="132"/>
              <w:spacing w:after="0"/>
              <w:rPr>
                <w:rFonts w:ascii="Arial" w:cs="Arial" w:eastAsia="Arial" w:hAnsi="Arial"/>
                <w:sz w:val="18"/>
                <w:szCs w:val="18"/>
                <w:color w:val="0000EE"/>
                <w:w w:val="98"/>
              </w:rPr>
            </w:pPr>
            <w:hyperlink r:id="rId538">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16**</w:t>
              </w:r>
            </w:hyperlink>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7"/>
          </w:tcPr>
          <w:p>
            <w:pPr>
              <w:spacing w:after="0"/>
              <w:rPr>
                <w:rFonts w:ascii="Arial" w:cs="Arial" w:eastAsia="Arial" w:hAnsi="Arial"/>
                <w:sz w:val="18"/>
                <w:szCs w:val="18"/>
                <w:color w:val="0000EE"/>
              </w:rPr>
            </w:pPr>
            <w:hyperlink r:id="rId538">
              <w:r>
                <w:rPr>
                  <w:rFonts w:ascii="Arial" w:cs="Arial" w:eastAsia="Arial" w:hAnsi="Arial"/>
                  <w:sz w:val="18"/>
                  <w:szCs w:val="18"/>
                  <w:color w:val="0000EE"/>
                </w:rPr>
                <w:t>2018 Equity Incentive Plan and forms of agreements thereunder (to be in effective upon the closing of this offering).</w:t>
              </w:r>
            </w:hyperlink>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1" w:name="page222"/>
    <w:bookmarkEnd w:id="221"/>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0"/>
        </w:trPr>
        <w:tc>
          <w:tcPr>
            <w:tcW w:w="1040" w:type="dxa"/>
            <w:vAlign w:val="bottom"/>
            <w:gridSpan w:val="5"/>
          </w:tcPr>
          <w:p>
            <w:pPr>
              <w:jc w:val="center"/>
              <w:ind w:right="200"/>
              <w:spacing w:after="0"/>
              <w:rPr>
                <w:rFonts w:ascii="Arial" w:cs="Arial" w:eastAsia="Arial" w:hAnsi="Arial"/>
                <w:sz w:val="18"/>
                <w:szCs w:val="18"/>
                <w:color w:val="0000EE"/>
              </w:rPr>
            </w:pPr>
            <w:hyperlink r:id="rId540">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220" w:type="dxa"/>
            <w:vAlign w:val="bottom"/>
          </w:tcPr>
          <w:p>
            <w:pPr>
              <w:spacing w:after="0"/>
              <w:rPr>
                <w:sz w:val="18"/>
                <w:szCs w:val="18"/>
                <w:color w:val="auto"/>
              </w:rPr>
            </w:pPr>
          </w:p>
        </w:tc>
        <w:tc>
          <w:tcPr>
            <w:tcW w:w="10140" w:type="dxa"/>
            <w:vAlign w:val="bottom"/>
            <w:gridSpan w:val="10"/>
          </w:tcPr>
          <w:p>
            <w:pPr>
              <w:spacing w:after="0"/>
              <w:rPr>
                <w:rFonts w:ascii="Arial" w:cs="Arial" w:eastAsia="Arial" w:hAnsi="Arial"/>
                <w:sz w:val="18"/>
                <w:szCs w:val="18"/>
                <w:color w:val="0000EE"/>
                <w:w w:val="92"/>
              </w:rPr>
            </w:pPr>
            <w:hyperlink r:id="rId540">
              <w:r>
                <w:rPr>
                  <w:rFonts w:ascii="Arial" w:cs="Arial" w:eastAsia="Arial" w:hAnsi="Arial"/>
                  <w:sz w:val="18"/>
                  <w:szCs w:val="18"/>
                  <w:color w:val="0000EE"/>
                  <w:w w:val="92"/>
                </w:rPr>
                <w:t>Amendment No. 1 to the Series B Preferred Share Purchase Agreement, dated December 18, 2017, between the Registrant and the other</w:t>
              </w:r>
            </w:hyperlink>
          </w:p>
        </w:tc>
      </w:tr>
      <w:tr>
        <w:trPr>
          <w:trHeight w:val="196"/>
        </w:trPr>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40">
              <w:r>
                <w:rPr>
                  <w:rFonts w:ascii="Arial" w:cs="Arial" w:eastAsia="Arial" w:hAnsi="Arial"/>
                  <w:sz w:val="18"/>
                  <w:szCs w:val="18"/>
                  <w:color w:val="0000EE"/>
                  <w:w w:val="88"/>
                </w:rPr>
                <w:t>parties thereto.</w:t>
              </w:r>
            </w:hyperlink>
          </w:p>
        </w:tc>
        <w:tc>
          <w:tcPr>
            <w:tcW w:w="8740" w:type="dxa"/>
            <w:vAlign w:val="bottom"/>
            <w:tcBorders>
              <w:top w:val="single" w:sz="8" w:color="0000EE"/>
            </w:tcBorders>
            <w:gridSpan w:val="7"/>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64"/>
        </w:trPr>
        <w:tc>
          <w:tcPr>
            <w:tcW w:w="780" w:type="dxa"/>
            <w:vAlign w:val="bottom"/>
            <w:gridSpan w:val="3"/>
          </w:tcPr>
          <w:p>
            <w:pPr>
              <w:ind w:left="280"/>
              <w:spacing w:after="0"/>
              <w:rPr>
                <w:sz w:val="20"/>
                <w:szCs w:val="20"/>
                <w:color w:val="auto"/>
              </w:rPr>
            </w:pPr>
            <w:r>
              <w:rPr>
                <w:rFonts w:ascii="Arial" w:cs="Arial" w:eastAsia="Arial" w:hAnsi="Arial"/>
                <w:sz w:val="18"/>
                <w:szCs w:val="18"/>
                <w:color w:val="0000EE"/>
              </w:rPr>
              <w:t>21.1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EE"/>
              </w:rPr>
              <w:t>List of subsidiaries.</w:t>
            </w:r>
          </w:p>
        </w:tc>
      </w:tr>
      <w:tr>
        <w:trPr>
          <w:trHeight w:val="20"/>
        </w:trPr>
        <w:tc>
          <w:tcPr>
            <w:tcW w:w="3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80" w:type="dxa"/>
            <w:vAlign w:val="bottom"/>
            <w:gridSpan w:val="3"/>
          </w:tcPr>
          <w:p>
            <w:pPr>
              <w:ind w:left="280"/>
              <w:spacing w:after="0"/>
              <w:rPr>
                <w:sz w:val="20"/>
                <w:szCs w:val="20"/>
                <w:color w:val="auto"/>
              </w:rPr>
            </w:pPr>
            <w:r>
              <w:rPr>
                <w:rFonts w:ascii="Arial" w:cs="Arial" w:eastAsia="Arial" w:hAnsi="Arial"/>
                <w:sz w:val="18"/>
                <w:szCs w:val="18"/>
                <w:color w:val="0000EE"/>
              </w:rPr>
              <w:t>23.1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EE"/>
                <w:w w:val="93"/>
              </w:rPr>
              <w:t>Consent of Kesselman &amp; Kesselman, Certified Public Accountants, a member firm of PricewaterhouseCoopers International Limited, an</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c>
          <w:tcPr>
            <w:tcW w:w="28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64"/>
        </w:trPr>
        <w:tc>
          <w:tcPr>
            <w:tcW w:w="320" w:type="dxa"/>
            <w:vAlign w:val="bottom"/>
            <w:gridSpan w:val="2"/>
          </w:tcPr>
          <w:p>
            <w:pPr>
              <w:spacing w:after="0"/>
              <w:rPr>
                <w:sz w:val="22"/>
                <w:szCs w:val="22"/>
                <w:color w:val="auto"/>
              </w:rPr>
            </w:pPr>
          </w:p>
        </w:tc>
        <w:tc>
          <w:tcPr>
            <w:tcW w:w="460" w:type="dxa"/>
            <w:vAlign w:val="bottom"/>
          </w:tcPr>
          <w:p>
            <w:pPr>
              <w:spacing w:after="0"/>
              <w:rPr>
                <w:rFonts w:ascii="Arial" w:cs="Arial" w:eastAsia="Arial" w:hAnsi="Arial"/>
                <w:sz w:val="18"/>
                <w:szCs w:val="18"/>
                <w:color w:val="0000EE"/>
                <w:w w:val="89"/>
              </w:rPr>
            </w:pPr>
            <w:hyperlink r:id="rId521">
              <w:r>
                <w:rPr>
                  <w:rFonts w:ascii="Arial" w:cs="Arial" w:eastAsia="Arial" w:hAnsi="Arial"/>
                  <w:sz w:val="18"/>
                  <w:szCs w:val="18"/>
                  <w:color w:val="0000EE"/>
                  <w:w w:val="89"/>
                </w:rPr>
                <w:t>23.</w:t>
              </w:r>
              <w:r>
                <w:rPr>
                  <w:rFonts w:ascii="Arial" w:cs="Arial" w:eastAsia="Arial" w:hAnsi="Arial"/>
                  <w:sz w:val="18"/>
                  <w:szCs w:val="18"/>
                  <w:u w:val="single" w:color="auto"/>
                  <w:color w:val="0000EE"/>
                  <w:w w:val="89"/>
                </w:rPr>
                <w:t>2**</w:t>
              </w:r>
            </w:hyperlink>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10"/>
          </w:tcPr>
          <w:p>
            <w:pPr>
              <w:spacing w:after="0"/>
              <w:rPr>
                <w:rFonts w:ascii="Arial" w:cs="Arial" w:eastAsia="Arial" w:hAnsi="Arial"/>
                <w:sz w:val="18"/>
                <w:szCs w:val="18"/>
                <w:color w:val="0000EE"/>
              </w:rPr>
            </w:pPr>
            <w:hyperlink r:id="rId521">
              <w:r>
                <w:rPr>
                  <w:rFonts w:ascii="Arial" w:cs="Arial" w:eastAsia="Arial" w:hAnsi="Arial"/>
                  <w:sz w:val="18"/>
                  <w:szCs w:val="18"/>
                  <w:color w:val="0000EE"/>
                </w:rPr>
                <w:t>Consent of Herzog Fox &amp; Neeman (included in Exhibits 5.1).</w:t>
              </w:r>
            </w:hyperlink>
          </w:p>
        </w:tc>
      </w:tr>
      <w:tr>
        <w:trPr>
          <w:trHeight w:val="20"/>
        </w:trPr>
        <w:tc>
          <w:tcPr>
            <w:tcW w:w="32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320" w:type="dxa"/>
            <w:vAlign w:val="bottom"/>
            <w:gridSpan w:val="2"/>
          </w:tcPr>
          <w:p>
            <w:pPr>
              <w:spacing w:after="0"/>
              <w:rPr>
                <w:sz w:val="21"/>
                <w:szCs w:val="21"/>
                <w:color w:val="auto"/>
              </w:rPr>
            </w:pPr>
          </w:p>
        </w:tc>
        <w:tc>
          <w:tcPr>
            <w:tcW w:w="460" w:type="dxa"/>
            <w:vAlign w:val="bottom"/>
          </w:tcPr>
          <w:p>
            <w:pPr>
              <w:spacing w:after="0"/>
              <w:rPr>
                <w:rFonts w:ascii="Arial" w:cs="Arial" w:eastAsia="Arial" w:hAnsi="Arial"/>
                <w:sz w:val="18"/>
                <w:szCs w:val="18"/>
                <w:color w:val="0000EE"/>
                <w:w w:val="89"/>
              </w:rPr>
            </w:pPr>
            <w:hyperlink r:id="rId522">
              <w:r>
                <w:rPr>
                  <w:rFonts w:ascii="Arial" w:cs="Arial" w:eastAsia="Arial" w:hAnsi="Arial"/>
                  <w:sz w:val="18"/>
                  <w:szCs w:val="18"/>
                  <w:color w:val="0000EE"/>
                  <w:w w:val="89"/>
                </w:rPr>
                <w:t>23.</w:t>
              </w:r>
              <w:r>
                <w:rPr>
                  <w:rFonts w:ascii="Arial" w:cs="Arial" w:eastAsia="Arial" w:hAnsi="Arial"/>
                  <w:sz w:val="18"/>
                  <w:szCs w:val="18"/>
                  <w:u w:val="single" w:color="auto"/>
                  <w:color w:val="0000EE"/>
                  <w:w w:val="89"/>
                </w:rPr>
                <w:t>3**</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r:id="rId522">
              <w:r>
                <w:rPr>
                  <w:rFonts w:ascii="Arial" w:cs="Arial" w:eastAsia="Arial" w:hAnsi="Arial"/>
                  <w:sz w:val="18"/>
                  <w:szCs w:val="18"/>
                  <w:color w:val="0000EE"/>
                </w:rPr>
                <w:t>Consent of Davis Polk &amp; Wardwell LLP (included in Exhibit 8.1)</w:t>
              </w:r>
            </w:hyperlink>
          </w:p>
        </w:tc>
      </w:tr>
      <w:tr>
        <w:trPr>
          <w:trHeight w:val="20"/>
        </w:trPr>
        <w:tc>
          <w:tcPr>
            <w:tcW w:w="32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80" w:type="dxa"/>
            <w:vAlign w:val="bottom"/>
            <w:gridSpan w:val="3"/>
          </w:tcPr>
          <w:p>
            <w:pPr>
              <w:ind w:left="280"/>
              <w:spacing w:after="0"/>
              <w:rPr>
                <w:rFonts w:ascii="Arial" w:cs="Arial" w:eastAsia="Arial" w:hAnsi="Arial"/>
                <w:sz w:val="18"/>
                <w:szCs w:val="18"/>
                <w:color w:val="0000EE"/>
              </w:rPr>
            </w:pPr>
            <w:hyperlink w:anchor="page226">
              <w:r>
                <w:rPr>
                  <w:rFonts w:ascii="Arial" w:cs="Arial" w:eastAsia="Arial" w:hAnsi="Arial"/>
                  <w:sz w:val="18"/>
                  <w:szCs w:val="18"/>
                  <w:color w:val="0000EE"/>
                </w:rPr>
                <w:t>24.1</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Powers of Attorney (included on signature page).</w:t>
              </w:r>
            </w:hyperlink>
          </w:p>
        </w:tc>
      </w:tr>
      <w:tr>
        <w:trPr>
          <w:trHeight w:val="20"/>
        </w:trPr>
        <w:tc>
          <w:tcPr>
            <w:tcW w:w="3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320" w:type="dxa"/>
            <w:vAlign w:val="bottom"/>
            <w:gridSpan w:val="2"/>
          </w:tcPr>
          <w:p>
            <w:pPr>
              <w:spacing w:after="0"/>
              <w:rPr>
                <w:sz w:val="21"/>
                <w:szCs w:val="21"/>
                <w:color w:val="auto"/>
              </w:rPr>
            </w:pPr>
          </w:p>
        </w:tc>
        <w:tc>
          <w:tcPr>
            <w:tcW w:w="460" w:type="dxa"/>
            <w:vAlign w:val="bottom"/>
          </w:tcPr>
          <w:p>
            <w:pPr>
              <w:spacing w:after="0"/>
              <w:rPr>
                <w:rFonts w:ascii="Arial" w:cs="Arial" w:eastAsia="Arial" w:hAnsi="Arial"/>
                <w:sz w:val="18"/>
                <w:szCs w:val="18"/>
                <w:color w:val="0000EE"/>
                <w:w w:val="89"/>
              </w:rPr>
            </w:pPr>
            <w:hyperlink r:id="rId541">
              <w:r>
                <w:rPr>
                  <w:rFonts w:ascii="Arial" w:cs="Arial" w:eastAsia="Arial" w:hAnsi="Arial"/>
                  <w:sz w:val="18"/>
                  <w:szCs w:val="18"/>
                  <w:color w:val="0000EE"/>
                  <w:w w:val="89"/>
                </w:rPr>
                <w:t>99.</w:t>
              </w:r>
              <w:r>
                <w:rPr>
                  <w:rFonts w:ascii="Arial" w:cs="Arial" w:eastAsia="Arial" w:hAnsi="Arial"/>
                  <w:sz w:val="18"/>
                  <w:szCs w:val="18"/>
                  <w:u w:val="single" w:color="auto"/>
                  <w:color w:val="0000EE"/>
                  <w:w w:val="89"/>
                </w:rPr>
                <w:t>1**</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r:id="rId541">
              <w:r>
                <w:rPr>
                  <w:rFonts w:ascii="Arial" w:cs="Arial" w:eastAsia="Arial" w:hAnsi="Arial"/>
                  <w:sz w:val="18"/>
                  <w:szCs w:val="18"/>
                  <w:color w:val="0000EE"/>
                </w:rPr>
                <w:t>Registrant’s Waiver Request and Representation under Item 8.A.4 of Form F-1.</w:t>
              </w:r>
            </w:hyperlink>
          </w:p>
        </w:tc>
      </w:tr>
      <w:tr>
        <w:trPr>
          <w:trHeight w:val="20"/>
        </w:trPr>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51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90"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Financial Statements and related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0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referenced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44" w:lineRule="exact"/>
        <w:rPr>
          <w:sz w:val="20"/>
          <w:szCs w:val="20"/>
          <w:color w:val="auto"/>
        </w:rPr>
      </w:pPr>
    </w:p>
    <w:p>
      <w:pPr>
        <w:ind w:left="540" w:hanging="35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720" w:hanging="352"/>
        <w:spacing w:after="0"/>
        <w:tabs>
          <w:tab w:leader="none" w:pos="7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ind w:left="720" w:right="640" w:hanging="352"/>
        <w:spacing w:after="0" w:line="272" w:lineRule="auto"/>
        <w:tabs>
          <w:tab w:leader="none" w:pos="7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720" w:right="940" w:hanging="352"/>
        <w:spacing w:after="0" w:line="277" w:lineRule="auto"/>
        <w:tabs>
          <w:tab w:leader="none" w:pos="7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2" w:name="page223"/>
    <w:bookmarkEnd w:id="222"/>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352"/>
        <w:spacing w:after="0" w:line="264"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540" w:right="820" w:hanging="352"/>
        <w:spacing w:after="0" w:line="277"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540" w:right="60" w:hanging="352"/>
        <w:spacing w:after="0" w:line="289" w:lineRule="auto"/>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registrant is a foreign private issuer, to file a post-effective amendment to the registration statement to include any financial statements required by “Item 8.A. of Form 20-F (17 CFR 249.220f)”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(§239.33 of this chapter), a post-effective amendment need not be filed to include financial statements and information required by Section 10(a)(3) of the Act or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12" w:lineRule="exact"/>
        <w:rPr>
          <w:rFonts w:ascii="Arial" w:cs="Arial" w:eastAsia="Arial" w:hAnsi="Arial"/>
          <w:sz w:val="16"/>
          <w:szCs w:val="16"/>
          <w:color w:val="auto"/>
        </w:rPr>
      </w:pPr>
    </w:p>
    <w:p>
      <w:pPr>
        <w:ind w:left="540" w:right="160" w:hanging="352"/>
        <w:spacing w:after="0" w:line="277"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provide to the underwriter specified in the Underwriting Agreement, at the closing, certificates in such denominations and registered in such names as required by the underwriter to permit prompt delivery to each purchaser.</w:t>
      </w:r>
    </w:p>
    <w:p>
      <w:pPr>
        <w:spacing w:after="0" w:line="116" w:lineRule="exact"/>
        <w:rPr>
          <w:rFonts w:ascii="Arial" w:cs="Arial" w:eastAsia="Arial" w:hAnsi="Arial"/>
          <w:sz w:val="18"/>
          <w:szCs w:val="18"/>
          <w:color w:val="auto"/>
        </w:rPr>
      </w:pPr>
    </w:p>
    <w:p>
      <w:pPr>
        <w:ind w:left="540" w:right="200" w:hanging="352"/>
        <w:spacing w:after="0" w:line="259"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2" w:lineRule="exact"/>
        <w:rPr>
          <w:rFonts w:ascii="Arial" w:cs="Arial" w:eastAsia="Arial" w:hAnsi="Arial"/>
          <w:sz w:val="18"/>
          <w:szCs w:val="18"/>
          <w:color w:val="auto"/>
        </w:rPr>
      </w:pPr>
    </w:p>
    <w:p>
      <w:pPr>
        <w:ind w:left="540" w:right="60" w:hanging="352"/>
        <w:spacing w:after="0" w:line="264"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0"/>
          </w:cols>
          <w:pgMar w:left="240" w:top="132" w:right="619" w:bottom="1440" w:gutter="0" w:footer="0" w:header="0"/>
        </w:sectPr>
      </w:pPr>
    </w:p>
    <w:bookmarkStart w:id="223" w:name="page224"/>
    <w:bookmarkEnd w:id="223"/>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0" w:type="dxa"/>
            <w:vAlign w:val="bottom"/>
            <w:gridSpan w:val="22"/>
          </w:tcPr>
          <w:p>
            <w:pPr>
              <w:ind w:left="280"/>
              <w:spacing w:after="0"/>
              <w:rPr>
                <w:sz w:val="20"/>
                <w:szCs w:val="20"/>
                <w:color w:val="auto"/>
              </w:rPr>
            </w:pPr>
            <w:r>
              <w:rPr>
                <w:rFonts w:ascii="Arial" w:cs="Arial" w:eastAsia="Arial" w:hAnsi="Arial"/>
                <w:sz w:val="22"/>
                <w:szCs w:val="22"/>
                <w:b w:val="1"/>
                <w:bCs w:val="1"/>
                <w:color w:val="auto"/>
              </w:rPr>
              <w:t>EXHIBIT INDEX</w:t>
            </w:r>
          </w:p>
        </w:tc>
        <w:tc>
          <w:tcPr>
            <w:tcW w:w="20" w:type="dxa"/>
            <w:vAlign w:val="bottom"/>
          </w:tcPr>
          <w:p>
            <w:pPr>
              <w:spacing w:after="0"/>
              <w:rPr>
                <w:sz w:val="24"/>
                <w:szCs w:val="24"/>
                <w:color w:val="auto"/>
              </w:rPr>
            </w:pPr>
          </w:p>
        </w:tc>
      </w:tr>
      <w:tr>
        <w:trPr>
          <w:trHeight w:val="262"/>
        </w:trPr>
        <w:tc>
          <w:tcPr>
            <w:tcW w:w="10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60" w:type="dxa"/>
            <w:vAlign w:val="bottom"/>
            <w:gridSpan w:val="20"/>
          </w:tcPr>
          <w:p>
            <w:pPr>
              <w:ind w:left="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2"/>
                <w:szCs w:val="22"/>
                <w:color w:val="auto"/>
              </w:rPr>
            </w:pPr>
          </w:p>
        </w:tc>
      </w:tr>
      <w:tr>
        <w:trPr>
          <w:trHeight w:val="39"/>
        </w:trPr>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640" w:type="dxa"/>
            <w:vAlign w:val="bottom"/>
            <w:gridSpan w:val="5"/>
          </w:tcPr>
          <w:p>
            <w:pPr>
              <w:jc w:val="center"/>
              <w:ind w:left="332"/>
              <w:spacing w:after="0"/>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40" w:type="dxa"/>
            <w:vAlign w:val="bottom"/>
            <w:gridSpan w:val="28"/>
          </w:tcPr>
          <w:p>
            <w:pPr>
              <w:spacing w:after="0"/>
              <w:rPr>
                <w:sz w:val="20"/>
                <w:szCs w:val="20"/>
                <w:color w:val="auto"/>
              </w:rPr>
            </w:pPr>
            <w:r>
              <w:rPr>
                <w:rFonts w:ascii="Arial" w:cs="Arial" w:eastAsia="Arial" w:hAnsi="Arial"/>
                <w:sz w:val="18"/>
                <w:szCs w:val="18"/>
                <w:color w:val="0000EE"/>
              </w:rPr>
              <w:t>Form of Underwriting Agreement.</w:t>
            </w:r>
          </w:p>
        </w:tc>
        <w:tc>
          <w:tcPr>
            <w:tcW w:w="2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tcBorders>
              <w:bottom w:val="single" w:sz="8" w:color="0000EE"/>
            </w:tcBorders>
            <w:gridSpan w:val="12"/>
          </w:tcPr>
          <w:p>
            <w:pPr>
              <w:spacing w:after="0"/>
              <w:rPr>
                <w:rFonts w:ascii="Arial" w:cs="Arial" w:eastAsia="Arial" w:hAnsi="Arial"/>
                <w:sz w:val="18"/>
                <w:szCs w:val="18"/>
                <w:color w:val="0000EE"/>
                <w:w w:val="92"/>
              </w:rPr>
            </w:pPr>
            <w:hyperlink r:id="rId514">
              <w:r>
                <w:rPr>
                  <w:rFonts w:ascii="Arial" w:cs="Arial" w:eastAsia="Arial" w:hAnsi="Arial"/>
                  <w:sz w:val="18"/>
                  <w:szCs w:val="18"/>
                  <w:color w:val="0000EE"/>
                  <w:w w:val="92"/>
                </w:rPr>
                <w:t>Fifth Amended and Restated Articles of Association of the Registrant (currently in effect).</w:t>
              </w:r>
            </w:hyperlink>
          </w:p>
        </w:tc>
        <w:tc>
          <w:tcPr>
            <w:tcW w:w="3620" w:type="dxa"/>
            <w:vAlign w:val="bottom"/>
            <w:gridSpan w:val="16"/>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80" w:type="dxa"/>
            <w:vAlign w:val="bottom"/>
            <w:tcBorders>
              <w:bottom w:val="single" w:sz="8" w:color="0000EE"/>
            </w:tcBorders>
            <w:gridSpan w:val="20"/>
          </w:tcPr>
          <w:p>
            <w:pPr>
              <w:spacing w:after="0"/>
              <w:rPr>
                <w:rFonts w:ascii="Arial" w:cs="Arial" w:eastAsia="Arial" w:hAnsi="Arial"/>
                <w:sz w:val="18"/>
                <w:szCs w:val="18"/>
                <w:color w:val="0000EE"/>
                <w:w w:val="91"/>
              </w:rPr>
            </w:pPr>
            <w:hyperlink r:id="rId515">
              <w:r>
                <w:rPr>
                  <w:rFonts w:ascii="Arial" w:cs="Arial" w:eastAsia="Arial" w:hAnsi="Arial"/>
                  <w:sz w:val="18"/>
                  <w:szCs w:val="18"/>
                  <w:color w:val="0000EE"/>
                  <w:w w:val="91"/>
                </w:rPr>
                <w:t>Form of Sixth Amended and Restated Articles of Association of the Registrant (to be effective upon the closing of this offering).</w:t>
              </w:r>
            </w:hyperlink>
          </w:p>
        </w:tc>
        <w:tc>
          <w:tcPr>
            <w:tcW w:w="86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gridSpan w:val="3"/>
          </w:tcPr>
          <w:p>
            <w:pPr>
              <w:jc w:val="center"/>
              <w:spacing w:after="0"/>
              <w:rPr>
                <w:rFonts w:ascii="Arial" w:cs="Arial" w:eastAsia="Arial" w:hAnsi="Arial"/>
                <w:sz w:val="18"/>
                <w:szCs w:val="18"/>
                <w:color w:val="0000EE"/>
              </w:rPr>
            </w:pPr>
            <w:hyperlink r:id="rId51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Arial" w:cs="Arial" w:eastAsia="Arial" w:hAnsi="Arial"/>
                <w:sz w:val="18"/>
                <w:szCs w:val="18"/>
                <w:color w:val="0000EE"/>
              </w:rPr>
            </w:pPr>
            <w:hyperlink r:id="rId516">
              <w:r>
                <w:rPr>
                  <w:rFonts w:ascii="Arial" w:cs="Arial" w:eastAsia="Arial" w:hAnsi="Arial"/>
                  <w:sz w:val="18"/>
                  <w:szCs w:val="18"/>
                  <w:color w:val="0000EE"/>
                </w:rPr>
                <w:t>Specimen Form of Ordinary Share Certificate.</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gridSpan w:val="3"/>
          </w:tcPr>
          <w:p>
            <w:pPr>
              <w:jc w:val="center"/>
              <w:spacing w:after="0"/>
              <w:rPr>
                <w:rFonts w:ascii="Arial" w:cs="Arial" w:eastAsia="Arial" w:hAnsi="Arial"/>
                <w:sz w:val="18"/>
                <w:szCs w:val="18"/>
                <w:color w:val="0000EE"/>
              </w:rPr>
            </w:pPr>
            <w:hyperlink r:id="rId51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Arial" w:cs="Arial" w:eastAsia="Arial" w:hAnsi="Arial"/>
                <w:sz w:val="18"/>
                <w:szCs w:val="18"/>
                <w:color w:val="0000EE"/>
              </w:rPr>
            </w:pPr>
            <w:hyperlink r:id="rId517">
              <w:r>
                <w:rPr>
                  <w:rFonts w:ascii="Arial" w:cs="Arial" w:eastAsia="Arial" w:hAnsi="Arial"/>
                  <w:sz w:val="18"/>
                  <w:szCs w:val="18"/>
                  <w:color w:val="0000EE"/>
                </w:rPr>
                <w:t>Form of Warrant issued by the Registrant to Centillion Fund on each of January 29, 2014 and January 21, 2015.</w:t>
              </w:r>
            </w:hyperlink>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rPr>
            </w:pPr>
            <w:hyperlink r:id="rId51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518">
              <w:r>
                <w:rPr>
                  <w:rFonts w:ascii="Arial" w:cs="Arial" w:eastAsia="Arial" w:hAnsi="Arial"/>
                  <w:sz w:val="18"/>
                  <w:szCs w:val="18"/>
                  <w:color w:val="0000EE"/>
                  <w:w w:val="90"/>
                </w:rPr>
                <w:t>Form of additional Warrant issued by the Registrant to Centillion Fund on January 21, 2015.</w:t>
              </w:r>
            </w:hyperlink>
          </w:p>
        </w:tc>
        <w:tc>
          <w:tcPr>
            <w:tcW w:w="1380" w:type="dxa"/>
            <w:vAlign w:val="bottom"/>
            <w:tcBorders>
              <w:top w:val="single" w:sz="8" w:color="0000EE"/>
            </w:tcBorders>
            <w:gridSpan w:val="3"/>
          </w:tcPr>
          <w:p>
            <w:pPr>
              <w:spacing w:after="0"/>
              <w:rPr>
                <w:sz w:val="22"/>
                <w:szCs w:val="22"/>
                <w:color w:val="auto"/>
              </w:rPr>
            </w:pPr>
          </w:p>
        </w:tc>
        <w:tc>
          <w:tcPr>
            <w:tcW w:w="2100" w:type="dxa"/>
            <w:vAlign w:val="bottom"/>
            <w:gridSpan w:val="12"/>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19">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20" w:type="dxa"/>
            <w:vAlign w:val="bottom"/>
            <w:tcBorders>
              <w:bottom w:val="single" w:sz="8" w:color="0000EE"/>
            </w:tcBorders>
            <w:gridSpan w:val="9"/>
          </w:tcPr>
          <w:p>
            <w:pPr>
              <w:spacing w:after="0"/>
              <w:rPr>
                <w:rFonts w:ascii="Arial" w:cs="Arial" w:eastAsia="Arial" w:hAnsi="Arial"/>
                <w:sz w:val="18"/>
                <w:szCs w:val="18"/>
                <w:color w:val="0000EE"/>
                <w:w w:val="89"/>
              </w:rPr>
            </w:pPr>
            <w:hyperlink r:id="rId519">
              <w:r>
                <w:rPr>
                  <w:rFonts w:ascii="Arial" w:cs="Arial" w:eastAsia="Arial" w:hAnsi="Arial"/>
                  <w:sz w:val="18"/>
                  <w:szCs w:val="18"/>
                  <w:color w:val="0000EE"/>
                  <w:w w:val="89"/>
                </w:rPr>
                <w:t>Form of Warrant issued by the Registrant to the lenders on June 24, 2016.</w:t>
              </w:r>
            </w:hyperlink>
          </w:p>
        </w:tc>
        <w:tc>
          <w:tcPr>
            <w:tcW w:w="482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20" w:type="dxa"/>
            <w:vAlign w:val="bottom"/>
            <w:gridSpan w:val="3"/>
          </w:tcPr>
          <w:p>
            <w:pPr>
              <w:spacing w:after="0"/>
              <w:rPr>
                <w:sz w:val="21"/>
                <w:szCs w:val="21"/>
                <w:color w:val="auto"/>
              </w:rPr>
            </w:pPr>
          </w:p>
        </w:tc>
        <w:tc>
          <w:tcPr>
            <w:tcW w:w="420" w:type="dxa"/>
            <w:vAlign w:val="bottom"/>
            <w:tcBorders>
              <w:bottom w:val="single" w:sz="8" w:color="0000EE"/>
            </w:tcBorders>
            <w:gridSpan w:val="3"/>
          </w:tcPr>
          <w:p>
            <w:pPr>
              <w:jc w:val="center"/>
              <w:spacing w:after="0"/>
              <w:rPr>
                <w:rFonts w:ascii="Arial" w:cs="Arial" w:eastAsia="Arial" w:hAnsi="Arial"/>
                <w:sz w:val="18"/>
                <w:szCs w:val="18"/>
                <w:color w:val="0000EE"/>
              </w:rPr>
            </w:pPr>
            <w:hyperlink r:id="rId520">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80" w:type="dxa"/>
            <w:vAlign w:val="bottom"/>
            <w:tcBorders>
              <w:bottom w:val="single" w:sz="8" w:color="0000EE"/>
            </w:tcBorders>
            <w:gridSpan w:val="8"/>
          </w:tcPr>
          <w:p>
            <w:pPr>
              <w:spacing w:after="0"/>
              <w:rPr>
                <w:rFonts w:ascii="Arial" w:cs="Arial" w:eastAsia="Arial" w:hAnsi="Arial"/>
                <w:sz w:val="18"/>
                <w:szCs w:val="18"/>
                <w:color w:val="0000EE"/>
                <w:w w:val="90"/>
              </w:rPr>
            </w:pPr>
            <w:hyperlink r:id="rId520">
              <w:r>
                <w:rPr>
                  <w:rFonts w:ascii="Arial" w:cs="Arial" w:eastAsia="Arial" w:hAnsi="Arial"/>
                  <w:sz w:val="18"/>
                  <w:szCs w:val="18"/>
                  <w:color w:val="0000EE"/>
                  <w:w w:val="90"/>
                </w:rPr>
                <w:t>Form of Warrant issued by the Registrant to GP Nurmenkari Inc.</w:t>
              </w:r>
            </w:hyperlink>
          </w:p>
        </w:tc>
        <w:tc>
          <w:tcPr>
            <w:tcW w:w="5460" w:type="dxa"/>
            <w:vAlign w:val="bottom"/>
            <w:gridSpan w:val="2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20" w:type="dxa"/>
            <w:vAlign w:val="bottom"/>
            <w:gridSpan w:val="3"/>
          </w:tcPr>
          <w:p>
            <w:pPr>
              <w:spacing w:after="0"/>
              <w:rPr>
                <w:sz w:val="20"/>
                <w:szCs w:val="20"/>
                <w:color w:val="auto"/>
              </w:rPr>
            </w:pPr>
          </w:p>
        </w:tc>
        <w:tc>
          <w:tcPr>
            <w:tcW w:w="420" w:type="dxa"/>
            <w:vAlign w:val="bottom"/>
            <w:gridSpan w:val="3"/>
          </w:tcPr>
          <w:p>
            <w:pPr>
              <w:jc w:val="center"/>
              <w:spacing w:after="0"/>
              <w:rPr>
                <w:rFonts w:ascii="Arial" w:cs="Arial" w:eastAsia="Arial" w:hAnsi="Arial"/>
                <w:sz w:val="18"/>
                <w:szCs w:val="18"/>
                <w:color w:val="0000EE"/>
              </w:rPr>
            </w:pPr>
            <w:hyperlink r:id="rId521">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Arial" w:cs="Arial" w:eastAsia="Arial" w:hAnsi="Arial"/>
                <w:sz w:val="18"/>
                <w:szCs w:val="18"/>
                <w:color w:val="0000EE"/>
              </w:rPr>
            </w:pPr>
            <w:hyperlink r:id="rId521">
              <w:r>
                <w:rPr>
                  <w:rFonts w:ascii="Arial" w:cs="Arial" w:eastAsia="Arial" w:hAnsi="Arial"/>
                  <w:sz w:val="18"/>
                  <w:szCs w:val="18"/>
                  <w:color w:val="0000EE"/>
                </w:rPr>
                <w:t>Opinion of Herzog Fox &amp; Neeman, Israeli counsel to the Registrant, as to the validity of the ordinary shares.</w:t>
              </w:r>
            </w:hyperlink>
          </w:p>
        </w:tc>
        <w:tc>
          <w:tcPr>
            <w:tcW w:w="20" w:type="dxa"/>
            <w:vAlign w:val="bottom"/>
          </w:tcPr>
          <w:p>
            <w:pPr>
              <w:spacing w:after="0"/>
              <w:rPr>
                <w:sz w:val="20"/>
                <w:szCs w:val="20"/>
                <w:color w:val="auto"/>
              </w:rPr>
            </w:pPr>
          </w:p>
        </w:tc>
      </w:tr>
      <w:tr>
        <w:trPr>
          <w:trHeight w:val="264"/>
        </w:trPr>
        <w:tc>
          <w:tcPr>
            <w:tcW w:w="320" w:type="dxa"/>
            <w:vAlign w:val="bottom"/>
            <w:gridSpan w:val="3"/>
          </w:tcPr>
          <w:p>
            <w:pPr>
              <w:spacing w:after="0"/>
              <w:rPr>
                <w:sz w:val="22"/>
                <w:szCs w:val="22"/>
                <w:color w:val="auto"/>
              </w:rPr>
            </w:pPr>
          </w:p>
        </w:tc>
        <w:tc>
          <w:tcPr>
            <w:tcW w:w="420" w:type="dxa"/>
            <w:vAlign w:val="bottom"/>
            <w:tcBorders>
              <w:top w:val="single" w:sz="8" w:color="0000EE"/>
            </w:tcBorders>
            <w:gridSpan w:val="3"/>
          </w:tcPr>
          <w:p>
            <w:pPr>
              <w:jc w:val="center"/>
              <w:spacing w:after="0"/>
              <w:rPr>
                <w:rFonts w:ascii="Arial" w:cs="Arial" w:eastAsia="Arial" w:hAnsi="Arial"/>
                <w:sz w:val="18"/>
                <w:szCs w:val="18"/>
                <w:color w:val="0000EE"/>
              </w:rPr>
            </w:pPr>
            <w:hyperlink r:id="rId522">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20" w:type="dxa"/>
            <w:vAlign w:val="bottom"/>
            <w:tcBorders>
              <w:top w:val="single" w:sz="8" w:color="0000EE"/>
            </w:tcBorders>
            <w:gridSpan w:val="15"/>
          </w:tcPr>
          <w:p>
            <w:pPr>
              <w:spacing w:after="0"/>
              <w:rPr>
                <w:rFonts w:ascii="Arial" w:cs="Arial" w:eastAsia="Arial" w:hAnsi="Arial"/>
                <w:sz w:val="18"/>
                <w:szCs w:val="18"/>
                <w:color w:val="0000EE"/>
              </w:rPr>
            </w:pPr>
            <w:hyperlink r:id="rId522">
              <w:r>
                <w:rPr>
                  <w:rFonts w:ascii="Arial" w:cs="Arial" w:eastAsia="Arial" w:hAnsi="Arial"/>
                  <w:sz w:val="18"/>
                  <w:szCs w:val="18"/>
                  <w:color w:val="0000EE"/>
                </w:rPr>
                <w:t>Opinion of Davis Polk &amp; Wardwell LLP as to U.S. tax matters.</w:t>
              </w:r>
            </w:hyperlink>
          </w:p>
        </w:tc>
        <w:tc>
          <w:tcPr>
            <w:tcW w:w="2320" w:type="dxa"/>
            <w:vAlign w:val="bottom"/>
            <w:gridSpan w:val="13"/>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60" w:type="dxa"/>
            <w:vAlign w:val="bottom"/>
            <w:gridSpan w:val="2"/>
          </w:tcPr>
          <w:p>
            <w:pPr>
              <w:spacing w:after="0"/>
              <w:rPr>
                <w:sz w:val="20"/>
                <w:szCs w:val="20"/>
                <w:color w:val="auto"/>
              </w:rPr>
            </w:pPr>
          </w:p>
        </w:tc>
        <w:tc>
          <w:tcPr>
            <w:tcW w:w="540" w:type="dxa"/>
            <w:vAlign w:val="bottom"/>
            <w:gridSpan w:val="5"/>
          </w:tcPr>
          <w:p>
            <w:pPr>
              <w:jc w:val="center"/>
              <w:ind w:right="40"/>
              <w:spacing w:after="0"/>
              <w:rPr>
                <w:rFonts w:ascii="Arial" w:cs="Arial" w:eastAsia="Arial" w:hAnsi="Arial"/>
                <w:sz w:val="18"/>
                <w:szCs w:val="18"/>
                <w:color w:val="0000EE"/>
              </w:rPr>
            </w:pPr>
            <w:hyperlink r:id="rId52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Arial" w:cs="Arial" w:eastAsia="Arial" w:hAnsi="Arial"/>
                <w:sz w:val="18"/>
                <w:szCs w:val="18"/>
                <w:color w:val="0000EE"/>
              </w:rPr>
            </w:pPr>
            <w:hyperlink r:id="rId523">
              <w:r>
                <w:rPr>
                  <w:rFonts w:ascii="Arial" w:cs="Arial" w:eastAsia="Arial" w:hAnsi="Arial"/>
                  <w:sz w:val="18"/>
                  <w:szCs w:val="18"/>
                  <w:color w:val="0000EE"/>
                </w:rPr>
                <w:t>Patent Transfer Agreement, dated as of February 22, 2011, between the Registrant and Oramed Ltd.</w:t>
              </w:r>
            </w:hyperlink>
          </w:p>
        </w:tc>
        <w:tc>
          <w:tcPr>
            <w:tcW w:w="2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gridSpan w:val="5"/>
          </w:tcPr>
          <w:p>
            <w:pPr>
              <w:jc w:val="center"/>
              <w:ind w:right="40"/>
              <w:spacing w:after="0"/>
              <w:rPr>
                <w:rFonts w:ascii="Arial" w:cs="Arial" w:eastAsia="Arial" w:hAnsi="Arial"/>
                <w:sz w:val="18"/>
                <w:szCs w:val="18"/>
                <w:color w:val="0000EE"/>
              </w:rPr>
            </w:pPr>
            <w:hyperlink r:id="rId52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w w:val="91"/>
              </w:rPr>
            </w:pPr>
            <w:hyperlink r:id="rId524">
              <w:r>
                <w:rPr>
                  <w:rFonts w:ascii="Arial" w:cs="Arial" w:eastAsia="Arial" w:hAnsi="Arial"/>
                  <w:sz w:val="18"/>
                  <w:szCs w:val="18"/>
                  <w:color w:val="0000EE"/>
                  <w:w w:val="91"/>
                </w:rPr>
                <w:t>Convertible Financing Agreement, dated as of November 8, 2012, among the Registrant, D.N.A Biomedical Solutions, Ltd. and the lenders</w:t>
              </w:r>
            </w:hyperlink>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524">
              <w:r>
                <w:rPr>
                  <w:rFonts w:ascii="Arial" w:cs="Arial" w:eastAsia="Arial" w:hAnsi="Arial"/>
                  <w:sz w:val="18"/>
                  <w:szCs w:val="18"/>
                  <w:color w:val="0000EE"/>
                </w:rPr>
                <w:t>thereto.</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tcBorders>
              <w:bottom w:val="single" w:sz="8" w:color="0000EE"/>
            </w:tcBorders>
            <w:gridSpan w:val="5"/>
          </w:tcPr>
          <w:p>
            <w:pPr>
              <w:jc w:val="center"/>
              <w:ind w:right="40"/>
              <w:spacing w:after="0"/>
              <w:rPr>
                <w:rFonts w:ascii="Arial" w:cs="Arial" w:eastAsia="Arial" w:hAnsi="Arial"/>
                <w:sz w:val="18"/>
                <w:szCs w:val="18"/>
                <w:color w:val="0000EE"/>
              </w:rPr>
            </w:pPr>
            <w:hyperlink r:id="rId52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20" w:type="dxa"/>
            <w:vAlign w:val="bottom"/>
            <w:tcBorders>
              <w:bottom w:val="single" w:sz="8" w:color="0000EE"/>
            </w:tcBorders>
            <w:gridSpan w:val="27"/>
          </w:tcPr>
          <w:p>
            <w:pPr>
              <w:spacing w:after="0"/>
              <w:rPr>
                <w:rFonts w:ascii="Arial" w:cs="Arial" w:eastAsia="Arial" w:hAnsi="Arial"/>
                <w:sz w:val="18"/>
                <w:szCs w:val="18"/>
                <w:color w:val="0000EE"/>
                <w:w w:val="90"/>
              </w:rPr>
            </w:pPr>
            <w:hyperlink r:id="rId525">
              <w:r>
                <w:rPr>
                  <w:rFonts w:ascii="Arial" w:cs="Arial" w:eastAsia="Arial" w:hAnsi="Arial"/>
                  <w:sz w:val="18"/>
                  <w:szCs w:val="18"/>
                  <w:color w:val="0000EE"/>
                  <w:w w:val="90"/>
                </w:rPr>
                <w:t>Convertible Financing Agreement, dated as of December 31, 2012, among the Registrant, D.N.A Biomedical Solutions, Ltd. and the lenders</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28"/>
          </w:tcPr>
          <w:p>
            <w:pPr>
              <w:spacing w:after="0" w:line="196" w:lineRule="exact"/>
              <w:rPr>
                <w:rFonts w:ascii="Arial" w:cs="Arial" w:eastAsia="Arial" w:hAnsi="Arial"/>
                <w:sz w:val="18"/>
                <w:szCs w:val="18"/>
                <w:color w:val="0000EE"/>
              </w:rPr>
            </w:pPr>
            <w:hyperlink r:id="rId525">
              <w:r>
                <w:rPr>
                  <w:rFonts w:ascii="Arial" w:cs="Arial" w:eastAsia="Arial" w:hAnsi="Arial"/>
                  <w:sz w:val="18"/>
                  <w:szCs w:val="18"/>
                  <w:color w:val="0000EE"/>
                </w:rPr>
                <w:t>thereto.</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60" w:type="dxa"/>
            <w:vAlign w:val="bottom"/>
            <w:gridSpan w:val="2"/>
          </w:tcPr>
          <w:p>
            <w:pPr>
              <w:spacing w:after="0"/>
              <w:rPr>
                <w:sz w:val="22"/>
                <w:szCs w:val="22"/>
                <w:color w:val="auto"/>
              </w:rPr>
            </w:pPr>
          </w:p>
        </w:tc>
        <w:tc>
          <w:tcPr>
            <w:tcW w:w="540" w:type="dxa"/>
            <w:vAlign w:val="bottom"/>
            <w:gridSpan w:val="5"/>
          </w:tcPr>
          <w:p>
            <w:pPr>
              <w:jc w:val="center"/>
              <w:ind w:right="40"/>
              <w:spacing w:after="0"/>
              <w:rPr>
                <w:rFonts w:ascii="Arial" w:cs="Arial" w:eastAsia="Arial" w:hAnsi="Arial"/>
                <w:sz w:val="18"/>
                <w:szCs w:val="18"/>
                <w:color w:val="0000EE"/>
              </w:rPr>
            </w:pPr>
            <w:hyperlink r:id="rId52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Arial" w:cs="Arial" w:eastAsia="Arial" w:hAnsi="Arial"/>
                <w:sz w:val="18"/>
                <w:szCs w:val="18"/>
                <w:color w:val="0000EE"/>
              </w:rPr>
            </w:pPr>
            <w:hyperlink r:id="rId526">
              <w:r>
                <w:rPr>
                  <w:rFonts w:ascii="Arial" w:cs="Arial" w:eastAsia="Arial" w:hAnsi="Arial"/>
                  <w:sz w:val="18"/>
                  <w:szCs w:val="18"/>
                  <w:color w:val="0000EE"/>
                </w:rPr>
                <w:t>The Entera Bio Ltd. Share Incentive Plan.</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60" w:type="dxa"/>
            <w:vAlign w:val="bottom"/>
            <w:gridSpan w:val="2"/>
          </w:tcPr>
          <w:p>
            <w:pPr>
              <w:spacing w:after="0"/>
              <w:rPr>
                <w:sz w:val="20"/>
                <w:szCs w:val="20"/>
                <w:color w:val="auto"/>
              </w:rPr>
            </w:pPr>
          </w:p>
        </w:tc>
        <w:tc>
          <w:tcPr>
            <w:tcW w:w="540" w:type="dxa"/>
            <w:vAlign w:val="bottom"/>
            <w:tcBorders>
              <w:bottom w:val="single" w:sz="8" w:color="0000EE"/>
            </w:tcBorders>
            <w:gridSpan w:val="5"/>
          </w:tcPr>
          <w:p>
            <w:pPr>
              <w:jc w:val="center"/>
              <w:ind w:right="40"/>
              <w:spacing w:after="0"/>
              <w:rPr>
                <w:rFonts w:ascii="Arial" w:cs="Arial" w:eastAsia="Arial" w:hAnsi="Arial"/>
                <w:sz w:val="18"/>
                <w:szCs w:val="18"/>
                <w:color w:val="0000EE"/>
              </w:rPr>
            </w:pPr>
            <w:hyperlink r:id="rId52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Borders>
              <w:bottom w:val="single" w:sz="8" w:color="0000EE"/>
            </w:tcBorders>
            <w:gridSpan w:val="19"/>
          </w:tcPr>
          <w:p>
            <w:pPr>
              <w:spacing w:after="0"/>
              <w:rPr>
                <w:rFonts w:ascii="Arial" w:cs="Arial" w:eastAsia="Arial" w:hAnsi="Arial"/>
                <w:sz w:val="18"/>
                <w:szCs w:val="18"/>
                <w:color w:val="0000EE"/>
                <w:w w:val="89"/>
              </w:rPr>
            </w:pPr>
            <w:hyperlink r:id="rId527">
              <w:r>
                <w:rPr>
                  <w:rFonts w:ascii="Arial" w:cs="Arial" w:eastAsia="Arial" w:hAnsi="Arial"/>
                  <w:sz w:val="18"/>
                  <w:szCs w:val="18"/>
                  <w:color w:val="0000EE"/>
                  <w:w w:val="89"/>
                </w:rPr>
                <w:t>Series A Preferred Share Purchase Agreement, dated as of January 29, 2014, between the Registrant and Centillion Fund.</w:t>
              </w:r>
            </w:hyperlink>
          </w:p>
        </w:tc>
        <w:tc>
          <w:tcPr>
            <w:tcW w:w="1400" w:type="dxa"/>
            <w:vAlign w:val="bottom"/>
            <w:gridSpan w:val="9"/>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gridSpan w:val="5"/>
          </w:tcPr>
          <w:p>
            <w:pPr>
              <w:jc w:val="center"/>
              <w:ind w:right="40"/>
              <w:spacing w:after="0"/>
              <w:rPr>
                <w:rFonts w:ascii="Arial" w:cs="Arial" w:eastAsia="Arial" w:hAnsi="Arial"/>
                <w:sz w:val="18"/>
                <w:szCs w:val="18"/>
                <w:color w:val="0000EE"/>
              </w:rPr>
            </w:pPr>
            <w:hyperlink r:id="rId52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w w:val="90"/>
              </w:rPr>
            </w:pPr>
            <w:hyperlink r:id="rId528">
              <w:r>
                <w:rPr>
                  <w:rFonts w:ascii="Arial" w:cs="Arial" w:eastAsia="Arial" w:hAnsi="Arial"/>
                  <w:sz w:val="18"/>
                  <w:szCs w:val="18"/>
                  <w:color w:val="0000EE"/>
                  <w:w w:val="90"/>
                </w:rPr>
                <w:t>First Amendment to Series A Preferred Share Purchase Agreement, dated as of June 18, 2014, between the Registrant and Centillion Fund.</w:t>
              </w:r>
            </w:hyperlink>
          </w:p>
        </w:tc>
        <w:tc>
          <w:tcPr>
            <w:tcW w:w="20" w:type="dxa"/>
            <w:vAlign w:val="bottom"/>
          </w:tcPr>
          <w:p>
            <w:pPr>
              <w:spacing w:after="0"/>
              <w:rPr>
                <w:sz w:val="21"/>
                <w:szCs w:val="21"/>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tcBorders>
              <w:top w:val="single" w:sz="8" w:color="0000EE"/>
              <w:bottom w:val="single" w:sz="8" w:color="0000EE"/>
            </w:tcBorders>
            <w:gridSpan w:val="5"/>
          </w:tcPr>
          <w:p>
            <w:pPr>
              <w:jc w:val="center"/>
              <w:ind w:right="40"/>
              <w:spacing w:after="0"/>
              <w:rPr>
                <w:rFonts w:ascii="Arial" w:cs="Arial" w:eastAsia="Arial" w:hAnsi="Arial"/>
                <w:sz w:val="18"/>
                <w:szCs w:val="18"/>
                <w:color w:val="0000EE"/>
              </w:rPr>
            </w:pPr>
            <w:hyperlink r:id="rId52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9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9"/>
              </w:rPr>
            </w:pPr>
            <w:hyperlink r:id="rId529">
              <w:r>
                <w:rPr>
                  <w:rFonts w:ascii="Arial" w:cs="Arial" w:eastAsia="Arial" w:hAnsi="Arial"/>
                  <w:sz w:val="18"/>
                  <w:szCs w:val="18"/>
                  <w:color w:val="0000EE"/>
                  <w:w w:val="89"/>
                </w:rPr>
                <w:t>Second Amendment to Series A Preferred Share Purchase Agreement, dated as of January 21, 2015, between the Registrant and Centillion</w:t>
              </w:r>
            </w:hyperlink>
          </w:p>
        </w:tc>
        <w:tc>
          <w:tcPr>
            <w:tcW w:w="20" w:type="dxa"/>
            <w:vAlign w:val="bottom"/>
            <w:tcBorders>
              <w:top w:val="single" w:sz="8" w:color="0000EE"/>
            </w:tcBorders>
          </w:tcPr>
          <w:p>
            <w:pPr>
              <w:spacing w:after="0"/>
              <w:rPr>
                <w:sz w:val="21"/>
                <w:szCs w:val="21"/>
                <w:color w:val="auto"/>
              </w:rPr>
            </w:pPr>
          </w:p>
        </w:tc>
        <w:tc>
          <w:tcPr>
            <w:tcW w:w="14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29">
              <w:r>
                <w:rPr>
                  <w:rFonts w:ascii="Arial" w:cs="Arial" w:eastAsia="Arial" w:hAnsi="Arial"/>
                  <w:sz w:val="18"/>
                  <w:szCs w:val="18"/>
                  <w:color w:val="0000EE"/>
                  <w:w w:val="86"/>
                </w:rPr>
                <w:t>Fund.</w:t>
              </w:r>
            </w:hyperlink>
          </w:p>
        </w:tc>
        <w:tc>
          <w:tcPr>
            <w:tcW w:w="97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tcBorders>
              <w:bottom w:val="single" w:sz="8" w:color="0000EE"/>
            </w:tcBorders>
            <w:gridSpan w:val="5"/>
          </w:tcPr>
          <w:p>
            <w:pPr>
              <w:jc w:val="center"/>
              <w:ind w:right="40"/>
              <w:spacing w:after="0"/>
              <w:rPr>
                <w:rFonts w:ascii="Arial" w:cs="Arial" w:eastAsia="Arial" w:hAnsi="Arial"/>
                <w:sz w:val="18"/>
                <w:szCs w:val="18"/>
                <w:color w:val="0000EE"/>
              </w:rPr>
            </w:pPr>
            <w:hyperlink r:id="rId53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89"/>
              </w:rPr>
            </w:pPr>
            <w:hyperlink r:id="rId530">
              <w:r>
                <w:rPr>
                  <w:rFonts w:ascii="Arial" w:cs="Arial" w:eastAsia="Arial" w:hAnsi="Arial"/>
                  <w:sz w:val="18"/>
                  <w:szCs w:val="18"/>
                  <w:color w:val="0000EE"/>
                  <w:w w:val="89"/>
                </w:rPr>
                <w:t>Third Amendment to Series A Preferred Share Purchase Agreement, dated as of November 2015, between the Registrant and Centillion</w:t>
              </w:r>
            </w:hyperlink>
          </w:p>
        </w:tc>
        <w:tc>
          <w:tcPr>
            <w:tcW w:w="36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530">
              <w:r>
                <w:rPr>
                  <w:rFonts w:ascii="Arial" w:cs="Arial" w:eastAsia="Arial" w:hAnsi="Arial"/>
                  <w:sz w:val="18"/>
                  <w:szCs w:val="18"/>
                  <w:color w:val="0000EE"/>
                  <w:w w:val="86"/>
                </w:rPr>
                <w:t>Fund.</w:t>
              </w:r>
            </w:hyperlink>
          </w:p>
        </w:tc>
        <w:tc>
          <w:tcPr>
            <w:tcW w:w="972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60" w:type="dxa"/>
            <w:vAlign w:val="bottom"/>
            <w:gridSpan w:val="2"/>
          </w:tcPr>
          <w:p>
            <w:pPr>
              <w:spacing w:after="0"/>
              <w:rPr>
                <w:sz w:val="21"/>
                <w:szCs w:val="21"/>
                <w:color w:val="auto"/>
              </w:rPr>
            </w:pPr>
          </w:p>
        </w:tc>
        <w:tc>
          <w:tcPr>
            <w:tcW w:w="540" w:type="dxa"/>
            <w:vAlign w:val="bottom"/>
            <w:gridSpan w:val="5"/>
          </w:tcPr>
          <w:p>
            <w:pPr>
              <w:jc w:val="center"/>
              <w:ind w:right="40"/>
              <w:spacing w:after="0"/>
              <w:rPr>
                <w:rFonts w:ascii="Arial" w:cs="Arial" w:eastAsia="Arial" w:hAnsi="Arial"/>
                <w:sz w:val="18"/>
                <w:szCs w:val="18"/>
                <w:color w:val="0000EE"/>
              </w:rPr>
            </w:pPr>
            <w:hyperlink r:id="rId53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w w:val="89"/>
              </w:rPr>
            </w:pPr>
            <w:hyperlink r:id="rId531">
              <w:r>
                <w:rPr>
                  <w:rFonts w:ascii="Arial" w:cs="Arial" w:eastAsia="Arial" w:hAnsi="Arial"/>
                  <w:sz w:val="18"/>
                  <w:szCs w:val="18"/>
                  <w:color w:val="0000EE"/>
                  <w:w w:val="89"/>
                </w:rPr>
                <w:t>Fourth Amendment to Series A Preferred Share Purchase Agreement, dated as of July 20, 2017, between the Registrant and Centillion Fund.</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8"/>
          </w:tcPr>
          <w:p>
            <w:pPr>
              <w:jc w:val="center"/>
              <w:ind w:left="152"/>
              <w:spacing w:after="0"/>
              <w:rPr>
                <w:rFonts w:ascii="Arial" w:cs="Arial" w:eastAsia="Arial" w:hAnsi="Arial"/>
                <w:sz w:val="18"/>
                <w:szCs w:val="18"/>
                <w:color w:val="0000EE"/>
                <w:w w:val="98"/>
              </w:rPr>
            </w:pPr>
            <w:hyperlink r:id="rId532">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10**</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w w:val="95"/>
              </w:rPr>
            </w:pPr>
            <w:hyperlink r:id="rId532">
              <w:r>
                <w:rPr>
                  <w:rFonts w:ascii="Arial" w:cs="Arial" w:eastAsia="Arial" w:hAnsi="Arial"/>
                  <w:sz w:val="18"/>
                  <w:szCs w:val="18"/>
                  <w:color w:val="0000EE"/>
                  <w:w w:val="95"/>
                </w:rPr>
                <w:t>Series B Preferred Share Purchase Agreement, dated as of October 4, 2017, October 25, 2017 and December 18, 2017, between the</w:t>
              </w:r>
            </w:hyperlink>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Registrant and the other parties thereto.</w:t>
              </w:r>
            </w:hyperlink>
          </w:p>
        </w:tc>
        <w:tc>
          <w:tcPr>
            <w:tcW w:w="6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8"/>
          </w:tcPr>
          <w:p>
            <w:pPr>
              <w:jc w:val="center"/>
              <w:ind w:left="152"/>
              <w:spacing w:after="0"/>
              <w:rPr>
                <w:rFonts w:ascii="Arial" w:cs="Arial" w:eastAsia="Arial" w:hAnsi="Arial"/>
                <w:sz w:val="18"/>
                <w:szCs w:val="18"/>
                <w:color w:val="0000EE"/>
                <w:w w:val="98"/>
              </w:rPr>
            </w:pPr>
            <w:hyperlink r:id="rId533">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11**</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w w:val="93"/>
              </w:rPr>
            </w:pPr>
            <w:hyperlink r:id="rId533">
              <w:r>
                <w:rPr>
                  <w:rFonts w:ascii="Arial" w:cs="Arial" w:eastAsia="Arial" w:hAnsi="Arial"/>
                  <w:sz w:val="18"/>
                  <w:szCs w:val="18"/>
                  <w:color w:val="0000EE"/>
                  <w:w w:val="93"/>
                </w:rPr>
                <w:t>Amended and Restated Investors’ Rights Agreement, dated as of October 4, 2017, between the Registrant and the other parties thereto.</w:t>
              </w:r>
            </w:hyperlink>
          </w:p>
        </w:tc>
        <w:tc>
          <w:tcPr>
            <w:tcW w:w="20" w:type="dxa"/>
            <w:vAlign w:val="bottom"/>
          </w:tcPr>
          <w:p>
            <w:pPr>
              <w:spacing w:after="0"/>
              <w:rPr>
                <w:sz w:val="21"/>
                <w:szCs w:val="21"/>
                <w:color w:val="auto"/>
              </w:rPr>
            </w:pPr>
          </w:p>
        </w:tc>
      </w:tr>
      <w:tr>
        <w:trPr>
          <w:trHeight w:val="20"/>
        </w:trPr>
        <w:tc>
          <w:tcPr>
            <w:tcW w:w="260" w:type="dxa"/>
            <w:vAlign w:val="bottom"/>
            <w:gridSpan w:val="2"/>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8"/>
          </w:tcPr>
          <w:p>
            <w:pPr>
              <w:jc w:val="center"/>
              <w:ind w:left="152"/>
              <w:spacing w:after="0"/>
              <w:rPr>
                <w:rFonts w:ascii="Arial" w:cs="Arial" w:eastAsia="Arial" w:hAnsi="Arial"/>
                <w:sz w:val="18"/>
                <w:szCs w:val="18"/>
                <w:color w:val="0000EE"/>
                <w:w w:val="98"/>
              </w:rPr>
            </w:pPr>
            <w:hyperlink r:id="rId534">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12**</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rPr>
            </w:pPr>
            <w:hyperlink r:id="rId534">
              <w:r>
                <w:rPr>
                  <w:rFonts w:ascii="Arial" w:cs="Arial" w:eastAsia="Arial" w:hAnsi="Arial"/>
                  <w:sz w:val="18"/>
                  <w:szCs w:val="18"/>
                  <w:color w:val="0000EE"/>
                </w:rPr>
                <w:t>Form of indemnification agreement between the Registrant and its directors and executive officers.</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8"/>
          </w:tcPr>
          <w:p>
            <w:pPr>
              <w:jc w:val="center"/>
              <w:ind w:left="152"/>
              <w:spacing w:after="0"/>
              <w:rPr>
                <w:rFonts w:ascii="Arial" w:cs="Arial" w:eastAsia="Arial" w:hAnsi="Arial"/>
                <w:sz w:val="18"/>
                <w:szCs w:val="18"/>
                <w:color w:val="0000EE"/>
                <w:w w:val="98"/>
              </w:rPr>
            </w:pPr>
            <w:hyperlink r:id="rId535">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13**</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rPr>
            </w:pPr>
            <w:hyperlink r:id="rId535">
              <w:r>
                <w:rPr>
                  <w:rFonts w:ascii="Arial" w:cs="Arial" w:eastAsia="Arial" w:hAnsi="Arial"/>
                  <w:sz w:val="18"/>
                  <w:szCs w:val="18"/>
                  <w:color w:val="0000EE"/>
                </w:rPr>
                <w:t>Form of Convertible Financing Agreement, dated as of June 14, 2016, among the Registrant and the lenders thereto.</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820" w:type="dxa"/>
            <w:vAlign w:val="bottom"/>
            <w:gridSpan w:val="8"/>
          </w:tcPr>
          <w:p>
            <w:pPr>
              <w:jc w:val="center"/>
              <w:ind w:left="152"/>
              <w:spacing w:after="0"/>
              <w:rPr>
                <w:rFonts w:ascii="Arial" w:cs="Arial" w:eastAsia="Arial" w:hAnsi="Arial"/>
                <w:sz w:val="18"/>
                <w:szCs w:val="18"/>
                <w:color w:val="0000EE"/>
                <w:w w:val="98"/>
              </w:rPr>
            </w:pPr>
            <w:hyperlink r:id="rId536">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14**</w:t>
              </w:r>
            </w:hyperlink>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28"/>
          </w:tcPr>
          <w:p>
            <w:pPr>
              <w:spacing w:after="0"/>
              <w:rPr>
                <w:rFonts w:ascii="Arial" w:cs="Arial" w:eastAsia="Arial" w:hAnsi="Arial"/>
                <w:sz w:val="18"/>
                <w:szCs w:val="18"/>
                <w:color w:val="0000EE"/>
              </w:rPr>
            </w:pPr>
            <w:hyperlink r:id="rId536">
              <w:r>
                <w:rPr>
                  <w:rFonts w:ascii="Arial" w:cs="Arial" w:eastAsia="Arial" w:hAnsi="Arial"/>
                  <w:sz w:val="18"/>
                  <w:szCs w:val="18"/>
                  <w:color w:val="0000EE"/>
                </w:rPr>
                <w:t>Service Agreement, dated April 6, 2017, between Roger Garceau and the Company.</w:t>
              </w:r>
            </w:hyperlink>
          </w:p>
        </w:tc>
        <w:tc>
          <w:tcPr>
            <w:tcW w:w="2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gridSpan w:val="8"/>
          </w:tcPr>
          <w:p>
            <w:pPr>
              <w:jc w:val="center"/>
              <w:ind w:left="152"/>
              <w:spacing w:after="0"/>
              <w:rPr>
                <w:rFonts w:ascii="Arial" w:cs="Arial" w:eastAsia="Arial" w:hAnsi="Arial"/>
                <w:sz w:val="18"/>
                <w:szCs w:val="18"/>
                <w:color w:val="0000EE"/>
                <w:w w:val="98"/>
              </w:rPr>
            </w:pPr>
            <w:hyperlink r:id="rId537">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15**</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28"/>
          </w:tcPr>
          <w:p>
            <w:pPr>
              <w:spacing w:after="0"/>
              <w:rPr>
                <w:rFonts w:ascii="Arial" w:cs="Arial" w:eastAsia="Arial" w:hAnsi="Arial"/>
                <w:sz w:val="18"/>
                <w:szCs w:val="18"/>
                <w:color w:val="0000EE"/>
              </w:rPr>
            </w:pPr>
            <w:hyperlink r:id="rId537">
              <w:r>
                <w:rPr>
                  <w:rFonts w:ascii="Arial" w:cs="Arial" w:eastAsia="Arial" w:hAnsi="Arial"/>
                  <w:sz w:val="18"/>
                  <w:szCs w:val="18"/>
                  <w:color w:val="0000EE"/>
                </w:rPr>
                <w:t>Service Agreement, dated April 6, 2017, between Luke Beshar and the Company.</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80" w:type="dxa"/>
            <w:vAlign w:val="bottom"/>
            <w:gridSpan w:val="10"/>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20" w:type="dxa"/>
            <w:vAlign w:val="bottom"/>
            <w:gridSpan w:val="8"/>
          </w:tcPr>
          <w:p>
            <w:pPr>
              <w:jc w:val="center"/>
              <w:ind w:left="152"/>
              <w:spacing w:after="0"/>
              <w:rPr>
                <w:rFonts w:ascii="Arial" w:cs="Arial" w:eastAsia="Arial" w:hAnsi="Arial"/>
                <w:sz w:val="18"/>
                <w:szCs w:val="18"/>
                <w:color w:val="0000EE"/>
                <w:w w:val="98"/>
              </w:rPr>
            </w:pPr>
            <w:hyperlink r:id="rId538">
              <w:r>
                <w:rPr>
                  <w:rFonts w:ascii="Arial" w:cs="Arial" w:eastAsia="Arial" w:hAnsi="Arial"/>
                  <w:sz w:val="18"/>
                  <w:szCs w:val="18"/>
                  <w:color w:val="0000EE"/>
                  <w:w w:val="98"/>
                </w:rPr>
                <w:t>10.</w:t>
              </w:r>
              <w:r>
                <w:rPr>
                  <w:rFonts w:ascii="Arial" w:cs="Arial" w:eastAsia="Arial" w:hAnsi="Arial"/>
                  <w:sz w:val="18"/>
                  <w:szCs w:val="18"/>
                  <w:u w:val="single" w:color="auto"/>
                  <w:color w:val="0000EE"/>
                  <w:w w:val="98"/>
                </w:rPr>
                <w:t>16**</w:t>
              </w:r>
            </w:hyperlink>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28"/>
          </w:tcPr>
          <w:p>
            <w:pPr>
              <w:spacing w:after="0"/>
              <w:rPr>
                <w:rFonts w:ascii="Arial" w:cs="Arial" w:eastAsia="Arial" w:hAnsi="Arial"/>
                <w:sz w:val="18"/>
                <w:szCs w:val="18"/>
                <w:color w:val="0000EE"/>
              </w:rPr>
            </w:pPr>
            <w:hyperlink r:id="rId538">
              <w:r>
                <w:rPr>
                  <w:rFonts w:ascii="Arial" w:cs="Arial" w:eastAsia="Arial" w:hAnsi="Arial"/>
                  <w:sz w:val="18"/>
                  <w:szCs w:val="18"/>
                  <w:color w:val="0000EE"/>
                </w:rPr>
                <w:t>2018 Equity Incentive Plan and forms of agreements thereunder (to be in effective upon the closing of this offering).</w:t>
              </w:r>
            </w:hyperlink>
          </w:p>
        </w:tc>
        <w:tc>
          <w:tcPr>
            <w:tcW w:w="20" w:type="dxa"/>
            <w:vAlign w:val="bottom"/>
          </w:tcPr>
          <w:p>
            <w:pPr>
              <w:spacing w:after="0"/>
              <w:rPr>
                <w:sz w:val="20"/>
                <w:szCs w:val="20"/>
                <w:color w:val="auto"/>
              </w:rPr>
            </w:pPr>
          </w:p>
        </w:tc>
      </w:tr>
      <w:tr>
        <w:trPr>
          <w:trHeight w:val="946"/>
        </w:trPr>
        <w:tc>
          <w:tcPr>
            <w:tcW w:w="240" w:type="dxa"/>
            <w:vAlign w:val="bottom"/>
            <w:tcBorders>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96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6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4" w:name="page225"/>
    <w:bookmarkEnd w:id="224"/>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0"/>
        </w:trPr>
        <w:tc>
          <w:tcPr>
            <w:tcW w:w="1040" w:type="dxa"/>
            <w:vAlign w:val="bottom"/>
            <w:gridSpan w:val="5"/>
          </w:tcPr>
          <w:p>
            <w:pPr>
              <w:jc w:val="center"/>
              <w:ind w:right="200"/>
              <w:spacing w:after="0"/>
              <w:rPr>
                <w:rFonts w:ascii="Arial" w:cs="Arial" w:eastAsia="Arial" w:hAnsi="Arial"/>
                <w:sz w:val="18"/>
                <w:szCs w:val="18"/>
                <w:color w:val="0000EE"/>
              </w:rPr>
            </w:pPr>
            <w:hyperlink r:id="rId540">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220" w:type="dxa"/>
            <w:vAlign w:val="bottom"/>
          </w:tcPr>
          <w:p>
            <w:pPr>
              <w:spacing w:after="0"/>
              <w:rPr>
                <w:sz w:val="18"/>
                <w:szCs w:val="18"/>
                <w:color w:val="auto"/>
              </w:rPr>
            </w:pPr>
          </w:p>
        </w:tc>
        <w:tc>
          <w:tcPr>
            <w:tcW w:w="10140" w:type="dxa"/>
            <w:vAlign w:val="bottom"/>
            <w:gridSpan w:val="10"/>
          </w:tcPr>
          <w:p>
            <w:pPr>
              <w:spacing w:after="0"/>
              <w:rPr>
                <w:rFonts w:ascii="Arial" w:cs="Arial" w:eastAsia="Arial" w:hAnsi="Arial"/>
                <w:sz w:val="18"/>
                <w:szCs w:val="18"/>
                <w:color w:val="0000EE"/>
                <w:w w:val="92"/>
              </w:rPr>
            </w:pPr>
            <w:hyperlink r:id="rId540">
              <w:r>
                <w:rPr>
                  <w:rFonts w:ascii="Arial" w:cs="Arial" w:eastAsia="Arial" w:hAnsi="Arial"/>
                  <w:sz w:val="18"/>
                  <w:szCs w:val="18"/>
                  <w:color w:val="0000EE"/>
                  <w:w w:val="92"/>
                </w:rPr>
                <w:t>Amendment No. 1 to the Series B Preferred Share Purchase Agreement, dated December 18, 2017, between the Registrant and the other</w:t>
              </w:r>
            </w:hyperlink>
          </w:p>
        </w:tc>
      </w:tr>
      <w:tr>
        <w:trPr>
          <w:trHeight w:val="196"/>
        </w:trPr>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40">
              <w:r>
                <w:rPr>
                  <w:rFonts w:ascii="Arial" w:cs="Arial" w:eastAsia="Arial" w:hAnsi="Arial"/>
                  <w:sz w:val="18"/>
                  <w:szCs w:val="18"/>
                  <w:color w:val="0000EE"/>
                  <w:w w:val="88"/>
                </w:rPr>
                <w:t>parties thereto.</w:t>
              </w:r>
            </w:hyperlink>
          </w:p>
        </w:tc>
        <w:tc>
          <w:tcPr>
            <w:tcW w:w="8740" w:type="dxa"/>
            <w:vAlign w:val="bottom"/>
            <w:tcBorders>
              <w:top w:val="single" w:sz="8" w:color="0000EE"/>
            </w:tcBorders>
            <w:gridSpan w:val="7"/>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64"/>
        </w:trPr>
        <w:tc>
          <w:tcPr>
            <w:tcW w:w="780" w:type="dxa"/>
            <w:vAlign w:val="bottom"/>
            <w:gridSpan w:val="3"/>
          </w:tcPr>
          <w:p>
            <w:pPr>
              <w:ind w:left="280"/>
              <w:spacing w:after="0"/>
              <w:rPr>
                <w:sz w:val="20"/>
                <w:szCs w:val="20"/>
                <w:color w:val="auto"/>
              </w:rPr>
            </w:pPr>
            <w:r>
              <w:rPr>
                <w:rFonts w:ascii="Arial" w:cs="Arial" w:eastAsia="Arial" w:hAnsi="Arial"/>
                <w:sz w:val="18"/>
                <w:szCs w:val="18"/>
                <w:color w:val="0000EE"/>
              </w:rPr>
              <w:t>21.1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EE"/>
              </w:rPr>
              <w:t>List of subsidiaries.</w:t>
            </w:r>
          </w:p>
        </w:tc>
      </w:tr>
      <w:tr>
        <w:trPr>
          <w:trHeight w:val="20"/>
        </w:trPr>
        <w:tc>
          <w:tcPr>
            <w:tcW w:w="3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80" w:type="dxa"/>
            <w:vAlign w:val="bottom"/>
            <w:gridSpan w:val="3"/>
          </w:tcPr>
          <w:p>
            <w:pPr>
              <w:ind w:left="280"/>
              <w:spacing w:after="0"/>
              <w:rPr>
                <w:sz w:val="20"/>
                <w:szCs w:val="20"/>
                <w:color w:val="auto"/>
              </w:rPr>
            </w:pPr>
            <w:r>
              <w:rPr>
                <w:rFonts w:ascii="Arial" w:cs="Arial" w:eastAsia="Arial" w:hAnsi="Arial"/>
                <w:sz w:val="18"/>
                <w:szCs w:val="18"/>
                <w:color w:val="0000EE"/>
              </w:rPr>
              <w:t>23.1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0"/>
          </w:tcPr>
          <w:p>
            <w:pPr>
              <w:spacing w:after="0"/>
              <w:rPr>
                <w:sz w:val="20"/>
                <w:szCs w:val="20"/>
                <w:color w:val="auto"/>
              </w:rPr>
            </w:pPr>
            <w:r>
              <w:rPr>
                <w:rFonts w:ascii="Arial" w:cs="Arial" w:eastAsia="Arial" w:hAnsi="Arial"/>
                <w:sz w:val="18"/>
                <w:szCs w:val="18"/>
                <w:color w:val="0000EE"/>
                <w:w w:val="93"/>
              </w:rPr>
              <w:t>Consent of Kesselman &amp; Kesselman, Certified Public Accountants, a member firm of PricewaterhouseCoopers International Limited, an</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independent registered public accounting firm.</w:t>
            </w:r>
          </w:p>
        </w:tc>
        <w:tc>
          <w:tcPr>
            <w:tcW w:w="28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64"/>
        </w:trPr>
        <w:tc>
          <w:tcPr>
            <w:tcW w:w="320" w:type="dxa"/>
            <w:vAlign w:val="bottom"/>
            <w:gridSpan w:val="2"/>
          </w:tcPr>
          <w:p>
            <w:pPr>
              <w:spacing w:after="0"/>
              <w:rPr>
                <w:sz w:val="22"/>
                <w:szCs w:val="22"/>
                <w:color w:val="auto"/>
              </w:rPr>
            </w:pPr>
          </w:p>
        </w:tc>
        <w:tc>
          <w:tcPr>
            <w:tcW w:w="460" w:type="dxa"/>
            <w:vAlign w:val="bottom"/>
          </w:tcPr>
          <w:p>
            <w:pPr>
              <w:spacing w:after="0"/>
              <w:rPr>
                <w:rFonts w:ascii="Arial" w:cs="Arial" w:eastAsia="Arial" w:hAnsi="Arial"/>
                <w:sz w:val="18"/>
                <w:szCs w:val="18"/>
                <w:color w:val="0000EE"/>
                <w:w w:val="89"/>
              </w:rPr>
            </w:pPr>
            <w:hyperlink r:id="rId521">
              <w:r>
                <w:rPr>
                  <w:rFonts w:ascii="Arial" w:cs="Arial" w:eastAsia="Arial" w:hAnsi="Arial"/>
                  <w:sz w:val="18"/>
                  <w:szCs w:val="18"/>
                  <w:color w:val="0000EE"/>
                  <w:w w:val="89"/>
                </w:rPr>
                <w:t>23.</w:t>
              </w:r>
              <w:r>
                <w:rPr>
                  <w:rFonts w:ascii="Arial" w:cs="Arial" w:eastAsia="Arial" w:hAnsi="Arial"/>
                  <w:sz w:val="18"/>
                  <w:szCs w:val="18"/>
                  <w:u w:val="single" w:color="auto"/>
                  <w:color w:val="0000EE"/>
                  <w:w w:val="89"/>
                </w:rPr>
                <w:t>2**</w:t>
              </w:r>
            </w:hyperlink>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140" w:type="dxa"/>
            <w:vAlign w:val="bottom"/>
            <w:gridSpan w:val="10"/>
          </w:tcPr>
          <w:p>
            <w:pPr>
              <w:spacing w:after="0"/>
              <w:rPr>
                <w:rFonts w:ascii="Arial" w:cs="Arial" w:eastAsia="Arial" w:hAnsi="Arial"/>
                <w:sz w:val="18"/>
                <w:szCs w:val="18"/>
                <w:color w:val="0000EE"/>
              </w:rPr>
            </w:pPr>
            <w:hyperlink r:id="rId521">
              <w:r>
                <w:rPr>
                  <w:rFonts w:ascii="Arial" w:cs="Arial" w:eastAsia="Arial" w:hAnsi="Arial"/>
                  <w:sz w:val="18"/>
                  <w:szCs w:val="18"/>
                  <w:color w:val="0000EE"/>
                </w:rPr>
                <w:t>Consent of Herzog Fox &amp; Neeman (included in Exhibits 5.1).</w:t>
              </w:r>
            </w:hyperlink>
          </w:p>
        </w:tc>
      </w:tr>
      <w:tr>
        <w:trPr>
          <w:trHeight w:val="20"/>
        </w:trPr>
        <w:tc>
          <w:tcPr>
            <w:tcW w:w="32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320" w:type="dxa"/>
            <w:vAlign w:val="bottom"/>
            <w:gridSpan w:val="2"/>
          </w:tcPr>
          <w:p>
            <w:pPr>
              <w:spacing w:after="0"/>
              <w:rPr>
                <w:sz w:val="21"/>
                <w:szCs w:val="21"/>
                <w:color w:val="auto"/>
              </w:rPr>
            </w:pPr>
          </w:p>
        </w:tc>
        <w:tc>
          <w:tcPr>
            <w:tcW w:w="460" w:type="dxa"/>
            <w:vAlign w:val="bottom"/>
          </w:tcPr>
          <w:p>
            <w:pPr>
              <w:spacing w:after="0"/>
              <w:rPr>
                <w:rFonts w:ascii="Arial" w:cs="Arial" w:eastAsia="Arial" w:hAnsi="Arial"/>
                <w:sz w:val="18"/>
                <w:szCs w:val="18"/>
                <w:color w:val="0000EE"/>
                <w:w w:val="89"/>
              </w:rPr>
            </w:pPr>
            <w:hyperlink r:id="rId522">
              <w:r>
                <w:rPr>
                  <w:rFonts w:ascii="Arial" w:cs="Arial" w:eastAsia="Arial" w:hAnsi="Arial"/>
                  <w:sz w:val="18"/>
                  <w:szCs w:val="18"/>
                  <w:color w:val="0000EE"/>
                  <w:w w:val="89"/>
                </w:rPr>
                <w:t>23.</w:t>
              </w:r>
              <w:r>
                <w:rPr>
                  <w:rFonts w:ascii="Arial" w:cs="Arial" w:eastAsia="Arial" w:hAnsi="Arial"/>
                  <w:sz w:val="18"/>
                  <w:szCs w:val="18"/>
                  <w:u w:val="single" w:color="auto"/>
                  <w:color w:val="0000EE"/>
                  <w:w w:val="89"/>
                </w:rPr>
                <w:t>3**</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r:id="rId522">
              <w:r>
                <w:rPr>
                  <w:rFonts w:ascii="Arial" w:cs="Arial" w:eastAsia="Arial" w:hAnsi="Arial"/>
                  <w:sz w:val="18"/>
                  <w:szCs w:val="18"/>
                  <w:color w:val="0000EE"/>
                </w:rPr>
                <w:t>Consent of Davis Polk &amp; Wardwell LLP (included in Exhibit 8.1)</w:t>
              </w:r>
            </w:hyperlink>
          </w:p>
        </w:tc>
      </w:tr>
      <w:tr>
        <w:trPr>
          <w:trHeight w:val="20"/>
        </w:trPr>
        <w:tc>
          <w:tcPr>
            <w:tcW w:w="32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780" w:type="dxa"/>
            <w:vAlign w:val="bottom"/>
            <w:gridSpan w:val="3"/>
          </w:tcPr>
          <w:p>
            <w:pPr>
              <w:ind w:left="280"/>
              <w:spacing w:after="0"/>
              <w:rPr>
                <w:rFonts w:ascii="Arial" w:cs="Arial" w:eastAsia="Arial" w:hAnsi="Arial"/>
                <w:sz w:val="18"/>
                <w:szCs w:val="18"/>
                <w:color w:val="0000EE"/>
              </w:rPr>
            </w:pPr>
            <w:hyperlink w:anchor="page226">
              <w:r>
                <w:rPr>
                  <w:rFonts w:ascii="Arial" w:cs="Arial" w:eastAsia="Arial" w:hAnsi="Arial"/>
                  <w:sz w:val="18"/>
                  <w:szCs w:val="18"/>
                  <w:color w:val="0000EE"/>
                </w:rPr>
                <w:t>24.1</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Powers of Attorney (included on signature page).</w:t>
              </w:r>
            </w:hyperlink>
          </w:p>
        </w:tc>
      </w:tr>
      <w:tr>
        <w:trPr>
          <w:trHeight w:val="20"/>
        </w:trPr>
        <w:tc>
          <w:tcPr>
            <w:tcW w:w="3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r>
      <w:tr>
        <w:trPr>
          <w:trHeight w:val="250"/>
        </w:trPr>
        <w:tc>
          <w:tcPr>
            <w:tcW w:w="320" w:type="dxa"/>
            <w:vAlign w:val="bottom"/>
            <w:gridSpan w:val="2"/>
          </w:tcPr>
          <w:p>
            <w:pPr>
              <w:spacing w:after="0"/>
              <w:rPr>
                <w:sz w:val="21"/>
                <w:szCs w:val="21"/>
                <w:color w:val="auto"/>
              </w:rPr>
            </w:pPr>
          </w:p>
        </w:tc>
        <w:tc>
          <w:tcPr>
            <w:tcW w:w="460" w:type="dxa"/>
            <w:vAlign w:val="bottom"/>
          </w:tcPr>
          <w:p>
            <w:pPr>
              <w:spacing w:after="0"/>
              <w:rPr>
                <w:rFonts w:ascii="Arial" w:cs="Arial" w:eastAsia="Arial" w:hAnsi="Arial"/>
                <w:sz w:val="18"/>
                <w:szCs w:val="18"/>
                <w:color w:val="0000EE"/>
                <w:w w:val="89"/>
              </w:rPr>
            </w:pPr>
            <w:hyperlink r:id="rId541">
              <w:r>
                <w:rPr>
                  <w:rFonts w:ascii="Arial" w:cs="Arial" w:eastAsia="Arial" w:hAnsi="Arial"/>
                  <w:sz w:val="18"/>
                  <w:szCs w:val="18"/>
                  <w:color w:val="0000EE"/>
                  <w:w w:val="89"/>
                </w:rPr>
                <w:t>99.</w:t>
              </w:r>
              <w:r>
                <w:rPr>
                  <w:rFonts w:ascii="Arial" w:cs="Arial" w:eastAsia="Arial" w:hAnsi="Arial"/>
                  <w:sz w:val="18"/>
                  <w:szCs w:val="18"/>
                  <w:u w:val="single" w:color="auto"/>
                  <w:color w:val="0000EE"/>
                  <w:w w:val="89"/>
                </w:rPr>
                <w:t>1**</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40" w:type="dxa"/>
            <w:vAlign w:val="bottom"/>
            <w:gridSpan w:val="10"/>
          </w:tcPr>
          <w:p>
            <w:pPr>
              <w:spacing w:after="0"/>
              <w:rPr>
                <w:rFonts w:ascii="Arial" w:cs="Arial" w:eastAsia="Arial" w:hAnsi="Arial"/>
                <w:sz w:val="18"/>
                <w:szCs w:val="18"/>
                <w:color w:val="0000EE"/>
              </w:rPr>
            </w:pPr>
            <w:hyperlink r:id="rId541">
              <w:r>
                <w:rPr>
                  <w:rFonts w:ascii="Arial" w:cs="Arial" w:eastAsia="Arial" w:hAnsi="Arial"/>
                  <w:sz w:val="18"/>
                  <w:szCs w:val="18"/>
                  <w:color w:val="0000EE"/>
                </w:rPr>
                <w:t>Registrant’s Waiver Request and Representation under Item 8.A.4 of Form F-1.</w:t>
              </w:r>
            </w:hyperlink>
          </w:p>
        </w:tc>
      </w:tr>
      <w:tr>
        <w:trPr>
          <w:trHeight w:val="20"/>
        </w:trPr>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151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9480" w:firstLine="8"/>
        <w:spacing w:after="0" w:line="616" w:lineRule="auto"/>
        <w:tabs>
          <w:tab w:leader="none" w:pos="3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To be filed by amendment.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720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25" w:name="page226"/>
    <w:bookmarkEnd w:id="225"/>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Jerusalem, Israel, on January 10, 2018.</w:t>
      </w:r>
    </w:p>
    <w:p>
      <w:pPr>
        <w:spacing w:after="0" w:line="20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ENTERA BIO LTD.</w:t>
      </w:r>
    </w:p>
    <w:p>
      <w:pPr>
        <w:spacing w:after="0" w:line="243" w:lineRule="exact"/>
        <w:rPr>
          <w:sz w:val="20"/>
          <w:szCs w:val="20"/>
          <w:color w:val="auto"/>
        </w:rPr>
      </w:pPr>
    </w:p>
    <w:p>
      <w:pPr>
        <w:ind w:left="3700"/>
        <w:spacing w:after="0"/>
        <w:tabs>
          <w:tab w:leader="none" w:pos="4160" w:val="left"/>
        </w:tabs>
        <w:rPr>
          <w:sz w:val="20"/>
          <w:szCs w:val="20"/>
          <w:color w:val="auto"/>
        </w:rPr>
      </w:pPr>
      <w:r>
        <w:rPr>
          <w:rFonts w:ascii="Arial" w:cs="Arial" w:eastAsia="Arial" w:hAnsi="Arial"/>
          <w:sz w:val="18"/>
          <w:szCs w:val="18"/>
          <w:color w:val="auto"/>
        </w:rPr>
        <w:t>By:</w:t>
        <w:tab/>
        <w:t>/s/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48895</wp:posOffset>
            </wp:positionV>
            <wp:extent cx="458787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Dr. Phillip Schwartz</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  Chief Executive Officer</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226" w:name="page227"/>
    <w:bookmarkEnd w:id="226"/>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9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Each person whose signature appears below constitutes and appoints Phillip Schwartz and Mira Rosenzweig,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93"/>
              </w:rPr>
              <w:t>/s/ Dr. Phillip Schwartz</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52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3"/>
              </w:rPr>
              <w:t>(Principal Executive Officer) and Director</w:t>
            </w: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vMerge w:val="restart"/>
          </w:tcPr>
          <w:p>
            <w:pPr>
              <w:jc w:val="center"/>
              <w:ind w:right="251"/>
              <w:spacing w:after="0"/>
              <w:rPr>
                <w:sz w:val="20"/>
                <w:szCs w:val="20"/>
                <w:color w:val="auto"/>
              </w:rPr>
            </w:pPr>
            <w:r>
              <w:rPr>
                <w:rFonts w:ascii="Arial" w:cs="Arial" w:eastAsia="Arial" w:hAnsi="Arial"/>
                <w:sz w:val="18"/>
                <w:szCs w:val="18"/>
                <w:color w:val="auto"/>
                <w:w w:val="93"/>
              </w:rPr>
              <w:t>Dr. Phillip Schwartz</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jc w:val="center"/>
              <w:ind w:right="251"/>
              <w:spacing w:after="0"/>
              <w:rPr>
                <w:sz w:val="20"/>
                <w:szCs w:val="20"/>
                <w:color w:val="auto"/>
              </w:rPr>
            </w:pPr>
            <w:r>
              <w:rPr>
                <w:rFonts w:ascii="Arial" w:cs="Arial" w:eastAsia="Arial" w:hAnsi="Arial"/>
                <w:sz w:val="18"/>
                <w:szCs w:val="18"/>
                <w:color w:val="auto"/>
                <w:w w:val="92"/>
              </w:rPr>
              <w:t>/s/ Mira Rosenzweig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20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52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3"/>
              </w:rPr>
              <w:t>(Principal Financial and Accounting Officer)</w:t>
            </w: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vMerge w:val="restart"/>
          </w:tcPr>
          <w:p>
            <w:pPr>
              <w:jc w:val="center"/>
              <w:ind w:right="271"/>
              <w:spacing w:after="0"/>
              <w:rPr>
                <w:sz w:val="20"/>
                <w:szCs w:val="20"/>
                <w:color w:val="auto"/>
              </w:rPr>
            </w:pPr>
            <w:r>
              <w:rPr>
                <w:rFonts w:ascii="Arial" w:cs="Arial" w:eastAsia="Arial" w:hAnsi="Arial"/>
                <w:sz w:val="18"/>
                <w:szCs w:val="18"/>
                <w:color w:val="auto"/>
                <w:w w:val="92"/>
              </w:rPr>
              <w:t>Mira Rosenzweig</w:t>
            </w:r>
          </w:p>
        </w:tc>
        <w:tc>
          <w:tcPr>
            <w:tcW w:w="2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28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Chairman of the Board</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91"/>
              </w:rPr>
              <w:t>Luke M. Beshar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51"/>
              <w:spacing w:after="0"/>
              <w:rPr>
                <w:sz w:val="20"/>
                <w:szCs w:val="20"/>
                <w:color w:val="auto"/>
              </w:rPr>
            </w:pPr>
            <w:r>
              <w:rPr>
                <w:rFonts w:ascii="Arial" w:cs="Arial" w:eastAsia="Arial" w:hAnsi="Arial"/>
                <w:sz w:val="18"/>
                <w:szCs w:val="18"/>
                <w:color w:val="auto"/>
                <w:w w:val="95"/>
              </w:rPr>
              <w:t>David Ben Ami</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51"/>
              <w:spacing w:after="0"/>
              <w:rPr>
                <w:sz w:val="20"/>
                <w:szCs w:val="20"/>
                <w:color w:val="auto"/>
              </w:rPr>
            </w:pPr>
            <w:r>
              <w:rPr>
                <w:rFonts w:ascii="Arial" w:cs="Arial" w:eastAsia="Arial" w:hAnsi="Arial"/>
                <w:sz w:val="18"/>
                <w:szCs w:val="18"/>
                <w:color w:val="auto"/>
                <w:w w:val="92"/>
              </w:rPr>
              <w:t>Chaim Davis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87"/>
              </w:rPr>
              <w:t>Roger Garceau</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91"/>
              </w:rPr>
              <w:t>Gerald Lieberman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89"/>
              </w:rPr>
              <w:t>Yonatan Malca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January 10, 2018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ind w:right="271"/>
              <w:spacing w:after="0"/>
              <w:rPr>
                <w:sz w:val="20"/>
                <w:szCs w:val="20"/>
                <w:color w:val="auto"/>
              </w:rPr>
            </w:pPr>
            <w:r>
              <w:rPr>
                <w:rFonts w:ascii="Arial" w:cs="Arial" w:eastAsia="Arial" w:hAnsi="Arial"/>
                <w:sz w:val="18"/>
                <w:szCs w:val="18"/>
                <w:color w:val="auto"/>
                <w:w w:val="92"/>
              </w:rPr>
              <w:t>Zeev Bronfeld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840" w:type="dxa"/>
            <w:vAlign w:val="bottom"/>
            <w:gridSpan w:val="3"/>
          </w:tcPr>
          <w:p>
            <w:pPr>
              <w:spacing w:after="0"/>
              <w:rPr>
                <w:sz w:val="20"/>
                <w:szCs w:val="20"/>
                <w:color w:val="auto"/>
              </w:rPr>
            </w:pPr>
            <w:r>
              <w:rPr>
                <w:rFonts w:ascii="Arial" w:cs="Arial" w:eastAsia="Arial" w:hAnsi="Arial"/>
                <w:sz w:val="18"/>
                <w:szCs w:val="18"/>
                <w:color w:val="auto"/>
              </w:rPr>
              <w:t>By: /s/ Phillip Schwartz</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 xml:space="preserve">Phillip Schwartz, </w:t>
            </w:r>
            <w:r>
              <w:rPr>
                <w:rFonts w:ascii="Arial" w:cs="Arial" w:eastAsia="Arial" w:hAnsi="Arial"/>
                <w:sz w:val="18"/>
                <w:szCs w:val="18"/>
                <w:i w:val="1"/>
                <w:iCs w:val="1"/>
                <w:color w:val="auto"/>
              </w:rPr>
              <w:t>Attorney-in-Fact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1380"/>
              <w:spacing w:after="0"/>
              <w:rPr>
                <w:sz w:val="20"/>
                <w:szCs w:val="20"/>
                <w:color w:val="auto"/>
              </w:rPr>
            </w:pPr>
            <w:r>
              <w:rPr>
                <w:rFonts w:ascii="Arial" w:cs="Arial" w:eastAsia="Arial" w:hAnsi="Arial"/>
                <w:sz w:val="18"/>
                <w:szCs w:val="18"/>
                <w:color w:val="auto"/>
              </w:rPr>
              <w:t>II-11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rFonts w:ascii="Arial" w:cs="Arial" w:eastAsia="Arial" w:hAnsi="Arial"/>
          <w:sz w:val="14"/>
          <w:szCs w:val="14"/>
          <w:color w:val="003366"/>
        </w:rPr>
      </w:pPr>
      <w:hyperlink w:anchor="page17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SIGNATURE OF AUTHORIZED REPRESENTATIVE IN THE UNITED STATES</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has signed this registration statement, solely in its capacity as the duly authorized representative of the Registrant in the United States on January 10, 2018.</w:t>
      </w:r>
    </w:p>
    <w:p>
      <w:pPr>
        <w:spacing w:after="0" w:line="387" w:lineRule="exact"/>
        <w:rPr>
          <w:sz w:val="20"/>
          <w:szCs w:val="20"/>
          <w:color w:val="auto"/>
        </w:rPr>
      </w:pPr>
    </w:p>
    <w:p>
      <w:pPr>
        <w:ind w:left="3700"/>
        <w:spacing w:after="0"/>
        <w:tabs>
          <w:tab w:leader="none" w:pos="4160" w:val="left"/>
        </w:tabs>
        <w:rPr>
          <w:sz w:val="20"/>
          <w:szCs w:val="20"/>
          <w:color w:val="auto"/>
        </w:rPr>
      </w:pPr>
      <w:r>
        <w:rPr>
          <w:rFonts w:ascii="Arial" w:cs="Arial" w:eastAsia="Arial" w:hAnsi="Arial"/>
          <w:sz w:val="18"/>
          <w:szCs w:val="18"/>
          <w:color w:val="auto"/>
        </w:rPr>
        <w:t>By:</w:t>
        <w:tab/>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48895</wp:posOffset>
            </wp:positionV>
            <wp:extent cx="45878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 Colleen A. DeVries</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Title:  SVP on behalf of Cogency Global</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32" w:right="55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______________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UNDERWRITING AGREEMENT</w:t>
      </w:r>
    </w:p>
    <w:p>
      <w:pPr>
        <w:spacing w:after="0" w:line="229"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________,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Underwriters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Entera Bio Ltd., an Israeli company (the "Company"), proposes, subject to the terms and conditions contained herein, to sell to you and the other underwriters (the "Underwriters") named on Schedule I to this Underwriting Agreement (the "Agreement"), for whom you are acting as Representative (the "Representative"), an aggregate of ________ ordinary shares (the "Firm Shares") of the Company, NIS 0.01 par value per share (the "Ordinary Shares"). The</w:t>
      </w:r>
    </w:p>
    <w:p>
      <w:pPr>
        <w:jc w:val="both"/>
        <w:spacing w:after="0" w:line="281" w:lineRule="auto"/>
        <w:rPr>
          <w:sz w:val="20"/>
          <w:szCs w:val="20"/>
          <w:color w:val="auto"/>
        </w:rPr>
      </w:pPr>
      <w:r>
        <w:rPr>
          <w:rFonts w:ascii="Arial" w:cs="Arial" w:eastAsia="Arial" w:hAnsi="Arial"/>
          <w:sz w:val="16"/>
          <w:szCs w:val="16"/>
          <w:color w:val="auto"/>
        </w:rPr>
        <w:t>respective amounts of the Firm Shares to be purchased by each of the several Underwriters are set forth opposite their names on Schedule I hereto. In addition, the Company proposes to grant to the Underwriters an option to purchase up to an additional ___________ Ordinary Shares (the "Company Option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Shares") from the Company for the purpose of covering over-allotments in connection with the sale of the Firm Shares. The Firm Shares and the Option Shares are collectively called the "Shares."</w:t>
      </w:r>
    </w:p>
    <w:p>
      <w:pPr>
        <w:spacing w:after="0" w:line="184"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The Company has prepared and filed in conformity with the requirements of the Securities Act of 1933, as amended (the "Securities Act"), and the published rules and regulations thereunder (the "Rules") adopted by the Securities and Exchange Commission (the "Commission") a Registration Statement (as hereinafter defined) on Form F-1 (No. 333-221472), including a preliminary prospectus relating to the Shares, and such amendments thereof as may have been required to the date of this Agreement. Copies of such Registration Statement (including all amendments thereof) and of the related Preliminary Prospectus (as hereinafter defined) have heretofore been delivered by the Company to you. The term "Preliminary Prospectus" means any preliminary prospectus included at any time as a part of the Registration Statement or filed with the Commission by the Company pursuant to Rule 424(a) of the Rules. The term "Registration Statement" as used in this Agreement means the initial registration statement (including all exhibits and financial schedules), as amended at the time and on the date it becomes effective (the "Effective Date"), including the information (if any) contained in the form of final prospectus filed with the Commission pursuant to Rule 424(b) of the Rules and deemed to be part thereof at the time of effectiveness pursuant to Rule 430A of the Rules. If the Company has filed an abbreviated registration statement to register additional Shares pursuant to Rule 462(b) under the Rules (the "462(b) Registration Statement"), then any reference herein to the Registration Statement shall also be deemed to include such 462(b) Registration Statement. The term "Prospectus" as used in this Agreement means the prospectus in the form included in the Registration Statement at the time of effectiveness or, if Rule 430A of the Rules is relied on, the term Prospectus shall also include the final prospectus filed with the Commission pursuant to and within the time limits described in Rule 424(b) of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29" w:name="page230"/>
    <w:bookmarkEnd w:id="229"/>
    <w:p>
      <w:pPr>
        <w:jc w:val="both"/>
        <w:ind w:firstLine="972"/>
        <w:spacing w:after="0" w:line="276" w:lineRule="auto"/>
        <w:rPr>
          <w:sz w:val="20"/>
          <w:szCs w:val="20"/>
          <w:color w:val="auto"/>
        </w:rPr>
      </w:pPr>
      <w:r>
        <w:rPr>
          <w:rFonts w:ascii="Arial" w:cs="Arial" w:eastAsia="Arial" w:hAnsi="Arial"/>
          <w:sz w:val="17"/>
          <w:szCs w:val="17"/>
          <w:color w:val="auto"/>
        </w:rPr>
        <w:t>The Company understands that the Underwriters propose to make a public offering of the Shares, as set forth in and pursuant to the Statutory Prospectus (as hereinafter defined) and the Prospectus, as soon after the Effective Date and the date of this Agreement as the Representative deems advisable. The Company hereby confirms that the Underwriters and dealers have been authorized to distribute or cause to be distributed each Preliminary Prospectus, and each Issuer Free Writing Prospectus (as hereinafter defined) and are authorized to distribute the Prospectus (as from time to time amended or supplemented if the Company furnishes amendments or supplements thereto to the Underwriters).</w:t>
      </w:r>
    </w:p>
    <w:p>
      <w:pPr>
        <w:spacing w:after="0" w:line="173" w:lineRule="exact"/>
        <w:rPr>
          <w:sz w:val="20"/>
          <w:szCs w:val="20"/>
          <w:color w:val="auto"/>
        </w:rPr>
      </w:pPr>
    </w:p>
    <w:p>
      <w:pPr>
        <w:ind w:firstLine="980"/>
        <w:spacing w:after="0" w:line="277" w:lineRule="auto"/>
        <w:tabs>
          <w:tab w:leader="none" w:pos="1503"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Sale, Purchase, Delivery and Payment for the Shares</w:t>
      </w:r>
      <w:r>
        <w:rPr>
          <w:rFonts w:ascii="Arial" w:cs="Arial" w:eastAsia="Arial" w:hAnsi="Arial"/>
          <w:sz w:val="18"/>
          <w:szCs w:val="18"/>
          <w:color w:val="auto"/>
        </w:rPr>
        <w:t>. On the basis of the representations, warranties and agreements contained in, and subject to the terms and conditions of, this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5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agrees to issue and sell to each of the Underwriters, and each of the Underwriters agrees, severally and not jointly, to purchase from the Company, at a purchase price of $_____ per share (the "Initial Price"), the number of Firm Shares set forth opposite the name of such Underwriter under the column "Number of Firm Shares to be Purchased from the Company" on Schedule I to this Agreement, subject to adjustment in accordance with Section 8 hereof.</w:t>
      </w:r>
    </w:p>
    <w:p>
      <w:pPr>
        <w:spacing w:after="0" w:line="186" w:lineRule="exact"/>
        <w:rPr>
          <w:rFonts w:ascii="Arial" w:cs="Arial" w:eastAsia="Arial" w:hAnsi="Arial"/>
          <w:sz w:val="18"/>
          <w:szCs w:val="18"/>
          <w:color w:val="auto"/>
        </w:rPr>
      </w:pPr>
    </w:p>
    <w:p>
      <w:pPr>
        <w:jc w:val="both"/>
        <w:ind w:firstLine="656"/>
        <w:spacing w:after="0" w:line="289" w:lineRule="auto"/>
        <w:tabs>
          <w:tab w:leader="none" w:pos="10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hereby grants to the several Underwriters an option to purchase, severally and not jointly, all or any part of the Option Shares at the Initial Price. The number of Option Shares to be purchased by each Underwriter shall be the same percentage (adjusted by the Representative to eliminate fractions) of the total number of Option Shares to be purchased by the Underwriters as such Underwriter is purchasing of the Firm Shares. Such option may be exercised only to cover over-allotments in the sales of the Firm Shares by the Underwriters and may be exercised in whole or in part at any time on or before 12:00 noon, New York City time, on the business day before the Firm Shares Closing Date (as defined below), and from time to time thereafter within 30 days after the date of this Agreement, in each case upon written, facsimile or telegraphic notice, or verbal or telephonic notice confirmed by written, facsimile or telegraphic notice, by the Representative to the Company no later than 12:00 noon, New York City time, on the business day before the Firm Shares Closing Date or at least two business days before the Option Shares Closing Date (as defined below), as the case may be, setting forth the number of Option Shares to be purchased and the time and date (if other than the Firm Shares Closing Date) of such purchase.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jc w:val="both"/>
        <w:ind w:firstLine="656"/>
        <w:spacing w:after="0" w:line="271" w:lineRule="auto"/>
        <w:tabs>
          <w:tab w:leader="none" w:pos="105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Payment of the purchase price for, and delivery of certificates for, the Firm Shares shall be made at the offices of Oppenheimer &amp; Co. Inc., 85 Broad Street, New York, New York 10004, at 10:00 a.m., New York City time, on the third business day following the date of this Agreement or at such time on such other date, not later than ten (10) business days after the date of this Agreement, as shall be agreed upon by the Company and the Representative (such time and date of delivery and payment are called the "Firm Shares Closing Date"). In addition, in the event that any or all of the Option Shares are purchased by the Underwriters, payment of the purchase price, and delivery of the certificates, for such Option Shares shall be made at the above-mentioned offices, or at such other place as shall be agreed upon by the Representative and the Company, on each date of delivery as specified in the notice from the Representative to the Company (such time and date of delivery and payment are called the "Option Shares Closing Date"). The Firm Shares Closing Date and any Option Shares Closing Date are called, individually, a "Closing Date" and, together, the "Closing Dates."</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Payment shall be made to the Company by wire transfer of immediately available funds or by certified or official bank check or checks payable in New York Clearing House (same day) funds drawn to the order of the Company, against delivery of the respective certificates to the Representative for the respective accounts of the Underwriters of certificates for the Shares to be purchased by them.</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6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Shares shall be registered in such names and shall be in such denominations as the Representative shall request at least two full business days before the Firm Shares Closing Date or, in the case of Option Shares, on the day of notice of exercise of the option as described in Section 1(b), and shall be delivered by or on behalf of the Company to the Representative through the facilities of the Depository Trust Company ("DTC") for the account of such Underwriter.</w:t>
      </w:r>
    </w:p>
    <w:p>
      <w:pPr>
        <w:spacing w:after="0" w:line="187" w:lineRule="exact"/>
        <w:rPr>
          <w:sz w:val="20"/>
          <w:szCs w:val="20"/>
          <w:color w:val="auto"/>
        </w:rPr>
      </w:pPr>
    </w:p>
    <w:p>
      <w:pPr>
        <w:ind w:right="20" w:firstLine="980"/>
        <w:spacing w:after="0" w:line="277" w:lineRule="auto"/>
        <w:tabs>
          <w:tab w:leader="none" w:pos="1476"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as of the date hereof, as of the Firm Shares Closing Date and as of each Option Shares Closing Date (if any), as follows:</w:t>
      </w:r>
    </w:p>
    <w:p>
      <w:pPr>
        <w:spacing w:after="0" w:line="170" w:lineRule="exact"/>
        <w:rPr>
          <w:rFonts w:ascii="Arial" w:cs="Arial" w:eastAsia="Arial" w:hAnsi="Arial"/>
          <w:sz w:val="18"/>
          <w:szCs w:val="18"/>
          <w:color w:val="auto"/>
        </w:rPr>
      </w:pPr>
    </w:p>
    <w:p>
      <w:pPr>
        <w:jc w:val="both"/>
        <w:ind w:firstLine="656"/>
        <w:spacing w:after="0" w:line="282" w:lineRule="auto"/>
        <w:tabs>
          <w:tab w:leader="none" w:pos="107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the Effective Date, the Registration Statement complied, and on the date of the Prospectus, the date any post-effective amendment to the Registration Statement becomes effective, the date any supplement or amendment to the Prospectus is filed with the Commission and each Closing Date, the Registration Statement and the Prospectus (and any amendment thereof or supplement thereto) will comply, in all material respects, with the requirements of the Securities Act and the Rules and the Securities and Exchange Act of 1934, as amended (the "Exchange Act") and the rules and regulations of the Commission thereunder. The Registration Statement did not, as of the Effective Date, contain any untrue statement of a material fact or omit to state any material fact required to be stated therein or necessary in order to make the statements therein not misleading; and on the Effective Date and the other dates referred to above neither the Registration Statement nor the Prospectus, nor any amendment thereof or supplement thereto, will contain any untrue statement of a material fact or will omit to state any material fact required to be stated therein or necessary in order to make the statements therein not misleading. When any Preliminary Prospectus was first filed with the Commission (whether filed as part of the Registration Statement or any amendment thereto or pursuant to Rule 424(a) of the Rules) and when any amendment thereof or supplement thereto was first filed with the Commission, such Preliminary Prospectus as amended or supplemented complied in all material respects with the applicable provisions of the Securities Act and the Rules and did not contain any untrue statement of a material fact or omit to state any material fact required to be stated therein or necessary in order to make the statements therein not misleading. If applicable, each Preliminary Prospectus and the Prospectus delivered to the Underwriters for use in connection with this offering was identical to the electronically transmitted copies thereof filed with the Commission pursuant to EDGAR, except to the extent permitted by Regulation S-T. Notwithstanding the foregoing, none of the representations and warranties in this paragraph 2(a) shall apply to statements in, or omissions from, the Registration Statement, any Preliminary Prospectus or the Prospectus made in reliance upon, and in conformity with, information herein or otherwise furnished in writing by the Representative on behalf of the several Underwriters specifically for use in the Registration Statement, any Preliminary Prospectus or the Prospectus, as the case may be. With respect to the preceding sentence, the Company acknowledges that the only information furnished in writing by the Representative on behalf of the several Underwriters for use in the Registration Statement, any Preliminary Prospectus or the Prospectus consists of the statements contained 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  ] and [  ] paragraphs under the caption "Underwriting" in the Prospectus (collectively, the "Underwriter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31" w:name="page232"/>
    <w:bookmarkEnd w:id="231"/>
    <w:p>
      <w:pPr>
        <w:jc w:val="both"/>
        <w:ind w:firstLine="656"/>
        <w:spacing w:after="0" w:line="254" w:lineRule="auto"/>
        <w:tabs>
          <w:tab w:leader="none" w:pos="106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of the Applicable Time (as hereinafter defined), none of (i) the price to the public and the number of Ordinary Shares offered and sold, as indicated on the cover page of the Prospectus and the Statutory Prospectus (as hereinafter defined), all considered together (collectively, the "General Disclosure Package"), (ii) any individual Issuer Free Writing Prospectus when considered together with the General Disclosure Package, and (iii) any individual Written Testing-the Waters Communication (as defined herein), when considered together with the General Disclosure Package, included, includes or will include any untrue statement of a material fact or omitted, omits or will omit to state any material fact required to be stated therein or necessary in order to make the statements therein, in the light of the circumstances under which they were or will be made, not misleading; provided, however, that this representation and warranty shall not apply to statements in or omissions in the General Disclosure Package made in reliance upon and in conformity with the Underwriter Information.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Issuer Free Writing Prospectus (as hereinafter defined), including any electronic road show (including without limitation any “bona fide electronic road show” as defined in Rule 433(h)(5) under the Securities Act) (each, a “Road Show”) (i) is identified in Schedule III hereto and (ii) complied when issued, and complies, in all material respects with the requirements of the Securities Act and the Rules and the Exchange Act and the rules and regulations of the Commission thereunder. The Company has made at least one version of the Road Show available without restriction by means of graphic communication to any person, including any potential investor in the Shares (and if there is more than one version of a Road Show for the Offering that is a written communication, the version available without restriction was made available no later than the other versions).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Section and elsewhere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“Applicable Time” means [ ]:00 [a.m.]/[p.m.] (Eastern time) on the date of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2" w:name="page233"/>
    <w:bookmarkEnd w:id="232"/>
    <w:p>
      <w:pPr>
        <w:ind w:left="660"/>
        <w:spacing w:after="0" w:line="277" w:lineRule="auto"/>
        <w:rPr>
          <w:sz w:val="20"/>
          <w:szCs w:val="20"/>
          <w:color w:val="auto"/>
        </w:rPr>
      </w:pPr>
      <w:r>
        <w:rPr>
          <w:rFonts w:ascii="Arial" w:cs="Arial" w:eastAsia="Arial" w:hAnsi="Arial"/>
          <w:sz w:val="18"/>
          <w:szCs w:val="18"/>
          <w:color w:val="auto"/>
        </w:rPr>
        <w:t>“Statutory Prospectus” as of any time means the Preliminary Prospectus relating to the Shares that is included in the Registration Statement immediately prior to the Applicable Time.</w:t>
      </w:r>
    </w:p>
    <w:p>
      <w:pPr>
        <w:spacing w:after="0" w:line="17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“Issuer Free Writing Prospectus” means each “free writing prospectus” (as defined in Rule 405 of the Rules) prepared by or on behalf of the Company or used or referred to by the Company in connection with the offering of the Shares, including, without limitation, each Road Show.</w:t>
      </w:r>
    </w:p>
    <w:p>
      <w:pPr>
        <w:spacing w:after="0" w:line="147" w:lineRule="exact"/>
        <w:rPr>
          <w:sz w:val="20"/>
          <w:szCs w:val="20"/>
          <w:color w:val="auto"/>
        </w:rPr>
      </w:pPr>
    </w:p>
    <w:p>
      <w:pPr>
        <w:jc w:val="both"/>
        <w:ind w:firstLine="656"/>
        <w:spacing w:after="0" w:line="273" w:lineRule="auto"/>
        <w:tabs>
          <w:tab w:leader="none" w:pos="10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Registration Statement is effective under the Securities Act and no stop order preventing or suspending the effectiveness of the Registration Statement or suspending or preventing the use of any Preliminary Prospectus, the Prospectus or any “free writing prospectus”, as defined in Rule 405 under the Rules, has been issued by the Commission and no proceedings for that purpose have been instituted or are threatened under the Securities Act. Any required filing of any Preliminary Prospectus and/or the Prospectus and any supplement thereto pursuant to Rule 424(b) of the Rules has been or will be made in the manner and within the time period required by such Rule 424(b). Any material required to be filed by the Company pursuant to Rule 433(d) of the Rules has been or will be made in the manner and within the time period required by such Rules.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0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Issuer Free Writing Prospectus, if any, as of its issue date and at all subsequent times through the completion of the public offer and sale of the Shares or until any earlier date that the Company notified or notifies the Representative as described in the next sentence, did not, does not and will not include any information that conflicted, conflicts or will conflict with the information contained in the Registration Statement, the Statutory Prospectus or the Prospectus.</w:t>
      </w:r>
    </w:p>
    <w:p>
      <w:pPr>
        <w:spacing w:after="0" w:line="187"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 and has promptly amended or will promptly amend or supplement, at its own expense, such Issuer Free Writing Prospectus to eliminate or correct such conflict, untrue statement or omission.</w:t>
      </w:r>
    </w:p>
    <w:p>
      <w:pPr>
        <w:spacing w:after="0" w:line="178" w:lineRule="exact"/>
        <w:rPr>
          <w:sz w:val="20"/>
          <w:szCs w:val="20"/>
          <w:color w:val="auto"/>
        </w:rPr>
      </w:pPr>
    </w:p>
    <w:p>
      <w:pPr>
        <w:jc w:val="both"/>
        <w:ind w:firstLine="656"/>
        <w:spacing w:after="0" w:line="291" w:lineRule="auto"/>
        <w:tabs>
          <w:tab w:leader="none" w:pos="111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financial statements of the Company (including all notes and schedules thereto) included in the Registration Statement, the Statutory Prospectus and Prospectus present fairly the financial position of the Company and its consolidated subsidiaries at the dates indicated and the statement of operations, stockholders' equity and cash flows of the Company and its consolidated subsidiaries for the periods specified; and such financial statements and related schedules and notes thereto, and the unaudited financial information filed with the Commission as part of the Registration Statement, have been prepared in conformity with International Financial Reporting Standards (“IFRS”), consistently applied throughout the periods involved. The summary and selected financial data included in the Statutory Prospectus and Prospectus present fairly the information shown therein as at the respective dates and for the respective periods specified and have been presented on a basis consistent with the consolidated financial statements set forth in the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3" w:name="page234"/>
    <w:bookmarkEnd w:id="233"/>
    <w:p>
      <w:pPr>
        <w:jc w:val="both"/>
        <w:ind w:left="-20" w:firstLine="656"/>
        <w:spacing w:after="0" w:line="264" w:lineRule="auto"/>
        <w:tabs>
          <w:tab w:leader="none" w:pos="10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Kesselman &amp; Kesselman, a member firm of PricewaterhouseCoopers International Limited (the "Auditor"), whose reports are filed with the Commission as a part of the Registration Statement, are and, during the periods covered by their reports, were independent public accountants as required by the Securities Act and the Rules.</w:t>
      </w:r>
    </w:p>
    <w:p>
      <w:pPr>
        <w:spacing w:after="0" w:line="181" w:lineRule="exact"/>
        <w:rPr>
          <w:rFonts w:ascii="Arial" w:cs="Arial" w:eastAsia="Arial" w:hAnsi="Arial"/>
          <w:sz w:val="18"/>
          <w:szCs w:val="18"/>
          <w:color w:val="auto"/>
        </w:rPr>
      </w:pPr>
    </w:p>
    <w:p>
      <w:pPr>
        <w:jc w:val="both"/>
        <w:ind w:left="-20" w:firstLine="656"/>
        <w:spacing w:after="0" w:line="268" w:lineRule="auto"/>
        <w:tabs>
          <w:tab w:leader="none" w:pos="116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Company and each of its subsidiaries, including each entity (corporation, partnership, joint venture, association or other business organization) controlled directly or indirectly by the Company (each, a “subsidiary”), is duly organized, validly existing and in good standing under the laws of their respective jurisdictions of incorporation or organization and each such entity has all requisite power and authority to carry on its business as is currently being conducted as described in the Statutory Prospectus and the Prospectus, and to own, lease and operate its properties. The Company and each of its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have a material adverse effect on the assets, properties, condition, financial or otherwise, or in the results of operations, business affairs or business prospects of the Company and its subsidiaries considered as a whole (a "Material Adverse Effect"); and to the Company’s knowledge, no proceeding has been instituted revoking, limiting, or curtailing, or seeking to revoke, limit or curtail, such power and authority or qualification. The Company or any of its subsidiaries is not designated as a "breaching company" (within the meaning of the Israeli Companies Law, 5759-1999, the "Companies Law") by the Registrar of Companies of the State of Israel (the "Israeli Registrar"). The certificate of incorporation, charter, articles of incorporation, by-laws, articles of association and other organizational documents of the Company and any of its subsidiaries comply with the requirements of applicable law of its jurisdiction of incorporation and are in full force and effect.</w:t>
      </w:r>
    </w:p>
    <w:p>
      <w:pPr>
        <w:spacing w:after="0" w:line="187" w:lineRule="exact"/>
        <w:rPr>
          <w:rFonts w:ascii="Arial" w:cs="Arial" w:eastAsia="Arial" w:hAnsi="Arial"/>
          <w:sz w:val="17"/>
          <w:szCs w:val="17"/>
          <w:color w:val="auto"/>
        </w:rPr>
      </w:pPr>
    </w:p>
    <w:p>
      <w:pPr>
        <w:ind w:left="-20" w:right="20" w:firstLine="656"/>
        <w:spacing w:after="0" w:line="277" w:lineRule="auto"/>
        <w:tabs>
          <w:tab w:leader="none" w:pos="10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at the date hereof</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Company was not and is not an "ineligible issuer," as defined in Rule 405 of the Rules.</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10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would not, singly or in the aggregate, have a Material Adverse Effect, and except as disclosed in the Registration Statement, the Statutory Prospectus and the Prospectus (i) the Company and each of its subsidiaries owns or possesses legally enforceable rights to use all patents, patent rights, inventions, trademarks, trademark applications, trade names, service marks, copyrights, copyright applications, licenses, know-how and other similar intellectual property rights and proprietary knowledge (collectively, "Intangibles") necessary for the conduct of its business and (ii) neither the Company nor any of its subsidiaries has received any written notice of, or is otherwise aware of, any infringement of or conflict with asserted rights of others with respect to any Intangibles.</w:t>
      </w:r>
    </w:p>
    <w:p>
      <w:pPr>
        <w:spacing w:after="0" w:line="193" w:lineRule="exact"/>
        <w:rPr>
          <w:rFonts w:ascii="Arial" w:cs="Arial" w:eastAsia="Arial" w:hAnsi="Arial"/>
          <w:sz w:val="18"/>
          <w:szCs w:val="18"/>
          <w:color w:val="auto"/>
        </w:rPr>
      </w:pPr>
    </w:p>
    <w:p>
      <w:pPr>
        <w:jc w:val="both"/>
        <w:ind w:left="-20" w:firstLine="656"/>
        <w:spacing w:after="0" w:line="255" w:lineRule="auto"/>
        <w:tabs>
          <w:tab w:leader="none" w:pos="10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and each of its subsidiaries has good and marketable title in fee simple to all real property, and good and marketable title to all other property owned by it, in each case free and clear of all liens, encumbrances, claims, security interests and defects, except such as do not materially affect the value of such property and do not materially interfere with the use made or proposed to be made of such property by the Company and its subsidiaries. All real property held under lease by the Company is held by them under valid, existing and enforceable leases, free and clear of all liens, encumbrances, claims, security interests and defects, except such as are not material and do not materially interfere with the use made or proposed to be made of such property by the Company and its subsidiaries.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4" w:name="page235"/>
    <w:bookmarkEnd w:id="234"/>
    <w:p>
      <w:pPr>
        <w:ind w:left="1052" w:hanging="404"/>
        <w:spacing w:after="0"/>
        <w:tabs>
          <w:tab w:leader="none" w:pos="105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Statutory Prospectus and the Prospectus,</w:t>
      </w:r>
    </w:p>
    <w:p>
      <w:pPr>
        <w:spacing w:after="0" w:line="46" w:lineRule="exact"/>
        <w:rPr>
          <w:rFonts w:ascii="Arial" w:cs="Arial" w:eastAsia="Arial" w:hAnsi="Arial"/>
          <w:sz w:val="16"/>
          <w:szCs w:val="16"/>
          <w:color w:val="auto"/>
        </w:rPr>
      </w:pPr>
    </w:p>
    <w:p>
      <w:pPr>
        <w:jc w:val="both"/>
        <w:ind w:left="-8" w:firstLine="8"/>
        <w:spacing w:after="0" w:line="287" w:lineRule="auto"/>
        <w:tabs>
          <w:tab w:leader="none" w:pos="21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there has not been any event which would have a Material Adverse Effect; (ii) neither the Company nor any of its subsidiaries has sustained any loss or interference with its assets, businesses or properties (whether owned or leased) from fire, explosion, earthquake, flood or other calamity, whether or not covered by insurance, or from any labor dispute or any court or legislative or other governmental action, order or decree which would have a Material Adverse Effect; and (iii) except as otherwise disclosed in the Registration Statement, the Statutory Prospectus and the Prospectus, since the date of the latest balance sheet included in the Registration Statement and the Prospectus, neither the Company nor its subsidiaries has (A) issued any securities or incurred any liability or obligation, direct or contingent, for borrowed money, except such liabilities or obligations incurred in the ordinary course of business, (B) entered into any transaction not in the ordinary course of business or (C) declared or paid any dividend or made any distribution on any shares of its stock or redeemed, purchased or otherwise acquired or agreed to redeem, purchase or otherwise acquire any shares of its capital stock.</w:t>
      </w:r>
    </w:p>
    <w:p>
      <w:pPr>
        <w:spacing w:after="0" w:line="170" w:lineRule="exact"/>
        <w:rPr>
          <w:rFonts w:ascii="Arial" w:cs="Arial" w:eastAsia="Arial" w:hAnsi="Arial"/>
          <w:sz w:val="16"/>
          <w:szCs w:val="16"/>
          <w:color w:val="auto"/>
        </w:rPr>
      </w:pPr>
    </w:p>
    <w:p>
      <w:pPr>
        <w:jc w:val="both"/>
        <w:ind w:left="-8" w:firstLine="656"/>
        <w:spacing w:after="0" w:line="287" w:lineRule="auto"/>
        <w:tabs>
          <w:tab w:leader="none" w:pos="113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There is no document, contract or other agreement required to be described in the Registration Statement, the Statutory Prospectus or the Prospectus or to be filed as an exhibit to the Registration Statement which is not described or filed as required by the Securities Act or Rules. Each description of a contract, document or other agreement in the Registration Statement, the Statutory Prospectus or the Prospectus accurately reflects in all material respects the terms of the underlying contract, document or other agreement. Except as disclosed in the Registration Statement, the Statutory Prospectus and the Prospectus, each contract, document or other agreement described in the Registration Statement, the Statutory Prospectus or the Prospectus or listed in the exhibits to the Registration Statement as being in full force and effect is in full force and effect and is valid and enforceable by and against the Company or its subsidiary, as the case may be, in accordance with its terms. Neither the Company, nor to the Company’s knowledge, any other party, is in default in the observance or performance of any term or obligation to be performed by it under any such agreement, and no event has occurred which with notice or lapse of time or both would constitute such a default, in any such case which default or event, individually or in the aggregate, would have a Material Adverse Effect. No default exists, and no event has occurred which with notice or lapse of time or both would constitute a default, in the due performance and observance of any term, covenant or condition by the Company, of any other agreement or instrument to which the Company is a party or by which the Company or its properties or business may be bound or effected, which default or event, individually or in the aggregate, would have a Material Adverse Effect.</w:t>
      </w:r>
    </w:p>
    <w:p>
      <w:pPr>
        <w:spacing w:after="0" w:line="168" w:lineRule="exact"/>
        <w:rPr>
          <w:rFonts w:ascii="Arial" w:cs="Arial" w:eastAsia="Arial" w:hAnsi="Arial"/>
          <w:sz w:val="16"/>
          <w:szCs w:val="16"/>
          <w:color w:val="auto"/>
        </w:rPr>
      </w:pPr>
    </w:p>
    <w:p>
      <w:pPr>
        <w:ind w:left="-8" w:right="20" w:firstLine="656"/>
        <w:spacing w:after="0" w:line="277" w:lineRule="auto"/>
        <w:tabs>
          <w:tab w:leader="none" w:pos="116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statistical and market related data included in the Registration Statement, the Statutory Prospectus or the Prospectus are based on or derived from sources that the Company believes to be reliable and accurate.</w:t>
      </w:r>
    </w:p>
    <w:p>
      <w:pPr>
        <w:spacing w:after="0" w:line="170" w:lineRule="exact"/>
        <w:rPr>
          <w:rFonts w:ascii="Arial" w:cs="Arial" w:eastAsia="Arial" w:hAnsi="Arial"/>
          <w:sz w:val="18"/>
          <w:szCs w:val="18"/>
          <w:color w:val="auto"/>
        </w:rPr>
      </w:pPr>
    </w:p>
    <w:p>
      <w:pPr>
        <w:jc w:val="both"/>
        <w:ind w:left="-8" w:firstLine="656"/>
        <w:spacing w:after="0" w:line="270" w:lineRule="auto"/>
        <w:tabs>
          <w:tab w:leader="none" w:pos="115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Neither the Company nor any subsidiary is (i) in violation of its articles of incorporation, (ii) in default under,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subsidiary of the Company pursuant to any bond, debenture, note, indenture, mortgage, deed of trust, loan agreement or other agreement or instrument to which it is a party or by which it is bound or to which any of its properties or assets is subject, including any instrument or approval granted to any of them by the Israel Innovation Authority (formerly the Office of the Chief Scientist) of the Israeli Ministry of the Economy and Industry (the "IAA"), or (iii) in violation of any statute, law, rule, regulation, ordinance, directive, judgment, decree or order of any judicial, regulatory or other legal or governmental agency or body, foreign or domestic, except (in the case of clauses (ii) and (iii) above) for violations or defaults that would not (individually or in the aggregate) reasonably be expected to have a Material Adverse Effect.</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35" w:name="page236"/>
    <w:bookmarkEnd w:id="235"/>
    <w:p>
      <w:pPr>
        <w:ind w:left="1020" w:hanging="384"/>
        <w:spacing w:after="0"/>
        <w:tabs>
          <w:tab w:leader="none" w:pos="10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jc w:val="both"/>
        <w:ind w:left="-20" w:firstLine="656"/>
        <w:spacing w:after="0" w:line="270" w:lineRule="auto"/>
        <w:tabs>
          <w:tab w:leader="none" w:pos="115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Neither the execution, delivery and performance of this Agreement by the Company nor the consummation of any of the transactions contemplated hereby (including, without limitation, the issuance and sale by the Company of the Shares)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its subsidiaries pursuant to the terms of, any indenture, mortgage, deed of trust or other agreement or instrument to which the Company or any of its subsidiaries is a party or by which either the Company or its subsidiaries or any of their properties or businesses is bound, or any franchise, license, permit, judgment, decree, order, statute, rule or regulation applicable to the Company or any of its subsidiaries, except, in each case, as would not (individually or in the aggregate) reasonably be expected to have a Material Adverse Effect or (ii) violate any provision of the articles of association, charter or by-laws or other organizational documents of the Company or any of its subsidiaries, except for such consents or waivers which have already been obtained and are in full force and effect.</w:t>
      </w:r>
    </w:p>
    <w:p>
      <w:pPr>
        <w:spacing w:after="0" w:line="177" w:lineRule="exact"/>
        <w:rPr>
          <w:rFonts w:ascii="Arial" w:cs="Arial" w:eastAsia="Arial" w:hAnsi="Arial"/>
          <w:sz w:val="17"/>
          <w:szCs w:val="17"/>
          <w:color w:val="auto"/>
        </w:rPr>
      </w:pPr>
    </w:p>
    <w:p>
      <w:pPr>
        <w:jc w:val="both"/>
        <w:ind w:left="-20" w:firstLine="656"/>
        <w:spacing w:after="0" w:line="285" w:lineRule="auto"/>
        <w:tabs>
          <w:tab w:leader="none" w:pos="105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has authorized and outstanding capital stock as set forth under the caption "Capitalization" in the Statutory Prospectus and the Prospectus. The Shares have been duly authorized for issuance by the Company. All of the issued and outstanding shares of capital stock of the Company have been duly and validly issued and are fully paid and nonassessable and have been issued in compliance with all federal, state and local, including Israeli, securities laws. Except as disclosed in the Registration Statement, the Statutory Prospectus and the Prospectus, there are no statutory preemptive or other similar statutory rights to subscribe for or to purchase or acquire any shares of capital stock of the Company, including Ordinary Shares, or any such rights pursuant to its article of association, charter, certificate of incorporation or by-laws or any other applicable organizational documents or any agreement or instrument to or by which the Company or any of its subsidiaries is a party or bound. The Shares have been duly authorized for issuance and sale pursuant to this Agreement and when issued and sold pursuant to this Agreement, will be duly and validly issued, fully paid and nonassessable and none of them will be issued in violation of any preemptive or other similar right. Except as disclosed in the Registration Statement, the Statutory Prospectus and the Prospectus, there is no outstanding option, warrant or other right calling for the issuance of, and there is no commitment, plan or arrangement to issue, any share of capital stock of the Company or any of its subsidiaries or any security convertible into, or exercisable or exchangeable for, such shares. The exercise price of each option to acquire Ordinary Shares (each, a "Company Stock Option") is no less than the fair market value of an Ordinary Share as determined on the date of grant of such Company Stock Option. All grants of Company Stock Options were validly issued and properly approved by the Board of Directors of the Company (and, if required, by a committee of the Board of Directors of the Company and/or the shareholders of the Company) in material compliance with all applicable laws and the terms of the plans under which such Company Stock Options were issued and were recorded on the Company financial statements, in accordance with IFRS as issued by the International Accounting Standards Board, and no such grants involved any "back dating," "forward dating," "spring loading" or similar practices with respect to the effective date of grant. The Ordinary Shares and the Shares conform in all material respects to all statements in relation thereto contained in the Registration Statement and the Statutory Prospectus and the Prospectus.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6" w:name="page237"/>
    <w:bookmarkEnd w:id="236"/>
    <w:p>
      <w:pPr>
        <w:jc w:val="both"/>
        <w:ind w:left="-20" w:firstLine="656"/>
        <w:spacing w:after="0" w:line="257" w:lineRule="auto"/>
        <w:tabs>
          <w:tab w:leader="none" w:pos="106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Statutory Prospectus and the Prospectus, no holder of any security of the Company has any right, which has not been waived, to have any security owned by such holder included in the Registration Statement or to demand registration of any security owned by such holder for a period of 180 days after the date of this Agreement. Each director and executive officer of the Company and each stockholder of the Company listed on Schedule II hereto has delivered to the Representative his or her enforceable written lock-up agreement in the form attached to this Agreement as Exhibit A hereto (the “Lock-Up Agreement”).</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00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and, to the knowledge of the Company, no such proceedings are threatened or contemplated by governmental authorities or threatened by others.</w:t>
      </w:r>
    </w:p>
    <w:p>
      <w:pPr>
        <w:spacing w:after="0" w:line="186" w:lineRule="exact"/>
        <w:rPr>
          <w:rFonts w:ascii="Arial" w:cs="Arial" w:eastAsia="Arial" w:hAnsi="Arial"/>
          <w:sz w:val="18"/>
          <w:szCs w:val="18"/>
          <w:color w:val="auto"/>
        </w:rPr>
      </w:pPr>
    </w:p>
    <w:p>
      <w:pPr>
        <w:ind w:left="-20" w:firstLine="656"/>
        <w:spacing w:after="0" w:line="308" w:lineRule="auto"/>
        <w:tabs>
          <w:tab w:leader="none" w:pos="10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All necessary corporate action has been duly and validly taken by the Company to authorize the execution, delivery and performance of this Agreement by the Company and the issuance and sale of the Shares by the Company, including Chapter 5 of the Part VI of the Companies Law.</w:t>
      </w:r>
    </w:p>
    <w:p>
      <w:pPr>
        <w:spacing w:after="0" w:line="146" w:lineRule="exact"/>
        <w:rPr>
          <w:rFonts w:ascii="Arial" w:cs="Arial" w:eastAsia="Arial" w:hAnsi="Arial"/>
          <w:sz w:val="17"/>
          <w:szCs w:val="17"/>
          <w:color w:val="auto"/>
        </w:rPr>
      </w:pPr>
    </w:p>
    <w:p>
      <w:pPr>
        <w:jc w:val="both"/>
        <w:ind w:left="-20" w:firstLine="656"/>
        <w:spacing w:after="0" w:line="276" w:lineRule="auto"/>
        <w:tabs>
          <w:tab w:leader="none" w:pos="10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involved in any labor dispute nor, to the knowledge of the Company, is any such dispute threatened, which dispute would have a Material Adverse Effect. To the Company’s knowledge, there is no existing or imminent labor disturbance by the employees of any of its principal suppliers or contractors which would have a Material Adverse Effect. To the Company’s knowledge, there is no threatened or pending litigation between the Company or its subsidiaries and any of the Company’s executive officers which, if adversely determined, would have a Material Adverse Effect and has no reason to believe that such officers will not remain in the employment of the Company.</w:t>
      </w:r>
    </w:p>
    <w:p>
      <w:pPr>
        <w:spacing w:after="0" w:line="172" w:lineRule="exact"/>
        <w:rPr>
          <w:rFonts w:ascii="Arial" w:cs="Arial" w:eastAsia="Arial" w:hAnsi="Arial"/>
          <w:sz w:val="17"/>
          <w:szCs w:val="17"/>
          <w:color w:val="auto"/>
        </w:rPr>
      </w:pPr>
    </w:p>
    <w:p>
      <w:pPr>
        <w:jc w:val="both"/>
        <w:ind w:left="-20" w:firstLine="656"/>
        <w:spacing w:after="0" w:line="264" w:lineRule="auto"/>
        <w:tabs>
          <w:tab w:leader="none" w:pos="111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and any of its officers or directors, shareholders or any affiliate or affiliates of any such officer or director or shareholder that is required to be described in and is not so described in the Registration Statement, the Statutory Prospectus and the Prospectus.</w:t>
      </w:r>
    </w:p>
    <w:p>
      <w:pPr>
        <w:spacing w:after="0" w:line="181" w:lineRule="exact"/>
        <w:rPr>
          <w:rFonts w:ascii="Arial" w:cs="Arial" w:eastAsia="Arial" w:hAnsi="Arial"/>
          <w:sz w:val="18"/>
          <w:szCs w:val="18"/>
          <w:color w:val="auto"/>
        </w:rPr>
      </w:pPr>
    </w:p>
    <w:p>
      <w:pPr>
        <w:jc w:val="both"/>
        <w:ind w:left="-20" w:firstLine="656"/>
        <w:spacing w:after="0" w:line="255" w:lineRule="auto"/>
        <w:tabs>
          <w:tab w:leader="none" w:pos="103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Ordinary Shares or any security of the Company to facilitate the sale or resale of any of the Shares. The Company has not engaged and will not engage in any form of solicitation, advertising or other action constituting an offer or a sale under the Israeli Securities Law, 5728-1968, as amended (the "Israeli Securities Law"), and the regulations promulgated thereunder in connection with the transactions contemplated hereby which would require the publication of a prospectus in the State of Israel under the laws of the State of Israel.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37" w:name="page238"/>
    <w:bookmarkEnd w:id="237"/>
    <w:p>
      <w:pPr>
        <w:jc w:val="both"/>
        <w:ind w:left="-20" w:firstLine="656"/>
        <w:spacing w:after="0" w:line="255" w:lineRule="auto"/>
        <w:tabs>
          <w:tab w:leader="none" w:pos="10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would not, in each case, individually or in the aggregate, have a Material Adverse Effect, the Company and each of its subsidiaries (i) has filed all federal, state, local and foreign tax returns which are required to be filed through the date hereof or has received timely extensions thereof, (ii) such returns are true and correct in all respects, and (iii) the Company has paid all taxes shown on such returns and all assessments received by it to the extent that the same have become due. There are no tax audits or investigations pending, which if adversely determined would have a Material Adverse Effect; nor is the Company aware of any proposed additional tax assessments against the Company or any of its subsidiaries, except as would not individually or in the aggregate have a Material Adverse Effect.</w:t>
      </w:r>
    </w:p>
    <w:p>
      <w:pPr>
        <w:spacing w:after="0" w:line="193" w:lineRule="exact"/>
        <w:rPr>
          <w:rFonts w:ascii="Arial" w:cs="Arial" w:eastAsia="Arial" w:hAnsi="Arial"/>
          <w:sz w:val="18"/>
          <w:szCs w:val="18"/>
          <w:color w:val="auto"/>
        </w:rPr>
      </w:pPr>
    </w:p>
    <w:p>
      <w:pPr>
        <w:ind w:left="-20" w:firstLine="656"/>
        <w:spacing w:after="0" w:line="277" w:lineRule="auto"/>
        <w:tabs>
          <w:tab w:leader="none" w:pos="104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Shares have been approved for listing on the NASDAQ Capital Market. A registration statement has been filed on Form 8-A pursuant to Section 12 of the Exchange Act, which registration statement complies in all material respects with the Exchange Act.</w:t>
      </w:r>
    </w:p>
    <w:p>
      <w:pPr>
        <w:spacing w:after="0" w:line="170" w:lineRule="exact"/>
        <w:rPr>
          <w:rFonts w:ascii="Arial" w:cs="Arial" w:eastAsia="Arial" w:hAnsi="Arial"/>
          <w:sz w:val="18"/>
          <w:szCs w:val="18"/>
          <w:color w:val="auto"/>
        </w:rPr>
      </w:pPr>
    </w:p>
    <w:p>
      <w:pPr>
        <w:jc w:val="both"/>
        <w:ind w:left="-20" w:firstLine="656"/>
        <w:spacing w:after="0" w:line="293" w:lineRule="auto"/>
        <w:tabs>
          <w:tab w:leader="none" w:pos="104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books, records and accounts of the Company and its subsidiaries accurately and fairly reflect the transactions in, and dispositions of, the assets of, and the results of operations of, the Company and its subsidiaries. The Company maintains a system of internal accounting controls with respect to the Company and its subsidiaries sufficient to provide reasonable assurances that (i) transactions are executed in accordance with management's general or specific authorizations, (ii) transactions are recorded as necessary to permit preparation of financial statements in accordance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65" w:lineRule="exact"/>
        <w:rPr>
          <w:sz w:val="20"/>
          <w:szCs w:val="20"/>
          <w:color w:val="auto"/>
        </w:rPr>
      </w:pPr>
    </w:p>
    <w:p>
      <w:pPr>
        <w:jc w:val="both"/>
        <w:ind w:left="-20" w:firstLine="656"/>
        <w:spacing w:after="0" w:line="273" w:lineRule="auto"/>
        <w:tabs>
          <w:tab w:leader="none" w:pos="112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such term is defined in Rule 13a-15 under the Exchange Act) that are designed to comply with the requirements of the Exchange Act applicable to the Company and that: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w:t>
      </w:r>
    </w:p>
    <w:p>
      <w:pPr>
        <w:spacing w:after="0" w:line="178" w:lineRule="exact"/>
        <w:rPr>
          <w:rFonts w:ascii="Arial" w:cs="Arial" w:eastAsia="Arial" w:hAnsi="Arial"/>
          <w:sz w:val="17"/>
          <w:szCs w:val="17"/>
          <w:color w:val="auto"/>
        </w:rPr>
      </w:pPr>
    </w:p>
    <w:p>
      <w:pPr>
        <w:jc w:val="both"/>
        <w:ind w:left="-20" w:firstLine="656"/>
        <w:spacing w:after="0" w:line="259" w:lineRule="auto"/>
        <w:tabs>
          <w:tab w:leader="none" w:pos="106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the evaluation of its disclosure controls and procedures, to the Company’s knowledge, there is no (i) material weakness or significant deficiency in the design or operation of internal controls which could adversely affect the Company's ability to record, process, summarize and report financial data or any material weaknesses in internal controls; or (ii) fraud, whether or not material, that involves management or other employees who have a role in the Company's internal controls.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8" w:name="page239"/>
    <w:bookmarkEnd w:id="238"/>
    <w:p>
      <w:pPr>
        <w:jc w:val="both"/>
        <w:ind w:left="-20" w:firstLine="656"/>
        <w:spacing w:after="0" w:line="312" w:lineRule="auto"/>
        <w:tabs>
          <w:tab w:leader="none" w:pos="120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Statutory Prospectus and the Prospectus, there are no material off-balance sheet arrangements (as defined in Item 303 of Regulation S-K) that have or are reasonably likely to have a material current or future effect on the Company’s financial condition, revenues or expenses, changes in financial condition, results of operations, liquidity, capital expenditures or capital resources.</w:t>
      </w:r>
    </w:p>
    <w:p>
      <w:pPr>
        <w:spacing w:after="0" w:line="146" w:lineRule="exact"/>
        <w:rPr>
          <w:rFonts w:ascii="Arial" w:cs="Arial" w:eastAsia="Arial" w:hAnsi="Arial"/>
          <w:sz w:val="16"/>
          <w:szCs w:val="16"/>
          <w:color w:val="auto"/>
        </w:rPr>
      </w:pPr>
    </w:p>
    <w:p>
      <w:pPr>
        <w:jc w:val="both"/>
        <w:ind w:left="-20" w:right="20" w:firstLine="656"/>
        <w:spacing w:after="0" w:line="286" w:lineRule="auto"/>
        <w:tabs>
          <w:tab w:leader="none" w:pos="106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Company’s Board of Directors has validly appointed an audit committee whose composition satisfies the requirements of Rule 5605 of the Nasdaq Stock Market and the Board of Directors and/or the audit committee has adopted a charter that satisfies the requirements of Rule 5605 of the Nasdaq Stock Market. The audit committee has reviewed the adequacy of its charter within the past twelve months.</w:t>
      </w:r>
    </w:p>
    <w:p>
      <w:pPr>
        <w:spacing w:after="0" w:line="165" w:lineRule="exact"/>
        <w:rPr>
          <w:rFonts w:ascii="Arial" w:cs="Arial" w:eastAsia="Arial" w:hAnsi="Arial"/>
          <w:sz w:val="17"/>
          <w:szCs w:val="17"/>
          <w:color w:val="auto"/>
        </w:rPr>
      </w:pPr>
    </w:p>
    <w:p>
      <w:pPr>
        <w:jc w:val="both"/>
        <w:ind w:left="-20" w:firstLine="656"/>
        <w:spacing w:after="0" w:line="276" w:lineRule="auto"/>
        <w:tabs>
          <w:tab w:leader="none" w:pos="115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is in compliance with all other applicable provisions of the Sarbanes-Oxley Act of 2002, as amended (the "Sarbanes-Oxley Act"), any related rules and regulations promulgated by the Commission and corporate governance requirements under applicable Nasdaq regulations upon the effectiveness of such provisions and has no reason to believe that it will not be able to comply with such provisions at the time of effectiveness. There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spacing w:after="0" w:line="172" w:lineRule="exact"/>
        <w:rPr>
          <w:rFonts w:ascii="Arial" w:cs="Arial" w:eastAsia="Arial" w:hAnsi="Arial"/>
          <w:sz w:val="17"/>
          <w:szCs w:val="17"/>
          <w:color w:val="auto"/>
        </w:rPr>
      </w:pPr>
    </w:p>
    <w:p>
      <w:pPr>
        <w:jc w:val="both"/>
        <w:ind w:left="-20" w:firstLine="656"/>
        <w:spacing w:after="0" w:line="253" w:lineRule="auto"/>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and its subsidiaries are insured by insurers of recognized financial responsibility against such losses and risks and in such amounts as are customary in the businesses in which they are engaged or propose to engage after giving effect to the transactions described in the Statutory Prospectus and the Prospectus; all policies of insurance and fidelity or surety bonds insuring the Company or any of its subsidiaries or the Company's or its subsidiaries’ respective businesses, assets, employees, officers and directors are in full force and effect; the Company and each of its subsidiaries are in compliance with the terms of such policies and instruments in all material respects; and neither the Company nor any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its subsidiaries has been denied any insurance coverage which it has sought or for which it has applied, which would reasonably be expected to have a Material Adverse Effect.</w:t>
      </w:r>
    </w:p>
    <w:p>
      <w:pPr>
        <w:spacing w:after="0" w:line="197" w:lineRule="exact"/>
        <w:rPr>
          <w:rFonts w:ascii="Arial" w:cs="Arial" w:eastAsia="Arial" w:hAnsi="Arial"/>
          <w:sz w:val="18"/>
          <w:szCs w:val="18"/>
          <w:color w:val="auto"/>
        </w:rPr>
      </w:pPr>
    </w:p>
    <w:p>
      <w:pPr>
        <w:jc w:val="both"/>
        <w:ind w:left="-20" w:firstLine="656"/>
        <w:spacing w:after="0" w:line="272" w:lineRule="auto"/>
        <w:tabs>
          <w:tab w:leader="none" w:pos="119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contemplated required to be obtained or performed by the Company (except such additional steps as may be required by the Financial Industry Regulatory Authority ("FINRA") or may be necessary to qualify the Shares for public offering by the Underwriters under the state securities or Blue Sky laws) has been obtained or made and is in full force and effect, except for, following the Firm Shares Closing Date and each Option Shares Closing Date (as applicable), (i) certain filings and notices with the Israeli Registrar regarding the issuance of the Shares and the Company becoming a "public company" (within the meaning of the Companies Law) and (ii) providing certain information to the IIA.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39" w:name="page240"/>
    <w:bookmarkEnd w:id="239"/>
    <w:p>
      <w:pPr>
        <w:jc w:val="both"/>
        <w:ind w:left="-20" w:firstLine="656"/>
        <w:spacing w:after="0" w:line="264" w:lineRule="auto"/>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with FINRA among the Company's officers, directors or, to the best of the knowledge of the Company, any five percent or greater shareholder of the Company, except as set forth in the Registration Statement or otherwise disclosed in writing to the Representative.</w:t>
      </w:r>
    </w:p>
    <w:p>
      <w:pPr>
        <w:spacing w:after="0" w:line="181" w:lineRule="exact"/>
        <w:rPr>
          <w:rFonts w:ascii="Arial" w:cs="Arial" w:eastAsia="Arial" w:hAnsi="Arial"/>
          <w:sz w:val="18"/>
          <w:szCs w:val="18"/>
          <w:color w:val="auto"/>
        </w:rPr>
      </w:pPr>
    </w:p>
    <w:p>
      <w:pPr>
        <w:jc w:val="both"/>
        <w:ind w:left="-20" w:firstLine="656"/>
        <w:spacing w:after="0" w:line="288" w:lineRule="auto"/>
        <w:tabs>
          <w:tab w:leader="none" w:pos="110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 Except as would not reasonably be expected to have a Material Adverse Effect, the Company and each of its subsidiaries is in compliance with all rules, laws and regulations relating to the use, treatment, storage and disposal of toxic substances and protection of health or the environment ("Environmental Law") which are applicable to its business; (ii) neither the Company nor its subsidiaries has received any notice from any governmental authority or third party of an asserted claim under Environmental Laws; (iii) the Company and each of its subsidiaries has received all permits, licenses or other approvals required of it under applicable Environmental Laws to conduct its business and is in compliance with all terms and conditions of any such permit, license or approval; (iv) to the Company's knowledge, no facts currently exist that will require the Company or any of its subsidiaries to make future material capital expenditures to comply with Environmental Laws; and (v) no property which is or has been owned, leased or occupied by the Company or any of its subsidiaries has been designated as a Superfund site pursuant to the Comprehensive Environmental Response, Compensation of Liability Act of 1980, as amended (42 U.S.C. Section 9601, et. seq.) or otherwise designated as a contaminated site under other applicable Environmental Laws. Neither the Company nor any of its subsidiaries has been named as a "potentially responsible party" under the CERCLA 1980.</w:t>
      </w:r>
    </w:p>
    <w:p>
      <w:pPr>
        <w:spacing w:after="0" w:line="169" w:lineRule="exact"/>
        <w:rPr>
          <w:rFonts w:ascii="Arial" w:cs="Arial" w:eastAsia="Arial" w:hAnsi="Arial"/>
          <w:sz w:val="16"/>
          <w:szCs w:val="16"/>
          <w:color w:val="auto"/>
        </w:rPr>
      </w:pPr>
    </w:p>
    <w:p>
      <w:pPr>
        <w:jc w:val="both"/>
        <w:ind w:left="-20" w:firstLine="656"/>
        <w:spacing w:after="0" w:line="297" w:lineRule="auto"/>
        <w:tabs>
          <w:tab w:leader="none" w:pos="114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the ordinary course of its business, the Company periodically reviews the effect of Environmental Laws on the business, operations and properties of the Company and its subsidiaries, in the course of which the Company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w:t>
      </w:r>
    </w:p>
    <w:p>
      <w:pPr>
        <w:spacing w:after="0" w:line="158" w:lineRule="exact"/>
        <w:rPr>
          <w:rFonts w:ascii="Arial" w:cs="Arial" w:eastAsia="Arial" w:hAnsi="Arial"/>
          <w:sz w:val="16"/>
          <w:szCs w:val="16"/>
          <w:color w:val="auto"/>
        </w:rPr>
      </w:pPr>
    </w:p>
    <w:p>
      <w:pPr>
        <w:jc w:val="both"/>
        <w:ind w:left="-20" w:firstLine="656"/>
        <w:spacing w:after="0" w:line="264" w:lineRule="auto"/>
        <w:tabs>
          <w:tab w:leader="none" w:pos="108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proceeds thereof as described in the Statutory Prospectus and the Prospectus, will not be required to register as an "investment company" within the meaning of the Investment Company Act of 1940, as amended (the "Investment Company Act").</w:t>
      </w:r>
    </w:p>
    <w:p>
      <w:pPr>
        <w:spacing w:after="0" w:line="181" w:lineRule="exact"/>
        <w:rPr>
          <w:rFonts w:ascii="Arial" w:cs="Arial" w:eastAsia="Arial" w:hAnsi="Arial"/>
          <w:sz w:val="18"/>
          <w:szCs w:val="18"/>
          <w:color w:val="auto"/>
        </w:rPr>
      </w:pPr>
    </w:p>
    <w:p>
      <w:pPr>
        <w:jc w:val="both"/>
        <w:ind w:left="-20" w:firstLine="656"/>
        <w:spacing w:after="0" w:line="255" w:lineRule="auto"/>
        <w:tabs>
          <w:tab w:leader="none" w:pos="11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director, officer, agent or employee of the Company or any other person acting on behalf of the Company or its subsidiaries, has, directly or indirectly, while acting on behalf of the Company or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any provision of any applicable non-U.S. anti-bribery or anti-corruption law or regulation; or (iv) made any other unlawful payment.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0" w:name="page241"/>
    <w:bookmarkEnd w:id="240"/>
    <w:p>
      <w:pPr>
        <w:jc w:val="both"/>
        <w:ind w:left="-20" w:firstLine="656"/>
        <w:spacing w:after="0" w:line="273" w:lineRule="auto"/>
        <w:tabs>
          <w:tab w:leader="none" w:pos="112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applicable money laundering statutes of any jurisdiction where the Company conducts business,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78" w:lineRule="exact"/>
        <w:rPr>
          <w:rFonts w:ascii="Arial" w:cs="Arial" w:eastAsia="Arial" w:hAnsi="Arial"/>
          <w:sz w:val="17"/>
          <w:szCs w:val="17"/>
          <w:color w:val="auto"/>
        </w:rPr>
      </w:pPr>
    </w:p>
    <w:p>
      <w:pPr>
        <w:jc w:val="both"/>
        <w:ind w:left="-20" w:firstLine="656"/>
        <w:spacing w:after="0" w:line="257" w:lineRule="auto"/>
        <w:tabs>
          <w:tab w:leader="none" w:pos="120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or employee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12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 Company has not sold or issued any shares of capital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11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None of the Company, its directors or its officers has distributed nor will distribute prior to the later of (i) the Firm Shares Closing Date, or the Option Shares Closing Date, and (ii) completion of the distribution of the Shares, any offering material in connection with the offering and sale of the Shares other than any Preliminary Prospectus, the Prospectus, the Registration Statement and other materials, if any, permitted by the Securities Act and consistent with the terms of this Agreement.</w:t>
      </w:r>
    </w:p>
    <w:p>
      <w:pPr>
        <w:spacing w:after="0" w:line="186" w:lineRule="exact"/>
        <w:rPr>
          <w:rFonts w:ascii="Arial" w:cs="Arial" w:eastAsia="Arial" w:hAnsi="Arial"/>
          <w:sz w:val="18"/>
          <w:szCs w:val="18"/>
          <w:color w:val="auto"/>
        </w:rPr>
      </w:pPr>
    </w:p>
    <w:p>
      <w:pPr>
        <w:jc w:val="both"/>
        <w:ind w:left="-20" w:firstLine="656"/>
        <w:spacing w:after="0" w:line="257" w:lineRule="auto"/>
        <w:tabs>
          <w:tab w:leader="none" w:pos="111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Since the date of the preliminary prospectus included in the Registration Statement filed with the Commission on _________ (or, if earlier, the first date on which the Company engaged directly or through any Person authorized to act on its behalf in any Testing-the-Waters Communication (as defined herein)) through the date hereof, the Company has been and is an "emerging growth company," as defined in Section 2(a) of the Securities Act (an "Emerging Growth Company"). "Testing-the-Waters Communication" means any oral or written communication with potential investors undertaken in reliance on Section 5(d) of the Securities Act.</w:t>
      </w:r>
    </w:p>
    <w:p>
      <w:pPr>
        <w:spacing w:after="0" w:line="188" w:lineRule="exact"/>
        <w:rPr>
          <w:rFonts w:ascii="Arial" w:cs="Arial" w:eastAsia="Arial" w:hAnsi="Arial"/>
          <w:sz w:val="18"/>
          <w:szCs w:val="18"/>
          <w:color w:val="auto"/>
        </w:rPr>
      </w:pPr>
    </w:p>
    <w:p>
      <w:pPr>
        <w:jc w:val="both"/>
        <w:ind w:left="-20" w:firstLine="656"/>
        <w:spacing w:after="0" w:line="272" w:lineRule="auto"/>
        <w:tabs>
          <w:tab w:leader="none" w:pos="117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(a) has not alone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(b)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(as defined herein) other than those listed on Schedule IV hereto. "Written Testing-the-Waters Communication" means any Testing-the-Waters Communication that is a written communication within the meaning of Rule 405 under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1" w:name="page242"/>
    <w:bookmarkEnd w:id="241"/>
    <w:p>
      <w:pPr>
        <w:jc w:val="both"/>
        <w:ind w:left="-20" w:firstLine="656"/>
        <w:spacing w:after="0" w:line="276" w:lineRule="auto"/>
        <w:tabs>
          <w:tab w:leader="none" w:pos="126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has the power to submit, and pursuant to Section 9 of this Agreement, has legally, validly, effectively and irrevocably submitted, to the personal jurisdiction of each Specified Court (as defined below), and the Company has the power to designate, appoint and authorize, and pursuant to Section 9 of this Agreement, has legally, validly, effectively and irrevocably designated, appointed and authorized an agent for service of process in any action arising out of or relating to this Agreement in any Specified Court, and service of process effected on such authorized agent will be effective to confer valid personal jurisdiction over the Company as provided in Section 9 hereof.</w:t>
      </w:r>
    </w:p>
    <w:p>
      <w:pPr>
        <w:spacing w:after="0" w:line="172" w:lineRule="exact"/>
        <w:rPr>
          <w:rFonts w:ascii="Arial" w:cs="Arial" w:eastAsia="Arial" w:hAnsi="Arial"/>
          <w:sz w:val="17"/>
          <w:szCs w:val="17"/>
          <w:color w:val="auto"/>
        </w:rPr>
      </w:pPr>
    </w:p>
    <w:p>
      <w:pPr>
        <w:ind w:left="1120" w:hanging="484"/>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is a "foreign private issuer" within the meaning of Rule 405 under the Securities Act.</w:t>
      </w:r>
    </w:p>
    <w:p>
      <w:pPr>
        <w:spacing w:after="0" w:line="225" w:lineRule="exact"/>
        <w:rPr>
          <w:rFonts w:ascii="Arial" w:cs="Arial" w:eastAsia="Arial" w:hAnsi="Arial"/>
          <w:sz w:val="18"/>
          <w:szCs w:val="18"/>
          <w:color w:val="auto"/>
        </w:rPr>
      </w:pPr>
    </w:p>
    <w:p>
      <w:pPr>
        <w:jc w:val="both"/>
        <w:ind w:left="-20" w:firstLine="656"/>
        <w:spacing w:after="0" w:line="253" w:lineRule="auto"/>
        <w:tabs>
          <w:tab w:leader="none" w:pos="12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and each of its subsidiaries has all requisite corporate power and authority, and all necessary authorizations, approvals, consents, orders, licenses, certificates and permits of and from all governmental or regulatory bodies or any other person or entity (collectively, the "Permits"), to own, lease and license its assets and properties and conduct its business, all of which are valid and in full force and effect, except where the lack of such Permits, individually or in the aggregate, would not have a Material Adverse Effect. The Company and each of its subsidiaries has fulfilled and performed in all respects all of its obligations with respect to such Permits and no event has occurred that allows, or after notice or lapse of time would allow, revocation or termination thereof or results in any other impairment of the rights of the Company thereunder, except, in each case, as would not reasonably be expected to have a Material Adverse Effect. The Company has not received any written notice denying, revoking or modifying any grants or benefits from the IIA (including, in all such cases, notice of proceedings or investigations related thereto). All information supplied by the Company with respect to the applications or notifications relating to grants and benefits from the IIA was true, correct and complete in all material respects when supplied to the appropriate authorities.</w:t>
      </w:r>
    </w:p>
    <w:p>
      <w:pPr>
        <w:spacing w:after="0" w:line="195" w:lineRule="exact"/>
        <w:rPr>
          <w:sz w:val="20"/>
          <w:szCs w:val="20"/>
          <w:color w:val="auto"/>
        </w:rPr>
      </w:pPr>
    </w:p>
    <w:p>
      <w:pPr>
        <w:ind w:left="-20" w:firstLine="1110"/>
        <w:spacing w:after="0" w:line="277" w:lineRule="auto"/>
        <w:tabs>
          <w:tab w:leader="none" w:pos="159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Conditions of the Underwriters' Obligations</w:t>
      </w:r>
      <w:r>
        <w:rPr>
          <w:rFonts w:ascii="Arial" w:cs="Arial" w:eastAsia="Arial" w:hAnsi="Arial"/>
          <w:sz w:val="18"/>
          <w:szCs w:val="18"/>
          <w:color w:val="auto"/>
        </w:rPr>
        <w:t>. The obligations of the Underwriters under this Agreement are several and not joint. The respective obligations of the Underwriters to purchase the Shares are subject to each of the following terms and conditions:</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10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Notification that the Registration Statement has become effective shall have been received by the Representative and the Prospectus shall have been timely filed with the Commission in accordance with Section 4(a) of this Agreement and any material required to be filed by the Company pursuant to Rule 433(d) of the Rules shall have been timely filed with the Commission in accordance with such rule.</w:t>
      </w:r>
    </w:p>
    <w:p>
      <w:pPr>
        <w:spacing w:after="0" w:line="181" w:lineRule="exact"/>
        <w:rPr>
          <w:rFonts w:ascii="Arial" w:cs="Arial" w:eastAsia="Arial" w:hAnsi="Arial"/>
          <w:sz w:val="18"/>
          <w:szCs w:val="18"/>
          <w:color w:val="auto"/>
        </w:rPr>
      </w:pPr>
    </w:p>
    <w:p>
      <w:pPr>
        <w:jc w:val="both"/>
        <w:ind w:left="-20" w:firstLine="656"/>
        <w:spacing w:after="0" w:line="271" w:lineRule="auto"/>
        <w:tabs>
          <w:tab w:leader="none" w:pos="117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No order preventing or suspending the use of any Preliminary Prospectus, the Prospectus or any Issuer Free Writing Prospectus,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 satisfaction of the Commission and the Representative. If the Company has elected to rely upon Rule 430A, Rule 430A information previously omitted from the effective Registration Statement pursuant to Rule 430A shall have been transmitted to the Commission for filing pursuant to Rule 424(b) within the prescribed time period and the Company shall have provided evidence satisfactory to the Underwriters of such timely filing, or a post-effective amendment providing such information shall have been promptly filed and declared effective in accordance with the requirements of Rule 430A.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2" w:name="page243"/>
    <w:bookmarkEnd w:id="242"/>
    <w:p>
      <w:pPr>
        <w:jc w:val="both"/>
        <w:ind w:left="-20" w:firstLine="656"/>
        <w:spacing w:after="0" w:line="312" w:lineRule="auto"/>
        <w:tabs>
          <w:tab w:leader="none" w:pos="123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this Agreement and in the certificates delivered pursuant to Section 3(d) shall be true and correct when made and on and as of each Closing Date as if made on such date. The Company shall have performed all covenants and agreements and satisfied all the conditions contained in this Agreement required to be performed or satisfied by it at or before such Closing Date.</w:t>
      </w:r>
    </w:p>
    <w:p>
      <w:pPr>
        <w:spacing w:after="0" w:line="146" w:lineRule="exact"/>
        <w:rPr>
          <w:rFonts w:ascii="Arial" w:cs="Arial" w:eastAsia="Arial" w:hAnsi="Arial"/>
          <w:sz w:val="16"/>
          <w:szCs w:val="16"/>
          <w:color w:val="auto"/>
        </w:rPr>
      </w:pPr>
    </w:p>
    <w:p>
      <w:pPr>
        <w:jc w:val="both"/>
        <w:ind w:left="-20" w:firstLine="656"/>
        <w:spacing w:after="0" w:line="286" w:lineRule="auto"/>
        <w:tabs>
          <w:tab w:leader="none" w:pos="110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Representative shall have received on each Closing Date a certificate, addressed to the Representative and dated such Closing Date, of the chief executive and the chief financial officer or chief accounting officer of the Company in such capacity to the effect that: (i) the representations, warranties and agreements of the Company in this Agreement were true and correct when made and are true and correct as of such Closing Date; (ii) the Company has performed all covenants and agreements and satisfied all conditions contained herein; (iii) they have carefully examined the Registration Statement, the Prospectus, the General Disclosure Package, and any individual Issuer Free Writing Prospectus and, in their opinion (A) as of the Effective Date the Registration Statement and Prospectus did not include, and as of the Applicable Time, neither (i) the General Disclosure Package, nor (ii) any individual Issuer Free Writing Prospectus, when considered together with the General Disclosure Package, included, any untrue statement of a material fact and did not omit to state a material fact required to be stated therein or necessary to make the statements therein, in the light of the circumstances under which they were made, not misleading, and (B) since the Effective Date, no event has occurred which should have been set forth in a supplement or otherwise required an amendment to the Registration Statement, the Statutory Prospectus or the Prospectus; (iv) no stop order suspending the effectiveness of the Registration Statement has been issued and, to their knowledge, no proceedings for that purpose have been instituted or are pending under the Securities Act and (v) there has not occurred any material adverse change in the assets, properties, condition, financial or otherwise, or in the results of operations, business affairs or business prospects of the Company and its subsidiaries, considered as a whole.</w:t>
      </w:r>
    </w:p>
    <w:p>
      <w:pPr>
        <w:spacing w:after="0" w:line="174" w:lineRule="exact"/>
        <w:rPr>
          <w:rFonts w:ascii="Arial" w:cs="Arial" w:eastAsia="Arial" w:hAnsi="Arial"/>
          <w:sz w:val="16"/>
          <w:szCs w:val="16"/>
          <w:color w:val="auto"/>
        </w:rPr>
      </w:pPr>
    </w:p>
    <w:p>
      <w:pPr>
        <w:jc w:val="both"/>
        <w:ind w:left="-20" w:firstLine="656"/>
        <w:spacing w:after="0" w:line="272" w:lineRule="auto"/>
        <w:tabs>
          <w:tab w:leader="none" w:pos="114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Representative shall have received: (i) simultaneously with the execution of this Agreement, a signed letter from the Auditor addressed to the Representative and dated the date of this Agreement,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Disclosure Package, and (ii) on each Closing Date, a signed bring-down letter from the Auditor addressed to the Representative and dated the date of such Closing Date(s),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3" w:name="page244"/>
    <w:bookmarkEnd w:id="243"/>
    <w:p>
      <w:pPr>
        <w:jc w:val="both"/>
        <w:ind w:left="-20" w:firstLine="656"/>
        <w:spacing w:after="0" w:line="264" w:lineRule="auto"/>
        <w:tabs>
          <w:tab w:leader="none" w:pos="118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Representative shall have received on each Closing Date from Davis Polk &amp; Wardwell LLP, U.S. counsel for the Company, an opinion and negative assurance statement, addressed to the Representative and dated such Closing Date, in form and substance reasonably satisfactory to the Representative.</w:t>
      </w:r>
    </w:p>
    <w:p>
      <w:pPr>
        <w:spacing w:after="0" w:line="181" w:lineRule="exact"/>
        <w:rPr>
          <w:rFonts w:ascii="Arial" w:cs="Arial" w:eastAsia="Arial" w:hAnsi="Arial"/>
          <w:sz w:val="18"/>
          <w:szCs w:val="18"/>
          <w:color w:val="auto"/>
        </w:rPr>
      </w:pPr>
    </w:p>
    <w:p>
      <w:pPr>
        <w:ind w:left="-20" w:firstLine="656"/>
        <w:spacing w:after="0" w:line="277" w:lineRule="auto"/>
        <w:tabs>
          <w:tab w:leader="none" w:pos="121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Representative shall have received on each Closing Date from Herzog Fox &amp; Neeman, Israeli counsel for the Company, an opinion, addressed to the Representative and dated such Closing Date, in form and substance reasonably satisfactory to the Representative.</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2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Representative shall have received on each Closing Date from Erlich &amp; Fenster, intellectual property counsel for the Company, an opinion and written negative assurances statement, addressed to the Representative and dated such Closing Date, in form and substance satisfactory to the Representative.</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12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from Mintz, Levin, Cohn, Ferris, Glovsky and Popeo, P.C., as U.S. counsel for the Representative, a negative assurance statement, addressed to the Representative and dated as of such Closing Date, with respect to such matters as the Representative may reasonably require, and the Company shall have furnished or provided access to such counsel of such documents as they request for enabling them to pass upon such matters.</w:t>
      </w:r>
    </w:p>
    <w:p>
      <w:pPr>
        <w:spacing w:after="0" w:line="186" w:lineRule="exact"/>
        <w:rPr>
          <w:rFonts w:ascii="Arial" w:cs="Arial" w:eastAsia="Arial" w:hAnsi="Arial"/>
          <w:sz w:val="18"/>
          <w:szCs w:val="18"/>
          <w:color w:val="auto"/>
        </w:rPr>
      </w:pPr>
    </w:p>
    <w:p>
      <w:pPr>
        <w:ind w:left="-20" w:firstLine="656"/>
        <w:spacing w:after="0" w:line="277" w:lineRule="auto"/>
        <w:tabs>
          <w:tab w:leader="none" w:pos="124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All proceedings taken in connection with the sale of the Firm Shares and the Option Shares as herein contemplated shall be reasonably satisfactory in form and substance to the Representative and its counsel.</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19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Representative shall have received copies of the Lock-up Agreements executed by each entity or person listed on Schedule II hereto. In the event that Oppenheimer &amp; Co. Inc., in its sole discretion, agrees to release or waive any restriction set forth in a Lock-Up Agreement for an officer or director of the Company, and provides the Company with notice of the impending release or waiver at least three business days before the effective date of such release or waiver (which release or waiver shall be substantially in the Form found at Exhibit A-1 hereto), the Company agrees to announce the impending release or waiver by a press release substantially in the form of Exhibit A-2 hereto through a major news service at least two business days before the effective date of the release or waiver</w:t>
      </w:r>
      <w:r>
        <w:rPr>
          <w:rFonts w:ascii="Arial" w:cs="Arial" w:eastAsia="Arial" w:hAnsi="Arial"/>
          <w:sz w:val="18"/>
          <w:szCs w:val="18"/>
          <w:i w:val="1"/>
          <w:iCs w:val="1"/>
          <w:color w:val="auto"/>
        </w:rPr>
        <w:t>.</w:t>
      </w:r>
    </w:p>
    <w:p>
      <w:pPr>
        <w:spacing w:after="0" w:line="193" w:lineRule="exact"/>
        <w:rPr>
          <w:rFonts w:ascii="Arial" w:cs="Arial" w:eastAsia="Arial" w:hAnsi="Arial"/>
          <w:sz w:val="18"/>
          <w:szCs w:val="18"/>
          <w:color w:val="auto"/>
        </w:rPr>
      </w:pPr>
    </w:p>
    <w:p>
      <w:pPr>
        <w:ind w:left="1160" w:hanging="524"/>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Capital Market, subject only to official notice of issuance.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4" w:name="page245"/>
    <w:bookmarkEnd w:id="244"/>
    <w:p>
      <w:pPr>
        <w:jc w:val="both"/>
        <w:ind w:left="-20" w:firstLine="656"/>
        <w:spacing w:after="0" w:line="287" w:lineRule="auto"/>
        <w:tabs>
          <w:tab w:leader="none" w:pos="115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Representative shall be reasonably satisfied that since the respective dates as of which information is given in the Registration Statement, the Statutory Prospectus, the General Disclosure Package and the Prospectus, (i) there shall not have been any material change in the capital stock of the Company or any material change in the indebtedness (other than in the ordinary course of business) of the Company, (ii) except as set forth or contemplated by the Registration Statement, the Statutory Prospectus, the General Disclosure Package or the Prospectus, no material oral or written agreement or other transaction shall have been entered into by the Company that is not in the ordinary course of business or that would reasonably be expected to result in a material reduction in the future earnings of the Company, (iii) no loss or damage (whether or not insured) to the property of the Company shall have been sustained that had or would reasonably be expected to have a Material Adverse Effect, (iv) no legal or governmental action, suit or proceeding affecting the Company or any of its properties that is material to the Company or that affects or would reasonably be expected to affect the transactions contemplated by this Agreement shall have been instituted or threatened and (v) there shall not have been any material change in the assets, properties, condition, financial or otherwise, or in the results of operations, business affairs or business prospects of the Company or its subsidiaries, considered as a whole, that makes it impractical or inadvisable in the Representative's judgment to proceed with the purchase or offering of the Shares as contemplated hereby.</w:t>
      </w:r>
    </w:p>
    <w:p>
      <w:pPr>
        <w:spacing w:after="0" w:line="172" w:lineRule="exact"/>
        <w:rPr>
          <w:rFonts w:ascii="Arial" w:cs="Arial" w:eastAsia="Arial" w:hAnsi="Arial"/>
          <w:sz w:val="16"/>
          <w:szCs w:val="16"/>
          <w:color w:val="auto"/>
        </w:rPr>
      </w:pPr>
    </w:p>
    <w:p>
      <w:pPr>
        <w:ind w:left="-20" w:right="20" w:firstLine="656"/>
        <w:spacing w:after="0" w:line="277" w:lineRule="auto"/>
        <w:tabs>
          <w:tab w:leader="none" w:pos="112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agreements in connection with the offering of the Shares.</w:t>
      </w:r>
    </w:p>
    <w:p>
      <w:pPr>
        <w:spacing w:after="0" w:line="170" w:lineRule="exact"/>
        <w:rPr>
          <w:rFonts w:ascii="Arial" w:cs="Arial" w:eastAsia="Arial" w:hAnsi="Arial"/>
          <w:sz w:val="18"/>
          <w:szCs w:val="18"/>
          <w:color w:val="auto"/>
        </w:rPr>
      </w:pPr>
    </w:p>
    <w:p>
      <w:pPr>
        <w:ind w:left="-20" w:firstLine="656"/>
        <w:spacing w:after="0" w:line="277" w:lineRule="auto"/>
        <w:tabs>
          <w:tab w:leader="none" w:pos="13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 such customary certificates or documents as the Representative shall have reasonably requested.</w:t>
      </w:r>
    </w:p>
    <w:p>
      <w:pPr>
        <w:spacing w:after="0" w:line="170" w:lineRule="exact"/>
        <w:rPr>
          <w:rFonts w:ascii="Arial" w:cs="Arial" w:eastAsia="Arial" w:hAnsi="Arial"/>
          <w:sz w:val="18"/>
          <w:szCs w:val="18"/>
          <w:color w:val="auto"/>
        </w:rPr>
      </w:pPr>
    </w:p>
    <w:p>
      <w:pPr>
        <w:ind w:left="1540" w:hanging="450"/>
        <w:spacing w:after="0"/>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Covenants and other Agreements of the Company and the Underwriters</w:t>
      </w:r>
      <w:r>
        <w:rPr>
          <w:rFonts w:ascii="Arial" w:cs="Arial" w:eastAsia="Arial" w:hAnsi="Arial"/>
          <w:sz w:val="18"/>
          <w:szCs w:val="18"/>
          <w:color w:val="auto"/>
        </w:rPr>
        <w:t>.</w:t>
      </w:r>
    </w:p>
    <w:p>
      <w:pPr>
        <w:spacing w:after="0" w:line="225" w:lineRule="exact"/>
        <w:rPr>
          <w:sz w:val="20"/>
          <w:szCs w:val="20"/>
          <w:color w:val="auto"/>
        </w:rPr>
      </w:pPr>
    </w:p>
    <w:p>
      <w:pPr>
        <w:ind w:left="1140" w:hanging="504"/>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225" w:lineRule="exact"/>
        <w:rPr>
          <w:rFonts w:ascii="Arial" w:cs="Arial" w:eastAsia="Arial" w:hAnsi="Arial"/>
          <w:sz w:val="18"/>
          <w:szCs w:val="18"/>
          <w:color w:val="auto"/>
        </w:rPr>
      </w:pPr>
    </w:p>
    <w:p>
      <w:pPr>
        <w:jc w:val="both"/>
        <w:ind w:left="1600" w:firstLine="657"/>
        <w:spacing w:after="0" w:line="273" w:lineRule="auto"/>
        <w:tabs>
          <w:tab w:leader="none" w:pos="291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Company will use its best efforts to cause the Registration Statement, if not effective at the time of execution of this Agreement, and any amendments thereto, to become effective as promptly as possible. The Company shall prepare the Prospectus in a form approved by the Representative and file such Prospectus pursuant to Rule 424(b) under the Securities Act not later than the Commission's close of business on the second business day following the execution and delivery of this Agreement, or, if applicable, such earlier time as may be required by the Rules. The Company will file with the Commission all Issuer Free Writing Prospectuses in the time and manner required under Rules 433(d) or 163(b)(2), as the case may be.</w:t>
      </w:r>
    </w:p>
    <w:p>
      <w:pPr>
        <w:spacing w:after="0" w:line="178" w:lineRule="exact"/>
        <w:rPr>
          <w:rFonts w:ascii="Arial" w:cs="Arial" w:eastAsia="Arial" w:hAnsi="Arial"/>
          <w:sz w:val="17"/>
          <w:szCs w:val="17"/>
          <w:color w:val="auto"/>
        </w:rPr>
      </w:pPr>
    </w:p>
    <w:p>
      <w:pPr>
        <w:jc w:val="both"/>
        <w:ind w:left="1600" w:firstLine="657"/>
        <w:spacing w:after="0" w:line="287" w:lineRule="auto"/>
        <w:tabs>
          <w:tab w:leader="none" w:pos="300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 shall promptly advise the Representative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any "free writing prospectus", as defined in Rule 405 of the Rules, or the institution or threatening of any proceeding for that purpose and (D) of the receipt by the Company of any notification with respect to the suspension of the qualification of the Shares for sale in any jurisdiction or the initiation or threatening of any proceeding for such purpose. The Company shall not file any amendment of the Registration Statement or supplement to the Prospectus or any Issuer Free Writing Prospectus unless the Company has furnished the Representative a copy for its review prior to filing and shall not file any such proposed amendment or supplement to which the Representative reasonably objects. The Company shall use its best efforts to prevent the issuance of any such stop order and, if issued, to obtain as soon as possible the withdrawal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5" w:name="page246"/>
    <w:bookmarkEnd w:id="245"/>
    <w:p>
      <w:pPr>
        <w:jc w:val="both"/>
        <w:ind w:left="420" w:firstLine="657"/>
        <w:spacing w:after="0" w:line="272" w:lineRule="auto"/>
        <w:tabs>
          <w:tab w:leader="none" w:pos="171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at any time when a prospectus relating to the Shares (or, in lieu thereof, the notice referred to in Rule 173(a) of the Rules) is required to be delivered under the Securities Act,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4(a), an amendment or supplement which shall correct such statement or omission or an amendment which shall effect such compliance.</w:t>
      </w:r>
    </w:p>
    <w:p>
      <w:pPr>
        <w:spacing w:after="0" w:line="177" w:lineRule="exact"/>
        <w:rPr>
          <w:rFonts w:ascii="Arial" w:cs="Arial" w:eastAsia="Arial" w:hAnsi="Arial"/>
          <w:sz w:val="17"/>
          <w:szCs w:val="17"/>
          <w:color w:val="auto"/>
        </w:rPr>
      </w:pPr>
    </w:p>
    <w:p>
      <w:pPr>
        <w:jc w:val="both"/>
        <w:ind w:left="420" w:firstLine="657"/>
        <w:spacing w:after="0" w:line="273" w:lineRule="auto"/>
        <w:tabs>
          <w:tab w:leader="none" w:pos="165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at any time following issuance of an Issuer Free Writing Prospectus there occurs an event or development as a result of which such Issuer Free Writing Prospectus would conflict with the information contained in the Registration Statement or would include an untrue statement of a material fact or would omit to state a material fact required to be stated therein or necessary in order to make the statements therein, in the light of the circumstances prevailing at the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78" w:lineRule="exact"/>
        <w:rPr>
          <w:rFonts w:ascii="Arial" w:cs="Arial" w:eastAsia="Arial" w:hAnsi="Arial"/>
          <w:sz w:val="17"/>
          <w:szCs w:val="17"/>
          <w:color w:val="auto"/>
        </w:rPr>
      </w:pPr>
    </w:p>
    <w:p>
      <w:pPr>
        <w:jc w:val="both"/>
        <w:ind w:left="420" w:firstLine="657"/>
        <w:spacing w:after="0" w:line="257" w:lineRule="auto"/>
        <w:tabs>
          <w:tab w:leader="none" w:pos="1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shall make generally available to its security holders and to the Representative as soon as practicable, but not later than 45 days after the end of the 12-month period beginning at the end of the fiscal quarter of the Company during which the Effective Date occurs (or 90 days if such 12-month period coincides with the Company's fiscal year), an earnings statement (which need not be audited) of the Company, covering such 12-month period, which shall satisfy the provisions of Section 11(a) of the Securities Act or Rule 158 of the Rules.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46" w:name="page247"/>
    <w:bookmarkEnd w:id="246"/>
    <w:p>
      <w:pPr>
        <w:jc w:val="both"/>
        <w:ind w:left="420" w:firstLine="657"/>
        <w:spacing w:after="0" w:line="290" w:lineRule="auto"/>
        <w:tabs>
          <w:tab w:leader="none" w:pos="167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Upon request, the Company shall furnish to the Representative and counsel for the Underwriters, without charge, two signed copies of the Registration Statement (including all exhibits thereto and amendments thereof) and to each other Underwriter a copy of the Registration Statement (without exhibits thereto) and all amendments thereof and, so long as delivery of a prospectus by an Underwriter or dealer may be required by the Securities Act or the Rules, as many copies of any Preliminary Prospectus, any Issuer Free Writing Prospectus and the Prospectus and any amendments thereof and supplements thereto as the Representative may reasonably request. If applicable, the copies of the Registration Statement, preliminary prospectus, any Issuer Free Writing Prospectus and Prospectus and each amendment and supplement thereto furnished to the Underwriters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jc w:val="both"/>
        <w:ind w:left="420" w:firstLine="657"/>
        <w:spacing w:after="0" w:line="255" w:lineRule="auto"/>
        <w:tabs>
          <w:tab w:leader="none" w:pos="18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shall cooperate with the Representative and its counsel to use commercially reasonable efforts to qualify the Shares for offer and sale in connection with the offering under the laws of such jurisdictions in the United States as the Representative may reasonably designate and shall maintain such qualifications in effect so long as required for the distribution of the Shares;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93" w:lineRule="exact"/>
        <w:rPr>
          <w:rFonts w:ascii="Arial" w:cs="Arial" w:eastAsia="Arial" w:hAnsi="Arial"/>
          <w:sz w:val="18"/>
          <w:szCs w:val="18"/>
          <w:color w:val="auto"/>
        </w:rPr>
      </w:pPr>
    </w:p>
    <w:p>
      <w:pPr>
        <w:jc w:val="both"/>
        <w:ind w:left="420" w:firstLine="657"/>
        <w:spacing w:after="0" w:line="259" w:lineRule="auto"/>
        <w:tabs>
          <w:tab w:leader="none" w:pos="173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(or in lieu thereof, the notice referred to in Rule 173(a) of the Rules)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7" w:name="page248"/>
    <w:bookmarkEnd w:id="247"/>
    <w:p>
      <w:pPr>
        <w:jc w:val="both"/>
        <w:ind w:left="420" w:firstLine="657"/>
        <w:spacing w:after="0" w:line="284" w:lineRule="auto"/>
        <w:tabs>
          <w:tab w:leader="none" w:pos="191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Without the prior written consent of Oppenheimer &amp; Co. Inc., for a period of 180 days after the date of this Agreement (the “Restricted Period”), the Company shall not issue, sell or register with the Commission (other than on Form S-8 or on any successor form), or otherwise dispose of, directly or indirectly, any equity securities of the Company (or any securities convertible into, exercisable for or exchangeable for equity securities of the Company), except for (A) the issuance of the Shares pursuant to the Registration Statement, (B) the issuance of Ordinary Shares upon the exercise of an option or warrant or grants pursuant to the Company's existing stock option plan or bonus plan as described in the Registration Statement and the Prospectus or the filing by the Company of a registration statement with the Commission on Form S-8 in connection therewith, (C) the issuance of any Ordinary Shares to holders of preferred shares of the Company pursuant to the conversion of the Company’s Series A or Series B preferred shares into Ordinary Shares as described in the Registration Statement, the Statutory Prospectus and the Prospectus, (D) the issuance of any Ordinary Shares to lenders under the Company’s convertible loan agreements pursuant to the conversion of outstanding convertible loans into Ordinary Shares as described in the Registration Statement, the Statutory Prospectus and the Prospectus, (E) the resale of Ordinary Shares registered with the Commission pursuant to the Registration Statement, as described in the Registration Statement, the Statutory Prospectus and the Prospectus, (F) the entrance into an agreement providing for the issuance by the Company of Ordinary Shares or any security convertible into or exercisable for Ordinary Shares in connection with the acquisition by the Company of the securities, business, or other assets of another person or entity or pursuant to an employee benefit plan assumed by the Company in connection with such acquisition, and the issuance of any such securities pursuant to any such agreement and (G) the entry into an agreement providing for the issuance of Ordinary Shares or any security convertible into or exercisable for Ordinary Shares in connection with joint ventures, commercial relationships or other strategic transactions, and the issuance of any such securities pursuant to any such agreement; provided that in the case of clauses (F) and (G), any such issuances shall be approved by a majority of the independent members of the Company’s Board of Directors, and the aggregate number of Ordinary Shares that the Company may sell or issue or agree to sell or issue pursuant to clauses (F) and (G) shall not exceed 5.0% of the total number of Ordinary Shares issued and outstanding immediately following the completion of the transactions contemplated by this Agreement; and provided further, that each recipient of securities issued pursuant to clauses (C) through (G) shall execute a lock-up letter substantially in the form of Exhibit A hereto or (H) the establishment of a trading plan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Ordinary Shares may be made under such plan during the Restricted Period.</w:t>
      </w:r>
    </w:p>
    <w:p>
      <w:pPr>
        <w:spacing w:after="0" w:line="388" w:lineRule="exact"/>
        <w:rPr>
          <w:rFonts w:ascii="Arial" w:cs="Arial" w:eastAsia="Arial" w:hAnsi="Arial"/>
          <w:sz w:val="16"/>
          <w:szCs w:val="16"/>
          <w:color w:val="auto"/>
        </w:rPr>
      </w:pPr>
    </w:p>
    <w:p>
      <w:pPr>
        <w:ind w:left="420" w:firstLine="657"/>
        <w:spacing w:after="0" w:line="277" w:lineRule="auto"/>
        <w:tabs>
          <w:tab w:leader="none" w:pos="20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or before completion of this offering, the Company shall make all filings required under applicable securities laws and by the Nasdaq Capital Market (including any required registration under the Exchange Act).</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48" w:name="page249"/>
    <w:bookmarkEnd w:id="248"/>
    <w:p>
      <w:pPr>
        <w:ind w:left="1600" w:firstLine="657"/>
        <w:spacing w:after="0" w:line="277" w:lineRule="auto"/>
        <w:tabs>
          <w:tab w:leader="none" w:pos="2913"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Company will apply the net proceeds from the offering of the Shares substantially in the manner set forth under "Use of Proceeds" in the Prospectus.</w:t>
      </w:r>
    </w:p>
    <w:p>
      <w:pPr>
        <w:spacing w:after="0" w:line="170" w:lineRule="exact"/>
        <w:rPr>
          <w:rFonts w:ascii="Arial" w:cs="Arial" w:eastAsia="Arial" w:hAnsi="Arial"/>
          <w:sz w:val="18"/>
          <w:szCs w:val="18"/>
          <w:color w:val="auto"/>
        </w:rPr>
      </w:pPr>
    </w:p>
    <w:p>
      <w:pPr>
        <w:jc w:val="both"/>
        <w:ind w:left="1600" w:firstLine="657"/>
        <w:spacing w:after="0" w:line="291" w:lineRule="auto"/>
        <w:tabs>
          <w:tab w:leader="none" w:pos="2886"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Company will promptly notify the Representative if the Company ceases to be an Emerging Growth Company at any time prior to the later of (a) completion of the distribution of the Shares within the meaning of the Securities Act and</w:t>
      </w:r>
    </w:p>
    <w:p>
      <w:pPr>
        <w:ind w:left="1860" w:hanging="251"/>
        <w:spacing w:after="0"/>
        <w:tabs>
          <w:tab w:leader="none" w:pos="18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completion of the 180-day restricted period referred to in Section 4(a)(ix) hereof.</w:t>
      </w:r>
    </w:p>
    <w:p>
      <w:pPr>
        <w:spacing w:after="0" w:line="210" w:lineRule="exact"/>
        <w:rPr>
          <w:rFonts w:ascii="Arial" w:cs="Arial" w:eastAsia="Arial" w:hAnsi="Arial"/>
          <w:sz w:val="18"/>
          <w:szCs w:val="18"/>
          <w:color w:val="auto"/>
        </w:rPr>
      </w:pPr>
    </w:p>
    <w:p>
      <w:pPr>
        <w:jc w:val="both"/>
        <w:ind w:left="1600" w:firstLine="657"/>
        <w:spacing w:after="0" w:line="255" w:lineRule="auto"/>
        <w:tabs>
          <w:tab w:leader="none" w:pos="2925" w:val="left"/>
        </w:tabs>
        <w:numPr>
          <w:ilvl w:val="2"/>
          <w:numId w:val="181"/>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93" w:lineRule="exact"/>
        <w:rPr>
          <w:rFonts w:ascii="Arial" w:cs="Arial" w:eastAsia="Arial" w:hAnsi="Arial"/>
          <w:sz w:val="18"/>
          <w:szCs w:val="18"/>
          <w:color w:val="auto"/>
        </w:rPr>
      </w:pPr>
    </w:p>
    <w:p>
      <w:pPr>
        <w:jc w:val="both"/>
        <w:ind w:left="-20" w:firstLine="656"/>
        <w:spacing w:after="0" w:line="284" w:lineRule="auto"/>
        <w:tabs>
          <w:tab w:leader="none" w:pos="141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Company agrees to pay, or reimburse if paid by the Representative, whether or not the transactions contemplated hereby are consummated or this Agreement is terminated, all costs and expenses incident to the public offering of the Shares and the performance of the obligations of the Company under this Agreement including those relating to: (i) the preparation, printing, reproduction filing and distribution of the Registration Statement, including all exhibits thereto, each Preliminary Prospectus, the Prospectus, any Issuer Free Writing Prospectus, all amendments and supplements thereto, and the printing, filing and distribution of this Agreement, (ii) the preparation and delivery of certificates for the Shares to the Underwriters, (iii) the registration or qualification of the Shares for offer and sale under the securities or Blue Sky laws of the various jurisdictions referred to in Section 4(a)(vii), including the reasonable and documented fees and disbursements of counsel for the Underwriters in connection with such registration and qualification and the preparation, printing, distribution and shipment of preliminary and supplementary Blue Sky memoranda (up to a maximum amount, when taken together with the fees and disbursements of counsel for the Underwriters incurred in connection with clause (v) of this Section 4(b), of $[________]; (iv) the furnishing (including costs of shipping and mailing) to the Representative and to the Underwriters of copies of each Preliminary Prospectus, the Prospectus and all amendments or supplements to the Prospectus, any Issuer Free Writing Prospectus, and of the several documents required by this Section to be so furnished, as may be reasonably requested for use in connection with the offering and sale of the Shares by the Underwriters or by dealers to whom Shares may be sold; (v) the filing fees of FINRA in connection with its review of the terms of the public offering and reasonable and documented fees and disbursements of counsel for the Underwriters in connection with such review (up to a maximum amount, when taken together with the fees and disbursements of counsel for the Underwriters incurred in connection with clause (iii) of this Section 4(b), of $[________]); (vi) inclusion of the Shares for quotation on the Nasdaq Capital Market; (vii) all transfer taxes, if any, with respect to the sale and delivery of the Shares by the Company to the Underwriters; and (viii) all costs and expenses incident to the Offering and the performance of the obligations of the Company under this Agreement, and all reasonable out-of-pocket costs and expenses incident to the performance of the obligations of the Representative under this Agreement (including, without limitation, the reasonably incurred fees and expenses of the Underwriters' outside attorneys), provided that any such out-of-pocket costs and expenses shall not exceed (without the prior consent of the Company which shall not be unreasonably withheld) (A) $50,000 in the aggregate if the offering contemplated hereby is not consummated or (B) $_________ in the aggregate if the offering contemplated hereby is consummated.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9" w:name="page250"/>
    <w:bookmarkEnd w:id="249"/>
    <w:p>
      <w:pPr>
        <w:jc w:val="both"/>
        <w:ind w:left="-20" w:firstLine="656"/>
        <w:spacing w:after="0" w:line="269" w:lineRule="auto"/>
        <w:tabs>
          <w:tab w:leader="none" w:pos="117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Company acknowledges and agrees that each of the Underwriters has acted and is acting solely in the capacity of a principal in an arm's length transaction between the Company, on the one hand, and the Underwriters, on the other hand, with respect to the offering of Shares contemplated hereby (including in connection with determining the terms of the offering) and not as a financial advisor, agent or fiduciary to the Company or any other person. Additionally, the Company acknowledges and agrees that the Underwriters have not and will not advise the Company or any other person as to any legal, tax, investment, accounting or regulatory matters in any jurisdiction. The Company has consulted with its own advisors concerning such matters and shall be responsible for making its own independent investigation and appraisal of the transactions contemplated hereby, and the Underwriters shall have no responsibility or liability to the Company or any other person with respect thereto, whether arising prior to or after the date hereof. Any review by the Underwriters of the Company, the transactions contemplated hereby or other matters relating to such transactions have been and will be performed solely for the benefit of the Underwriters and shall not be on behalf of the Company. The Company agrees that it will not claim that the Underwriters, or any of them, has rendered advisory services of any nature or respect, or owes a fiduciary duty to the Company or any other person in connection with any such transaction or the process leading thereto.</w:t>
      </w:r>
    </w:p>
    <w:p>
      <w:pPr>
        <w:spacing w:after="0" w:line="182" w:lineRule="exact"/>
        <w:rPr>
          <w:rFonts w:ascii="Arial" w:cs="Arial" w:eastAsia="Arial" w:hAnsi="Arial"/>
          <w:sz w:val="17"/>
          <w:szCs w:val="17"/>
          <w:color w:val="auto"/>
        </w:rPr>
      </w:pPr>
    </w:p>
    <w:p>
      <w:pPr>
        <w:jc w:val="both"/>
        <w:ind w:left="-20" w:firstLine="656"/>
        <w:spacing w:after="0" w:line="255" w:lineRule="auto"/>
        <w:tabs>
          <w:tab w:leader="none" w:pos="11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represents and agrees that, unless it obtains the prior consent of the Representative, and each Underwriter represents and agrees that, unless it obtains the prior consent of the Company and the Representative, it has not made and will not make any offer relating to the Shares that would constitute an “issuer free writing prospectus,” as defined in Rule 433, or that would otherwise constitute a “free writing prospectus,” as defined in Rule 405, required to be filed with the Commission. The Company has complied and will comply with the requirements of Rule 433 under the Securities Act applicable to any Issuer Free Writing Prospectus, including timely filing with the Commission where required, legending and record keeping. The Company represents that is has satisfied and agrees that it will satisfy the conditions set forth in Rule 433 of the Rules to avoid a requirement to file with the Commission any Road Show.</w:t>
      </w:r>
    </w:p>
    <w:p>
      <w:pPr>
        <w:spacing w:after="0" w:line="189" w:lineRule="exact"/>
        <w:rPr>
          <w:rFonts w:ascii="Arial" w:cs="Arial" w:eastAsia="Arial" w:hAnsi="Arial"/>
          <w:sz w:val="18"/>
          <w:szCs w:val="18"/>
          <w:color w:val="auto"/>
        </w:rPr>
      </w:pPr>
    </w:p>
    <w:p>
      <w:pPr>
        <w:jc w:val="both"/>
        <w:ind w:left="-20" w:firstLine="656"/>
        <w:spacing w:after="0" w:line="297" w:lineRule="auto"/>
        <w:tabs>
          <w:tab w:leader="none" w:pos="118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acknowledges, understands and agrees that the Shares may be offered and sold in Israel only by the Underwriters and only to such Israeli investors listed in the First Addendum to the Israeli Securities Law (the "Addendum") who submit written confirmation to the Underwriters and the Company that such investor (i) falls within the scope of the Addendum, is aware of the meaning of same and agrees to it and (ii) is acquiring the Shares for investment for its own account or, if applicable, for investment for clients who are investors listed in the Addendum and in any event not as a nominee, market maker or agent and not with a view to, or for the resale in connection with, any distribution thereof (“Israel Accredited Investors”).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0" w:name="page251"/>
    <w:bookmarkEnd w:id="250"/>
    <w:p>
      <w:pPr>
        <w:ind w:left="-20" w:firstLine="656"/>
        <w:spacing w:after="0" w:line="277" w:lineRule="auto"/>
        <w:tabs>
          <w:tab w:leader="none" w:pos="115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acknowledge, understand and agree that the Shares may be offered and sold in Israel only by the Underwriters and only to Israeli Accredited Investors.</w:t>
      </w:r>
    </w:p>
    <w:p>
      <w:pPr>
        <w:spacing w:after="0" w:line="170" w:lineRule="exact"/>
        <w:rPr>
          <w:sz w:val="20"/>
          <w:szCs w:val="20"/>
          <w:color w:val="auto"/>
        </w:rPr>
      </w:pPr>
    </w:p>
    <w:p>
      <w:pPr>
        <w:ind w:left="1600" w:hanging="445"/>
        <w:spacing w:after="0"/>
        <w:tabs>
          <w:tab w:leader="none" w:pos="1600"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656"/>
        <w:spacing w:after="0" w:line="286" w:lineRule="auto"/>
        <w:tabs>
          <w:tab w:leader="none" w:pos="116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its officers and employees and each person, if any, who controls any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they, or any of them, may become subject under the Securities Act, the Exchange Act or other federal or state law or regulation, at common law or otherwise, insofar as such losses, claims, damages or liabilities arise out of or are based upon any untrue statement or alleged untrue statement of a material fact contained in any preliminary prospectus, the Registration Statement, the Statutory Prospectus, the Prospectus, any Issuer Free Writing Prospectus or any "issuer-information" filed or required to be filed pursuant to Rule 433(d) of the Rules, any amendment thereof or supplement thereto, any Written Testing-the-Waters Communication, or arise out of or are based upon any omission or alleged omission to state therein a material fact required to be stated therein or necessary to make the statements therein not misleading; provided, however, that such indemnity shall not inure to the benefit of any Underwriter (or any person controlling such Underwriter) on account of any losses, claims, damages or liabilities arising from the sale of the Shares to any person by such Underwriter if such untrue statement or omission or alleged untrue statement or omission was made in such preliminary prospectus, the Registration Statement, the Prospectus, the Statutory Prospectus, any Issuer Free Writing Prospectus or such amendment or supplement thereto, any Written Testing-the-Waters Communication, in reliance upon and in conformity with the Underwriter Information. This indemnity agreement will be in addition to any liability which the Company may otherwise have.</w:t>
      </w:r>
    </w:p>
    <w:p>
      <w:pPr>
        <w:spacing w:after="0" w:line="171" w:lineRule="exact"/>
        <w:rPr>
          <w:rFonts w:ascii="Arial" w:cs="Arial" w:eastAsia="Arial" w:hAnsi="Arial"/>
          <w:sz w:val="16"/>
          <w:szCs w:val="16"/>
          <w:color w:val="auto"/>
        </w:rPr>
      </w:pPr>
    </w:p>
    <w:p>
      <w:pPr>
        <w:jc w:val="both"/>
        <w:ind w:left="-20" w:firstLine="656"/>
        <w:spacing w:after="0" w:line="287" w:lineRule="auto"/>
        <w:tabs>
          <w:tab w:leader="none" w:pos="121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each person, if any, who controls the Company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the Statutory Prospectus or the Prospectus or any such amendment or supplement in reliance upon and in conformity with the Underwriter Information; provided, however, that the obligation of each Underwriter to indemnify the Company (including any controlling person, director or officer thereof) shall be limited to the amount of the underwriting discount and commissions applicable to the Shares to be purchased by such Underwriter hereunder.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1" w:name="page252"/>
    <w:bookmarkEnd w:id="251"/>
    <w:p>
      <w:pPr>
        <w:jc w:val="both"/>
        <w:ind w:left="-8" w:firstLine="656"/>
        <w:spacing w:after="0" w:line="283" w:lineRule="auto"/>
        <w:tabs>
          <w:tab w:leader="none" w:pos="119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party that proposes to assert the right to be indemnified under this Section 5 will, promptly after receipt of notice of commencement of any action, suit or proceeding against such party in respect of which a claim is to be made against an indemnifying party or parties under this Section 5, notify each such indemnifying party of the commencement of such action, suit or proceeding, enclosing a copy of all papers served. No indemnification provided for in Section 5(a) or 5(b) shall be available to any party who shall fail to give notice as provided in this Section 5(c) if the party to whom notice was not given was unaware of the proceeding to which such notice would have related and was prejudiced by the failure to give such notice but the omission so to notify such indemnifying party of any such action, suit or proceeding shall not relieve it from any liability that it may have to any indemnified party for contribution or otherwise than under this Section 5.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subsequently incurred by such indemnified party in connection with the defense thereof. The indemnified party shall have the right to employ its counsel in any such action, but the reasonably incurred fees and expenses of such counsel shall be at the expense of such indemnified party unless (i) the employment of counsel by such indemnified party has been authorized in writing by the indemnifying parties, (ii) the indemnified party shall have been advised by counsel that there may be one or more legal defenses available to it which are different from or in addition to those available to the indemnifying party (in which case the indemnifying parties shall not have the right to direct the defense of such action on behalf of the indemnified party) or</w:t>
      </w:r>
    </w:p>
    <w:p>
      <w:pPr>
        <w:jc w:val="both"/>
        <w:ind w:left="-8" w:firstLine="8"/>
        <w:spacing w:after="0" w:line="254" w:lineRule="auto"/>
        <w:tabs>
          <w:tab w:leader="none" w:pos="35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indemnifying parties shall not have employed counsel to assume the defense of such action within a reasonable time after notice of the commencement thereof, in each of which cases the reasonably incurred fees and expenses of counsel shall be at the expense of the indemnifying parties. An indemnifying party shall not be liable for any settlement of any action, suit, and proceeding or claim effected without its written consent, which consent shall not be unreasonably withheld or delayed.</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2" w:name="page253"/>
    <w:bookmarkEnd w:id="252"/>
    <w:p>
      <w:pPr>
        <w:jc w:val="both"/>
        <w:ind w:left="-20" w:firstLine="1175"/>
        <w:spacing w:after="0" w:line="284" w:lineRule="auto"/>
        <w:tabs>
          <w:tab w:leader="none" w:pos="1678"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a just and equitable contribution in circumstances in which the indemnification provided for in Section 5(a) or 5(b) is due in accordance with its terms but for any reason is unavailable to or insufficient to hold harmless an indemnified party in respect to any losses, liabilities, claims, damages or expenses referred to therein,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on the one hand and the Underwriters on the other hand from the offering of the Shares pursuant to this Agreement or, if such allocation is not permitted by applicable law, in such proportion as is appropriate to reflect not only the relative benefits referred to above but also the relative fault of the Company on the one hand and the Underwriters on the other hand in connection with the statements or omissions which resulted in such losses, liabilities, claims, damages or expenses, as well as any other relevant equitable considerations. 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6, no Underwriter (except as may be provided in the Agreement Among Underwriters) shall be required to contribute any amount in excess of the underwriting discounts and commissions applicable to the Shares purchased by such Underwriter. No person guilty of fraudulent misrepresentation (within the meaning of Section 11(f) of the Securities Act) shall be entitled to contribution from any person who was not guilty of such fraudulent misrepresentation. For purposes of this Section 6, each person, if any, who controls an Underwriter within the meaning of Section 15 of the Securities Act or Section 20 of the Exchange Act shall have the same rights to contribution as such Underwriter, and each director of the Company, including any person who, with his or her consent, is named in the Registration Statement as about to become a director of the Company, each officer of the Company who signed the Registration Statement, and each person, if any, who controls the Company within the meaning of the Section 15 of the Securities Act or Section 20 of the Exchange Act,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under this Section 6, notify such party or parties from whom contribution may be sought, but the omission to so notify such party or parties from whom contribution may be sought shall not relieve the party or parties from whom contribution may be sought from any other obligation it or they may have hereunder or otherwise than under this Section 6. No party shall be liable for contribution with respect to any action, suit, proceeding or claim settled without its written consent. The Underwriter's obligations to contribute pursuant to this Section 6 are several in proportion to their respective underwriting commitments and not joint.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3" w:name="page254"/>
    <w:bookmarkEnd w:id="253"/>
    <w:p>
      <w:pPr>
        <w:ind w:left="1612" w:hanging="445"/>
        <w:spacing w:after="0"/>
        <w:tabs>
          <w:tab w:leader="none" w:pos="1612" w:val="left"/>
        </w:tabs>
        <w:numPr>
          <w:ilvl w:val="2"/>
          <w:numId w:val="19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83" w:lineRule="auto"/>
        <w:tabs>
          <w:tab w:leader="none" w:pos="1272"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This Agreement may be terminated with respect to the Shares to be purchased on a Closing Date by the Representative by notifying the Company at any time at or before a Closing Date in the absolute discretion of the Representative if: (i) there has occurred any material adverse change in the securities markets or any event, act or occurrence that has materially disrupted, or in the opinion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 inadvisable or impracticable to market the Shares or enforce contracts for the sale of the Shares, (ii) there has occurred any outbreak or material escalation of hostilities or acts of terrorism or other calamity or crisis the effect of which on the financial markets of the United States is such as to make it, in the judgment of the Representative, inadvisable or impracticable to market the Shares or enforce contracts for the sale of the Shares, (iii) trading in the Shares or any securities of the Company has been suspended or materially limited by the Commission or trading generally on the New York Stock Exchange, Inc. or the Nasdaq Stock Market has been suspended or materially limited, or minimum or maximum ranges for prices for securities shall have been fixed, or maximum ranges for prices for securities have been required, by any of said exchanges or by such system or by order of the Commission, FINRA, or any other governmental or regulatory authority,</w:t>
      </w:r>
    </w:p>
    <w:p>
      <w:pPr>
        <w:spacing w:after="0" w:line="4" w:lineRule="exact"/>
        <w:rPr>
          <w:rFonts w:ascii="Arial" w:cs="Arial" w:eastAsia="Arial" w:hAnsi="Arial"/>
          <w:sz w:val="16"/>
          <w:szCs w:val="16"/>
          <w:color w:val="auto"/>
        </w:rPr>
      </w:pPr>
    </w:p>
    <w:p>
      <w:pPr>
        <w:jc w:val="both"/>
        <w:ind w:left="-8" w:firstLine="8"/>
        <w:spacing w:after="0" w:line="254" w:lineRule="auto"/>
        <w:tabs>
          <w:tab w:leader="none" w:pos="30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banking moratorium has been declared by any state or federal authority or (v) in the judgment of the Representative, there has been, since the time of execution of this Agreement or since the respective dates as of which information is given in the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w:t>
      </w:r>
    </w:p>
    <w:p>
      <w:pPr>
        <w:spacing w:after="0" w:line="189" w:lineRule="exact"/>
        <w:rPr>
          <w:rFonts w:ascii="Arial" w:cs="Arial" w:eastAsia="Arial" w:hAnsi="Arial"/>
          <w:sz w:val="18"/>
          <w:szCs w:val="18"/>
          <w:color w:val="auto"/>
        </w:rPr>
      </w:pPr>
    </w:p>
    <w:p>
      <w:pPr>
        <w:jc w:val="both"/>
        <w:ind w:left="-8" w:firstLine="656"/>
        <w:spacing w:after="0" w:line="254" w:lineRule="auto"/>
        <w:tabs>
          <w:tab w:leader="none" w:pos="124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this Agreement is terminated pursuant to any of its provisions, the Company shall not be under any liability to any Underwriter, and no Underwriter shall be under any liability to the Company, except that (i) if this Agreement is terminated by the Representative or the Underwriters because of any failure, refusal or inability on the part of the Company to comply with the terms or to fulfill any of the conditions of this Agreement, the Company will reimburse the Underwriters for all out-of-pocket expenses (including the reasonably incurred fees and disbursements of their counsel) incurred by them in connection with the proposed purchase and sale of the Shares or in contemplation of performing their obligations hereunder and (ii) no Underwriter who shall have failed or refused to purchase the Shares agreed to be purchased by it under this Agreement, without some reason sufficient hereunder to justify cancellation or termination of its obligations under this Agreement, shall be relieved of liability to the Company or to the other Underwriters for damages occasioned by its failure or refusal.</w:t>
      </w:r>
    </w:p>
    <w:p>
      <w:pPr>
        <w:spacing w:after="0" w:line="192" w:lineRule="exact"/>
        <w:rPr>
          <w:rFonts w:ascii="Arial" w:cs="Arial" w:eastAsia="Arial" w:hAnsi="Arial"/>
          <w:sz w:val="18"/>
          <w:szCs w:val="18"/>
          <w:color w:val="auto"/>
        </w:rPr>
      </w:pPr>
    </w:p>
    <w:p>
      <w:pPr>
        <w:jc w:val="both"/>
        <w:ind w:left="-8" w:firstLine="1175"/>
        <w:spacing w:after="0" w:line="286" w:lineRule="auto"/>
        <w:tabs>
          <w:tab w:leader="none" w:pos="1622"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Substitution of Underwriters</w:t>
      </w:r>
      <w:r>
        <w:rPr>
          <w:rFonts w:ascii="Arial" w:cs="Arial" w:eastAsia="Arial" w:hAnsi="Arial"/>
          <w:sz w:val="16"/>
          <w:szCs w:val="16"/>
          <w:color w:val="auto"/>
        </w:rPr>
        <w:t>. If any Underwriter shall default in its obligation to purchase on any Closing Date the Shares agreed to be purchased hereunder on such Closing Date, the Representative shall have the right, within 36 hours thereafter, to make arrangements for one or more of the non-defaulting Underwriters, or any other Underwriters, to purchase such Shares on the terms contained herein. If, however, the Representative shall not have completed such arrangements within such 36-hour period, then the Company shall be entitled to a further period of 36 hours within which to procure another party or other parties satisfactory to the Underwriters to purchase such Shares on such terms. If, after giving effect to any arrangements for the purchase of the Shares of a defaulting Underwriter or Underwriters by the Representative and the Company as provided above, the aggregate number of Shares which remains unpurchased on such Closing Date does not exceed one-eleventh of the aggregate number of all the Shares that all the Underwriters are obligated to purchase on such date, then the Company shall have the right to require each non-defaulting Underwriter to purchase the number of Shares which such Underwriter agreed to purchase hereunder at such date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In any such case, either the Representative or the Company shall have the right to postpone the applicable Closing Date for a period of not more than seven days in order to effect any necessary changes and arrangements (including any necessary amendments or supplements to the Registration Statement or Prospectus or any other documents), and the Company agrees to file promptly any amendments to the Registration Statement or the Prospectus which in the opinion of the Company and the Underwriters and their counsel may thereby be made necessary.</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4" w:name="page255"/>
    <w:bookmarkEnd w:id="254"/>
    <w:p>
      <w:pPr>
        <w:jc w:val="both"/>
        <w:ind w:firstLine="1167"/>
        <w:spacing w:after="0" w:line="271" w:lineRule="auto"/>
        <w:rPr>
          <w:sz w:val="20"/>
          <w:szCs w:val="20"/>
          <w:color w:val="auto"/>
        </w:rPr>
      </w:pPr>
      <w:r>
        <w:rPr>
          <w:rFonts w:ascii="Arial" w:cs="Arial" w:eastAsia="Arial" w:hAnsi="Arial"/>
          <w:sz w:val="17"/>
          <w:szCs w:val="17"/>
          <w:color w:val="auto"/>
        </w:rPr>
        <w:t>If, after giving effect to any arrangements for the purchase of the Shares of a defaulting Underwriter or Underwriters by the Representative and the Company as provided above, the aggregate number of such Shares which remains unpurchased exceeds 10% of the aggregate number of all the Shares to be purchased at such date, then this Agreement, or, with respect to a Closing Date which occurs after the First Closing Date, the obligations of the Underwriters to purchase and of the Company to sell the Option Shares to be purchased and sold on such date, shall terminate, without liability on the part of any non-defaulting Underwriter to the Company, and without liability on the part of the Company, except as provided in Sections 4(b), 5, 6 and 7. The provisions of this Section 8 shall not in any way affect the liability of any defaulting Underwriter to the Company or the nondefaulting Underwriters arising out of such default. The term "Underwriter" as used in this Agreement shall include any person substituted under this Section 8 with like effect as if such person had originally been a party to this Agreement with respect to such Shares.</w:t>
      </w:r>
    </w:p>
    <w:p>
      <w:pPr>
        <w:spacing w:after="0" w:line="179" w:lineRule="exact"/>
        <w:rPr>
          <w:sz w:val="20"/>
          <w:szCs w:val="20"/>
          <w:color w:val="auto"/>
        </w:rPr>
      </w:pPr>
    </w:p>
    <w:p>
      <w:pPr>
        <w:jc w:val="both"/>
        <w:ind w:firstLine="1175"/>
        <w:spacing w:after="0" w:line="276" w:lineRule="auto"/>
        <w:tabs>
          <w:tab w:leader="none" w:pos="1779"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The respective agreements, representations, warranties, indemnities and other statements of the Company and the several Underwriters, as set forth in this Agreement or made by or on behalf of them pursuant to this Agreement, shall remain in full force and effect, regardless of any investigation (or any statement as to the results thereof) made by or on behalf of any Underwriter or the Company or any of their respective officers, directors or controlling persons referred to in Sections 5 and 6 hereof, and shall survive delivery of and payment for the Shares. In addition, the provisions of Sections 4(b), 5, 6 and 7 shall survive the termination or cancellation of this Agreement.</w:t>
      </w:r>
    </w:p>
    <w:p>
      <w:pPr>
        <w:spacing w:after="0" w:line="173" w:lineRule="exact"/>
        <w:rPr>
          <w:sz w:val="20"/>
          <w:szCs w:val="20"/>
          <w:color w:val="auto"/>
        </w:rPr>
      </w:pPr>
    </w:p>
    <w:p>
      <w:pPr>
        <w:jc w:val="both"/>
        <w:ind w:firstLine="1167"/>
        <w:spacing w:after="0" w:line="279" w:lineRule="auto"/>
        <w:rPr>
          <w:sz w:val="20"/>
          <w:szCs w:val="20"/>
          <w:color w:val="auto"/>
        </w:rPr>
      </w:pPr>
      <w:r>
        <w:rPr>
          <w:rFonts w:ascii="Arial" w:cs="Arial" w:eastAsia="Arial" w:hAnsi="Arial"/>
          <w:sz w:val="17"/>
          <w:szCs w:val="17"/>
          <w:color w:val="auto"/>
        </w:rPr>
        <w:t>This Agreement has been and is made for the benefit of the Underwriters, the Company, and their respective successors and assigns, and, to the extent expressed herein, for the benefit of persons controlling any of the Underwriters, or the Company, and directors and officers of the Company, and their respective successors and assigns, and no other person shall acquire or have any right under or by virtue of this Agreement. The term "successors and assigns" shall not include any purchaser of Shares from any Underwriter merely because of such purchase.</w:t>
      </w:r>
    </w:p>
    <w:p>
      <w:pPr>
        <w:spacing w:after="0" w:line="171" w:lineRule="exact"/>
        <w:rPr>
          <w:sz w:val="20"/>
          <w:szCs w:val="20"/>
          <w:color w:val="auto"/>
        </w:rPr>
      </w:pPr>
    </w:p>
    <w:p>
      <w:pPr>
        <w:jc w:val="both"/>
        <w:ind w:firstLine="1167"/>
        <w:spacing w:after="0" w:line="273" w:lineRule="auto"/>
        <w:rPr>
          <w:sz w:val="20"/>
          <w:szCs w:val="20"/>
          <w:color w:val="auto"/>
        </w:rPr>
      </w:pPr>
      <w:r>
        <w:rPr>
          <w:rFonts w:ascii="Arial" w:cs="Arial" w:eastAsia="Arial" w:hAnsi="Arial"/>
          <w:sz w:val="17"/>
          <w:szCs w:val="17"/>
          <w:color w:val="auto"/>
        </w:rPr>
        <w:t>All notices and communications hereunder shall be in writing and mailed or delivered or by telephone or facsimile if subsequently confirmed in writing, (a) if to the Representative, c/o Oppenheimer &amp; Co. Inc., 385 Broad Street, New York, New York 10004 Attention: Equity Capital Markets, with a copy to Oppenheimer &amp; Co. Inc., 385 Broad Street, New York, New York 10004 Attention: General Counsel, and to Mintz, Levin, Cohn, Ferris, Glovsky and Popeo, P.C., 666 Third Avenue, New York, New York 10017, Attention: Ivan K. Blumenthal, Esq., Facsimile: 212-983-3115, and (b) if to the Company, to its agent for service as such agent's address appears on the cover page of the Registration Statement, with a copy to Davis Polk &amp; Wardwell LLP, 450 Lexington Avenue, New York, New York 10017, Attention: Michael Kaplan and Sophia Hudson.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5" w:name="page256"/>
    <w:bookmarkEnd w:id="255"/>
    <w:p>
      <w:pPr>
        <w:jc w:val="both"/>
        <w:ind w:firstLine="1167"/>
        <w:spacing w:after="0" w:line="284" w:lineRule="auto"/>
        <w:rPr>
          <w:sz w:val="20"/>
          <w:szCs w:val="20"/>
          <w:color w:val="auto"/>
        </w:rPr>
      </w:pPr>
      <w:r>
        <w:rPr>
          <w:rFonts w:ascii="Arial" w:cs="Arial" w:eastAsia="Arial" w:hAnsi="Arial"/>
          <w:sz w:val="16"/>
          <w:szCs w:val="16"/>
          <w:b w:val="1"/>
          <w:bCs w:val="1"/>
          <w:color w:val="auto"/>
        </w:rPr>
        <w:t xml:space="preserve">This Agreement shall be governed by and construed in accordance with the internal laws of the State of New York applicable to agreements made and to be performed in such state. </w:t>
      </w:r>
      <w:r>
        <w:rPr>
          <w:rFonts w:ascii="Arial" w:cs="Arial" w:eastAsia="Arial" w:hAnsi="Arial"/>
          <w:sz w:val="16"/>
          <w:szCs w:val="16"/>
          <w:color w:val="auto"/>
        </w:rPr>
        <w:t>Any legal suit, action or proceeding arising out of or based upon this Agreement or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(“Related Proceedings”) may be instituted in the federal courts of the United States of America located in the Borough of Manhattan in the City of New York or the courts of the State of New York in each case located in the Borough of Manhattan in the City of New York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has irrevocably appointed ___________,</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which currently maintains an office at __________, United States of America, as its agent to receive service of process or other legal summons for purposes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any such suit, action or proceeding that may be instituted in any state or federal court in the Borough of Manhattan in the City of New York, United States of America.</w:t>
      </w:r>
    </w:p>
    <w:p>
      <w:pPr>
        <w:spacing w:after="0" w:line="184" w:lineRule="exact"/>
        <w:rPr>
          <w:sz w:val="20"/>
          <w:szCs w:val="20"/>
          <w:color w:val="auto"/>
        </w:rPr>
      </w:pPr>
    </w:p>
    <w:p>
      <w:pPr>
        <w:jc w:val="both"/>
        <w:ind w:firstLine="1167"/>
        <w:spacing w:after="0" w:line="255" w:lineRule="auto"/>
        <w:rPr>
          <w:sz w:val="20"/>
          <w:szCs w:val="20"/>
          <w:color w:val="auto"/>
        </w:rPr>
      </w:pPr>
      <w:r>
        <w:rPr>
          <w:rFonts w:ascii="Arial" w:cs="Arial" w:eastAsia="Arial" w:hAnsi="Arial"/>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6" w:name="page257"/>
    <w:bookmarkEnd w:id="256"/>
    <w:p>
      <w:pPr>
        <w:jc w:val="both"/>
        <w:ind w:firstLine="1167"/>
        <w:spacing w:after="0" w:line="272" w:lineRule="auto"/>
        <w:rPr>
          <w:sz w:val="20"/>
          <w:szCs w:val="20"/>
          <w:color w:val="auto"/>
        </w:rPr>
      </w:pPr>
      <w:r>
        <w:rPr>
          <w:rFonts w:ascii="Arial" w:cs="Arial" w:eastAsia="Arial" w:hAnsi="Arial"/>
          <w:sz w:val="17"/>
          <w:szCs w:val="17"/>
          <w:color w:val="auto"/>
        </w:rPr>
        <w:t>The obligations of the Company pursuant to this Agreement in respect of any sum due to the Underwriters shall, notwithstanding any judgment in a currency other than United States dollars, not be discharged until the first business day, following receipt by the Underwriters of any sum adjudged to be so due in such other currency, on which the Underwriters may in accordance with normal banking procedures purchase United States dollars with such other currency. If the United States dollars so purchased are less than the sum originally due to the Underwriters in United States dollars hereunder, the Company agrees as a separate obligation and notwithstanding any such judgment, to indemnify the Underwriters against such loss. If the United States dollars so purchased are greater than the sum originally due to the Underwriters hereunder, the Underwriters agree to pay to the Company an amount equal to the excess of the dollars so purchased over the sum originally due to the Underwriters hereunder.</w:t>
      </w:r>
    </w:p>
    <w:p>
      <w:pPr>
        <w:spacing w:after="0" w:line="178" w:lineRule="exact"/>
        <w:rPr>
          <w:sz w:val="20"/>
          <w:szCs w:val="20"/>
          <w:color w:val="auto"/>
        </w:rPr>
      </w:pPr>
    </w:p>
    <w:p>
      <w:pPr>
        <w:jc w:val="both"/>
        <w:ind w:firstLine="1167"/>
        <w:spacing w:after="0" w:line="290" w:lineRule="auto"/>
        <w:rPr>
          <w:sz w:val="20"/>
          <w:szCs w:val="20"/>
          <w:color w:val="auto"/>
        </w:rPr>
      </w:pPr>
      <w:r>
        <w:rPr>
          <w:rFonts w:ascii="Arial" w:cs="Arial" w:eastAsia="Arial" w:hAnsi="Arial"/>
          <w:sz w:val="16"/>
          <w:szCs w:val="16"/>
          <w:color w:val="auto"/>
        </w:rPr>
        <w:t>Each Underwriter shall be solely responsible for the payment of all income and similar taxes which apply to it under applicable law, on account of the provision of services provided hereunder, provided, however, that the Company may, only if required under applicable law and subject thereto, withhold, deduct or set-off any amounts as required by applicable law from payments hereunder or in connection with this Agreement. Should any payment required to be made to any Underwriter in accordance with the provisions of this Agreement be subject to withholding of any applicable taxes assessable upon such Underwriter, Company shall inform such Underwriter of such withholding requirement in advance of the first payment to be made by Company to such Underwriter hereunder, so as to allow such Underwriter to obtain and provide Company with an appropriate certificate of exemption or such other valid tax certificate in accordance with the applicable law. No withholding (or reduced withholding) shall be made if a valid exemption or tax certificate provided in accordance with the applicable law is timely obtained, and for as long as such exemption or tax certificate is valid.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ind w:firstLine="1297"/>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confirm that the foregoing correctly sets forth the agreement among us.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ENTERA BIO LTD.</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Confirmed: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289877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itself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annexed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640" w:type="dxa"/>
            <w:vAlign w:val="bottom"/>
            <w:gridSpan w:val="4"/>
          </w:tcPr>
          <w:p>
            <w:pPr>
              <w:ind w:left="1420"/>
              <w:spacing w:after="0"/>
              <w:rPr>
                <w:sz w:val="20"/>
                <w:szCs w:val="20"/>
                <w:color w:val="auto"/>
              </w:rPr>
            </w:pPr>
            <w:r>
              <w:rPr>
                <w:rFonts w:ascii="Arial" w:cs="Arial" w:eastAsia="Arial" w:hAnsi="Arial"/>
                <w:sz w:val="18"/>
                <w:szCs w:val="18"/>
                <w:color w:val="auto"/>
              </w:rPr>
              <w:t>SCHEDULE I</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Firm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b w:val="1"/>
                <w:bCs w:val="1"/>
                <w:color w:val="auto"/>
              </w:rPr>
              <w:t>Be</w:t>
            </w: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Ladenburg Thalmann &amp; Co. Inc.</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Lock-up Signatories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0" w:name="page261"/>
    <w:bookmarkEnd w:id="260"/>
    <w:p>
      <w:pPr>
        <w:jc w:val="center"/>
        <w:ind w:right="-1220"/>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jc w:val="right"/>
        <w:ind w:right="3319"/>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SCHEDULE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Testing-the-Waters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10700"/>
        <w:spacing w:after="0"/>
        <w:rPr>
          <w:sz w:val="20"/>
          <w:szCs w:val="20"/>
          <w:color w:val="auto"/>
        </w:rPr>
      </w:pPr>
      <w:r>
        <w:rPr>
          <w:rFonts w:ascii="Arial" w:cs="Arial" w:eastAsia="Arial" w:hAnsi="Arial"/>
          <w:sz w:val="16"/>
          <w:szCs w:val="16"/>
          <w:color w:val="auto"/>
        </w:rPr>
        <w:t>___,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Oppenheimer &amp; Co.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Oppenheimer &amp; 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 of Entera Bio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undersigned, a holder of ordinary shares, NIS 0.01 (“</w:t>
      </w:r>
      <w:r>
        <w:rPr>
          <w:rFonts w:ascii="Arial" w:cs="Arial" w:eastAsia="Arial" w:hAnsi="Arial"/>
          <w:sz w:val="18"/>
          <w:szCs w:val="18"/>
          <w:b w:val="1"/>
          <w:bCs w:val="1"/>
          <w:color w:val="auto"/>
        </w:rPr>
        <w:t>Ordinary Shares</w:t>
      </w:r>
      <w:r>
        <w:rPr>
          <w:rFonts w:ascii="Arial" w:cs="Arial" w:eastAsia="Arial" w:hAnsi="Arial"/>
          <w:sz w:val="18"/>
          <w:szCs w:val="18"/>
          <w:color w:val="auto"/>
        </w:rPr>
        <w:t>”), or securities convertible into or rights to acquire Ordinary Shares, of Entera Bio Ltd. (the “</w:t>
      </w:r>
      <w:r>
        <w:rPr>
          <w:rFonts w:ascii="Arial" w:cs="Arial" w:eastAsia="Arial" w:hAnsi="Arial"/>
          <w:sz w:val="18"/>
          <w:szCs w:val="18"/>
          <w:b w:val="1"/>
          <w:bCs w:val="1"/>
          <w:color w:val="auto"/>
        </w:rPr>
        <w:t>Company</w:t>
      </w:r>
      <w:r>
        <w:rPr>
          <w:rFonts w:ascii="Arial" w:cs="Arial" w:eastAsia="Arial" w:hAnsi="Arial"/>
          <w:sz w:val="18"/>
          <w:szCs w:val="18"/>
          <w:color w:val="auto"/>
        </w:rPr>
        <w:t>”), understands that Oppenheimer &amp; Co. Inc. (the “</w:t>
      </w:r>
      <w:r>
        <w:rPr>
          <w:rFonts w:ascii="Arial" w:cs="Arial" w:eastAsia="Arial" w:hAnsi="Arial"/>
          <w:sz w:val="18"/>
          <w:szCs w:val="18"/>
          <w:b w:val="1"/>
          <w:bCs w:val="1"/>
          <w:color w:val="auto"/>
        </w:rPr>
        <w:t>Representative</w:t>
      </w:r>
      <w:r>
        <w:rPr>
          <w:rFonts w:ascii="Arial" w:cs="Arial" w:eastAsia="Arial" w:hAnsi="Arial"/>
          <w:sz w:val="18"/>
          <w:szCs w:val="18"/>
          <w:color w:val="auto"/>
        </w:rPr>
        <w:t>”), as Representative of the several Underwriters, proposes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the Company, providing for the initial public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several underwriters named in Schedule I to the Underwriting Agreement (the “</w:t>
      </w:r>
      <w:r>
        <w:rPr>
          <w:rFonts w:ascii="Arial" w:cs="Arial" w:eastAsia="Arial" w:hAnsi="Arial"/>
          <w:sz w:val="18"/>
          <w:szCs w:val="18"/>
          <w:b w:val="1"/>
          <w:bCs w:val="1"/>
          <w:color w:val="auto"/>
        </w:rPr>
        <w:t>Underwriters</w:t>
      </w:r>
      <w:r>
        <w:rPr>
          <w:rFonts w:ascii="Arial" w:cs="Arial" w:eastAsia="Arial" w:hAnsi="Arial"/>
          <w:sz w:val="18"/>
          <w:szCs w:val="18"/>
          <w:color w:val="auto"/>
        </w:rPr>
        <w:t>”), of Ordinary Shares (the “</w:t>
      </w:r>
      <w:r>
        <w:rPr>
          <w:rFonts w:ascii="Arial" w:cs="Arial" w:eastAsia="Arial" w:hAnsi="Arial"/>
          <w:sz w:val="18"/>
          <w:szCs w:val="18"/>
          <w:b w:val="1"/>
          <w:bCs w:val="1"/>
          <w:color w:val="auto"/>
        </w:rPr>
        <w:t>Securities</w:t>
      </w:r>
      <w:r>
        <w:rPr>
          <w:rFonts w:ascii="Arial" w:cs="Arial" w:eastAsia="Arial" w:hAnsi="Arial"/>
          <w:sz w:val="18"/>
          <w:szCs w:val="18"/>
          <w:color w:val="auto"/>
        </w:rPr>
        <w:t>”) pursuant to a registration statement on Form F-1.</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jc w:val="both"/>
        <w:ind w:firstLine="648"/>
        <w:spacing w:after="0" w:line="283" w:lineRule="auto"/>
        <w:rPr>
          <w:sz w:val="20"/>
          <w:szCs w:val="20"/>
          <w:color w:val="auto"/>
        </w:rPr>
      </w:pPr>
      <w:r>
        <w:rPr>
          <w:rFonts w:ascii="Arial" w:cs="Arial" w:eastAsia="Arial" w:hAnsi="Arial"/>
          <w:sz w:val="16"/>
          <w:szCs w:val="16"/>
          <w:color w:val="auto"/>
        </w:rPr>
        <w:t>In consideration of the Underwriters’ agreement to enter into the Underwriting Agreement and to proceed with the Offering, and for other good and valuable consideration, receipt of which is hereby acknowledged, the undersigned hereby agrees for the benefit of the Company, you and the other Underwriters that, without the prior written consent of the Representative on behalf of the Underwriters, in accordance with the terms of the Underwriting Agreement, the undersigned will not, from the date hereof through the period ending 180 days (the “</w:t>
      </w:r>
      <w:r>
        <w:rPr>
          <w:rFonts w:ascii="Arial" w:cs="Arial" w:eastAsia="Arial" w:hAnsi="Arial"/>
          <w:sz w:val="16"/>
          <w:szCs w:val="16"/>
          <w:b w:val="1"/>
          <w:bCs w:val="1"/>
          <w:color w:val="auto"/>
        </w:rPr>
        <w:t>Lock-Up Period</w:t>
      </w:r>
      <w:r>
        <w:rPr>
          <w:rFonts w:ascii="Arial" w:cs="Arial" w:eastAsia="Arial" w:hAnsi="Arial"/>
          <w:sz w:val="16"/>
          <w:szCs w:val="16"/>
          <w:color w:val="auto"/>
        </w:rPr>
        <w:t>”) following the date of the Underwriting Agreement, directly or indirectly, unless otherwise provided herein, (1) offer, pledge, assign, encumber, announce the intention to sell, sell, contract to sell, sell any option or contract to purchase, purchase any option or contract to sell, grant any option, right or warrant to purchase, or otherwise transfer or dispose of, any Ordinary Shares or any securities convertible into or exercisable or exchangeable for Ordinary Shares either owned of record or beneficially owned (as defined in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on the date hereof or hereafter acquired (the “</w:t>
      </w:r>
      <w:r>
        <w:rPr>
          <w:rFonts w:ascii="Arial" w:cs="Arial" w:eastAsia="Arial" w:hAnsi="Arial"/>
          <w:sz w:val="16"/>
          <w:szCs w:val="16"/>
          <w:b w:val="1"/>
          <w:bCs w:val="1"/>
          <w:color w:val="auto"/>
        </w:rPr>
        <w:t>Lock-Up Securities</w:t>
      </w:r>
      <w:r>
        <w:rPr>
          <w:rFonts w:ascii="Arial" w:cs="Arial" w:eastAsia="Arial" w:hAnsi="Arial"/>
          <w:sz w:val="16"/>
          <w:szCs w:val="16"/>
          <w:color w:val="auto"/>
        </w:rPr>
        <w:t>”) or (2) enter into any swap, hedge or other agreement that transfers, in whole or in part, any of the economic consequences of ownership of the Lock-Up Securities, whether any such transaction described in clauses (1) or (2) above is to be settled by delivery of Ordinary Shares or such other securities, in cash or otherwise, or publicly announce an intention to do any of the foregoing. In addition, the undersigned agrees that, without the prior written consent of the Representative, it will not, during the Lock-Up Period, make any demand for or exercise any right with respect to, the registration of any Ordinary Shares or any security convertible into or exercisable or exchangeable for Ordinary Shares. The foregoing shall not apply to (a) the Lock-Up Securities to be transferred as a bona fide gift or gifts (provided that any donee thereof agrees in writing to be bound by the terms hereof), (b) the transfer of the Lock-Up Securities (1) to any immediate family member (provided that any such recipient agrees in writing to be bound by the terms hereof) or to any trust for the direct or indirect benefit of the undersigned or the immediate family of the undersigned, (2) if the undersigned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of the undersigned or any investment fund or other entity controlled or managed by the undersigned or (B) to limited partners,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members or stockholders of the undersigned (provided that any such transfer in this clause (2) shall not involve a disposition for value), (3) if the undersigned is a trust, to the beneficiary of such trust, (4) by testate succession or intestate succession, (5) by operation of law or by an order of a court or regulatory agency, such as pursuant to a qualified domestic order or in connection with a divorce settlement, (6) pursuant to any contract, instruction or plan that satisfies all of the requirements of Rule 10b5-1 under the Exchange Act established prior to the date of this agreement (the “</w:t>
      </w:r>
      <w:r>
        <w:rPr>
          <w:rFonts w:ascii="Arial" w:cs="Arial" w:eastAsia="Arial" w:hAnsi="Arial"/>
          <w:sz w:val="16"/>
          <w:szCs w:val="16"/>
          <w:b w:val="1"/>
          <w:bCs w:val="1"/>
          <w:color w:val="auto"/>
        </w:rPr>
        <w:t>Letter Agreement</w:t>
      </w:r>
      <w:r>
        <w:rPr>
          <w:rFonts w:ascii="Arial" w:cs="Arial" w:eastAsia="Arial" w:hAnsi="Arial"/>
          <w:sz w:val="16"/>
          <w:szCs w:val="16"/>
          <w:color w:val="auto"/>
        </w:rPr>
        <w:t xml:space="preserve">”), (7) the exercise of an option to purchase any Ordinary Shares (including by way of “net” or “cashless” exercise of stock options) or the vesting, conversion, exchange, settlement or delivery of Ordinary Shares in connection with any stock incentive plan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Ordinary Shares received by the undersigned upon such exercise, vesting, conversion, exchange, settlement or delivery shall be subject to the restrictions on transfer set forth herein, (8) the exercise of a warrant to purchase Ordinary Shares (including by way of “net” or “cashless” exercise of warrants),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Ordinary Shares received by the undersigned upon such exercise shall be subject to the restrictions on transfer set forth herein, (9) the exercise of an optional conversion right pursuant to the Company’s convertible loan agreements or Series A or Series B preferred share purchase agreements to convert outstanding convertible loan amounts or preferred shares into the Company’s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Ordinary Shares received by the undersigned upon such conversion shall be subject to the restrictions on transfer set forth herein, (10) transfers or dispositions of Ordinary Shares prior to the first filing of a prospectus for the Public Offering with a “price range” set forth on the cover of such prospectus, or (11) to a nominee or custodian of a person or entity to whom a disposition or transfer would be permissible under clauses (1)-(10)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case of clauses (1)-(3) and (10), that the transferee agrees in writing with the Representative to be bound by the terms of this Letter Agreement, (c) transfers of Ordinary Shares, warrants or Company stock options to the Company (including by way of “net” or “cashless” exercise of stock options or warrants), (d) with the prior written consent of the Representative on behalf of the Underwriters, and (e) the establishment of a trading plan pursuant to Rule 10b5-1 under the Exchange Act for the transfer of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Ordinary Shares during the Lock-Up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Ordinary Shares may be made under such plan during the Lock-Up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jc w:val="both"/>
        <w:ind w:firstLine="648"/>
        <w:spacing w:after="0" w:line="269" w:lineRule="auto"/>
        <w:rPr>
          <w:sz w:val="20"/>
          <w:szCs w:val="20"/>
          <w:color w:val="auto"/>
        </w:rPr>
      </w:pPr>
      <w:r>
        <w:rPr>
          <w:rFonts w:ascii="Arial" w:cs="Arial" w:eastAsia="Arial" w:hAnsi="Arial"/>
          <w:sz w:val="17"/>
          <w:szCs w:val="17"/>
          <w:color w:val="auto"/>
        </w:rPr>
        <w:t>Notwithstanding the foregoing, and subject to the conditions in this paragraph, the undersigned may also transfer the Lock-Up Securities during the Lock-Up Period without the prior written consent of the Representative if any such transfers are made by the undersigned: (i) to satisfy tax withholding obligations of the undersigned in connection with the vesting or exercise of equity awards outstanding as of the date of the preliminary prospectus by the undersigned pursuant to the Company’s equity compensation plans and arrangements; or (ii) pursuant to the conversion or sale of, or an offer to purchase, outstanding Ordinary Shares involving a change of control for the Company, whether pursuant to a merger, tender offer or otherwise; provided, however, that in the case of any transfer described in clause (i) of this paragraph, it shall be a condition to the transfer that if the undersigned is required to file a report under Section 16(a), the undersigned shall include a statement in such report to the effect that such transfer is being made for tax withholding obligations; and provided further that in the case of any conversion or sale described in clause (ii) of this paragraph, in the event that such transaction is abandoned, the Lock-Up Securities shall remain subject to the restrictions hereunder. Furthermore, the undersigned may sell Ordinary Shares of the Company purchased by the undersigned on the open market following the Offering during the Lock-Up Period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Lock-Up Securities described herein, are hereby authorized to decline to make any transfer of securities if such transfer would constitute a violation or breach of this Letter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understands that, if the Underwriting Agreement does not become effective by January 31, 2017, or if the Underwriting Agreement (other than the provisions thereof which survive termination) shall terminate or be terminated prior to payment for and delivery of the Securities to be sold thereunder, the undersigned shall be released from all obligations under this Letter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whether or not participating in the Offering, understands that the Underwriters are entering into the Underwriting Agreement and proceeding with the Offering in reliance upon this Letter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ind w:firstLine="648"/>
        <w:spacing w:after="0" w:line="277" w:lineRule="auto"/>
        <w:rPr>
          <w:sz w:val="20"/>
          <w:szCs w:val="20"/>
          <w:color w:val="auto"/>
        </w:rPr>
      </w:pPr>
      <w:r>
        <w:rPr>
          <w:rFonts w:ascii="Arial" w:cs="Arial" w:eastAsia="Arial" w:hAnsi="Arial"/>
          <w:sz w:val="18"/>
          <w:szCs w:val="18"/>
          <w:color w:val="auto"/>
        </w:rPr>
        <w:t>This Letter Agreement shall be governed by and construed in accordance with the laws of the State of New York, without regard to the conflict of laws principles thereof (other than New York General Obligations Law § 5-1401).</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t>Exhibit A-1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Letterhead]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Ordinary Shares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20[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letter is being delivered to you in connection with the offering by [Corporation] (the “Company”) of [ ] Ordinary Shares, NIS[ ] par value (the “Ordinary Shares”), of the Company and the lock-up agreement dated [ ], 20[ ] (the “Lock-up Agreement”), executed by you in connection with such offering, and your request for a [waiver] [release] dated [ ], 20[ ], with respect to [ ] Ordinary Shares (the “Shares”).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Oppenheimer &amp; Co. Inc. hereby agrees to [waive] [release] the transfer restrictions set forth in the Lock-up Letter, but only with respect to the Shares, effective [ ], 20[ ][date to be 3 business days from date of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OPPENHEIMER &amp; CO. INC.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cc: [Company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7" w:name="page268"/>
    <w:bookmarkEnd w:id="267"/>
    <w:p>
      <w:pPr>
        <w:ind w:left="10560"/>
        <w:spacing w:after="0"/>
        <w:rPr>
          <w:sz w:val="20"/>
          <w:szCs w:val="20"/>
          <w:color w:val="auto"/>
        </w:rPr>
      </w:pPr>
      <w:r>
        <w:rPr>
          <w:rFonts w:ascii="Arial" w:cs="Arial" w:eastAsia="Arial" w:hAnsi="Arial"/>
          <w:sz w:val="17"/>
          <w:szCs w:val="17"/>
          <w:color w:val="auto"/>
        </w:rPr>
        <w:t>Exhibit A-2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 Up Waiver/Release Company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announced today that Oppenheimer &amp; Co. Inc., the [lead book-running] manager in the Company’s recent public sale of [ ] ordinary shares, is [waiving] [releasing] a lock-up restriction with respect to [ ] ordinary shares of the Company held by [ ], an [officer/director] of the Company. The [waiver] [release] will take effect on [ ], 20[ ], and the related shares may be sold on or after such date.</w:t>
      </w:r>
    </w:p>
    <w:p>
      <w:pPr>
        <w:spacing w:after="0" w:line="17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Entera Bio Ltd.’s subsidiaries as of January 9, 2018.</w:t>
      </w:r>
    </w:p>
    <w:p>
      <w:pPr>
        <w:spacing w:after="0" w:line="225"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Entera Bio, Inc.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269365" cy="107188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12693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use in this Amendment No. 3 to the Registration Statement on Form F-1 of Entera Bio Ltd. of our report dated July 13, 2017 relating to the financial statements,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Tel-Aviv, Israel</w:t>
            </w:r>
          </w:p>
        </w:tc>
        <w:tc>
          <w:tcPr>
            <w:tcW w:w="8520" w:type="dxa"/>
            <w:vAlign w:val="bottom"/>
          </w:tcPr>
          <w:p>
            <w:pPr>
              <w:ind w:left="1680"/>
              <w:spacing w:after="0"/>
              <w:rPr>
                <w:sz w:val="20"/>
                <w:szCs w:val="20"/>
                <w:color w:val="auto"/>
              </w:rPr>
            </w:pPr>
            <w:r>
              <w:rPr>
                <w:rFonts w:ascii="Arial" w:cs="Arial" w:eastAsia="Arial" w:hAnsi="Arial"/>
                <w:sz w:val="18"/>
                <w:szCs w:val="18"/>
                <w:color w:val="auto"/>
              </w:rPr>
              <w:t>/s/ Kesselman &amp; Kesselman</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January 10, 2018</w:t>
            </w:r>
          </w:p>
        </w:tc>
        <w:tc>
          <w:tcPr>
            <w:tcW w:w="8520" w:type="dxa"/>
            <w:vAlign w:val="bottom"/>
          </w:tcPr>
          <w:p>
            <w:pPr>
              <w:ind w:left="1680"/>
              <w:spacing w:after="0"/>
              <w:rPr>
                <w:sz w:val="20"/>
                <w:szCs w:val="20"/>
                <w:color w:val="auto"/>
              </w:rPr>
            </w:pPr>
            <w:r>
              <w:rPr>
                <w:rFonts w:ascii="Arial" w:cs="Arial" w:eastAsia="Arial" w:hAnsi="Arial"/>
                <w:sz w:val="18"/>
                <w:szCs w:val="18"/>
                <w:color w:val="auto"/>
              </w:rPr>
              <w:t>Certified Public Accountants (lsr.)</w:t>
            </w:r>
          </w:p>
        </w:tc>
      </w:tr>
      <w:tr>
        <w:trPr>
          <w:trHeight w:val="230"/>
        </w:trPr>
        <w:tc>
          <w:tcPr>
            <w:tcW w:w="2900" w:type="dxa"/>
            <w:vAlign w:val="bottom"/>
          </w:tcPr>
          <w:p>
            <w:pPr>
              <w:spacing w:after="0"/>
              <w:rPr>
                <w:sz w:val="20"/>
                <w:szCs w:val="20"/>
                <w:color w:val="auto"/>
              </w:rPr>
            </w:pPr>
          </w:p>
        </w:tc>
        <w:tc>
          <w:tcPr>
            <w:tcW w:w="8520" w:type="dxa"/>
            <w:vAlign w:val="bottom"/>
          </w:tcPr>
          <w:p>
            <w:pPr>
              <w:ind w:left="1680"/>
              <w:spacing w:after="0"/>
              <w:rPr>
                <w:sz w:val="20"/>
                <w:szCs w:val="20"/>
                <w:color w:val="auto"/>
              </w:rPr>
            </w:pPr>
            <w:r>
              <w:rPr>
                <w:rFonts w:ascii="Arial" w:cs="Arial" w:eastAsia="Arial" w:hAnsi="Arial"/>
                <w:sz w:val="18"/>
                <w:szCs w:val="18"/>
                <w:color w:val="auto"/>
              </w:rPr>
              <w:t>A member firm of PricewaterhouseCoopers International Limited</w:t>
            </w:r>
          </w:p>
        </w:tc>
      </w:tr>
      <w:tr>
        <w:trPr>
          <w:trHeight w:val="689"/>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1)"/>
      <w:numFmt w:val="decimal"/>
      <w:start w:val="1"/>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1)"/>
      <w:numFmt w:val="decimal"/>
      <w:start w:val="1"/>
    </w:lvl>
  </w:abstractNum>
  <w:abstractNum w:abstractNumId="12">
    <w:nsid w:val="14FCE74E"/>
    <w:multiLevelType w:val="hybridMultilevel"/>
    <w:lvl w:ilvl="0">
      <w:lvlJc w:val="left"/>
      <w:lvlText w:val="(%1)"/>
      <w:numFmt w:val="decimal"/>
      <w:start w:val="2"/>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1)"/>
      <w:numFmt w:val="decimal"/>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1)"/>
      <w:numFmt w:val="decimal"/>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1)"/>
      <w:numFmt w:val="decimal"/>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lvl w:ilvl="1">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1)"/>
      <w:numFmt w:val="decimal"/>
      <w:start w:val="2"/>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1)"/>
      <w:numFmt w:val="decimal"/>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1)"/>
      <w:numFmt w:val="decimal"/>
      <w:start w:val="1"/>
    </w:lvl>
  </w:abstractNum>
  <w:abstractNum w:abstractNumId="72">
    <w:nsid w:val="2157F6BC"/>
    <w:multiLevelType w:val="hybridMultilevel"/>
    <w:lvl w:ilvl="0">
      <w:lvlJc w:val="left"/>
      <w:lvlText w:val="\emdash "/>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1)"/>
      <w:numFmt w:val="decimal"/>
      <w:start w:val="1"/>
    </w:lvl>
  </w:abstractNum>
  <w:abstractNum w:abstractNumId="77">
    <w:nsid w:val="2E48F044"/>
    <w:multiLevelType w:val="hybridMultilevel"/>
    <w:lvl w:ilvl="0">
      <w:lvlJc w:val="left"/>
      <w:lvlText w:val="(%1)"/>
      <w:numFmt w:val="decimal"/>
      <w:start w:val="4"/>
    </w:lvl>
  </w:abstractNum>
  <w:abstractNum w:abstractNumId="78">
    <w:nsid w:val="49D0FEAC"/>
    <w:multiLevelType w:val="hybridMultilevel"/>
    <w:lvl w:ilvl="0">
      <w:lvlJc w:val="left"/>
      <w:lvlText w:val="(%1)"/>
      <w:numFmt w:val="decimal"/>
      <w:start w:val="14"/>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1)"/>
      <w:numFmt w:val="lowerRoman"/>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1)"/>
      <w:numFmt w:val="lowerLetter"/>
      <w:start w:val="1"/>
    </w:lvl>
  </w:abstractNum>
  <w:abstractNum w:abstractNumId="89">
    <w:nsid w:val="2A6DE806"/>
    <w:multiLevelType w:val="hybridMultilevel"/>
    <w:lvl w:ilvl="0">
      <w:lvlJc w:val="left"/>
      <w:lvlText w:val="(%1)"/>
      <w:numFmt w:val="lowerLetter"/>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abstractNum>
  <w:abstractNum w:abstractNumId="93">
    <w:nsid w:val="759F82CD"/>
    <w:multiLevelType w:val="hybridMultilevel"/>
    <w:lvl w:ilvl="0">
      <w:lvlJc w:val="left"/>
      <w:lvlText w:val="%1."/>
      <w:numFmt w:val="lowerLetter"/>
      <w:start w:val="1"/>
    </w:lvl>
    <w:lvl w:ilvl="1">
      <w:lvlJc w:val="left"/>
      <w:lvlText w:val="%2)"/>
      <w:numFmt w:val="decimal"/>
      <w:start w:val="1"/>
    </w:lvl>
  </w:abstractNum>
  <w:abstractNum w:abstractNumId="94">
    <w:nsid w:val="61E74EA3"/>
    <w:multiLevelType w:val="hybridMultilevel"/>
    <w:lvl w:ilvl="0">
      <w:lvlJc w:val="left"/>
      <w:lvlText w:val="%1."/>
      <w:numFmt w:val="lowerLetter"/>
      <w:start w:val="1"/>
    </w:lvl>
  </w:abstractNum>
  <w:abstractNum w:abstractNumId="95">
    <w:nsid w:val="597B4D84"/>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1"/>
      <w:numFmt w:val="lowerLetter"/>
      <w:start w:val="1"/>
    </w:lvl>
    <w:lvl w:ilvl="1">
      <w:lvlJc w:val="left"/>
      <w:lvlText w:val="%2)"/>
      <w:numFmt w:val="decimal"/>
      <w:start w:val="2"/>
    </w:lvl>
  </w:abstractNum>
  <w:abstractNum w:abstractNumId="98">
    <w:nsid w:val="312167AD"/>
    <w:multiLevelType w:val="hybridMultilevel"/>
    <w:lvl w:ilvl="0">
      <w:lvlJc w:val="left"/>
      <w:lvlText w:val="%1."/>
      <w:numFmt w:val="lowerLetter"/>
      <w:start w:val="7"/>
    </w:lvl>
    <w:lvl w:ilvl="1">
      <w:lvlJc w:val="left"/>
      <w:lvlText w:val="%2)"/>
      <w:numFmt w:val="decimal"/>
      <w:start w:val="1"/>
    </w:lvl>
  </w:abstractNum>
  <w:abstractNum w:abstractNumId="99">
    <w:nsid w:val="631B64D4"/>
    <w:multiLevelType w:val="hybridMultilevel"/>
    <w:lvl w:ilvl="0">
      <w:lvlJc w:val="left"/>
      <w:lvlText w:val="%1."/>
      <w:numFmt w:val="lowerLetter"/>
      <w:start w:val="10"/>
    </w:lvl>
  </w:abstractNum>
  <w:abstractNum w:abstractNumId="100">
    <w:nsid w:val="78B5E776"/>
    <w:multiLevelType w:val="hybridMultilevel"/>
    <w:lvl w:ilvl="0">
      <w:lvlJc w:val="left"/>
      <w:lvlText w:val="%1."/>
      <w:numFmt w:val="lowerLetter"/>
      <w:start w:val="14"/>
    </w:lvl>
    <w:lvl w:ilvl="1">
      <w:lvlJc w:val="left"/>
      <w:lvlText w:val="%2."/>
      <w:numFmt w:val="decimal"/>
      <w:start w:val="1"/>
    </w:lvl>
  </w:abstractNum>
  <w:abstractNum w:abstractNumId="101">
    <w:nsid w:val="75486E47"/>
    <w:multiLevelType w:val="hybridMultilevel"/>
    <w:lvl w:ilvl="0">
      <w:lvlJc w:val="left"/>
      <w:lvlText w:val="%1."/>
      <w:numFmt w:val="lowerLetter"/>
      <w:start w:val="1"/>
    </w:lvl>
    <w:lvl w:ilvl="1">
      <w:lvlJc w:val="left"/>
      <w:lvlText w:val="%2)"/>
      <w:numFmt w:val="decimal"/>
      <w:start w:val="1"/>
    </w:lvl>
  </w:abstractNum>
  <w:abstractNum w:abstractNumId="102">
    <w:nsid w:val="6E534CDE"/>
    <w:multiLevelType w:val="hybridMultilevel"/>
    <w:lvl w:ilvl="0">
      <w:lvlJc w:val="left"/>
      <w:lvlText w:val="%1."/>
      <w:numFmt w:val="lowerLetter"/>
      <w:start w:val="4"/>
    </w:lvl>
  </w:abstractNum>
  <w:abstractNum w:abstractNumId="103">
    <w:nsid w:val="1A0DDE32"/>
    <w:multiLevelType w:val="hybridMultilevel"/>
    <w:lvl w:ilvl="0">
      <w:lvlJc w:val="left"/>
      <w:lvlText w:val="%1."/>
      <w:numFmt w:val="lowerLetter"/>
      <w:start w:val="1"/>
    </w:lvl>
  </w:abstractNum>
  <w:abstractNum w:abstractNumId="104">
    <w:nsid w:val="65968C1C"/>
    <w:multiLevelType w:val="hybridMultilevel"/>
    <w:lvl w:ilvl="0">
      <w:lvlJc w:val="left"/>
      <w:lvlText w:val="%1."/>
      <w:numFmt w:val="decimal"/>
      <w:start w:val="1"/>
    </w:lvl>
  </w:abstractNum>
  <w:abstractNum w:abstractNumId="105">
    <w:nsid w:val="46263DEC"/>
    <w:multiLevelType w:val="hybridMultilevel"/>
    <w:lvl w:ilvl="0">
      <w:lvlJc w:val="left"/>
      <w:lvlText w:val="%1."/>
      <w:numFmt w:val="decimal"/>
      <w:start w:val="3"/>
    </w:lvl>
  </w:abstractNum>
  <w:abstractNum w:abstractNumId="106">
    <w:nsid w:val="260D8C4A"/>
    <w:multiLevelType w:val="hybridMultilevel"/>
    <w:lvl w:ilvl="0">
      <w:lvlJc w:val="left"/>
      <w:lvlText w:val="%1)"/>
      <w:numFmt w:val="lowerLetter"/>
      <w:start w:val="2"/>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1."/>
      <w:numFmt w:val="lowerLetter"/>
      <w:start w:val="1"/>
    </w:lvl>
  </w:abstractNum>
  <w:abstractNum w:abstractNumId="109">
    <w:nsid w:val="6FDE8AF6"/>
    <w:multiLevelType w:val="hybridMultilevel"/>
    <w:lvl w:ilvl="0">
      <w:lvlJc w:val="left"/>
      <w:lvlText w:val="%1."/>
      <w:numFmt w:val="lowerLetter"/>
      <w:start w:val="2"/>
    </w:lvl>
    <w:lvl w:ilvl="1">
      <w:lvlJc w:val="left"/>
      <w:lvlText w:val="%2."/>
      <w:numFmt w:val="lowerRoman"/>
      <w:start w:val="1"/>
    </w:lvl>
  </w:abstractNum>
  <w:abstractNum w:abstractNumId="110">
    <w:nsid w:val="3FC32E20"/>
    <w:multiLevelType w:val="hybridMultilevel"/>
    <w:lvl w:ilvl="0">
      <w:lvlJc w:val="left"/>
      <w:lvlText w:val="%1."/>
      <w:numFmt w:val="lowerLetter"/>
      <w:start w:val="3"/>
    </w:lvl>
  </w:abstractNum>
  <w:abstractNum w:abstractNumId="111">
    <w:nsid w:val="49C0E823"/>
    <w:multiLevelType w:val="hybridMultilevel"/>
    <w:lvl w:ilvl="0">
      <w:lvlJc w:val="left"/>
      <w:lvlText w:val="%1."/>
      <w:numFmt w:val="lowerLetter"/>
      <w:start w:val="5"/>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1."/>
      <w:numFmt w:val="lowerLetter"/>
      <w:start w:val="1"/>
    </w:lvl>
  </w:abstractNum>
  <w:abstractNum w:abstractNumId="114">
    <w:nsid w:val="6EAA85FB"/>
    <w:multiLevelType w:val="hybridMultilevel"/>
    <w:lvl w:ilvl="0">
      <w:lvlJc w:val="left"/>
      <w:lvlText w:val="%1."/>
      <w:numFmt w:val="lowerLetter"/>
      <w:start w:val="1"/>
    </w:lvl>
  </w:abstractNum>
  <w:abstractNum w:abstractNumId="115">
    <w:nsid w:val="3F06ECB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6">
    <w:nsid w:val="3B594807"/>
    <w:multiLevelType w:val="hybridMultilevel"/>
    <w:lvl w:ilvl="0">
      <w:lvlJc w:val="left"/>
      <w:lvlText w:val="%1"/>
      <w:numFmt w:val="decimal"/>
      <w:start w:val="1"/>
    </w:lvl>
    <w:lvl w:ilvl="1">
      <w:lvlJc w:val="left"/>
      <w:lvlText w:val="%2)"/>
      <w:numFmt w:val="lowerLetter"/>
      <w:start w:val="3"/>
    </w:lvl>
  </w:abstractNum>
  <w:abstractNum w:abstractNumId="117">
    <w:nsid w:val="6CAA2304"/>
    <w:multiLevelType w:val="hybridMultilevel"/>
    <w:lvl w:ilvl="0">
      <w:lvlJc w:val="left"/>
      <w:lvlText w:val="%1)"/>
      <w:numFmt w:val="decimal"/>
      <w:start w:val="3"/>
    </w:lvl>
    <w:lvl w:ilvl="1">
      <w:lvlJc w:val="left"/>
      <w:lvlText w:val="%2"/>
      <w:numFmt w:val="lowerLetter"/>
      <w:start w:val="1"/>
    </w:lvl>
  </w:abstractNum>
  <w:abstractNum w:abstractNumId="118">
    <w:nsid w:val="3F7C2FF4"/>
    <w:multiLevelType w:val="hybridMultilevel"/>
    <w:lvl w:ilvl="0">
      <w:lvlJc w:val="left"/>
      <w:lvlText w:val="%1)"/>
      <w:numFmt w:val="decimal"/>
      <w:start w:val="4"/>
    </w:lvl>
  </w:abstractNum>
  <w:abstractNum w:abstractNumId="119">
    <w:nsid w:val="25413BEC"/>
    <w:multiLevelType w:val="hybridMultilevel"/>
    <w:lvl w:ilvl="0">
      <w:lvlJc w:val="left"/>
      <w:lvlText w:val="%1)"/>
      <w:numFmt w:val="decimal"/>
      <w:start w:val="5"/>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decimal"/>
      <w:start w:val="6"/>
    </w:lvl>
  </w:abstractNum>
  <w:abstractNum w:abstractNumId="122">
    <w:nsid w:val="5D205E20"/>
    <w:multiLevelType w:val="hybridMultilevel"/>
    <w:lvl w:ilvl="0">
      <w:lvlJc w:val="left"/>
      <w:lvlText w:val="%1."/>
      <w:numFmt w:val="lowerLetter"/>
      <w:start w:val="1"/>
    </w:lvl>
  </w:abstractNum>
  <w:abstractNum w:abstractNumId="123">
    <w:nsid w:val="11CCA8BA"/>
    <w:multiLevelType w:val="hybridMultilevel"/>
    <w:lvl w:ilvl="0">
      <w:lvlJc w:val="left"/>
      <w:lvlText w:val="%1."/>
      <w:numFmt w:val="lowerLetter"/>
      <w:start w:val="3"/>
    </w:lvl>
  </w:abstractNum>
  <w:abstractNum w:abstractNumId="124">
    <w:nsid w:val="4D32AB86"/>
    <w:multiLevelType w:val="hybridMultilevel"/>
    <w:lvl w:ilvl="0">
      <w:lvlJc w:val="left"/>
      <w:lvlText w:val="%1."/>
      <w:numFmt w:val="lowerLetter"/>
      <w:start w:val="1"/>
    </w:lvl>
  </w:abstractNum>
  <w:abstractNum w:abstractNumId="125">
    <w:nsid w:val="3F07ACC3"/>
    <w:multiLevelType w:val="hybridMultilevel"/>
    <w:lvl w:ilvl="0">
      <w:lvlJc w:val="left"/>
      <w:lvlText w:val="%1."/>
      <w:numFmt w:val="lowerLetter"/>
      <w:start w:val="2"/>
    </w:lvl>
  </w:abstractNum>
  <w:abstractNum w:abstractNumId="126">
    <w:nsid w:val="6B47F63E"/>
    <w:multiLevelType w:val="hybridMultilevel"/>
    <w:lvl w:ilvl="0">
      <w:lvlJc w:val="left"/>
      <w:lvlText w:val="%1"/>
      <w:numFmt w:val="decimal"/>
      <w:start w:val="155"/>
    </w:lvl>
  </w:abstractNum>
  <w:abstractNum w:abstractNumId="127">
    <w:nsid w:val="5CB44A05"/>
    <w:multiLevelType w:val="hybridMultilevel"/>
    <w:lvl w:ilvl="0">
      <w:lvlJc w:val="left"/>
      <w:lvlText w:val="%1"/>
      <w:numFmt w:val="decimal"/>
      <w:start w:val="310"/>
    </w:lvl>
  </w:abstractNum>
  <w:abstractNum w:abstractNumId="128">
    <w:nsid w:val="16CF80F1"/>
    <w:multiLevelType w:val="hybridMultilevel"/>
    <w:lvl w:ilvl="0">
      <w:lvlJc w:val="left"/>
      <w:lvlText w:val="%1"/>
      <w:numFmt w:val="decimal"/>
      <w:start w:val="604"/>
    </w:lvl>
  </w:abstractNum>
  <w:abstractNum w:abstractNumId="129">
    <w:nsid w:val="1C695DEC"/>
    <w:multiLevelType w:val="hybridMultilevel"/>
    <w:lvl w:ilvl="0">
      <w:lvlJc w:val="left"/>
      <w:lvlText w:val="%1."/>
      <w:numFmt w:val="lowerLetter"/>
      <w:start w:val="1"/>
    </w:lvl>
    <w:lvl w:ilvl="1">
      <w:lvlJc w:val="left"/>
      <w:lvlText w:val="%2)"/>
      <w:numFmt w:val="decimal"/>
      <w:start w:val="1"/>
    </w:lvl>
  </w:abstractNum>
  <w:abstractNum w:abstractNumId="130">
    <w:nsid w:val="3FCFAED9"/>
    <w:multiLevelType w:val="hybridMultilevel"/>
    <w:lvl w:ilvl="0">
      <w:lvlJc w:val="left"/>
      <w:lvlText w:val="%1."/>
      <w:numFmt w:val="lowerLetter"/>
      <w:start w:val="1"/>
    </w:lvl>
  </w:abstractNum>
  <w:abstractNum w:abstractNumId="131">
    <w:nsid w:val="F856867"/>
    <w:multiLevelType w:val="hybridMultilevel"/>
    <w:lvl w:ilvl="0">
      <w:lvlJc w:val="left"/>
      <w:lvlText w:val="%1."/>
      <w:numFmt w:val="lowerLetter"/>
      <w:start w:val="4"/>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1."/>
      <w:numFmt w:val="lowerLetter"/>
      <w:start w:val="1"/>
    </w:lvl>
  </w:abstractNum>
  <w:abstractNum w:abstractNumId="134">
    <w:nsid w:val="29934699"/>
    <w:multiLevelType w:val="hybridMultilevel"/>
    <w:lvl w:ilvl="0">
      <w:lvlJc w:val="left"/>
      <w:lvlText w:val="%1."/>
      <w:numFmt w:val="lowerLetter"/>
      <w:start w:val="1"/>
    </w:lvl>
  </w:abstractNum>
  <w:abstractNum w:abstractNumId="135">
    <w:nsid w:val="77485850"/>
    <w:multiLevelType w:val="hybridMultilevel"/>
    <w:lvl w:ilvl="0">
      <w:lvlJc w:val="left"/>
      <w:lvlText w:val="%1."/>
      <w:numFmt w:val="lowerLetter"/>
      <w:start w:val="1"/>
    </w:lvl>
  </w:abstractNum>
  <w:abstractNum w:abstractNumId="136">
    <w:nsid w:val="744939A3"/>
    <w:multiLevelType w:val="hybridMultilevel"/>
    <w:lvl w:ilvl="0">
      <w:lvlJc w:val="left"/>
      <w:lvlText w:val="(%1)"/>
      <w:numFmt w:val="lowerRoman"/>
      <w:start w:val="2"/>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Letter"/>
      <w:start w:val="2"/>
    </w:lvl>
  </w:abstractNum>
  <w:abstractNum w:abstractNumId="139">
    <w:nsid w:val="68B867D3"/>
    <w:multiLevelType w:val="hybridMultilevel"/>
    <w:lvl w:ilvl="0">
      <w:lvlJc w:val="left"/>
      <w:lvlText w:val="•"/>
      <w:numFmt w:val="bullet"/>
      <w:start w:val="1"/>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
      <w:numFmt w:val="bullet"/>
      <w:start w:val="1"/>
    </w:lvl>
  </w:abstractNum>
  <w:abstractNum w:abstractNumId="143">
    <w:nsid w:val="5454945E"/>
    <w:multiLevelType w:val="hybridMultilevel"/>
    <w:lvl w:ilvl="0">
      <w:lvlJc w:val="left"/>
      <w:lvlText w:val="•"/>
      <w:numFmt w:val="bullet"/>
      <w:start w:val="1"/>
    </w:lvl>
  </w:abstractNum>
  <w:abstractNum w:abstractNumId="144">
    <w:nsid w:val="4DEFDFA0"/>
    <w:multiLevelType w:val="hybridMultilevel"/>
    <w:lvl w:ilvl="0">
      <w:lvlJc w:val="left"/>
      <w:lvlText w:val="•"/>
      <w:numFmt w:val="bullet"/>
      <w:start w:val="1"/>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
      <w:numFmt w:val="bullet"/>
      <w:start w:val="1"/>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1)"/>
      <w:numFmt w:val="decimal"/>
      <w:start w:val="1"/>
    </w:lvl>
    <w:lvl w:ilvl="1">
      <w:lvlJc w:val="left"/>
      <w:lvlText w:val="(%2)"/>
      <w:numFmt w:val="lowerRoman"/>
      <w:start w:val="1"/>
    </w:lvl>
  </w:abstractNum>
  <w:abstractNum w:abstractNumId="149">
    <w:nsid w:val="52D7B105"/>
    <w:multiLevelType w:val="hybridMultilevel"/>
    <w:lvl w:ilvl="0">
      <w:lvlJc w:val="left"/>
      <w:lvlText w:val="(%1)"/>
      <w:numFmt w:val="decimal"/>
      <w:start w:val="2"/>
    </w:lvl>
  </w:abstractNum>
  <w:abstractNum w:abstractNumId="150">
    <w:nsid w:val="2E8A6394"/>
    <w:multiLevelType w:val="hybridMultilevel"/>
    <w:lvl w:ilvl="0">
      <w:lvlJc w:val="left"/>
      <w:lvlText w:val="*"/>
      <w:numFmt w:val="bullet"/>
      <w:start w:val="1"/>
    </w:lvl>
  </w:abstractNum>
  <w:abstractNum w:abstractNumId="151">
    <w:nsid w:val="24E60401"/>
    <w:multiLevelType w:val="hybridMultilevel"/>
    <w:lvl w:ilvl="0">
      <w:lvlJc w:val="left"/>
      <w:lvlText w:val="%1"/>
      <w:numFmt w:val="lowerLetter"/>
      <w:start w:val="1"/>
    </w:lvl>
    <w:lvl w:ilvl="1">
      <w:lvlJc w:val="left"/>
      <w:lvlText w:val="%2."/>
      <w:numFmt w:val="decimal"/>
      <w:start w:val="1"/>
    </w:lvl>
  </w:abstractNum>
  <w:abstractNum w:abstractNumId="152">
    <w:nsid w:val="2A6AD9BE"/>
    <w:multiLevelType w:val="hybridMultilevel"/>
    <w:lvl w:ilvl="0">
      <w:lvlJc w:val="left"/>
      <w:lvlText w:val="(%1)"/>
      <w:numFmt w:val="lowerLetter"/>
      <w:start w:val="1"/>
    </w:lvl>
    <w:lvl w:ilvl="1">
      <w:lvlJc w:val="left"/>
      <w:lvlText w:val="%2"/>
      <w:numFmt w:val="decimal"/>
      <w:start w:val="1"/>
    </w:lvl>
  </w:abstractNum>
  <w:abstractNum w:abstractNumId="153">
    <w:nsid w:val="BAAC1B4"/>
    <w:multiLevelType w:val="hybridMultilevel"/>
    <w:lvl w:ilvl="0">
      <w:lvlJc w:val="left"/>
      <w:lvlText w:val="(%1)"/>
      <w:numFmt w:val="lowerLetter"/>
      <w:start w:val="3"/>
    </w:lvl>
  </w:abstractNum>
  <w:abstractNum w:abstractNumId="154">
    <w:nsid w:val="36B2ACBC"/>
    <w:multiLevelType w:val="hybridMultilevel"/>
    <w:lvl w:ilvl="0">
      <w:lvlJc w:val="left"/>
      <w:lvlText w:val="%1"/>
      <w:numFmt w:val="lowerLetter"/>
      <w:start w:val="1"/>
    </w:lvl>
    <w:lvl w:ilvl="1">
      <w:lvlJc w:val="left"/>
      <w:lvlText w:val="%2."/>
      <w:numFmt w:val="decimal"/>
      <w:start w:val="2"/>
    </w:lvl>
  </w:abstractNum>
  <w:abstractNum w:abstractNumId="155">
    <w:nsid w:val="779D8544"/>
    <w:multiLevelType w:val="hybridMultilevel"/>
    <w:lvl w:ilvl="0">
      <w:lvlJc w:val="left"/>
      <w:lvlText w:val="(%1)"/>
      <w:numFmt w:val="lowerLetter"/>
      <w:start w:val="1"/>
    </w:lvl>
    <w:lvl w:ilvl="1">
      <w:lvlJc w:val="left"/>
      <w:lvlText w:val="%2"/>
      <w:numFmt w:val="decimal"/>
      <w:start w:val="1"/>
    </w:lvl>
  </w:abstractNum>
  <w:abstractNum w:abstractNumId="156">
    <w:nsid w:val="4AB26E78"/>
    <w:multiLevelType w:val="hybridMultilevel"/>
    <w:lvl w:ilvl="0">
      <w:lvlJc w:val="left"/>
      <w:lvlText w:val="(%1)"/>
      <w:numFmt w:val="lowerLetter"/>
      <w:start w:val="2"/>
    </w:lvl>
  </w:abstractNum>
  <w:abstractNum w:abstractNumId="157">
    <w:nsid w:val="21FAA2FA"/>
    <w:multiLevelType w:val="hybridMultilevel"/>
    <w:lvl w:ilvl="0">
      <w:lvlJc w:val="left"/>
      <w:lvlText w:val="(%1)"/>
      <w:numFmt w:val="lowerLetter"/>
      <w:start w:val="3"/>
    </w:lvl>
  </w:abstractNum>
  <w:abstractNum w:abstractNumId="158">
    <w:nsid w:val="5451CF49"/>
    <w:multiLevelType w:val="hybridMultilevel"/>
    <w:lvl w:ilvl="0">
      <w:lvlJc w:val="left"/>
      <w:lvlText w:val="(%1)"/>
      <w:numFmt w:val="lowerLetter"/>
      <w:start w:val="5"/>
    </w:lvl>
  </w:abstractNum>
  <w:abstractNum w:abstractNumId="159">
    <w:nsid w:val="6181EF69"/>
    <w:multiLevelType w:val="hybridMultilevel"/>
    <w:lvl w:ilvl="0">
      <w:lvlJc w:val="left"/>
      <w:lvlText w:val="(%1)"/>
      <w:numFmt w:val="lowerLetter"/>
      <w:start w:val="6"/>
    </w:lvl>
  </w:abstractNum>
  <w:abstractNum w:abstractNumId="160">
    <w:nsid w:val="3E6400E6"/>
    <w:multiLevelType w:val="hybridMultilevel"/>
    <w:lvl w:ilvl="0">
      <w:lvlJc w:val="left"/>
      <w:lvlText w:val="%1"/>
      <w:numFmt w:val="lowerLetter"/>
      <w:start w:val="1"/>
    </w:lvl>
    <w:lvl w:ilvl="1">
      <w:lvlJc w:val="left"/>
      <w:lvlText w:val="(%2)"/>
      <w:numFmt w:val="lowerLetter"/>
      <w:start w:val="11"/>
    </w:lvl>
  </w:abstractNum>
  <w:abstractNum w:abstractNumId="161">
    <w:nsid w:val="14217E23"/>
    <w:multiLevelType w:val="hybridMultilevel"/>
    <w:lvl w:ilvl="0">
      <w:lvlJc w:val="left"/>
      <w:lvlText w:val="(%1)"/>
      <w:numFmt w:val="lowerLetter"/>
      <w:start w:val="9"/>
    </w:lvl>
    <w:lvl w:ilvl="1">
      <w:lvlJc w:val="left"/>
      <w:lvlText w:val="(%2)"/>
      <w:numFmt w:val="lowerLetter"/>
      <w:start w:val="12"/>
    </w:lvl>
  </w:abstractNum>
  <w:abstractNum w:abstractNumId="162">
    <w:nsid w:val="710757D0"/>
    <w:multiLevelType w:val="hybridMultilevel"/>
    <w:lvl w:ilvl="0">
      <w:lvlJc w:val="left"/>
      <w:lvlText w:val="(%1)"/>
      <w:numFmt w:val="lowerLetter"/>
      <w:start w:val="15"/>
    </w:lvl>
  </w:abstractNum>
  <w:abstractNum w:abstractNumId="163">
    <w:nsid w:val="5015CD1A"/>
    <w:multiLevelType w:val="hybridMultilevel"/>
    <w:lvl w:ilvl="0">
      <w:lvlJc w:val="left"/>
      <w:lvlText w:val="(%1)"/>
      <w:numFmt w:val="lowerLetter"/>
      <w:start w:val="18"/>
    </w:lvl>
  </w:abstractNum>
  <w:abstractNum w:abstractNumId="164">
    <w:nsid w:val="424479DA"/>
    <w:multiLevelType w:val="hybridMultilevel"/>
    <w:lvl w:ilvl="0">
      <w:lvlJc w:val="left"/>
      <w:lvlText w:val="(%1)"/>
      <w:numFmt w:val="lowerLetter"/>
      <w:start w:val="24"/>
    </w:lvl>
  </w:abstractNum>
  <w:abstractNum w:abstractNumId="165">
    <w:nsid w:val="1A9A9E69"/>
    <w:multiLevelType w:val="hybridMultilevel"/>
    <w:lvl w:ilvl="0">
      <w:lvlJc w:val="left"/>
      <w:lvlText w:val="(%1)"/>
      <w:numFmt w:val="lowerLetter"/>
      <w:start w:val="27"/>
    </w:lvl>
  </w:abstractNum>
  <w:abstractNum w:abstractNumId="166">
    <w:nsid w:val="475E256A"/>
    <w:multiLevelType w:val="hybridMultilevel"/>
    <w:lvl w:ilvl="0">
      <w:lvlJc w:val="left"/>
      <w:lvlText w:val="(%1)"/>
      <w:numFmt w:val="lowerLetter"/>
      <w:start w:val="29"/>
    </w:lvl>
  </w:abstractNum>
  <w:abstractNum w:abstractNumId="167">
    <w:nsid w:val="368DB37E"/>
    <w:multiLevelType w:val="hybridMultilevel"/>
    <w:lvl w:ilvl="0">
      <w:lvlJc w:val="left"/>
      <w:lvlText w:val="(%1)"/>
      <w:numFmt w:val="lowerLetter"/>
      <w:start w:val="34"/>
    </w:lvl>
  </w:abstractNum>
  <w:abstractNum w:abstractNumId="168">
    <w:nsid w:val="6A3B714C"/>
    <w:multiLevelType w:val="hybridMultilevel"/>
    <w:lvl w:ilvl="0">
      <w:lvlJc w:val="left"/>
      <w:lvlText w:val="(%1)"/>
      <w:numFmt w:val="lowerLetter"/>
      <w:start w:val="39"/>
    </w:lvl>
  </w:abstractNum>
  <w:abstractNum w:abstractNumId="169">
    <w:nsid w:val="327B517E"/>
    <w:multiLevelType w:val="hybridMultilevel"/>
    <w:lvl w:ilvl="0">
      <w:lvlJc w:val="left"/>
      <w:lvlText w:val="(%1)"/>
      <w:numFmt w:val="lowerLetter"/>
      <w:start w:val="45"/>
    </w:lvl>
  </w:abstractNum>
  <w:abstractNum w:abstractNumId="170">
    <w:nsid w:val="1F461B51"/>
    <w:multiLevelType w:val="hybridMultilevel"/>
    <w:lvl w:ilvl="0">
      <w:lvlJc w:val="left"/>
      <w:lvlText w:val="%1"/>
      <w:numFmt w:val="lowerLetter"/>
      <w:start w:val="1"/>
    </w:lvl>
    <w:lvl w:ilvl="1">
      <w:lvlJc w:val="left"/>
      <w:lvlText w:val="%2."/>
      <w:numFmt w:val="decimal"/>
      <w:start w:val="3"/>
    </w:lvl>
  </w:abstractNum>
  <w:abstractNum w:abstractNumId="171">
    <w:nsid w:val="29BACF25"/>
    <w:multiLevelType w:val="hybridMultilevel"/>
    <w:lvl w:ilvl="0">
      <w:lvlJc w:val="left"/>
      <w:lvlText w:val="(%1)"/>
      <w:numFmt w:val="lowerLetter"/>
      <w:start w:val="1"/>
    </w:lvl>
    <w:lvl w:ilvl="1">
      <w:lvlJc w:val="left"/>
      <w:lvlText w:val="%2"/>
      <w:numFmt w:val="decimal"/>
      <w:start w:val="1"/>
    </w:lvl>
  </w:abstractNum>
  <w:abstractNum w:abstractNumId="172">
    <w:nsid w:val="5D5BABB3"/>
    <w:multiLevelType w:val="hybridMultilevel"/>
    <w:lvl w:ilvl="0">
      <w:lvlJc w:val="left"/>
      <w:lvlText w:val="(%1)"/>
      <w:numFmt w:val="lowerLetter"/>
      <w:start w:val="3"/>
    </w:lvl>
  </w:abstractNum>
  <w:abstractNum w:abstractNumId="173">
    <w:nsid w:val="51BF6B48"/>
    <w:multiLevelType w:val="hybridMultilevel"/>
    <w:lvl w:ilvl="0">
      <w:lvlJc w:val="left"/>
      <w:lvlText w:val="(%1)"/>
      <w:numFmt w:val="lowerLetter"/>
      <w:start w:val="6"/>
    </w:lvl>
  </w:abstractNum>
  <w:abstractNum w:abstractNumId="174">
    <w:nsid w:val="7E0F6384"/>
    <w:multiLevelType w:val="hybridMultilevel"/>
    <w:lvl w:ilvl="0">
      <w:lvlJc w:val="left"/>
      <w:lvlText w:val="(%1)"/>
      <w:numFmt w:val="lowerLetter"/>
      <w:start w:val="13"/>
    </w:lvl>
    <w:lvl w:ilvl="1">
      <w:lvlJc w:val="left"/>
      <w:lvlText w:val="%2."/>
      <w:numFmt w:val="decimal"/>
      <w:start w:val="4"/>
    </w:lvl>
  </w:abstractNum>
  <w:abstractNum w:abstractNumId="175">
    <w:nsid w:val="2B4B8B53"/>
    <w:multiLevelType w:val="hybridMultilevel"/>
    <w:lvl w:ilvl="0">
      <w:lvlJc w:val="left"/>
      <w:lvlText w:val="(%1)"/>
      <w:numFmt w:val="lowerLetter"/>
      <w:start w:val="1"/>
    </w:lvl>
    <w:lvl w:ilvl="1">
      <w:lvlJc w:val="left"/>
      <w:lvlText w:val="(%2)"/>
      <w:numFmt w:val="lowerRoman"/>
      <w:start w:val="1"/>
    </w:lvl>
  </w:abstractNum>
  <w:abstractNum w:abstractNumId="176">
    <w:nsid w:val="72E3413A"/>
    <w:multiLevelType w:val="hybridMultilevel"/>
    <w:lvl w:ilvl="0">
      <w:lvlJc w:val="left"/>
      <w:lvlText w:val="(%1)"/>
      <w:numFmt w:val="lowerRoman"/>
      <w:start w:val="3"/>
    </w:lvl>
  </w:abstractNum>
  <w:abstractNum w:abstractNumId="177">
    <w:nsid w:val="116AE494"/>
    <w:multiLevelType w:val="hybridMultilevel"/>
    <w:lvl w:ilvl="0">
      <w:lvlJc w:val="left"/>
      <w:lvlText w:val="(%1)"/>
      <w:numFmt w:val="lowerRoman"/>
      <w:start w:val="6"/>
    </w:lvl>
  </w:abstractNum>
  <w:abstractNum w:abstractNumId="178">
    <w:nsid w:val="3494B2FB"/>
    <w:multiLevelType w:val="hybridMultilevel"/>
    <w:lvl w:ilvl="0">
      <w:lvlJc w:val="left"/>
      <w:lvlText w:val="(%1)"/>
      <w:numFmt w:val="lowerRoman"/>
      <w:start w:val="9"/>
    </w:lvl>
  </w:abstractNum>
  <w:abstractNum w:abstractNumId="179">
    <w:nsid w:val="B13A3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1"/>
    </w:lvl>
  </w:abstractNum>
  <w:abstractNum w:abstractNumId="180">
    <w:nsid w:val="6442959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3"/>
    </w:lvl>
  </w:abstractNum>
  <w:abstractNum w:abstractNumId="181">
    <w:nsid w:val="631F169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82">
    <w:nsid w:val="25973E32"/>
    <w:multiLevelType w:val="hybridMultilevel"/>
    <w:lvl w:ilvl="0">
      <w:lvlJc w:val="left"/>
      <w:lvlText w:val="(%1)"/>
      <w:numFmt w:val="lowerLetter"/>
      <w:start w:val="3"/>
    </w:lvl>
  </w:abstractNum>
  <w:abstractNum w:abstractNumId="183">
    <w:nsid w:val="EAD6F57"/>
    <w:multiLevelType w:val="hybridMultilevel"/>
    <w:lvl w:ilvl="0">
      <w:lvlJc w:val="left"/>
      <w:lvlText w:val="(%1)"/>
      <w:numFmt w:val="lowerLetter"/>
      <w:start w:val="6"/>
    </w:lvl>
  </w:abstractNum>
  <w:abstractNum w:abstractNumId="184">
    <w:nsid w:val="6EC9D844"/>
    <w:multiLevelType w:val="hybridMultilevel"/>
    <w:lvl w:ilvl="0">
      <w:lvlJc w:val="left"/>
      <w:lvlText w:val="%1"/>
      <w:numFmt w:val="lowerLetter"/>
      <w:start w:val="1"/>
    </w:lvl>
    <w:lvl w:ilvl="1">
      <w:lvlJc w:val="left"/>
      <w:lvlText w:val="%2."/>
      <w:numFmt w:val="decimal"/>
      <w:start w:val="5"/>
    </w:lvl>
  </w:abstractNum>
  <w:abstractNum w:abstractNumId="185">
    <w:nsid w:val="5C49EAEE"/>
    <w:multiLevelType w:val="hybridMultilevel"/>
    <w:lvl w:ilvl="0">
      <w:lvlJc w:val="left"/>
      <w:lvlText w:val="(%1)"/>
      <w:numFmt w:val="lowerLetter"/>
      <w:start w:val="1"/>
    </w:lvl>
    <w:lvl w:ilvl="1">
      <w:lvlJc w:val="left"/>
      <w:lvlText w:val="%2"/>
      <w:numFmt w:val="decimal"/>
      <w:start w:val="1"/>
    </w:lvl>
  </w:abstractNum>
  <w:abstractNum w:abstractNumId="186">
    <w:nsid w:val="64AF49B"/>
    <w:multiLevelType w:val="hybridMultilevel"/>
    <w:lvl w:ilvl="0">
      <w:lvlJc w:val="left"/>
      <w:lvlText w:val="%1"/>
      <w:numFmt w:val="lowerLetter"/>
      <w:start w:val="1"/>
    </w:lvl>
    <w:lvl w:ilvl="1">
      <w:lvlJc w:val="left"/>
      <w:lvlText w:val="(%2)"/>
      <w:numFmt w:val="lowerLetter"/>
      <w:start w:val="3"/>
    </w:lvl>
  </w:abstractNum>
  <w:abstractNum w:abstractNumId="187">
    <w:nsid w:val="397C46BC"/>
    <w:multiLevelType w:val="hybridMultilevel"/>
    <w:lvl w:ilvl="0">
      <w:lvlJc w:val="left"/>
      <w:lvlText w:val="(%1)"/>
      <w:numFmt w:val="lowerLetter"/>
      <w:start w:val="61"/>
    </w:lvl>
    <w:lvl w:ilvl="1">
      <w:lvlJc w:val="left"/>
      <w:lvlText w:val="%2"/>
      <w:numFmt w:val="lowerLetter"/>
      <w:start w:val="1"/>
    </w:lvl>
  </w:abstractNum>
  <w:abstractNum w:abstractNumId="188">
    <w:nsid w:val="7E448DE9"/>
    <w:multiLevelType w:val="hybridMultilevel"/>
    <w:lvl w:ilvl="0">
      <w:lvlJc w:val="left"/>
      <w:lvlText w:val="%1."/>
      <w:numFmt w:val="decimal"/>
      <w:start w:val="6"/>
    </w:lvl>
  </w:abstractNum>
  <w:abstractNum w:abstractNumId="189">
    <w:nsid w:val="5A9CC3E5"/>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7"/>
    </w:lvl>
  </w:abstractNum>
  <w:abstractNum w:abstractNumId="190">
    <w:nsid w:val="1AFE3625"/>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191">
    <w:nsid w:val="3CA88ECF"/>
    <w:multiLevelType w:val="hybridMultilevel"/>
    <w:lvl w:ilvl="0">
      <w:lvlJc w:val="left"/>
      <w:lvlText w:val="(%1)"/>
      <w:numFmt w:val="lowerRoman"/>
      <w:start w:val="4"/>
    </w:lvl>
    <w:lvl w:ilvl="1">
      <w:lvlJc w:val="left"/>
      <w:lvlText w:val="(%2)"/>
      <w:numFmt w:val="lowerLetter"/>
      <w:start w:val="2"/>
    </w:lvl>
    <w:lvl w:ilvl="2">
      <w:lvlJc w:val="left"/>
      <w:lvlText w:val="%3."/>
      <w:numFmt w:val="decimal"/>
      <w:start w:val="8"/>
    </w:lvl>
  </w:abstractNum>
  <w:abstractNum w:abstractNumId="192">
    <w:nsid w:val="6EBE4208"/>
    <w:multiLevelType w:val="hybridMultilevel"/>
    <w:lvl w:ilvl="0">
      <w:lvlJc w:val="left"/>
      <w:lvlText w:val="%1."/>
      <w:numFmt w:val="decimal"/>
      <w:start w:val="9"/>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39"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jpeg"/><Relationship Id="rId514" Type="http://schemas.openxmlformats.org/officeDocument/2006/relationships/hyperlink" Target="http://www.sec.gov/Archives/edgar/data/1638097/000095010317011026/dp82654_ex0301.htm" TargetMode="External"/><Relationship Id="rId515" Type="http://schemas.openxmlformats.org/officeDocument/2006/relationships/hyperlink" Target="http://www.sec.gov/Archives/edgar/data/1638097/000095010317011366/dp82999_ex0302.htm" TargetMode="External"/><Relationship Id="rId516" Type="http://schemas.openxmlformats.org/officeDocument/2006/relationships/hyperlink" Target="http://www.sec.gov/Archives/edgar/data/1638097/000095010317011026/dp82654_ex0401.htm" TargetMode="External"/><Relationship Id="rId517" Type="http://schemas.openxmlformats.org/officeDocument/2006/relationships/hyperlink" Target="http://www.sec.gov/Archives/edgar/data/1638097/000095010317011026/dp82654_ex0402.htm" TargetMode="External"/><Relationship Id="rId518" Type="http://schemas.openxmlformats.org/officeDocument/2006/relationships/hyperlink" Target="http://www.sec.gov/Archives/edgar/data/1638097/000095010317011026/dp82654_ex0403.htm" TargetMode="External"/><Relationship Id="rId519" Type="http://schemas.openxmlformats.org/officeDocument/2006/relationships/hyperlink" Target="http://www.sec.gov/Archives/edgar/data/1638097/000095010317011026/dp82654_ex0404.htm" TargetMode="External"/><Relationship Id="rId520" Type="http://schemas.openxmlformats.org/officeDocument/2006/relationships/hyperlink" Target="http://www.sec.gov/Archives/edgar/data/1638097/000095010317011026/dp82654_ex0405.htm" TargetMode="External"/><Relationship Id="rId521" Type="http://schemas.openxmlformats.org/officeDocument/2006/relationships/hyperlink" Target="http://www.sec.gov/Archives/edgar/data/1638097/000114420418000927/tv482133_ex5-1.htm" TargetMode="External"/><Relationship Id="rId522" Type="http://schemas.openxmlformats.org/officeDocument/2006/relationships/hyperlink" Target="http://www.sec.gov/Archives/edgar/data/1638097/000114420418000927/tv482133_ex8-1.htm" TargetMode="External"/><Relationship Id="rId523" Type="http://schemas.openxmlformats.org/officeDocument/2006/relationships/hyperlink" Target="http://www.sec.gov/Archives/edgar/data/1638097/000095010317011366/dp82999_ex1001.htm" TargetMode="External"/><Relationship Id="rId524" Type="http://schemas.openxmlformats.org/officeDocument/2006/relationships/hyperlink" Target="http://www.sec.gov/Archives/edgar/data/1638097/000095010317011026/dp82654_ex1002.htm" TargetMode="External"/><Relationship Id="rId525" Type="http://schemas.openxmlformats.org/officeDocument/2006/relationships/hyperlink" Target="http://www.sec.gov/Archives/edgar/data/1638097/000095010317011026/dp82654_ex1003.htm" TargetMode="External"/><Relationship Id="rId526" Type="http://schemas.openxmlformats.org/officeDocument/2006/relationships/hyperlink" Target="http://www.sec.gov/Archives/edgar/data/1638097/000095010317011026/dp82654_ex1004.htm" TargetMode="External"/><Relationship Id="rId527" Type="http://schemas.openxmlformats.org/officeDocument/2006/relationships/hyperlink" Target="http://www.sec.gov/Archives/edgar/data/1638097/000095010317011026/dp82654_ex1005.htm" TargetMode="External"/><Relationship Id="rId528" Type="http://schemas.openxmlformats.org/officeDocument/2006/relationships/hyperlink" Target="http://www.sec.gov/Archives/edgar/data/1638097/000095010317011026/dp82654_ex1006.htm" TargetMode="External"/><Relationship Id="rId529" Type="http://schemas.openxmlformats.org/officeDocument/2006/relationships/hyperlink" Target="http://www.sec.gov/Archives/edgar/data/1638097/000095010317011026/dp82654_ex1007.htm" TargetMode="External"/><Relationship Id="rId530" Type="http://schemas.openxmlformats.org/officeDocument/2006/relationships/hyperlink" Target="http://www.sec.gov/Archives/edgar/data/1638097/000095010317011366/dp82999_ex1008.htm" TargetMode="External"/><Relationship Id="rId531" Type="http://schemas.openxmlformats.org/officeDocument/2006/relationships/hyperlink" Target="http://www.sec.gov/Archives/edgar/data/1638097/000095010317011026/dp82654_ex1008.htm" TargetMode="External"/><Relationship Id="rId532" Type="http://schemas.openxmlformats.org/officeDocument/2006/relationships/hyperlink" Target="http://www.sec.gov/Archives/edgar/data/1638097/000114420418000927/tv482133_ex10-10.htm" TargetMode="External"/><Relationship Id="rId533" Type="http://schemas.openxmlformats.org/officeDocument/2006/relationships/hyperlink" Target="http://www.sec.gov/Archives/edgar/data/1638097/000095010317011026/dp82654_ex1010.htm" TargetMode="External"/><Relationship Id="rId534" Type="http://schemas.openxmlformats.org/officeDocument/2006/relationships/hyperlink" Target="http://www.sec.gov/Archives/edgar/data/1638097/000095010317011366/dp82999_ex1012.htm" TargetMode="External"/><Relationship Id="rId535" Type="http://schemas.openxmlformats.org/officeDocument/2006/relationships/hyperlink" Target="http://www.sec.gov/Archives/edgar/data/1638097/000095010317011366/dp82999_ex1013.htm" TargetMode="External"/><Relationship Id="rId536" Type="http://schemas.openxmlformats.org/officeDocument/2006/relationships/hyperlink" Target="http://www.sec.gov/Archives/edgar/data/1638097/000095010317011026/dp82654_ex1013.htm" TargetMode="External"/><Relationship Id="rId537" Type="http://schemas.openxmlformats.org/officeDocument/2006/relationships/hyperlink" Target="http://www.sec.gov/Archives/edgar/data/1638097/000095010317011026/dp82654_ex1014.htm" TargetMode="External"/><Relationship Id="rId538" Type="http://schemas.openxmlformats.org/officeDocument/2006/relationships/hyperlink" Target="http://www.sec.gov/Archives/edgar/data/1638097/000095010317011366/dp82999_ex1016.htm" TargetMode="External"/><Relationship Id="rId540" Type="http://schemas.openxmlformats.org/officeDocument/2006/relationships/hyperlink" Target="http://www.sec.gov/Archives/edgar/data/1638097/000114420418000927/tv482133_ex10-17.htm" TargetMode="External"/><Relationship Id="rId541" Type="http://schemas.openxmlformats.org/officeDocument/2006/relationships/hyperlink" Target="http://www.sec.gov/Archives/edgar/data/1638097/000114420418000927/tv482133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2019-12-08T13:34:03Z</dcterms:created>
  <dcterms:modified xsi:type="dcterms:W3CDTF">2019-12-08T13:34:03Z</dcterms:modified>
</cp:coreProperties>
</file>