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879" w:firstLine="8"/>
        <w:spacing w:after="0" w:line="216" w:lineRule="exact"/>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8" w:right="1440" w:bottom="1440" w:gutter="0" w:footer="0" w:header="0"/>
        </w:sectPr>
      </w:pPr>
    </w:p>
    <w:bookmarkStart w:id="1" w:name="page2"/>
    <w:bookmarkEnd w:id="1"/>
    <w:p>
      <w:pPr>
        <w:jc w:val="right"/>
        <w:ind w:right="60"/>
        <w:spacing w:after="0"/>
        <w:rPr>
          <w:sz w:val="20"/>
          <w:szCs w:val="20"/>
          <w:color w:val="auto"/>
        </w:rPr>
      </w:pPr>
      <w:r>
        <w:rPr>
          <w:rFonts w:ascii="Times New Roman" w:cs="Times New Roman" w:eastAsia="Times New Roman" w:hAnsi="Times New Roman"/>
          <w:sz w:val="18"/>
          <w:szCs w:val="18"/>
          <w:color w:val="auto"/>
        </w:rPr>
        <w:t>Kiryat Hadassah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7626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635" cy="42862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Minrav Building - Fifth Floor</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Shareholders (the “Annual Meeting”) of Entera Bio Ltd., a company formed under the laws of the State of Israel (“we,” “Entera,” or the “Company”), will be held on July 14, 2026 at 08:00 AM Eastern Time, at our offices located at Kiryat Hadassah, Minrav Building – Fifth Floor, Jerusalem Israel 9112002, for the following Agenda Items:</w:t>
      </w:r>
    </w:p>
    <w:p>
      <w:pPr>
        <w:spacing w:after="0" w:line="176" w:lineRule="exact"/>
        <w:rPr>
          <w:sz w:val="20"/>
          <w:szCs w:val="20"/>
          <w:color w:val="auto"/>
        </w:rPr>
      </w:pPr>
    </w:p>
    <w:p>
      <w:pPr>
        <w:ind w:left="1060" w:hanging="310"/>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following nominees to serve as Class III directors of the Company until the Company’s annual general meeting of shareholders to be held in 2029;</w:t>
      </w:r>
    </w:p>
    <w:p>
      <w:pPr>
        <w:spacing w:after="0" w:line="161" w:lineRule="exact"/>
        <w:rPr>
          <w:rFonts w:ascii="Times New Roman" w:cs="Times New Roman" w:eastAsia="Times New Roman" w:hAnsi="Times New Roman"/>
          <w:sz w:val="18"/>
          <w:szCs w:val="18"/>
          <w:color w:val="auto"/>
        </w:rPr>
      </w:pPr>
    </w:p>
    <w:p>
      <w:pPr>
        <w:ind w:left="1400" w:hanging="326"/>
        <w:spacing w:after="0"/>
        <w:tabs>
          <w:tab w:leader="none" w:pos="14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Sean Ellis</w:t>
      </w:r>
    </w:p>
    <w:p>
      <w:pPr>
        <w:spacing w:after="0" w:line="225" w:lineRule="exact"/>
        <w:rPr>
          <w:rFonts w:ascii="Times New Roman" w:cs="Times New Roman" w:eastAsia="Times New Roman" w:hAnsi="Times New Roman"/>
          <w:sz w:val="18"/>
          <w:szCs w:val="18"/>
          <w:color w:val="auto"/>
        </w:rPr>
      </w:pPr>
    </w:p>
    <w:p>
      <w:pPr>
        <w:ind w:left="1400" w:hanging="326"/>
        <w:spacing w:after="0"/>
        <w:tabs>
          <w:tab w:leader="none" w:pos="14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Steven D. Rubin</w:t>
      </w:r>
    </w:p>
    <w:p>
      <w:pPr>
        <w:spacing w:after="0" w:line="225" w:lineRule="exact"/>
        <w:rPr>
          <w:rFonts w:ascii="Times New Roman" w:cs="Times New Roman" w:eastAsia="Times New Roman" w:hAnsi="Times New Roman"/>
          <w:sz w:val="18"/>
          <w:szCs w:val="18"/>
          <w:color w:val="auto"/>
        </w:rPr>
      </w:pPr>
    </w:p>
    <w:p>
      <w:pPr>
        <w:ind w:left="1400" w:hanging="326"/>
        <w:spacing w:after="0"/>
        <w:tabs>
          <w:tab w:leader="none" w:pos="14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Geno J. Germano</w:t>
      </w:r>
    </w:p>
    <w:p>
      <w:pPr>
        <w:spacing w:after="0" w:line="225" w:lineRule="exact"/>
        <w:rPr>
          <w:rFonts w:ascii="Times New Roman" w:cs="Times New Roman" w:eastAsia="Times New Roman" w:hAnsi="Times New Roman"/>
          <w:sz w:val="18"/>
          <w:szCs w:val="18"/>
          <w:color w:val="auto"/>
        </w:rPr>
      </w:pPr>
    </w:p>
    <w:p>
      <w:pPr>
        <w:ind w:left="1060" w:hanging="31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compensation terms for the Company’s non-executive directors;</w:t>
      </w:r>
    </w:p>
    <w:p>
      <w:pPr>
        <w:spacing w:after="0" w:line="225" w:lineRule="exact"/>
        <w:rPr>
          <w:rFonts w:ascii="Times New Roman" w:cs="Times New Roman" w:eastAsia="Times New Roman" w:hAnsi="Times New Roman"/>
          <w:sz w:val="18"/>
          <w:szCs w:val="18"/>
          <w:color w:val="auto"/>
        </w:rPr>
      </w:pPr>
    </w:p>
    <w:p>
      <w:pPr>
        <w:ind w:left="1060" w:hanging="31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share-based compensation, as described in the accompanying proxy statement, for Mr. Steven D. Rubin, a Director;</w:t>
      </w:r>
    </w:p>
    <w:p>
      <w:pPr>
        <w:spacing w:after="0" w:line="225" w:lineRule="exact"/>
        <w:rPr>
          <w:rFonts w:ascii="Times New Roman" w:cs="Times New Roman" w:eastAsia="Times New Roman" w:hAnsi="Times New Roman"/>
          <w:sz w:val="18"/>
          <w:szCs w:val="18"/>
          <w:color w:val="auto"/>
        </w:rPr>
      </w:pPr>
    </w:p>
    <w:p>
      <w:pPr>
        <w:ind w:left="1060" w:right="20" w:hanging="310"/>
        <w:spacing w:after="0" w:line="28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share-based compensation as described in the accompanying proxy statement, for Mr. Geno J. Germano, the Chairman of the Company’s board of directors (the “Board”);</w:t>
      </w:r>
    </w:p>
    <w:p>
      <w:pPr>
        <w:spacing w:after="0" w:line="161" w:lineRule="exact"/>
        <w:rPr>
          <w:rFonts w:ascii="Times New Roman" w:cs="Times New Roman" w:eastAsia="Times New Roman" w:hAnsi="Times New Roman"/>
          <w:sz w:val="18"/>
          <w:szCs w:val="18"/>
          <w:color w:val="auto"/>
        </w:rPr>
      </w:pPr>
    </w:p>
    <w:p>
      <w:pPr>
        <w:ind w:left="1060" w:hanging="31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one-time grant of compensation, as described in the accompanying proxy statement, to Mr. Sean Ellis, a Director;</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terms, as described in the accompanying proxy statement, for Ms. Miranda Toledano, our Chief Executive Officer and a Director;</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2018 Equity Incentive Plan (the “2018 Plan”) to increase the number of shares issuable thereunder by 2,500,000 shares;</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Articles of Association (the “Articles”) to effect an increase in the Company’s authorized share capital;</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the advisory resolution regarding the compensation of our named executive officers;</w:t>
      </w:r>
    </w:p>
    <w:p>
      <w:pPr>
        <w:spacing w:after="0" w:line="225" w:lineRule="exact"/>
        <w:rPr>
          <w:rFonts w:ascii="Times New Roman" w:cs="Times New Roman" w:eastAsia="Times New Roman" w:hAnsi="Times New Roman"/>
          <w:sz w:val="18"/>
          <w:szCs w:val="18"/>
          <w:color w:val="auto"/>
        </w:rPr>
      </w:pPr>
    </w:p>
    <w:p>
      <w:pPr>
        <w:jc w:val="both"/>
        <w:ind w:left="1080" w:hanging="316"/>
        <w:spacing w:after="0" w:line="261"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appointment of Kesselman &amp; Kesselman, a member firm of 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 and</w:t>
      </w:r>
    </w:p>
    <w:p>
      <w:pPr>
        <w:spacing w:after="0" w:line="179"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any other business as may properly come before the Annual Meeting and any adjournment or postponement of the Annual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our shareholders will be requested to consider at the Annual Meeting our audited consolidated financial statements for the fiscal year ended December 31, 2025. No vote is required regarding this item.</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foregoing proposals are described more fully in the enclosed proxy statement, which we urge you to read in its entirety.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holders of record of our ordinary shares, par value NIS 0.0000769 per share (the “Ordinary Shares”), at the close of business on Tuesday, May 19, 2026, are entitled to notice of and to attend and vote at the Annual Meeting and any adjournments thereof. The vote required to approve the resolutions to be presented is set forth in each proposal brought for shareholders’ approval in the accompanying proxy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or not you expect to be present at the Annual Meeting, please vote using the Internet, or by mail, in each case by following the instructions in our proxy statement. Shareholders who execute a proxy may nevertheless attend the Annual Meeting, revoke their proxy and vote their shares in person.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Shareholders of record, who do not expect to attend the Annual Meeting in person, are kindly requested to mark, date, sign and mail the enclosed proxy card in the accompanying pre-addressed, postage-paid envelope as promptly as possible to our address below, c/o Dana Yaacov-Garbeli, our Chief Financial Officer. You may also vote your shares through the internet by going to </w:t>
      </w:r>
      <w:r>
        <w:rPr>
          <w:rFonts w:ascii="Times New Roman" w:cs="Times New Roman" w:eastAsia="Times New Roman" w:hAnsi="Times New Roman"/>
          <w:sz w:val="18"/>
          <w:szCs w:val="18"/>
          <w:i w:val="1"/>
          <w:iCs w:val="1"/>
          <w:color w:val="auto"/>
        </w:rPr>
        <w:t>www.voteproxy.com</w:t>
      </w:r>
      <w:r>
        <w:rPr>
          <w:rFonts w:ascii="Times New Roman" w:cs="Times New Roman" w:eastAsia="Times New Roman" w:hAnsi="Times New Roman"/>
          <w:sz w:val="18"/>
          <w:szCs w:val="18"/>
          <w:color w:val="auto"/>
        </w:rPr>
        <w:t xml:space="preserve"> and following the on-screen instructions or scanning the QR code, located on the proxy card, with your smartphone. Please have your proxy card available when you access the webpage. Internet voting is available until 11:59 p.m. Eastern Time on July 13, 2026. If voting by mail, the proxy must be received at our registered office at least four (4) hours prior to the Annual Meeting (that is, by 04:00 a.m. (Eastern time), Tuesday, July 14, 2026) to be validly included in the tally of Ordinary Shares voted at the Annual Meeting. Detailed proxy voting instructions are provided both in the proxy statement and on the enclosed proxy card.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the record holder of your Ordinary Shares, you can also authorize the voting of your shares over the Internet by following the instructions provided above or in the proxy statement. Ordinary Shares can be voted at the Annual Meeting only if the holder is present or represented by proxy.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using the U.S. Securities and Exchange Commission’s “Notice and Access” rules, which allows us to make the Notice of the Annual Meeting, proxy statement and 2025 Annual Report (as defined in the proxy statement) (collectively, the “Proxy Materials”) available on the Internet, as the primary means of furnishing Proxy Materials to our shareholders. On or about June 3, 2026, we will mail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 The Proxy Materials are available online at http://www.astproxyportal.com/ast/22270.</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Notice of Internet Availability of Proxy Materials, this proxy statement, including the form of proxy and our 2025 Annual Report are first being made available to shareholders on or about June 3, 2026.</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Geno J. Germano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1705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Geno J. Germano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700" w:type="dxa"/>
            <w:vAlign w:val="bottom"/>
            <w:tcBorders>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7"/>
              </w:rPr>
              <w:t>PROXY STATEMENT</w:t>
            </w:r>
          </w:p>
        </w:tc>
        <w:tc>
          <w:tcPr>
            <w:tcW w:w="9160" w:type="dxa"/>
            <w:vAlign w:val="bottom"/>
            <w:tcBorders>
              <w:bottom w:val="single" w:sz="8" w:color="CCEEFF"/>
            </w:tcBorders>
            <w:gridSpan w:val="26"/>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OUR ANNUAL MEETING</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3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AND EXECUTIVE OFFICERS</w:t>
            </w:r>
          </w:p>
        </w:tc>
        <w:tc>
          <w:tcPr>
            <w:tcW w:w="7480" w:type="dxa"/>
            <w:vAlign w:val="bottom"/>
            <w:tcBorders>
              <w:bottom w:val="single" w:sz="8" w:color="CCEEFF"/>
            </w:tcBorders>
            <w:gridSpan w:val="19"/>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69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3880" w:type="dxa"/>
            <w:vAlign w:val="bottom"/>
            <w:tcBorders>
              <w:top w:val="single" w:sz="8" w:color="CCEEFF"/>
            </w:tcBorders>
            <w:gridSpan w:val="12"/>
          </w:tcPr>
          <w:p>
            <w:pPr>
              <w:spacing w:after="0"/>
              <w:rPr>
                <w:sz w:val="15"/>
                <w:szCs w:val="15"/>
                <w:color w:val="auto"/>
              </w:rPr>
            </w:pPr>
          </w:p>
        </w:tc>
        <w:tc>
          <w:tcPr>
            <w:tcW w:w="3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7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ONE – ELECTION OF DIRECTORS</w:t>
            </w:r>
          </w:p>
        </w:tc>
        <w:tc>
          <w:tcPr>
            <w:tcW w:w="71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PROPOSAL TWO – APPROVAL OF AMENDED COMPENSATION TERMS FOR OUR NON-EXECUTIVE DIRECTORS</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1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THREE – APPROVAL OF SHARE-BASED COMPENSATION FOR MR. STEVEN D. RUBIN, A DIRECTOR</w:t>
            </w:r>
          </w:p>
        </w:tc>
        <w:tc>
          <w:tcPr>
            <w:tcW w:w="1720" w:type="dxa"/>
            <w:vAlign w:val="bottom"/>
            <w:tcBorders>
              <w:bottom w:val="single" w:sz="8" w:color="CCEEFF"/>
            </w:tcBorders>
            <w:gridSpan w:val="8"/>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FOUR – APPROVAL OF SHARE-BASED COMPENSATION FOR MR. GENO J. GERMANO, CHAIRMAN OF THE COMPANY’S</w:t>
            </w:r>
          </w:p>
        </w:tc>
        <w:tc>
          <w:tcPr>
            <w:tcW w:w="380" w:type="dxa"/>
            <w:vAlign w:val="bottom"/>
          </w:tcPr>
          <w:p>
            <w:pPr>
              <w:spacing w:after="0"/>
              <w:rPr>
                <w:sz w:val="15"/>
                <w:szCs w:val="15"/>
                <w:color w:val="auto"/>
              </w:rPr>
            </w:pPr>
          </w:p>
        </w:tc>
      </w:tr>
      <w:tr>
        <w:trPr>
          <w:trHeight w:val="196"/>
        </w:trPr>
        <w:tc>
          <w:tcPr>
            <w:tcW w:w="108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6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PROPOSAL FIVE – APPROVAL OF ONE-TIME GRANT OF COMPENSATION TO MR. SEAN ELLIS, A DIRECTOR</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PROPOSAL SIX – APPROVAL OF ONE-TIME GRANT OF COMPENSATION FOR MIRANDA TOLEDANO, OUR CHIEF EXECUTIVE</w:t>
            </w:r>
          </w:p>
        </w:tc>
        <w:tc>
          <w:tcPr>
            <w:tcW w:w="380" w:type="dxa"/>
            <w:vAlign w:val="bottom"/>
          </w:tcPr>
          <w:p>
            <w:pPr>
              <w:spacing w:after="0"/>
              <w:rPr>
                <w:sz w:val="15"/>
                <w:szCs w:val="15"/>
                <w:color w:val="auto"/>
              </w:rPr>
            </w:pPr>
          </w:p>
        </w:tc>
      </w:tr>
      <w:tr>
        <w:trPr>
          <w:trHeight w:val="196"/>
        </w:trPr>
        <w:tc>
          <w:tcPr>
            <w:tcW w:w="103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OFFICER AND A DIRECTOR</w:t>
            </w:r>
          </w:p>
        </w:tc>
        <w:tc>
          <w:tcPr>
            <w:tcW w:w="52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05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SEVEN – APPROVAL OF AN AMENDMENT TO THE COMPANY’S 2018 INCENTIVE PLAN TO INCREASE THE NUMBER</w:t>
            </w: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r>
      <w:tr>
        <w:trPr>
          <w:trHeight w:val="217"/>
        </w:trPr>
        <w:tc>
          <w:tcPr>
            <w:tcW w:w="4920" w:type="dxa"/>
            <w:vAlign w:val="bottom"/>
            <w:tcBorders>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SHARES ISSUABLE THEREUNDER BY 2,500,000 SHARES</w:t>
            </w:r>
          </w:p>
        </w:tc>
        <w:tc>
          <w:tcPr>
            <w:tcW w:w="5940" w:type="dxa"/>
            <w:vAlign w:val="bottom"/>
            <w:tcBorders>
              <w:bottom w:val="single" w:sz="8" w:color="CCEEFF"/>
            </w:tcBorders>
            <w:gridSpan w:val="14"/>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1046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EIGHT – APPROVAL OF AN AMENDMENT TO THE AMENDED AND RESTATED ARTICLES OF ASSOCIATION OF THE</w:t>
            </w:r>
          </w:p>
        </w:tc>
        <w:tc>
          <w:tcPr>
            <w:tcW w:w="40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r>
      <w:tr>
        <w:trPr>
          <w:trHeight w:val="196"/>
        </w:trPr>
        <w:tc>
          <w:tcPr>
            <w:tcW w:w="108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COMPANY TO EFFECT AN INCREASE IN THE COMPANY’S AUTHORIZED SHARE CAPITAL.</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9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NINE – ADVISORY RESOLUTION REGARDING THE COMPENSATION OF OUR NAMED EXECUTIVE OFFICERS</w:t>
            </w:r>
          </w:p>
        </w:tc>
        <w:tc>
          <w:tcPr>
            <w:tcW w:w="90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PROPOSAL TEN – APPOINTMENT AND COMPENSATION OF OUR INDEPENDENT REGISTERED PUBLIC ACCOUNTANTS</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 COMMITTEE REPORT</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WHERE TO OBTAIN ADDITIONAL INFORMATION</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RELATING TO THIS PROXY STATEMENT</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6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OF THE COMPANY FOR THE YEAR ENDED DECEMBER 31, 2025</w:t>
            </w:r>
          </w:p>
        </w:tc>
        <w:tc>
          <w:tcPr>
            <w:tcW w:w="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108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BUSINESS</w:t>
            </w:r>
          </w:p>
        </w:tc>
        <w:tc>
          <w:tcPr>
            <w:tcW w:w="3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ind w:right="60"/>
        <w:spacing w:after="0"/>
        <w:rPr>
          <w:sz w:val="20"/>
          <w:szCs w:val="20"/>
          <w:color w:val="auto"/>
        </w:rPr>
      </w:pPr>
      <w:r>
        <w:rPr>
          <w:rFonts w:ascii="Times New Roman" w:cs="Times New Roman" w:eastAsia="Times New Roman" w:hAnsi="Times New Roman"/>
          <w:sz w:val="18"/>
          <w:szCs w:val="18"/>
          <w:color w:val="auto"/>
        </w:rPr>
        <w:t>Kiryat Hadassah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76263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635" cy="42862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Minrav Building - Fifth Floor</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Jerusalem,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Annual Meeting of Shareholders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are receiving this proxy statement and the enclosed proxy card because you owned ordinary shares, par value NIS 0.0000769 per share (the “Ordinary Shares”), of Entera Bio Ltd. (referred to as the “Company,” “Entera,” “we,” “us,” or “our”), as of the close of business on Tuesday, May 19, 2026 (the “Record Date”), which entitles you to attend and vote at the 2026 Annual Meeting of Shareholders (the “Annual Meeting”). The Company’s board of directors (the “Board”) is soliciting proxies from shareholders who wish to vote at the Annual Meeting. By use of a proxy, you can vote even if you do not attend the Annual Meeting. This proxy statement describes the matters on which you are being asked to vote and provides information on those matters so that you can make an informed decision.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14,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and our Annual Report on Form 10-K for the fiscal year ended December 31, 2025 (the “2025 Annual Report”) are available online at http://www.astproxyportal.com/ast/22270.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 using the U.S. Securities and Exchange Commission’s (the “SEC”) “Notice and Access” rules, which allows us to make the Notice of the Annual Meeting, proxy statement and 2025 Annual Report (collectively, the “Proxy Materials”) available on the Internet, as the primary means of furnishing Proxy Materials to our shareholders. On or about June 3, 2026, we began mailing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electronic method of delivery under the “Notice and Access” model will decrease postage and printing expenses, expedite delivery of Proxy Materials to you and reduce our environmental impact. We encourage you to take advantage of the availability of the Proxy Materials on the Internet. If you received the Notice but would like to receive a full printed set of the Proxy Materials in the mail, you may follow the instructions in the Notice of Internet Availability of Proxy Materials for requesting such materials.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Time and Place of the Annual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hold the Annual Meeting on Tuesday, July 14, 2026, at 8:00 a.m. Eastern Time at Kiryat Hadassah, Minrav Building – Fifth Floor, Jerusalem Israel 9112002.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ANNUAL MEETING</w:t>
      </w:r>
    </w:p>
    <w:p>
      <w:pPr>
        <w:spacing w:after="0" w:line="225"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may vote at the Annual Meeting?</w:t>
      </w:r>
    </w:p>
    <w:p>
      <w:pPr>
        <w:spacing w:after="0" w:line="229" w:lineRule="exact"/>
        <w:rPr>
          <w:sz w:val="20"/>
          <w:szCs w:val="20"/>
          <w:color w:val="auto"/>
        </w:rPr>
      </w:pPr>
    </w:p>
    <w:p>
      <w:pPr>
        <w:jc w:val="both"/>
        <w:ind w:left="440" w:hanging="432"/>
        <w:spacing w:after="0" w:line="266" w:lineRule="auto"/>
        <w:tabs>
          <w:tab w:leader="none" w:pos="46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vote all of the Ordinary Shares that you owned at the close of business the Record Date, which is Tuesday, May 19, 2026. On the Record Date, there were 49,290,234 Ordinary Shares outstanding and entitled to be voted at the Annual Meeting. You may cast one vote for each Ordinary Share held by you as of the Record Date on all matters presented at the Annual Meeting for shareholders’ approval.</w:t>
      </w:r>
    </w:p>
    <w:p>
      <w:pPr>
        <w:spacing w:after="0" w:line="176"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You do not need to attend the Annual Meeting to vote your Ordinary Shares. Ordinary Shares represented by valid proxies, received in time for the Annual Meeting and not revoked prior to the Annual Meeting, will be voted at the Annual Meeting. See “How do I vote?” below.</w:t>
      </w:r>
    </w:p>
    <w:p>
      <w:pPr>
        <w:spacing w:after="0" w:line="158"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constitutes a quorum, and why is a quorum required?</w:t>
      </w:r>
    </w:p>
    <w:p>
      <w:pPr>
        <w:spacing w:after="0" w:line="229" w:lineRule="exact"/>
        <w:rPr>
          <w:sz w:val="20"/>
          <w:szCs w:val="20"/>
          <w:color w:val="auto"/>
        </w:rPr>
      </w:pPr>
    </w:p>
    <w:p>
      <w:pPr>
        <w:jc w:val="both"/>
        <w:ind w:left="440" w:hanging="432"/>
        <w:spacing w:after="0" w:line="253" w:lineRule="auto"/>
        <w:tabs>
          <w:tab w:leader="none" w:pos="43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required to conduct business at the Annual Meeting. Pursuant to our Amended and Restated Articles of Association as in effect prior to the Annual Meeting (the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following the time scheduled for the Annual Meeting, the Annual Meeting will be adjourned to the same day in the following week (at the same time and place), or to a later time and date if so specified in the notice of the Annual Meeting, unless such day shall fall on a statutory holiday (either in Israel or in the United States), in which case the Annual Meeting will be adjourned to the first business day afterwards. If at such adjourned meeting a quorum as specified above is not present within half an hour following the time designated for holding the Annual Meeting, subject to certain exceptions, the Articles allow that any two shareholders present in person or by proxy shall constitute a quorum. Under applicable Nasdaq rules, however, a quorum must consist of not less than an aggregate of 33 1/3% of the voting power of our issued and outstanding shares.</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5" w:name="page6"/>
    <w:bookmarkEnd w:id="5"/>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difference between a shareholder of record and a beneficial owner?</w:t>
      </w:r>
    </w:p>
    <w:p>
      <w:pPr>
        <w:spacing w:after="0" w:line="229" w:lineRule="exact"/>
        <w:rPr>
          <w:sz w:val="20"/>
          <w:szCs w:val="20"/>
          <w:color w:val="auto"/>
        </w:rPr>
      </w:pPr>
    </w:p>
    <w:p>
      <w:pPr>
        <w:jc w:val="both"/>
        <w:ind w:left="440" w:hanging="432"/>
        <w:spacing w:after="0" w:line="255" w:lineRule="auto"/>
        <w:tabs>
          <w:tab w:leader="none" w:pos="45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Ordinary Shares are registered directly in your name with our transfer agent, Equiniti Trust Company, LLC, then you are the “shareholder of record” with respect to those Ordinary Shares. If your Ordinary Shares are held by a brokerage firm, bank, trustee or other agent (a “nominee”), then you are the “beneficial owner” of Ordinary Shares held in “street name.” If you hold your Ordinary Shares through a nominee, then the Notice of Internet Availability of Proxy Materials, and, if applicable, this proxy statement, the Notice of Annual Meeting, the accompanying proxy and the 2025 Annual Report have been forwarded to you by that nominee who is considered, with respect to those Ordinary Shares, the shareholder of record. As the beneficial owner, you have the right to direct your nominee on how to vote your Ordinary Shares by following the instructions provided by your nominee for voting.</w:t>
      </w:r>
    </w:p>
    <w:p>
      <w:pPr>
        <w:spacing w:after="0" w:line="188"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Ordinary Shares through a nominee, it is critical that you instruct the nominee how to vote your Ordinary Shares if you want your Ordinary Shares to be voted. See “What if I am a beneficial shareholder and I do not give the nominee voting instructions?” below.</w:t>
      </w:r>
    </w:p>
    <w:p>
      <w:pPr>
        <w:spacing w:after="0" w:line="158"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did I receive a “Notice of Internet Availability of Proxy Materials” but no proxy materials?</w:t>
      </w:r>
    </w:p>
    <w:p>
      <w:pPr>
        <w:spacing w:after="0" w:line="229" w:lineRule="exact"/>
        <w:rPr>
          <w:sz w:val="20"/>
          <w:szCs w:val="20"/>
          <w:color w:val="auto"/>
        </w:rPr>
      </w:pPr>
    </w:p>
    <w:p>
      <w:pPr>
        <w:jc w:val="both"/>
        <w:ind w:left="440" w:right="20" w:hanging="432"/>
        <w:spacing w:after="0" w:line="261" w:lineRule="auto"/>
        <w:tabs>
          <w:tab w:leader="none" w:pos="4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distributing our Proxy Materials to certain shareholders via the Internet under the SEC’s “Notice and Access” rules. This approach conserves natural resources and reduces our distribution costs, while providing a timely and convenient method of accessing the Proxy Materials and voting. On or about June 3, 2026, we began mailing a “Notice of Internet Availability of Proxy Materials” to participating shareholders containing instructions on how to access the proxy materials on the Internet and how to vote.</w:t>
      </w:r>
    </w:p>
    <w:p>
      <w:pPr>
        <w:spacing w:after="0" w:line="176"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 I vote?</w:t>
      </w:r>
    </w:p>
    <w:p>
      <w:pPr>
        <w:spacing w:after="0" w:line="229"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shareholder of record, you may vote:</w:t>
      </w:r>
    </w:p>
    <w:p>
      <w:pPr>
        <w:spacing w:after="0" w:line="225" w:lineRule="exact"/>
        <w:rPr>
          <w:rFonts w:ascii="Times New Roman" w:cs="Times New Roman" w:eastAsia="Times New Roman" w:hAnsi="Times New Roman"/>
          <w:sz w:val="18"/>
          <w:szCs w:val="18"/>
          <w:b w:val="1"/>
          <w:bCs w:val="1"/>
          <w:color w:val="auto"/>
        </w:rPr>
      </w:pPr>
    </w:p>
    <w:p>
      <w:pPr>
        <w:ind w:left="820" w:hanging="429"/>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Internet;</w:t>
      </w:r>
    </w:p>
    <w:p>
      <w:pPr>
        <w:spacing w:after="0" w:line="225" w:lineRule="exact"/>
        <w:rPr>
          <w:rFonts w:ascii="Times New Roman" w:cs="Times New Roman" w:eastAsia="Times New Roman" w:hAnsi="Times New Roman"/>
          <w:sz w:val="18"/>
          <w:szCs w:val="18"/>
          <w:color w:val="auto"/>
        </w:rPr>
      </w:pPr>
    </w:p>
    <w:p>
      <w:pPr>
        <w:ind w:left="820" w:hanging="429"/>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or</w:t>
      </w:r>
    </w:p>
    <w:p>
      <w:pPr>
        <w:spacing w:after="0" w:line="225" w:lineRule="exact"/>
        <w:rPr>
          <w:rFonts w:ascii="Times New Roman" w:cs="Times New Roman" w:eastAsia="Times New Roman" w:hAnsi="Times New Roman"/>
          <w:sz w:val="18"/>
          <w:szCs w:val="18"/>
          <w:color w:val="auto"/>
        </w:rPr>
      </w:pPr>
    </w:p>
    <w:p>
      <w:pPr>
        <w:ind w:left="820" w:hanging="429"/>
        <w:spacing w:after="0"/>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25"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 xml:space="preserve">Shareholders of record, who do not expect to attend the Annual Meeting in person, are kindly requested to mark, date, sign and mail the enclosed proxy card in the accompanying pre-addressed, postage-paid envelope as promptly as possible to our address below, c/o Dana Yaacov-Garbeli, our Chief Financial Officer. You may also vote your shares through the Internet by going to </w:t>
      </w:r>
      <w:r>
        <w:rPr>
          <w:rFonts w:ascii="Times New Roman" w:cs="Times New Roman" w:eastAsia="Times New Roman" w:hAnsi="Times New Roman"/>
          <w:sz w:val="18"/>
          <w:szCs w:val="18"/>
          <w:b w:val="1"/>
          <w:bCs w:val="1"/>
          <w:i w:val="1"/>
          <w:iCs w:val="1"/>
          <w:color w:val="auto"/>
        </w:rPr>
        <w:t>www.voteproxy.com</w:t>
      </w:r>
      <w:r>
        <w:rPr>
          <w:rFonts w:ascii="Times New Roman" w:cs="Times New Roman" w:eastAsia="Times New Roman" w:hAnsi="Times New Roman"/>
          <w:sz w:val="18"/>
          <w:szCs w:val="18"/>
          <w:color w:val="auto"/>
        </w:rPr>
        <w:t xml:space="preserve"> and following the on-screen instructions or scanning the QR code, located on the proxy card, with your smartphone. Please have your proxy card available when you access the webpage. Internet voting is available until 11:59 p.m. Eastern Time the day before the Annual Meeting. Your Internet delivery authorizes the named proxy holders to vote your shares in the same manner as if you marked, signed and returned your proxy via the mail. If voting by mail, the proxy must be received at our registered office at least four (4) hours prior to the Annual Meeting (that is, by 04:00 a.m. Eastern time, Tuesday, July 14, 2026) to be validly included in the tally of Ordinary Shares voted at the Annual Meeting. Detailed proxy voting instructions are provided both in the proxy statement and on the enclosed proxy card.</w:t>
      </w:r>
    </w:p>
    <w:p>
      <w:pPr>
        <w:spacing w:after="0" w:line="188" w:lineRule="exact"/>
        <w:rPr>
          <w:sz w:val="20"/>
          <w:szCs w:val="20"/>
          <w:color w:val="auto"/>
        </w:rPr>
      </w:pPr>
    </w:p>
    <w:p>
      <w:pPr>
        <w:jc w:val="both"/>
        <w:ind w:left="400"/>
        <w:spacing w:after="0" w:line="266" w:lineRule="auto"/>
        <w:rPr>
          <w:sz w:val="20"/>
          <w:szCs w:val="20"/>
          <w:color w:val="auto"/>
        </w:rPr>
      </w:pPr>
      <w:r>
        <w:rPr>
          <w:rFonts w:ascii="Times New Roman" w:cs="Times New Roman" w:eastAsia="Times New Roman" w:hAnsi="Times New Roman"/>
          <w:sz w:val="18"/>
          <w:szCs w:val="18"/>
          <w:color w:val="auto"/>
        </w:rPr>
        <w:t>If you hold Ordinary Shares through a nominee, you must follow the voting procedures of your nominee included with your proxy materials. If your shares are held by a nominee and you intend to vote at the Annual Meeting, please bring with you evidence of your ownership as of the Record Date (such as a letter from your nominee confirming your ownership or a bank or brokerage firm account statement).</w:t>
      </w:r>
    </w:p>
    <w:p>
      <w:pPr>
        <w:spacing w:after="0" w:line="176"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If you provide specific instructions (by marking a box) with regard to the proposals, your shares will be voted as you instruct. If you sign and return your proxy card or voting instruction form, the persons named as proxies will vote in their discretion on any other matters that properly come before the Annual Meeting and are not included in the proposals set forth above under “Agenda Items.” Please also see “What if I sign and return my proxy without making any selections?” below.</w:t>
      </w:r>
    </w:p>
    <w:p>
      <w:pPr>
        <w:spacing w:after="0" w:line="176"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am I voting on and what are the Board’s recommendations?</w:t>
      </w:r>
    </w:p>
    <w:p>
      <w:pPr>
        <w:spacing w:after="0" w:line="229" w:lineRule="exact"/>
        <w:rPr>
          <w:sz w:val="20"/>
          <w:szCs w:val="20"/>
          <w:color w:val="auto"/>
        </w:rPr>
      </w:pPr>
    </w:p>
    <w:p>
      <w:pPr>
        <w:ind w:left="440" w:hanging="432"/>
        <w:spacing w:after="0" w:line="282" w:lineRule="auto"/>
        <w:tabs>
          <w:tab w:leader="none" w:pos="45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Annual Meeting you will be asked to vote on the following ten proposals. Our Board recommendation for each of these proposals is set forth below.</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line="24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206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6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Recommendation</w:t>
      </w:r>
    </w:p>
    <w:p>
      <w:pPr>
        <w:spacing w:after="0" w:line="21" w:lineRule="exact"/>
        <w:rPr>
          <w:sz w:val="20"/>
          <w:szCs w:val="20"/>
          <w:color w:val="auto"/>
        </w:rPr>
      </w:pPr>
    </w:p>
    <w:p>
      <w:pPr>
        <w:sectPr>
          <w:pgSz w:w="11900" w:h="16868" w:orient="portrait"/>
          <w:cols w:equalWidth="0" w:num="2">
            <w:col w:w="9180" w:space="720"/>
            <w:col w:w="1340"/>
          </w:cols>
          <w:pgMar w:left="320" w:top="765" w:right="339" w:bottom="0" w:gutter="0" w:footer="0" w:header="0"/>
        </w:sectPr>
      </w:pPr>
    </w:p>
    <w:p>
      <w:pPr>
        <w:ind w:left="460" w:right="1460" w:hanging="452"/>
        <w:spacing w:after="0" w:line="276"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following nominees to serve as Class III director of the Company until the Company’s annual general meeting of Shareholders to be held in 2029: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Sean Ellis;</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4"/>
                <w:szCs w:val="24"/>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8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Mr. Steven D. Rubin; and</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4"/>
                <w:szCs w:val="24"/>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Geno J. Germano</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the amended compensation terms for the Company’s non-executive directors;</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share-based compensation for Steven D. Rubin, a Director;</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share-based compensation for Geno J. Germano, the Chairman of the Board;</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a one-time grant of compensation to Sean Ellis, a Director;</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one-time grant of compensation to Miranda Toledano, our Chief Executive Officer and a Director;</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the amendment to the Company's 2018 Equity Incentive Plan (the “2018 Plan”) to increase the number of shares</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36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issuable thereunder by 2,500,000 shares;</w:t>
            </w:r>
          </w:p>
        </w:tc>
        <w:tc>
          <w:tcPr>
            <w:tcW w:w="680" w:type="dxa"/>
            <w:vAlign w:val="bottom"/>
          </w:tcPr>
          <w:p>
            <w:pPr>
              <w:spacing w:after="0"/>
              <w:rPr>
                <w:sz w:val="20"/>
                <w:szCs w:val="20"/>
                <w:color w:val="auto"/>
              </w:rPr>
            </w:pP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an amendment to the Company’s Amended and Restated Articles of Association to increase the Company’s</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36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authorized share capital;</w:t>
            </w:r>
          </w:p>
        </w:tc>
        <w:tc>
          <w:tcPr>
            <w:tcW w:w="680" w:type="dxa"/>
            <w:vAlign w:val="bottom"/>
          </w:tcPr>
          <w:p>
            <w:pPr>
              <w:spacing w:after="0"/>
              <w:rPr>
                <w:sz w:val="20"/>
                <w:szCs w:val="20"/>
                <w:color w:val="auto"/>
              </w:rPr>
            </w:pP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consider and vote on the advisory resolution regarding the compensation of our named executive officers;</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approve the appointment of Kesselman &amp; Kesselman, a member firm of PricewaterhouseCoopers International Limited, or</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16"/>
        </w:trPr>
        <w:tc>
          <w:tcPr>
            <w:tcW w:w="36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PwC, an independent registered public accounting firm, as the Company’s independent auditors for the fiscal year ending</w:t>
            </w:r>
          </w:p>
        </w:tc>
        <w:tc>
          <w:tcPr>
            <w:tcW w:w="6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 2026, and authorize the Board, or the Audit Committee, if authorized by the Board, to determine the compensation</w:t>
            </w:r>
          </w:p>
        </w:tc>
        <w:tc>
          <w:tcPr>
            <w:tcW w:w="6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9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the auditors in accordance with the volume and nature of their services.</w:t>
            </w:r>
          </w:p>
        </w:tc>
        <w:tc>
          <w:tcPr>
            <w:tcW w:w="680" w:type="dxa"/>
            <w:vAlign w:val="bottom"/>
          </w:tcPr>
          <w:p>
            <w:pPr>
              <w:spacing w:after="0"/>
              <w:rPr>
                <w:sz w:val="20"/>
                <w:szCs w:val="20"/>
                <w:color w:val="auto"/>
              </w:rPr>
            </w:pPr>
          </w:p>
        </w:tc>
      </w:tr>
    </w:tbl>
    <w:p>
      <w:pPr>
        <w:spacing w:after="0" w:line="198"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In addition, we will review and discuss our consolidated financial statements for the fiscal year ended December 31, 2025. We will also consider other business that properly comes before the Annual Meeting in accordance with the Israeli Companies Law, 5759-1999 and the regulations promulgated thereunder (together, the “Israeli Companies Law”) and our Articles.</w:t>
      </w:r>
    </w:p>
    <w:p>
      <w:pPr>
        <w:spacing w:after="0" w:line="172"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jc w:val="both"/>
        <w:ind w:left="440" w:hanging="432"/>
        <w:spacing w:after="0" w:line="261" w:lineRule="auto"/>
        <w:tabs>
          <w:tab w:leader="none" w:pos="4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the persons named as attorneys-in-fact, agents and proxy holders, Miranda Toledano and Dana Yaacov-Garbeli, will have the discretion to vote your Ordinary Shares on any additional matters properly presented for a vote at the Annual Meeting in accordance with the Israeli Companies Law and our Articles.</w:t>
      </w:r>
    </w:p>
    <w:p>
      <w:pPr>
        <w:spacing w:after="0" w:line="176"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if I abstain on a proposal?</w:t>
      </w:r>
    </w:p>
    <w:p>
      <w:pPr>
        <w:spacing w:after="0" w:line="229" w:lineRule="exact"/>
        <w:rPr>
          <w:sz w:val="20"/>
          <w:szCs w:val="20"/>
          <w:color w:val="auto"/>
        </w:rPr>
      </w:pPr>
    </w:p>
    <w:p>
      <w:pPr>
        <w:jc w:val="both"/>
        <w:ind w:left="440" w:hanging="432"/>
        <w:spacing w:after="0" w:line="266" w:lineRule="auto"/>
        <w:tabs>
          <w:tab w:leader="none" w:pos="42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sign and return your proxy marked “abstain” on any proposal, your Ordinary Shares will not be voted on that proposal. Abstentions and broker non-votes will have no effect on the outcome of the vote. However, your Ordinary Shares will be counted for purposes of determining whether a quorum is present.</w:t>
      </w:r>
    </w:p>
    <w:p>
      <w:pPr>
        <w:spacing w:after="0" w:line="172"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if I sign and return my proxy without making any selections?</w:t>
      </w:r>
    </w:p>
    <w:p>
      <w:pPr>
        <w:spacing w:after="0" w:line="229" w:lineRule="exact"/>
        <w:rPr>
          <w:sz w:val="20"/>
          <w:szCs w:val="20"/>
          <w:color w:val="auto"/>
        </w:rPr>
      </w:pPr>
    </w:p>
    <w:p>
      <w:pPr>
        <w:jc w:val="both"/>
        <w:ind w:left="440" w:hanging="432"/>
        <w:spacing w:after="0" w:line="261" w:lineRule="auto"/>
        <w:tabs>
          <w:tab w:leader="none" w:pos="45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sign and return your proxy without making any selections, your Ordinary Shares will be voted “FOR” Proposals 1-10 described in this proxy statement. If other matters properly come before the Annual Meeting, Miranda Toledano and Dana Yaacov-Garbeli will have the authority to vote on those matters for you at their discretion. As of the date of this proxy statement, we are not aware of any matters that will come before the Annual Meeting other than those disclosed in this proxy statement.</w:t>
      </w:r>
    </w:p>
    <w:p>
      <w:pPr>
        <w:spacing w:after="0" w:line="176"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if I am a beneficial shareholder and I do not give the nominee voting instructions?</w:t>
      </w:r>
    </w:p>
    <w:p>
      <w:pPr>
        <w:spacing w:after="0" w:line="229" w:lineRule="exact"/>
        <w:rPr>
          <w:sz w:val="20"/>
          <w:szCs w:val="20"/>
          <w:color w:val="auto"/>
        </w:rPr>
      </w:pPr>
    </w:p>
    <w:p>
      <w:pPr>
        <w:jc w:val="both"/>
        <w:ind w:left="440" w:hanging="432"/>
        <w:spacing w:after="0" w:line="253" w:lineRule="auto"/>
        <w:tabs>
          <w:tab w:leader="none" w:pos="45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beneficial shareholder and your Ordinary Shares are held in the name of a nominee, the nominee is bound by the rules of the New York Stock Exchange regarding whether it can exercise discretionary voting power for any particular proposal if such nominee has not received voting instructions from you. Nominees have the authority to vote shares for which their customers do not provide voting instructions on “routine” matters. Only Proposals Eight (approval of an amendment to the Articles to increase the Company’s authorized share capital) and Ten (approval of the re-appointment of our independent registered public accountants) are considered routine matters. As a result, your nominee is not permitted to exercise discretion and vote your Ordinary Shares for or against any of the other proposals described in this proxy statement. A “broker non-vote” occurs when a nominee who holds shares for a beneficial owner submits a proxy but does not vote on a particular item because the nominee does not have discretionary voting authority for that item and has not received instructions from the beneficial owner of the shares. Broker non-votes are included in the calculation of the number of votes considered to be present at the Annual Meeting for purposes of determining the presence of a quorum but are not counted as votes cast for or against any matter.</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68" w:orient="portrait"/>
          <w:cols w:equalWidth="0" w:num="1">
            <w:col w:w="11240"/>
          </w:cols>
          <w:pgMar w:left="320" w:top="765" w:right="339" w:bottom="0" w:gutter="0" w:footer="0" w:header="0"/>
          <w:type w:val="continuous"/>
        </w:sectPr>
      </w:pPr>
    </w:p>
    <w:bookmarkStart w:id="7" w:name="page8"/>
    <w:bookmarkEnd w:id="7"/>
    <w:p>
      <w:pPr>
        <w:ind w:left="420" w:hanging="412"/>
        <w:spacing w:after="0"/>
        <w:tabs>
          <w:tab w:leader="none" w:pos="4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my vote or revoke my proxy after I have delivered my proxy?</w:t>
      </w:r>
    </w:p>
    <w:p>
      <w:pPr>
        <w:spacing w:after="0" w:line="229" w:lineRule="exact"/>
        <w:rPr>
          <w:sz w:val="20"/>
          <w:szCs w:val="20"/>
          <w:color w:val="auto"/>
        </w:rPr>
      </w:pPr>
    </w:p>
    <w:p>
      <w:pPr>
        <w:jc w:val="both"/>
        <w:ind w:left="440" w:hanging="432"/>
        <w:spacing w:after="0" w:line="258" w:lineRule="auto"/>
        <w:tabs>
          <w:tab w:leader="none" w:pos="45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vote or revoke your proxy prior to the Annual Meeting. If you are a shareholder of record, you may change your vote by delivering to our Chief Financial Officer, at the address set forth under “Where to Obtain Additional Information”, a written notice of revocation or a duly executed proxy bearing a later date (but not less than 24 hours before the Annual Meeting) or by attending the Annual Meeting and voting in person. Attendance at the Annual Meeting will not in and of itself constitute revocation of a vote. If you are a beneficial owner, you must contact your nominee to change your vote or obtain a legal proxy to vote your shares if you wish to cast your vote in person at the Annual Meeting.</w:t>
      </w:r>
    </w:p>
    <w:p>
      <w:pPr>
        <w:spacing w:after="0" w:line="179"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229" w:lineRule="exact"/>
        <w:rPr>
          <w:sz w:val="20"/>
          <w:szCs w:val="20"/>
          <w:color w:val="auto"/>
        </w:rPr>
      </w:pPr>
    </w:p>
    <w:p>
      <w:pPr>
        <w:jc w:val="both"/>
        <w:ind w:left="440" w:hanging="432"/>
        <w:spacing w:after="0" w:line="261" w:lineRule="auto"/>
        <w:tabs>
          <w:tab w:leader="none" w:pos="43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shareholders of record as of the Record Date and our invited guests may attend the Annual Meeting. To gain admittance, you must bring a form of personal identification to the Annual Meeting, where your name will be verified against our shareholder list. If a broker or other nominee holds your Ordinary Shares and you plan to attend the Annual Meeting, you should bring a recent brokerage statement showing your ownership of the Ordinary Shares as of the Record Date, a letter from the broker confirming such ownership, and a form of personal identification.</w:t>
      </w:r>
    </w:p>
    <w:p>
      <w:pPr>
        <w:spacing w:after="0" w:line="176"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If I plan to attend the Annual Meeting, should I still vote by proxy?</w:t>
      </w:r>
    </w:p>
    <w:p>
      <w:pPr>
        <w:spacing w:after="0" w:line="229"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Casting your vote in advance does not affect your right to attend the Annual Meeting.</w:t>
      </w:r>
    </w:p>
    <w:p>
      <w:pPr>
        <w:spacing w:after="0" w:line="225"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vote in advance and also attend the Annual Meeting, you do not need to vote again at the Annual Meeting unless you want to change your vote. Written ballots will be available at the Annual Meeting for shareholders of record.</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Beneficial shareholders who wish to vote in person must request a legal proxy from the broker or other nominee and bring that legal proxy to the Annual Meeting.</w:t>
      </w:r>
    </w:p>
    <w:p>
      <w:pPr>
        <w:spacing w:after="0" w:line="158"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many votes are required for approval of each of the proposals?</w:t>
      </w:r>
    </w:p>
    <w:p>
      <w:pPr>
        <w:spacing w:after="0" w:line="229" w:lineRule="exact"/>
        <w:rPr>
          <w:sz w:val="20"/>
          <w:szCs w:val="20"/>
          <w:color w:val="auto"/>
        </w:rPr>
      </w:pPr>
    </w:p>
    <w:p>
      <w:pPr>
        <w:jc w:val="both"/>
        <w:ind w:left="440" w:hanging="432"/>
        <w:spacing w:after="0" w:line="253" w:lineRule="auto"/>
        <w:tabs>
          <w:tab w:leader="none" w:pos="43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Proposals One, Two, Three, Four, Five, Six, Seven, Eight, and Ten requires the affirmative vote of a simple majority of our Ordinary Shares cast in person or by proxy at the Annual Meeting, meaning that more votes must be cast “for” than “against” a given proposal. Abstentions and broker non-votes have no effect on the outcome of any proposal. In addition, while Proposal Nine is an advisory proposal that is non-binding on the Company, an affirmative vote of a simple majority of our Ordinary Shares voted in person or by proxy at the Annual Meeting is required for such proposal to have been deemed approved by the Company’s shareholders. Under the Israeli Companies Law, Proposals Two, Three, Four, Five and Six may require, if necessary pursuant to the Israeli Companies Law and in addition to the simple majority vote described above, that either: (i) the Ordinary Shares voting in favor of the proposal include at least a majority of the shareholders who are neither controlling shareholders of the Company nor do they have a personal interest with respect to such proposal voting on the matter (excluding the vote of abstaining shareholders); or</w:t>
      </w:r>
    </w:p>
    <w:p>
      <w:pPr>
        <w:jc w:val="both"/>
        <w:ind w:left="440"/>
        <w:spacing w:after="0" w:line="255" w:lineRule="auto"/>
        <w:tabs>
          <w:tab w:leader="none" w:pos="7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shareholdings of the shareholders who are not controlling shareholders of the Company and do not have a personal interest who vote against the proposal do not represent more than 2% of the voting rights in the Company. We refer to this threshold in this proxy statement as a “Special Majority.”</w:t>
      </w:r>
    </w:p>
    <w:p>
      <w:pPr>
        <w:spacing w:after="0" w:line="186" w:lineRule="exact"/>
        <w:rPr>
          <w:sz w:val="20"/>
          <w:szCs w:val="20"/>
          <w:color w:val="auto"/>
        </w:rPr>
      </w:pPr>
    </w:p>
    <w:p>
      <w:pPr>
        <w:jc w:val="both"/>
        <w:ind w:left="440" w:right="20"/>
        <w:spacing w:after="0" w:line="282" w:lineRule="auto"/>
        <w:rPr>
          <w:sz w:val="20"/>
          <w:szCs w:val="20"/>
          <w:color w:val="auto"/>
        </w:rPr>
      </w:pPr>
      <w:r>
        <w:rPr>
          <w:rFonts w:ascii="Times New Roman" w:cs="Times New Roman" w:eastAsia="Times New Roman" w:hAnsi="Times New Roman"/>
          <w:sz w:val="18"/>
          <w:szCs w:val="18"/>
          <w:color w:val="auto"/>
        </w:rPr>
        <w:t>We are not aware of any shareholders that would be deemed to be a controlling shareholder of our Company as of the date hereof for purposes of Proposals Two, Three, Four, Five and Six .</w:t>
      </w:r>
    </w:p>
    <w:p>
      <w:pPr>
        <w:spacing w:after="0" w:line="162"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term “controlling shareholder” means a shareholder having the ability to direct the activities of a company, other than by virtue of being an “Office Holder” (as defined under the Israeli Companies Law, which includes directors, the CEO, other executive officers and any other managers directly subordinate to the CEO). Additionally, under the Israeli Companies Law, a shareholder is considered a controlling shareholder (for the purposes of calculating votes in respect of matters involving a personal interest) if the shareholder holds 25% or more of the voting rights in a company (where no other shareholder holds a greater number of voting rights) and/or is otherwise a controlling shareholder as described above.</w:t>
      </w:r>
    </w:p>
    <w:p>
      <w:pPr>
        <w:spacing w:after="0" w:line="183" w:lineRule="exact"/>
        <w:rPr>
          <w:sz w:val="20"/>
          <w:szCs w:val="20"/>
          <w:color w:val="auto"/>
        </w:rPr>
      </w:pPr>
    </w:p>
    <w:p>
      <w:pPr>
        <w:jc w:val="both"/>
        <w:ind w:left="440"/>
        <w:spacing w:after="0" w:line="255" w:lineRule="auto"/>
        <w:rPr>
          <w:sz w:val="20"/>
          <w:szCs w:val="20"/>
          <w:color w:val="auto"/>
        </w:rPr>
      </w:pPr>
      <w:r>
        <w:rPr>
          <w:rFonts w:ascii="Times New Roman" w:cs="Times New Roman" w:eastAsia="Times New Roman" w:hAnsi="Times New Roman"/>
          <w:sz w:val="18"/>
          <w:szCs w:val="18"/>
          <w:color w:val="auto"/>
        </w:rPr>
        <w:t>Under the Israeli Companies Law, a “personal interest” of a shareholder in an act or transaction of a company includes: (i) a personal benefit, gain or other interest of (a) the shareholder, (b) any relative of the shareholder; (c) a company with respect to which the shareholder (or any such relative) serves as a director or the chief executive officer, owns at least 5.0% of the shares or voting rights or has the right to appoint a director or the chief executive officer; and (d) a person acting as a proxy for the shareholder (even if the shareholder himself does not have a personal interest), and</w:t>
      </w:r>
    </w:p>
    <w:p>
      <w:pPr>
        <w:spacing w:after="0" w:line="3" w:lineRule="exact"/>
        <w:rPr>
          <w:sz w:val="20"/>
          <w:szCs w:val="20"/>
          <w:color w:val="auto"/>
        </w:rPr>
      </w:pPr>
    </w:p>
    <w:p>
      <w:pPr>
        <w:ind w:left="440"/>
        <w:spacing w:after="0" w:line="260" w:lineRule="auto"/>
        <w:tabs>
          <w:tab w:leader="none" w:pos="7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interest arising solely from the ownership of shares. The term “relative” means a spouse, sibling, parent, grandparent and child, and child, sibling or parent of a spouse or the spouse of any of the foregoing.</w:t>
      </w:r>
    </w:p>
    <w:p>
      <w:pPr>
        <w:spacing w:after="0" w:line="181"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Israeli Companies Law requires that each shareholder voting on Proposals Two, Three, Four, Five and Six indicate whether the shareholder is a controlling shareholder or has a personal interest in the approval of the proposal.</w:t>
      </w:r>
    </w:p>
    <w:p>
      <w:pPr>
        <w:spacing w:after="0" w:line="162"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According to the Israeli Companies Law Regulations (exemptions for companies whose securities are listed for trading on a stock exchange outside of Israel) 5760-2000 (the “Relief Regulations”), by signing and submitting the accompanying proxy card, a shareholder declares and approves that it, he or she is not a controlling shareholder and has no personal interest in the approval of Proposals Two, Three, Four, Five and Six except if such shareholder notified the Company of such personal interest in writing. If you believe that you have a personal interest in any of the items on the Annual Meeting agenda and you wish to inform that Company of such personal interest, you should submit such information in advance of voting to the Company at its registered offices at Kiryat Hadassah Minrav Building, 5th Floor, Jerusalem 9122002, Israel, to the attention of Dana Yaacov-Garbeli, our Chief Financial Officer. Alternatively, you may also contact the representative managing your account, who could then contact us on your behalf.</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483" w:gutter="0" w:footer="0" w:header="0"/>
        </w:sectPr>
      </w:pPr>
    </w:p>
    <w:bookmarkStart w:id="8" w:name="page9"/>
    <w:bookmarkEnd w:id="8"/>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voting results of the Annual Meeting?</w:t>
      </w:r>
    </w:p>
    <w:p>
      <w:pPr>
        <w:spacing w:after="0" w:line="229" w:lineRule="exact"/>
        <w:rPr>
          <w:sz w:val="20"/>
          <w:szCs w:val="20"/>
          <w:color w:val="auto"/>
        </w:rPr>
      </w:pPr>
    </w:p>
    <w:p>
      <w:pPr>
        <w:ind w:left="440" w:hanging="432"/>
        <w:spacing w:after="0" w:line="282" w:lineRule="auto"/>
        <w:tabs>
          <w:tab w:leader="none" w:pos="42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announce at the Annual Meeting the results for the proposals voted upon, and we will publish final detailed voting results in a Current Report on Form 8-K within four business days following the Annual Meeting.</w:t>
      </w:r>
    </w:p>
    <w:p>
      <w:pPr>
        <w:spacing w:after="0" w:line="158" w:lineRule="exact"/>
        <w:rPr>
          <w:sz w:val="20"/>
          <w:szCs w:val="20"/>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additional copies of this proxy statement?</w:t>
      </w:r>
    </w:p>
    <w:p>
      <w:pPr>
        <w:spacing w:after="0" w:line="229" w:lineRule="exact"/>
        <w:rPr>
          <w:sz w:val="20"/>
          <w:szCs w:val="20"/>
          <w:color w:val="auto"/>
        </w:rPr>
      </w:pPr>
    </w:p>
    <w:p>
      <w:pPr>
        <w:ind w:left="440" w:hanging="432"/>
        <w:spacing w:after="0" w:line="282" w:lineRule="auto"/>
        <w:tabs>
          <w:tab w:leader="none" w:pos="6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Copies of this proxy statement are available on our website at https://investors.enterabio.com, under the Investors – SEC Filings tab, at http://www.astproxyportal.com/ast/22270 and on the SEC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Where can I find more information?</w:t>
      </w:r>
    </w:p>
    <w:p>
      <w:pPr>
        <w:spacing w:after="0" w:line="229" w:lineRule="exact"/>
        <w:rPr>
          <w:sz w:val="20"/>
          <w:szCs w:val="20"/>
          <w:color w:val="auto"/>
        </w:rPr>
      </w:pPr>
    </w:p>
    <w:p>
      <w:pPr>
        <w:jc w:val="both"/>
        <w:ind w:left="440" w:hanging="432"/>
        <w:spacing w:after="0" w:line="256" w:lineRule="auto"/>
        <w:tabs>
          <w:tab w:leader="none" w:pos="51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website is located at www.enterabio.com. We make available, free of charge, on our investors section under the heading “SEC Filings” our annual reports on Form 10-K, quarterly reports on Form 10-Q, current reports on Form 8-K, and any amendments to those reports filed with or furnished to the SEC pursuant to Section 13(a) or 15(d) of the Securities Exchange Act of 1934, as amended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our Articles, the number of members of our Board must be at least three and cannot be more than ten. Our Board is divided into three classes, with staggered three-year terms with one director class coming up for election each year. The Class III director has a term expiring at this Annual Meeting, and the Class I and Class II directors have terms expiring at our annual meetings in 2027 and 2028, respectively. Three directors have been nominated for election to Class III at the Annual Meeting for a three-year term expiring in 2029.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our current directors, executive officers and director nominees and their respective ages, positions and biographies are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Age</w:t>
            </w: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Miranda Toledano</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8"/>
                <w:szCs w:val="18"/>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Gregory Burshtein</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8"/>
                <w:szCs w:val="18"/>
                <w:color w:val="auto"/>
              </w:rPr>
            </w:pPr>
          </w:p>
        </w:tc>
        <w:tc>
          <w:tcPr>
            <w:tcW w:w="7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of Research and Development</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Dana Yaacov-Garbeli</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Hillel Galitzer</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8"/>
                <w:szCs w:val="18"/>
                <w:color w:val="auto"/>
              </w:rPr>
            </w:pPr>
          </w:p>
        </w:tc>
        <w:tc>
          <w:tcPr>
            <w:tcW w:w="7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r>
      <w:tr>
        <w:trPr>
          <w:trHeight w:val="257"/>
        </w:trPr>
        <w:tc>
          <w:tcPr>
            <w:tcW w:w="3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Haya Taitel</w:t>
            </w:r>
            <w:r>
              <w:rPr>
                <w:rFonts w:ascii="Times New Roman" w:cs="Times New Roman" w:eastAsia="Times New Roman" w:hAnsi="Times New Roman"/>
                <w:sz w:val="29"/>
                <w:szCs w:val="29"/>
                <w:b w:val="1"/>
                <w:bCs w:val="1"/>
                <w:color w:val="auto"/>
                <w:vertAlign w:val="superscript"/>
              </w:rPr>
              <w:t>(1)(2)(4)</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Pr>
          <w:p>
            <w:pPr>
              <w:spacing w:after="0"/>
              <w:rPr>
                <w:sz w:val="22"/>
                <w:szCs w:val="22"/>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 Chairperson of the Nominating and Corporate Governance Committee</w:t>
            </w: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Yonatan Malca </w:t>
            </w:r>
            <w:r>
              <w:rPr>
                <w:rFonts w:ascii="Times New Roman" w:cs="Times New Roman" w:eastAsia="Times New Roman" w:hAnsi="Times New Roman"/>
                <w:sz w:val="29"/>
                <w:szCs w:val="29"/>
                <w:b w:val="1"/>
                <w:bCs w:val="1"/>
                <w:color w:val="auto"/>
                <w:vertAlign w:val="superscript"/>
              </w:rPr>
              <w:t>(1)(2)(3)</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22"/>
                <w:szCs w:val="22"/>
                <w:color w:val="auto"/>
              </w:rPr>
            </w:pPr>
          </w:p>
        </w:tc>
        <w:tc>
          <w:tcPr>
            <w:tcW w:w="7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 Chairman of the Compensation Committee</w:t>
            </w:r>
          </w:p>
        </w:tc>
      </w:tr>
      <w:tr>
        <w:trPr>
          <w:trHeight w:val="216"/>
        </w:trPr>
        <w:tc>
          <w:tcPr>
            <w:tcW w:w="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Nominees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18"/>
                <w:szCs w:val="18"/>
                <w:color w:val="auto"/>
              </w:rPr>
            </w:pPr>
          </w:p>
        </w:tc>
      </w:tr>
      <w:tr>
        <w:trPr>
          <w:trHeight w:val="257"/>
        </w:trPr>
        <w:tc>
          <w:tcPr>
            <w:tcW w:w="3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Sean Ellis</w:t>
            </w:r>
            <w:r>
              <w:rPr>
                <w:rFonts w:ascii="Times New Roman" w:cs="Times New Roman" w:eastAsia="Times New Roman" w:hAnsi="Times New Roman"/>
                <w:sz w:val="29"/>
                <w:szCs w:val="29"/>
                <w:b w:val="1"/>
                <w:bCs w:val="1"/>
                <w:color w:val="auto"/>
                <w:vertAlign w:val="superscript"/>
              </w:rPr>
              <w:t>(1)(3)(4)</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2"/>
                <w:szCs w:val="22"/>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0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Geno J. Germano</w:t>
            </w:r>
            <w:r>
              <w:rPr>
                <w:rFonts w:ascii="Times New Roman" w:cs="Times New Roman" w:eastAsia="Times New Roman" w:hAnsi="Times New Roman"/>
                <w:sz w:val="29"/>
                <w:szCs w:val="29"/>
                <w:b w:val="1"/>
                <w:bCs w:val="1"/>
                <w:color w:val="auto"/>
                <w:vertAlign w:val="superscript"/>
              </w:rPr>
              <w:t>(1)</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CEEFF"/>
          </w:tcPr>
          <w:p>
            <w:pPr>
              <w:spacing w:after="0"/>
              <w:rPr>
                <w:sz w:val="22"/>
                <w:szCs w:val="22"/>
                <w:color w:val="auto"/>
              </w:rPr>
            </w:pPr>
          </w:p>
        </w:tc>
        <w:tc>
          <w:tcPr>
            <w:tcW w:w="7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r>
      <w:tr>
        <w:trPr>
          <w:trHeight w:val="39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Steven D. Rubin</w:t>
            </w:r>
            <w:r>
              <w:rPr>
                <w:rFonts w:ascii="Times New Roman" w:cs="Times New Roman" w:eastAsia="Times New Roman" w:hAnsi="Times New Roman"/>
                <w:sz w:val="29"/>
                <w:szCs w:val="29"/>
                <w:b w:val="1"/>
                <w:bCs w:val="1"/>
                <w:color w:val="auto"/>
                <w:vertAlign w:val="superscript"/>
              </w:rPr>
              <w:t>(1)(2)(3)</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24"/>
                <w:szCs w:val="24"/>
                <w:color w:val="auto"/>
              </w:rPr>
            </w:pPr>
          </w:p>
        </w:tc>
        <w:tc>
          <w:tcPr>
            <w:tcW w:w="70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 Chairman of the Audit Committee</w:t>
            </w:r>
          </w:p>
        </w:tc>
      </w:tr>
    </w:tbl>
    <w:p>
      <w:pPr>
        <w:spacing w:after="0" w:line="20" w:lineRule="exact"/>
        <w:rPr>
          <w:sz w:val="20"/>
          <w:szCs w:val="20"/>
          <w:color w:val="auto"/>
        </w:rPr>
      </w:pPr>
    </w:p>
    <w:p>
      <w:pPr>
        <w:ind w:left="220" w:hanging="212"/>
        <w:spacing w:after="0"/>
        <w:tabs>
          <w:tab w:leader="none" w:pos="22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Independent in accordance with applicable SEC regulations and Nasdaq rules.</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Compensation Committee.</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Audit Committee.</w:t>
      </w:r>
    </w:p>
    <w:p>
      <w:pPr>
        <w:spacing w:after="0" w:line="42" w:lineRule="exact"/>
        <w:rPr>
          <w:rFonts w:ascii="Times New Roman" w:cs="Times New Roman" w:eastAsia="Times New Roman" w:hAnsi="Times New Roman"/>
          <w:sz w:val="23"/>
          <w:szCs w:val="23"/>
          <w:color w:val="auto"/>
          <w:vertAlign w:val="superscript"/>
        </w:rPr>
      </w:pPr>
    </w:p>
    <w:p>
      <w:pPr>
        <w:ind w:left="220" w:hanging="212"/>
        <w:spacing w:after="0" w:line="194" w:lineRule="auto"/>
        <w:tabs>
          <w:tab w:leader="none" w:pos="22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Member of the Nominating and Corporate Governance Committee.</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Board nominee has been reviewed and recommended for nomination by our Nominating and Corporate Governance Committee and has consented to serve as a director if elected.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Miranda Toledano </w:t>
      </w:r>
      <w:r>
        <w:rPr>
          <w:rFonts w:ascii="Times New Roman" w:cs="Times New Roman" w:eastAsia="Times New Roman" w:hAnsi="Times New Roman"/>
          <w:sz w:val="18"/>
          <w:szCs w:val="18"/>
          <w:color w:val="auto"/>
        </w:rPr>
        <w:t>has served as the Company’s Chief Executive Officer since July 2022 and as a member of our Board of Directors since 2018,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prior Chair of the Audit Committee. Ms. Toledano has over 25 years of C-level leadership, principal investment and Wall Street/capital market experience in the biotech sector. Previously, Miranda served as Chief Operating Officer, Chief Financial Officer, and Director of TRIGR Therapeutics, a stealth oncology focused, clinical stage bispecific antibody company, from August 2018 until its acquisition by Compass Therapeutics (Nasdaq: CMPX) in June 2021. At TRIGR, Miranda oversaw the clinical development of lead asset TR009 (now tovecimig) and led strategic execution, including a $117 million China License Transaction and TRIGR’s 2021 acquisition by CMPX. Previously, Ms. Toledano served as Head of Healthcare Investment Banking at MLV &amp; Co. (acquired by B. Riley FBR &amp; Co.), where she completed biotech equity financings (IPOs, ATMs, and follow-ons) totaling over $4 billion in aggregate value. Earlier in her career, Ms. Toledano served as vice president in the investment group of Royalty Pharma (Nasdaq: RPRX) from 2004 to 2010. Ms. Toledano is also a member of the board of directors of Journey Medical (Nasdaq: DERM). Ms. Toledano holds a B.A. in Economics from Tufts University and an MBA in Finance and Entrepreneurship from the NYU Stern School of Business.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Gregory Burshtein, PhD </w:t>
      </w:r>
      <w:r>
        <w:rPr>
          <w:rFonts w:ascii="Times New Roman" w:cs="Times New Roman" w:eastAsia="Times New Roman" w:hAnsi="Times New Roman"/>
          <w:sz w:val="18"/>
          <w:szCs w:val="18"/>
          <w:color w:val="auto"/>
        </w:rPr>
        <w:t>has led research and development at the Company since he joined Entera in September 2012, as Director of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and since May 2024, as our Chief of Research and Development. Dr. Burshtein is a leader in the field of oral delivery of peptides, has published in peer-reviewed journal articles, and holds 25 issued patents and has 113 pending patent applications related to development, formulation, and delivery of oral large molecules. Dr. Burshtein holds over 20 years of experience in the field of drug delivery, pharmacology and biopharmaceutics, with a primary focus on the challenging area of oral delivery of therapeutic peptides. Dr. Burshtein obtained his PhD in Pharmaceutical Sciences, MSc in Clinical Pharmacy, and B. Pharm degree from the Institute for Drug Research, Faculty of Medicine of the Hebrew University of Jerusalem.</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Dana Yaacov-Garbeli </w:t>
      </w:r>
      <w:r>
        <w:rPr>
          <w:rFonts w:ascii="Times New Roman" w:cs="Times New Roman" w:eastAsia="Times New Roman" w:hAnsi="Times New Roman"/>
          <w:sz w:val="18"/>
          <w:szCs w:val="18"/>
          <w:color w:val="auto"/>
        </w:rPr>
        <w:t>has served as our Chief Financial Officer since June 2019. Ms. Yaacov-Garbeli has over 17 years of finance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She previously served as Senior Manager at PwC Israel overseeing audits of public and private companies. She has significant experience in financial planning, operations management, external and internal audit for public multinational companies under US GAAP, IFRS and PCAOB standards. Ms. Yaacov-Garbeli holds a B.A in accounting and business management and an MBA in financial management from The College of Management and Academic studies. Ms. Yaacov-Garbeli is a Certified Public Accountant in Israel.</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Hillel Galitzer, PhD </w:t>
      </w:r>
      <w:r>
        <w:rPr>
          <w:rFonts w:ascii="Times New Roman" w:cs="Times New Roman" w:eastAsia="Times New Roman" w:hAnsi="Times New Roman"/>
          <w:sz w:val="18"/>
          <w:szCs w:val="18"/>
          <w:color w:val="auto"/>
        </w:rPr>
        <w:t>has served as our Chief Operating Officer since February 2014, prior to which he served as our Director of Scientific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July 2010. Prior to joining Entera, Dr. Galitzer was an analyst and the chief operating officer for Hadasit Bio Holdings Ltd., a publicly traded company on the Tel Aviv Stock Exchange (TASE: HDST) and OTC markets. He is the co-founder and former chief operating officer of Optivasive Inc.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Haya Taitel </w:t>
      </w:r>
      <w:r>
        <w:rPr>
          <w:rFonts w:ascii="Times New Roman" w:cs="Times New Roman" w:eastAsia="Times New Roman" w:hAnsi="Times New Roman"/>
          <w:sz w:val="18"/>
          <w:szCs w:val="18"/>
          <w:color w:val="auto"/>
        </w:rPr>
        <w:t>has served as a member of our Board since June 2023. Ms. Taitel has over 30 years of global C-level biopharma commercial and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experience. She currently serves as the Head of Sanofi’s Strategic Partnership and Portfolio Planning, US, where she is responsible for building and expanding strategic assets and partnerships with external stakeholders. In a prior role at Sanofi, Haya led the global transplant franchise. Prior to her role at Sanofi, Ms. Taitel served as the Chief Commercial Officer of Kadmon Pharmaceuticals, LLC, where she led to the launch of Rezurock®, from 2013 until the company was acquired by Sanofi for $1.9 billion in November 2021. Ms. Taitel also led Kadmon Board’s Executive Commercial Committee. Beginning in 1997, Ms. Taitel had held various commercial leadership positions of increasing seniority at Johnson &amp; Johnson in multiple therapeutic areas, including immunology, neurology and women’s healthcare. Ms. Taitel holds a Master of Science, Pharmacology, (PharmD equivalence) from Temple University and a Bachelor of Science, Pharmacy and Biology from the Hebrew University School of Pharmacy in Jerusalem, Israel. Our Board believes that Ms. Taitel is qualified to serve as a director based upon her extensive biopharmaceutical industry experience and specific commercial domain expertise in women’s health.</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Yonatan Malca </w:t>
      </w:r>
      <w:r>
        <w:rPr>
          <w:rFonts w:ascii="Times New Roman" w:cs="Times New Roman" w:eastAsia="Times New Roman" w:hAnsi="Times New Roman"/>
          <w:sz w:val="18"/>
          <w:szCs w:val="18"/>
          <w:color w:val="auto"/>
        </w:rPr>
        <w:t>has served as a member of our Board since 2011. Mr. Malca currently serves as Chief Executive Officer and a director of NanoGohst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2009 to 2021, he served as Chief Executive Officer and a director of DNA Biomedical Solutions Ltd. (TASE: DNA). Mr. Malca also serves as a director of Jungo Connectivity Ltd. (TASE: JNGO) and Unicorn Technologies (TASE: UNCT), both Israeli public companies. He also serves as director of BeamMed Ltd, a private medical device company. He previously served as a director of Nextgen-Biomed LTD. (TASE: NXGN) from July 2018 to April 2019, ARKO Holdings Ltd. from August 2014 to December 2020, and Tamda Ltd. from July 2016 to September 2020. Mr. Malca holds a B.A. in Economics and Statistics from Bar-Ilan University and an M.A. in Economics and Finance from Bar Ilan University, Israel. Our Board believes that Mr. Malca is qualified to serve as a director based upon his pharmaceutical industry experience as an executive as well as his experience on boards of multiple pharmaceutical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Nominees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Geno J. Germano </w:t>
      </w:r>
      <w:r>
        <w:rPr>
          <w:rFonts w:ascii="Times New Roman" w:cs="Times New Roman" w:eastAsia="Times New Roman" w:hAnsi="Times New Roman"/>
          <w:sz w:val="18"/>
          <w:szCs w:val="18"/>
          <w:color w:val="auto"/>
        </w:rPr>
        <w:t>is a 35-year veteran of the pharmaceutical and life sciences industry with extensive experience in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broad range of medicines across most therapeutic categories. Most recently, from August 2018 to June 2024, Mr. Germano served as President and Chief Executive Officer and a board member of Elucida Oncology, Inc., a biotechnology company. He previously served as President of Intrexon Corporation, or Intrexon, a leader in engineering and industrialization of biology, from June 2016 to March 2017. Prior to joining Intrexon, from 2014 to February 2016, Mr. Germano was Group President of the Global Innovative Pharma Business of Pfizer, where he led a growing global $14 billion business with market-leading medicines and an extensive portfolio of late-stage development candidates in several therapeutic areas. Mr. Germano was also Co-Chair of the Portfolio Strategy and Investment Committee at Pfizer from 2013 to February 2016. Previously, from 2009 through 2013, Mr. Germano served as President and General Manager of Pfizer’s Specialty Care and Oncology business units where he led commercial, medical, and post proof-of-concept pipeline strategy and development across global markets. Additionally, Mr. Germano has served on the board of directors of Precision Biosciences, Inc., a clinical stage biotechnology company, since March 2020. In the past five years, Mr. Germano served on the boards of directors of Sage Therapeutics (from 2016 until the company was acquired in 2025), Orbital Therapeutics, a private pre-clinical stage biotechnology company (from March 2025 until the company was acquired in December 2025), Bioverativ Inc. (acquired by Sanofi S.A. in March 2018) and The Medicines Company (acquired by Novartis AG in January 2020). Mr. Germano received his B.S. in Pharmacy from Albany College of Pharmacy. Our Board believes that Mr. Germano is qualified to serve as a director based upon his deep industry knowledge, his proven track record of leading large-scale pharmaceutical operations and pipeline development, and his extensive public company board experience.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Steven D. Rubin </w:t>
      </w:r>
      <w:r>
        <w:rPr>
          <w:rFonts w:ascii="Times New Roman" w:cs="Times New Roman" w:eastAsia="Times New Roman" w:hAnsi="Times New Roman"/>
          <w:sz w:val="18"/>
          <w:szCs w:val="18"/>
          <w:color w:val="auto"/>
        </w:rPr>
        <w:t>has served as OPKO Health’s Executive Vice President – Administration since May 2007 and as a director since February 2007. He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experience as a practicing lawyer, and as general counsel and board member to multiple public companies. Mr. Rubin currently serves on the board of directors of the following companies: Niagen Bioscience, Inc. (Nasdaq: NAGE), a bioscience company developing NAD+ products to support cellular health; Cocrystal Pharma, Inc. (NASDAQ:COCP), a biotechnology company developing new treatments for viral diseases; Eloxx Pharmaceuticals (NASDAQ: ELOX), a biotechnology company engaged in ribosomal RNA targeted genetic therapies for rare diseases; and Red Violet, Inc., (NASDAQ: RDVT) a leading analytics and information solutions provider. Mr. Rubin previously served as the Senior Vice President, General Counsel and Secretary of IVAX from August 2001 until September 2006. Mr. Rubin previously served as a director of the following companies: Neovasc, Inc. (NASDAQ:NVCN), a company developing and marketing medical specialty vascular devices; Non-Invasive Monitoring Systems, Inc. (OTCBB:NIMU), a medical device company; Castle Brands, Inc. (NYSE:ROX), a developer and marketer of premium brand spirits; Kidville, Inc. (OTCBB:KVIL), an operator of large, upscale facilities, catering to newborns through five-year-old children and their families and offers a wide range of developmental classes for newborns to five-year-olds; VBI Vaccines Inc. (NASDAQ CM: VBIV), a commercial-stage biopharmaceutical company developing a next generation of vaccines; Dreams, Inc. (NYSE MKT: DRJ), a vertically integrated sports licensing and products company; Safestitch Medical, Inc. prior to its merger with TransEnterix, Inc.; and, PROLOR Biotech, Inc.; and Cognit, Inc. (NASDAQ:COGT), a data and analytics company providing cloud-based mission-critical information and performance marketing solutions. Mr. Rubin holds a B.A. degree from Tulane University and a Juris Doctor from University of Florida. Our Board believes that Mr. Rubin is qualified to serve as a director based upon his broad legal and corporate governance expertise, his extensive executive and board-level experience across the life sciences sector, and his financial and administrative acumen.</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Sean Ellis </w:t>
      </w:r>
      <w:r>
        <w:rPr>
          <w:rFonts w:ascii="Times New Roman" w:cs="Times New Roman" w:eastAsia="Times New Roman" w:hAnsi="Times New Roman"/>
          <w:sz w:val="18"/>
          <w:szCs w:val="18"/>
          <w:color w:val="auto"/>
        </w:rPr>
        <w:t>has served as a member of our Board since June 2019. Mr. Ellis brings extensive knowledge of both life science industries and the U.S.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with a longstanding history in asset management. Mr. Ellis is a fund manager of Centillion Fund, a venture capital fund dedicated to Israeli investments, with a primary focus on investments in the biotech and healthcare industries. Centillion is one of Entera Bio’s earliest investors and largest shareholders. He holds a BA from New York University and MBA from Columbia University. Our Board believes that Mr. Ellis is qualified to serve as a director based upon his years as an investor in healthcare related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ectPr>
          <w:pgSz w:w="11900" w:h="16838" w:orient="portrait"/>
          <w:cols w:equalWidth="0" w:num="1">
            <w:col w:w="11240"/>
          </w:cols>
          <w:pgMar w:left="320" w:top="765"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and executive officers are not parties to any material legal proceedings.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and therefore are subject to corporate governance practices under the Israeli Companies Law, relating to various matters, including financial experts, our Audit Committee, our Compensation Committee and our internal auditor. These matters are in addition to the requirements of Nasdaq and other applicable U.S. rules and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Duties and Approval of Related Party Transactions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Fiduciary Duties of Directors and Officers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Israeli Companies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or her approval or performed by virtue of his or her position and other important information pertaining to such action. The duty of loyalty requires the director or officer to act in good faith and for the benefit of the company. The duty of loyalty includes a duty to:</w:t>
      </w:r>
    </w:p>
    <w:p>
      <w:pPr>
        <w:spacing w:after="0" w:line="183"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refrain from any conflict of interest between the performance of his or her duties to the company and his or her other duties or personal affairs;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refrain from any activity that is competitive with the company;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refrain from exploiting any business opportunity of the company to receive a personal gain for himself or herself or others; and</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disclose to the company any information or documents relating to the company’s affairs which the Office Holder received as a result of his or her position as an Office Holder.</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Disclosure of Personal Interests and Approval of Related Party Transactions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Pursuant to the Israeli Companies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Israeli Companies Law, a related party transaction may be approved only if it is for the benefit of the company, and the type of approval depends upon whether the transaction is an “Extraordinary Transaction”.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Israeli Companies Law, an Extraordinary Transaction is defined as any of the following:</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transaction other than in the ordinary course of business;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transaction that is not on market terms;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transaction that is not an Extraordinary Transaction in which a director or officer has a 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requires the affirmative vote of a simple majority of the ordinary shares of the company voted in person or by proxy, meaning that more votes must be cast “for” than “against” a given proposal, and abstentions and broker non-votes have no effect on the outcome of any proposal. In addition to the simple majority vote described above, shareholder approval for such transactions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from a company’s initial public offering,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685"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Israeli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Approval of Director and Officer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Israeli Companies Law requires that an Israeli company whose shares are publicly listed, such as ours, maintain a compensation policy regarding the terms of office and employment of its directors, executive officers (including the CEO), and any other manager who reports to the CEO. The compensation policy is required to be approved (i) by the Board upon recommendation of the Compensation Committee and (ii) by the Company’s shareholders, at least once every three years.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policy must generally serve as the basis for decisions concerning the financial terms of employment or engagement of Office Holders, including exculpation, insurance, indemnification and any monetary payment and obligation of payment in respect of employment or engagement. The compensation policy must be based on certain considerations, including advancement of the company’s objectives, the company’s business plan and its long-term strategy, and creation of appropriate incentives for Office Holders considering, inter alia, the company’s risk management policy. It must also consider, among other things, the size and the nature of its operations, and in respect of variable compensation, the contribution of an Office Holder towards the company’s achievement of its objectives, with a long-term view and in accordance with the Office Holder’s position.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policy must furthermore relate to additional matters, as follows: (a) the education, skills, expertise and accomplishments of the relevant Office Holder; (b) the Office Holder’s position and responsibilities and prior compensation agreements with him or her; (c) the ratio between the cost of the Office Holder’s terms of office and employment and the average cost of employment of other employees of the company, including those employed through manpower companies, and specifically, their average and median compensation, and the impact of disparities in salary (cost of terms/employment) upon work relationships in the company; (e) as to variable components, the possibility of reducing variable compensation at the discretion of the board of directors and the possibility of setting a limit on the exercise value of non-cash variable equity-based compensation; and (g) as to severance compensation, the period of service of the Office Holder, the terms of his or her office during such service period, the company’s performance during that period of service, the person’s contribution towards the company’s achievement of its goals, and the circumstances under which the person is leaving the company.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policy must also include the following matters: (a) as to variable components, (i) basing variable components of the members of the board of directors and the CEO’s compensation on long-term performance and measurable criteria (with the exception that a non-material portion of such variable components or all such components, if equal to no more than three monthly salaries per year for the CEO, may be based on non-measurable criteria, taking into consideration the contribution of the Office Holder to the company); (ii) the ratio between variable and fixed compensation, and the cap for the value of variable compensation, and as for non-cash variable equity-based compensation, the cap for their value at time of their grant; (b) the conditions under which an Office Holder would be required to repay compensation paid to him or her if it was later shown that the data upon which such compensation was based was inaccurate and was required to be restated in the company’s financial statements; (c) the minimum holding or vesting period for variable, equity-based compensation, including bonuses; and (d) maximum limits for severance.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recommendation of our Compensation Committee, our compensation policy must be approved by our Board and shareholders, which requires the affirmative vote of a simple majority of our Ordinary Shares voted in person or by proxy, meaning that more votes must be cast “for” than “against” such proposal, and abstentions and broker non-votes have no effect on the outcome of the vote.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 Our shareholders last approved our compensation policy at our July 16, 2025 meeting of the shareholders and the Company will not be required to seek shareholder approval for its compensation policy again until our annual meeting of shareholders in 2028.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Duties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 shareholder has a duty to act in good faith and in a customary manner toward the company and other shareholders and to refrain from abusing his or her power as a shareholder in the company, including, among other things, in voting at a general meeting and at shareholder class meetings with respect to the following matters:</w:t>
      </w:r>
    </w:p>
    <w:p>
      <w:pPr>
        <w:spacing w:after="0" w:line="176" w:lineRule="exact"/>
        <w:rPr>
          <w:sz w:val="20"/>
          <w:szCs w:val="20"/>
          <w:color w:val="auto"/>
        </w:rPr>
      </w:pPr>
    </w:p>
    <w:p>
      <w:pPr>
        <w:ind w:left="680" w:hanging="321"/>
        <w:spacing w:after="0"/>
        <w:tabs>
          <w:tab w:leader="none" w:pos="6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amendment to a company’s articles of association;</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increase of a company’s authorized share capital;</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merger; or</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approval of related party transactions and acts of Office Holders that require shareholder approval.</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shareholder also has a general duty to refrain from discriminating against other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Role of the Board and Board Leadership Structure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our Board is responsible for setting our general policies and supervising the performance of management. Our Board may exercise all powers and may take all actions that are not specifically granted by the Israeli Companies Law or our Articles to our shareholders or to management. Our executive officers are responsible for our day-to-day management and have individual responsibilities established by our Board. Our CEO is appointed by, and serves at the discretion of, our Board. All other executive officers are also appointed by our Board.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Articles, the Board must consist of at least three and no more than ten persons. Currently, our Board consists of six directors. Our Board is divided into three classes, with staggered three-year terms such that one class comes up for election each year. The Class III directors have a term expiring at the Annual Meeting, and the Class I and Class II directors have terms expiring at our annual meetings in 2027 and 2028, respectively. The members of the classes as of the date hereof are as follows:</w:t>
      </w:r>
    </w:p>
    <w:p>
      <w:pPr>
        <w:spacing w:after="0" w:line="180" w:lineRule="exact"/>
        <w:rPr>
          <w:sz w:val="20"/>
          <w:szCs w:val="20"/>
          <w:color w:val="auto"/>
        </w:rPr>
      </w:pPr>
    </w:p>
    <w:p>
      <w:pPr>
        <w:ind w:left="680" w:hanging="321"/>
        <w:spacing w:after="0"/>
        <w:tabs>
          <w:tab w:leader="none" w:pos="6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Class I directors are Miranda Toledano and Yonatan Malca;</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Class II director is Haya Taitel; and</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Class III directors are Steven D. Rubin, Geno J. Germano and Sean Ellis.</w:t>
      </w:r>
    </w:p>
    <w:p>
      <w:pPr>
        <w:spacing w:after="0" w:line="22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Assuming that our shareholders elect Mr. Sean Ellis, Mr. Steven D. Rubin and Mr. Geno J. Germano as set forth in Proposal One, the members of the classes immediately following the Annual Meeting will remain as listed above.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could have the effect of increasing the length of time necessary to change the composition of a majority of the Board. In general, at least two annual meetings of shareholders will be necessary for shareholders to effect a change in a majority of the members of the Board.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Israeli Companies Law and our Articles, nominees for directors may also be proposed by any shareholder holding at least one percent (1%) of our outstanding voting power. However, any such shareholder may propose a nominee only if a written notice of such shareholder’s intent to propose a nominee has been given to our Chief Executive Officer. Subject to any requirements under the Israeli Companies Law, to be considered timely and thereby be added to such agenda, such a request must be delivered, either in person or by certified mail, postage prepaid, and received at the Company’s offices, (i) in the case of an annual meeting, no less than sixty (60) days nor more than one-hundred twenty (120) days prior to the date of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business on the later of ninety (90) days prior to such annual meeting or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day on which public announcement of the date of such meeting is first made, and (ii) in the case of a Company meeting of shareholders that is an extraordinary meeting, no earlier than one-hundred twenty (120) days prior to such extraordinary meeting and no later than the close of business on the later of sixty (60) days prior to such extraordinary meeting or</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subject to applicable law. Any such notice must include certain information, including, among other things, a description of all arrangements between the nominating shareholder and the proposed director nominee and any other person pursuant to which the nomination is to be made by the nominating shareholder, the consent of the proposed director nominee to serve as our director if elected and a declaration signed by the nominee declaring that there is no limitation under the Israeli Companies Law preventing his or her election, and that all of the information that is required under the Israeli Companies Law to be provided to us in connection with such election has been provided.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also authorized to appoint directors in order to fill vacancies, including filling empty Board seats if the number of directors is below the maximum number permitted under our Articles. Each of our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 then in office).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Israeli Companies Law, our Board must also determine the minimum number of directors who are required to have accounting and financial expertise. In determining the number of directors required to have such expertise, our Board must consider, among other things, the type and size of the company and the scope and complexity of its operations. Our Board has determined that we require one director with accounting and financial expertise. Our Board has determined that Mr. Sean Ellis, Mr. Steven D. Rubin and Mr. Yonatan Malca each have financial and accounting expertise as defined in the regulations promulgated under the Israeli Companies Law.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with respect to our directors who are also executive officers or employees, there are no arrangements or understandings between us, on the one hand, and any of our directors, on the other hand, providing for benefits upon termination of their service as directors of our Company. For information with respect to compensation arrangements with our directors that are also executive officers or employees, see the sections entitled “Executive Compensation” and “Certain Relationships and Related Party Transactions” included in this proxy statement.</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618"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Alternate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provide that, as permitted under the Israeli Companies Law, any director may appoint another person, who is qualified to be appointed as a director and who is not a director or an alternate director, to serve as his or her alternate director, subject to the approval of a majority of the members of the Board, excluding such director. The term of an alternate director could be terminated at any time by the appointing director or our Board and would terminate under circumstances in which, according to our Articles, the term of any director shall terminate or automatically terminate upon the termination of the term of the appointing director. The Israeli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not adopted a formal policy regarding the need to separate or combine the offices of Chairperson of the Board and Chief Executive Officer and instead the Board remains free to make this determination from time to time in a manner that seems most appropriate for the Company, subject to the Israeli Companies Law. The Board currently separates the roles of Board Chairperson and Chief Executive Officer. We believe that separation of the positions of Chairperson of the Board and Chief Executive Officer reinforces the independence of the Board in its oversight of our business and affairs, allows our executive officers and management, including our CEO, to focus more closely on the day-to-day operations of the Company, is more conducive to objective evaluation and oversight of management’s performance, increases management accountability, and improves the Board’s ability to monitor whether management’s actions are in the best interests of the Company and its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is responsible, with the assistance of management, for overseeing our risk management process. Our Board focuses on our general risk management strategy, the most significant risks facing us, and oversees the implementation of risk mitigation strategies by management. Our Board is also continuously apprised by management of particular risk management matters in connection with its general oversight and approval of corporate matters and significant transactions. The Board’s independent oversight function is further enhanced by the fact that all of the Board’s committees are composed entirely of independent directors, the directors have complete access to management and the Board and its committees may retain their own respective advisors.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undertook a review of the independence of each director. Based on information provided by each director concerning his or her background, employment, and affiliations, our Board has determined that the Board meets the independence standards under the applicable rules and regulations of the SEC and the listing standards of Nasdaq. The Board has affirmatively determined that the following Directors are independent, as defined in the listing standards of Nasdaq: Geno J Germano; Steven D. Rubin; Sean Ellis; Yonatan Malca; and Haya Taitel. In making these determinations, our Board considered the current and prior relationships that each non-employee director has or had with our Company and all other facts and circumstances our Board deemed relevant in determining such person’s independence, including the beneficial ownership of our capital stock by each non-employee director, and the transactions involving them described in the section titled “Certain Relationships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all of our directors, executive officers and employees, including our Chief Executive Officer, Chief Financial Officer, controller or principal accounting officer, or other persons performing similar functions. The full text of the Code of Business Conduct and Ethics can be found on our website at www.enterabio.com. Information contained on, or that can be accessed through, our website does not constitute a part of this proxy statement and is not incorporated by reference herein. If we make any amendment to the Code of Business Conduct and Ethics or grant any waivers, including any implicit waiver, from a provision of the Code of Business Conduct and Ethics, we will disclose the nature of such amendment or waiver on our website to the extent required by the rules and regulations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governs the purchase, sale and/or any other dispositions of our securities by us, our directors, officers and employees and is reasonably designed to promote compliance with insider trading laws, rules and regulations and applicable exchange listing standards. A copy of the Insider Trading Policy has been filed with our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meets regularly during the year and holds special meetings and acts by unanimous written consent whenever circumstances require. Independent directors meet at regular executive sessions without management present. During the year ended December 31, 2025, the Board held nine meetings and conducted certain business by unanimous written consent. Each of our directors attended at least 75% of the aggregate of the total number of meetings of the Board and the total number of meetings held by all committees of the Board on which such director served. All of our directors are encouraged to attend our Annual Meeting of shareholders, and our directors are expected to attend the Annual Meeting. Five directors attended the Company’s 2025 Annual Meeting of shareholders.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established the following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Nasdaq rules and SEC regulations, we are required to maintain an Audit Committee consisting of at least three independent directors, each of whom is financially literate and one of whom has accounting or related financial management expertise and qualifies as an “audit committee financial expert” as such term is defined in Item 407(d)(5) of Regulation S-K of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consists of Steven D. Rubin, who also serves as chairman of the committee, Yonatan Malca and Sean Ellis. The Board has determined that each of the members of our Audit Committee is an independent director and additionally satisfies the heightened standards for audit committee service under applicable SEC and Nasdaq rules. All designated members of our Audit Committee meet the requirements for financial literacy under the applicable Nasdaq rules and SEC regulations. Our Board has determined that Steven D. Rubin is an “audit committee financial expert,” as such term is defined under applicable SEC rules. During fiscal year 2025, the Audit Committee held four meetings and conducted certain business by unanimous written consent.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Assuming that our shareholders elect Mr. Ellis and Mr. Rubin as set forth in Proposal One, the composition of the Audit Committee immediately following the Annual Meeting shall remain the same.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Roles, Responsibilities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assists our Board in fulfilling its legal and fiduciary obligations in matters involving our accounting, auditing, financial reporting, cybersecurity, internal control and legal compliance functions by, among other things, pre-approving the services performed by our independent accountants and reviewing their reports regarding our accounting practices. Our Audit Committee also oversees the audit efforts of our independent accountants and takes those actions that it deems necessary to satisfy itself that the accountants are independent of management.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has adopted an Audit Committee charter setting forth the responsibilities of the Audit Committee consistent with the applicable rules and regulations of the SEC and Nasdaq, as well as the requirements for such committee under the Israeli Companies Law, including (a) oversight of our independent registered public accounting firm and recommending the engagement, compensation or termination of engagement of our independent registered public accounting firm to the Board in accordance with the Israeli Companies Law; (b) recommending the engagement or termination of our internal auditor; (c) recommending the terms of audit and non-audit services provided by the independent registered public accounting firm for pre-approval by our Board; (d) identifying deficiencies in the business management practices of our Company, including, inter alia, in consultation with our internal auditor or the independent auditor, and making recommendations to the Board as to how to correct such practices; (e) reviewing and considering the approval of related party transactions; (f) determining whether related party transactions are extraordinary or material under the Israeli Companies Law, including transactions in which an Office Holder has a “personal interest”, under the Israeli Companies Law, and whether to approve such transactions; (g) establishing the approval process for certain transactions with a controlling shareholder or in which the controlling shareholder has a “personal interest”;</w:t>
      </w:r>
    </w:p>
    <w:p>
      <w:pPr>
        <w:spacing w:after="0" w:line="5" w:lineRule="exact"/>
        <w:rPr>
          <w:sz w:val="20"/>
          <w:szCs w:val="20"/>
          <w:color w:val="auto"/>
        </w:rPr>
      </w:pPr>
    </w:p>
    <w:p>
      <w:pPr>
        <w:jc w:val="both"/>
        <w:ind w:firstLine="8"/>
        <w:spacing w:after="0" w:line="252"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and approving the working plan of the internal auditor, subject to any modifications in its discretion; (i) examining our internal audit controls and internal auditor’s performance, including whether the internal auditor has sufficient resources and tools to fulfill his or her responsibilities; (j) examining the scope of our auditor’s work and compensation and submitting its recommendations with respect thereto to our Board or shareholders, depending on which of them is considering the appointment of our auditor; (k) establishing procedures for the handling of employees’ complaints as to the management of our business and the protection to be provided to such employees; and (l) reviewing the our annual audited financial statements and quarterly financial statements with management and the independent auditor, including a review of our disclosures under “Management’s Discussion and Analysis of Financial Condition and Results of Operations” sections.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Audit Committee Charter is available on our website at www.enterabio.com.</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“personal interest” under the Israeli Companies Law includes an interest of any person in an action or transaction of a company, excluding any interest arising solely from holding the Company’s shares, but including the personal interest of such person’s spouse, sibling, parent, grandparent, descendant, spouse’s descendant, sibling or parent or the spouse of any of such persons, and the personal interest of any entity in which such person or one of the aforementioned relatives of such person serves as a director or Chief Executive Officer, owns 5% or more of such entity’s outstanding shares or voting rights or has the right to appoint one or more directors or the Chief Executive Officer. Further, in the case of a person voting by proxy, “personal interest” includes the personal interest of either the proxy holder or the shareholder granting the proxy, whether or not the proxy holder has discretion how to vote.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may not approve any actions requiring its approval, unless, at the time of the approval, a majority of the committee’s members are present.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 Compensation Committee, the members of which are Yonatan Malca, who also serves as chairman of the committee, Steven D. Rubin and Haya Taitel. Each member of our Compensation Committee is independent under Nasdaq rules. During fiscal year 2025, the Compensation Committee held two meetings and conducted certain business by unanimous written consent.</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483"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Assuming that our shareholders elect Mr. Rubin as set forth in Proposal One, the composition of the Compensation Committee immediately following the Annual Meeting shall remain the same.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Roles, Responsibilities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charter setting forth the Compensation Committee’s roles and responsibilities, which include (a) recommending a compensation policy regarding the terms of engagement of Office Holders, which is recommended to the Board for approval and subsequently to shareholders for their approval, in accordance with the Israeli Companies Law, and reviewing such policy from time to time, (b) recommending to the Board periodic updates to the compensation policy and whether the compensation policy should continue in effect every three years; (c) assessing the implementation of the compensation policy; (d) reviewing and approving the granting of options, restricted share units, or RSUs, and other incentive awards to the extent such authority is delegated by the Board; (e) reviewing, evaluating and making recommendations regarding the compensation and benefits for non-executive directors, (f) determining whether to approve and recommend to the Board and shareholders to approve transactions with Office Holders relating to their terms of compensation, as required under the Israeli Companies Law, (g) determining whether changes to the compensation terms of the Chief Executive Officer of the Company are material and if the changes are required to be brought to the shareholders for approval, (h) overseeing compliance reporting requirements of the SEC, (i) determining whether to recommend to the Board to adopt a share ownership policy for directors and executive officers, and (j) performing such other activities as may be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Compensation Committee Charter is available on our website at www.enterabio.com.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Israeli Companies Law, the compensation policy must be adopted by the Board after considering the recommendations of the Compensation Committee and then presented to, and approved by, the Company’s shareholders for approval.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policy must serve as the basis for decisions concerning the terms of employment or engagement of Office Holders, including exculpation, insurance, indemnification and any monetary payment and obligation of payment in respect of employment or engagement. The compensation policy must relate to certain factors, including advancement of the Company’s objectives, the Company’s business plan and its long-term strategy, and creation of appropriate incentives for office holders. It must also consider, inter alia, the Company’s risk management, size and the nature of its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policy must furthermore consider additional factors, as follows: (a) the knowledge, skills, expertise and accomplishments of the relevant Office Holder; (b) the Office Holder’s roles and responsibilities and prior compensation agreements with him or her; (c) the ratio between the terms offered and the average compensation of the other employees of the company, including those employed through manpower companies; (d) the impact of disparities in salary upon work relationships in the company; (e) the possibility of reducing variable compensation at the discretion of the Board; (f) as to variable compensation, the possibility of setting a limit on the exercise value of non-cash variable equity-based compensation; and (g) as to severance compensation, the period of service of the Office Holder, the terms of his or her compensation during such service period, the company’s performance during that period of service, the person’s contribution towards the company’s achievement of its goals, and the circumstances of termination of services.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policy must also include the following principles: (a) the link between variable compensation and long-term performance and measurable criteria; (b) the ratio between variable and fixed compensation, and the ceiling for the value of variable compensation; (c) the conditions under which an Office Holder would be required to repay compensation paid to him or her if it was later shown that the data upon which such compensation was based was inaccurate and was required to be restated in the company’s financial statements; (d) the minimum holding or vesting period for variable, equity-based compensation, including bonuses; and (e) maximum limits for severance.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we are required to re-obtain the approval of our Compensation Committee, Board and shareholders every three years for either the continuation of our existing compensation policy or adoption of a new compensation policy. Our compensation policy was last approved by our shareholders on July 16, 2025, after having been recommended by our Compensation Committee and approved by our Board, and will therefore need to be either re-approved, amended, or replaced by a new policy in 2028.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may conduct or authorize investigations into, or studies of, matters within its scope of responsibilities, and may retain or obtain the advice of a compensation consultant, legal counsel or other advisor in its sole discretion. The Compensation Committee is directly responsible for the appointment, compensation and oversight of the work of any compensation consultant, legal counsel or other advisor that it retains, at the expense of the Company. The Compensation Committee may select, or receive advice from, a compensation consultant, legal counsel or other advisor to the Compensation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Nasdaq rules and any other factors that the committee deems relevant.</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2023 and 2025, in determining the compensation of certain executive officers and in determining our compensation policy, the Compensation Committee retained the services of a compensation consultant, Brightman Almagor Zohar &amp; co., a firm in the Deloitte Touche Tohmatsu Limited network, to conduct a comparative survey of the compensation of such Office Holders. The 2023 and 2025 comparative studies consisted of: (i) executive compensation benchmark analyses which included comparative data of the Company’s executive compensation, relative to the peer-group companies in Israel and (ii) executive compensation benchmark analyses which included comparative data of the Company’s executive compensation, relative to the peer-group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 the United States.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2024, the Compensation Committee and the Board voted to approve, and on July 31, 2024, the shareholders of the Company ratified and confirmed, the revised compensation terms of the Company’s non-executive directors, retroactively effective as of January 1, 2024, which includes (i) a quarterly grant of fully vested Ordinary shares, in lieu of each non-executive director’s respective quarterly cash compensation and (ii) an annual option grant. On July 16, 2025, following the recommendation of the Compensation Committee and the Board’s approval and recommendation, the Shareholders of the Company voted to approve an amended compensation policy, which is substantially similar to the Company’s prior policy, subject to certain updated thresholds to align with market standards and to attract prospective management members, such that the policy would be effective for the next three years, or such longer period as permitted and in accordance with the Israeli Companies Law.</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On April 30, 2026 and May 7, 2026, our Compensation Committee and our Board, respectively, determined to amend the terms of the annual equity grant for the Company's non-executive directors, such that: (i) the annual grant of options to purchase Ordinary Shares shall be made on the date of each annual general meeting of the Company's shareholders, in lieu of the previously approved grant date of January 1 of each calendar year; and (ii) full acceleration shall be added upon the consummation of a "Change in Control" (as such term is defined in the 2018 Plan) to the Non-Executive Directors with respect to any new annual options grants following the Annual Meeting, subject to shareholder approval. See Proposal Two. To the extent that Proposal Two is not approved by the shareholders at the Annual Meeting, the timing of the annual equity grant shall remain unchanged and shall continue to be made on January 1 of each calendar year and full acceleration upon a Change in Control shall not apply to any new annual options grants, in each case, in accordance with the terms in effect prior to the Annual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Haya Taitel, who also serves as chairperson of the committee, and Sean Ellis. Each of the members of our Nominating and Corporate Governance Committee is independent under Nasdaq rules. During fiscal year 2025, the Nominating and Corporate Governance Committee did not hold in person meetings but conducted certain business by unanimous written consent.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Assuming that our shareholders reelect Mr. Ellis as set forth in Proposal One, the composition of the Corporate Governance Committee immediately following the Annual Meeting shall remain the same.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Roles, Responsibilities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Nominating and Corporate Governance Committee Charter that sets forth the responsibilities of the Nominating and Corporate Governance Committee consistent with the rules and regulations of the SEC and Nasdaq, including (a) assisting in identifying, recruiting and, if appropriate, interviewing candidates to fill positions on the Board, including persons suggested by shareholders or others, (b) establishing procedures to be followed by shareholders in submitting recommendations for Board candidates, if appropriate, (c) reviewing the background and qualifications of individuals being considered as director candidates, while considering the candidate’s experience, skills, expertise, diversity, personal and professional integrity, character, business judgment, time availability in light of other commitments, dedication, conflicts of interest and such other relevant factors that the committee considers appropriate in the context of the needs of the Board, (d) recommending the Board nominees for election by shareholders or appointment by the Board, as the case may be, in a manner consistent with the criteria for selecting directors, as established by the Board from time to time,</w:t>
      </w:r>
    </w:p>
    <w:p>
      <w:pPr>
        <w:spacing w:after="0" w:line="1" w:lineRule="exact"/>
        <w:rPr>
          <w:sz w:val="20"/>
          <w:szCs w:val="20"/>
          <w:color w:val="auto"/>
        </w:rPr>
      </w:pPr>
    </w:p>
    <w:p>
      <w:pPr>
        <w:jc w:val="both"/>
        <w:ind w:firstLine="8"/>
        <w:spacing w:after="0" w:line="253"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suitability for continued service as a director of each Board member, when the term of service of the director expires, and when the director has a change in status (including, but not limited to, an employment change) and recommending whether or not the director should be re-nominated, (f) making recommendations to the Board regarding the size and composition of each committee; and (g) overseeing the performance of the Board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copy of the Nominating and Corporate Governance Committee Charter is available on our website at </w:t>
      </w:r>
      <w:r>
        <w:rPr>
          <w:rFonts w:ascii="Times New Roman" w:cs="Times New Roman" w:eastAsia="Times New Roman" w:hAnsi="Times New Roman"/>
          <w:sz w:val="18"/>
          <w:szCs w:val="18"/>
          <w:u w:val="single" w:color="auto"/>
          <w:color w:val="auto"/>
        </w:rPr>
        <w:t>www.enterabio.com.</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having sufficient scientific and/or medical expertise to review and evaluate appropriately the Company’s clinical programs, research and development programs and licensing opportunities, and having the highest personal integrity and ethics. When considering director candidates, the Nominating and Corporate Governance Committee will also generally consider all other relevant qualifications of the candidates, including such factors as the candidate’s relevant expertise upon which to be able to offer advice and guidance to management, having sufficient time to devote to the affairs of the Company, demonstrated excellence in his or her field, having relevant financial or accounting expertise, having the ability to exercise sound business judgment, having the commitment to rigorously represent the long-term interests of our shareholders and whether the Board candidates will be independent for purposes of the Nasdaq rules, as well as the current needs of the Board and the Company.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shareholders.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incumbent directors who have stepped down or whose terms of office are set to expire, the Nominating and Corporate Governance Committee will also review, prior to nominating such directors for another term, such directors’ overall service to the Company during their term. The Nominating and Corporate Governance Committee will conduct any appropriate and necessary inquiries into the backgrounds and qualifications of possible candidates after considering the function and needs of the Board. We may, from time to time, engage an executive search firm to assist our Nominating and Corporate Governance Committee in identifying and recruiting potential candidates for membership on the Board.</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do not currently have a formal diversity policy with respect to Board composition, the Board believes it is important for the Board to have gender, race and ethnicity diversity along with diversity of knowledge base, professional experience and skills. The Nominating and Corporate Governance Committee takes these qualities into account when considering director nominees for recommendation to the Board. We believe diversity enhances our effectiveness. Our Board currently has two female directors, and none of our Board members self-identified as being racially diverse. However, the Board remains committed to achieving a Board composition that represents a diversity of background and experience, inclusive of race, ethnicity, gender and sexual orientation.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our Board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may communicate with the Board by directing their communications in a hard copy (i.e., non-electronic) written form to the attention of one or more members of the Board, or to the Board collectively, at our principal executive offices located at Kiryat Hadassah Minrav Building, 5th Floor, Jerusalem 9122002, Israel. Any communications received from interested parties in the manner described above will be collected and organized by our Chief Financial Officer or Chief Executive Officer and will be periodically, but in any event prior to each regularly-scheduled Board meeting, reported and/or delivered to the appropriate director or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the 2026 Annual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Israeli Companies Law, one or more shareholders holding 1% or more of the voting rights of Entera may request to include a proposal on the agenda of a shareholders meeting, provided that certain resolutions are brought before the shareholders in such meeting, including the appointment of members to the Board, by submitting such proposal within seven days of publication of Entera’s notice with respect to our annual meeting of shareholders. Accordingly, any shareholder holding 1% or more of the voting rights of Entera may request to include a proposal on the agenda of the Annual Meeting by submitting such proposal in writing to us no later than Thursday, May 21, 2026, at our principal executive offices located at Kiryat Hadassah Minrav Building, 5th Floor, Jerusalem 9122002,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Annual Meeting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Shareholder proposals intended to be included in our proxy statement and form of proxy for use in connection with our 2027 annual meeting of shareholders pursuant to Rule 14a-8 under the Exchange Act must be received by our Chief Executive Officer, at our principal executive offices are located at Kiryat Hadassah Minrav Building, 5th Floor, Jerusalem 9122002, Israel, no later than February 3, 2027 (120 calendar days preceding the one-year anniversary of the mailing date of this proxy statement), and must otherwise satisfy the procedures prescribed by Rule 14a-8 under the Exchange Act. In addition, one or more shareholders holding 1% or more of the voting rights of Entera may request to include a proposal (and in case of a proposal to nominate or remove a director, at least 5% of the voting rights of Entera is required) on the agenda of the 2027 annual meeting of shareholders in the manner described above. Pursuant to Rule 14a-4 under the Exchange Act, shareholder proxies obtained by our Board in connection with our 2027 annual meeting of shareholders will confer on the proxies and attorneysinfact named therein discretionary authority to vote on any matters presented at such annual meeting which were not included in the Company’s proxy statement in connection with such annual meeting, unless notice of the matter to be presented at the Annual Meeting is provided to our Chief Executive Officer, no later than April 19, 2027.</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for shareholder nominees for directors to be considered timely for inclusion on a universal proxy card pursuant to Rule 14a-19 under the Exchange Act, shareholders must provide notice to our Chief Executive Officer, which notice must be postmarked or transmitted electronically to us at our principal executive office no later than May 15, 2027, containing the information required by Rule 14a-19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Described below are those transactions occurring since January 1, 2024, and any currently proposed transactions to which either the Company was a party and in which:</w:t>
      </w:r>
    </w:p>
    <w:p>
      <w:pPr>
        <w:spacing w:after="0" w:line="162" w:lineRule="exact"/>
        <w:rPr>
          <w:sz w:val="20"/>
          <w:szCs w:val="20"/>
          <w:color w:val="auto"/>
        </w:rPr>
      </w:pPr>
    </w:p>
    <w:p>
      <w:pPr>
        <w:ind w:left="660" w:hanging="328"/>
        <w:spacing w:after="0" w:line="281" w:lineRule="auto"/>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amounts involved exceeded or will exceed the lesser of (i) $120,000 and (ii) one percent of the average of the Company’s total assets at year-end for the last two completed fiscal years;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director, executive officer, holder of more than 5% of the outstanding share capital of the Company, or any member of such person’s immediate family had or will have a direct or indirect material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provide that we may indemnify each of our directors and officers to the fullest extent permitted by the Israeli Companies Law. Accordingly, we have entered into standard indemnification agreements with each of our directors, whereby we have undertaken to indemnify each such director, in advance, for losses, damages, costs or expenses that such director may suffer or incur as a result of his or her actions or omissions in such capacity on behalf of the Company in certain circumstances and events, subject to the terms, conditions and limitations set out in the indemnification agreement.</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Israeli Companies Law requires that an Office Holder of a company promptly disclose any personal interest that he or she may have and all related material information known to him or her, in connection with any existing or proposed transaction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any transaction with an Office Holder or in which the Office Holder has a personal interest (other than with respect to such Office Holder’s Terms of Office and Employment, see the section entitled “Executive Compensation”) must be brought before the Audit Committee, in order to determine whether such transaction is an Extraordinary Transaction.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Israeli Companies Law, the Articles and Entera written policy, in the event that the Audit Committee determines that the transaction is not an Extraordinary Transaction, the transaction will require only Audit Committee approval; if, however, it is determined to be an Extraordinary Transaction, Board approval is also required and, in some circumstances, shareholder approval may also be required. Such a transaction may only be approved if it is determined to be in the best interests of Entera.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person with a personal interest in the matter generally may not be present at meetings of the Board or certain committees where the matter is being considered and, if a member of the Board or a committee, may generally not vote on the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Controlling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Israeli Companies Law, Extraordinary Transactions with a controlling shareholder, or in which the controlling shareholder has a personal interest, and any engagement with a controlling shareholder, or a controlling shareholder’s relative, with respect to the provision of services to the company or their Terms of Office and Employment as an Office Holder or their employment, if they are not an Office Holder, generally require the approval of the Audit Committee (or with respect to Terms of Office and Employment, the Compensation Committee), the Board of Directors and the shareholders. If required, shareholder approval must include (i) at least a majority of the shareholders who do not have a personal interest in the transaction and are present and voting at the meeting (abstentions are disregarded), or, alternatively, that (ii) the total shareholdings of the disinterested shareholders who vote against the transaction do not represent more than two percent of the voting rights in the company. Transactions for a period of more than three years generally need to be brought for approval in accordance with the above procedures every three years. A shareholder who holds 25% or more of the voting rights in a company is considered a controlling shareholder for these purposes if no other shareholder holds more than 50% of the voting rights. If two or more shareholders are interested parties in the same transaction, their shareholdings are combined for the purposes of calculating percentages.</w:t>
      </w: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known to us with respect to the beneficial ownership of our Ordinary Shares as of May 19, 2026 by:</w:t>
      </w:r>
    </w:p>
    <w:p>
      <w:pPr>
        <w:spacing w:after="0" w:line="225" w:lineRule="exact"/>
        <w:rPr>
          <w:sz w:val="20"/>
          <w:szCs w:val="20"/>
          <w:color w:val="auto"/>
        </w:rPr>
      </w:pPr>
    </w:p>
    <w:p>
      <w:pPr>
        <w:ind w:left="680" w:hanging="321"/>
        <w:spacing w:after="0"/>
        <w:tabs>
          <w:tab w:leader="none" w:pos="68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person or entity known by us to own beneficially 5% or more of our outstanding Ordinary Shares;</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each of our directors and executive officers individually; and</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of our executive officers and directors as a group.</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our transfer agent, as of May 19, 2026, there were 43 record holders of our Ordinary Shares. None of our shareholders has different voting rights from other shareholders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we deem Ordinary Shares issuable pursuant to options or warrants that are currently exercisable or exercisable within 60 days as of May 19, 2026,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49,290,234 Ordinary Shares outstanding as of May 19, 2026.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c/o Entera Bio Ltd., Kiryat Hadassah, Minrav Building - Fifth Floor, Jerusalem, Israel.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and Percentage of</w:t>
            </w:r>
          </w:p>
        </w:tc>
        <w:tc>
          <w:tcPr>
            <w:tcW w:w="0" w:type="dxa"/>
            <w:vAlign w:val="bottom"/>
          </w:tcPr>
          <w:p>
            <w:pPr>
              <w:spacing w:after="0"/>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440" w:type="dxa"/>
            <w:vAlign w:val="bottom"/>
            <w:tcBorders>
              <w:top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Shareholders (other than directors and executive officers)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Gakasa Holdings LLC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5,534,275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 Canada Hotels Ltd.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3,732,540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OPKO Health Inc.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3,685,226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Miranda Toledano (4)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2,490,074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Hillel Galitzer (5)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Ellis (6)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607,781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Dana Yaacov-Garbeli (7)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575,547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Yonatan Malca (8)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479,099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Burshtein (9)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451,759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Haya Taitel (10)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285,712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Geno J. Germano (11)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D. Rubin (12)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 (13)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5,691,045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Schedule 13G/A filed with the SEC on November 20, 2024 regarding Gasaka Holdings LLC’s holdings. This consists of 5,534,275 Ordinary Shares. The holder also owns (i) 347,604 Ordinary Shares underlying Pre-Funded Warrants and (ii) purchase warrants to acquire 1,197,604 Ordinary Shares. Such warrants include a 9.99% ownership blocker and, as a result, are not included in the ownership amount. Gasaka Holdings LLC’s address is at 201 S. Biscayne Blvd suite 800, Miami, FL 33131.</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Canada Hotels Ltd. (Formerly: D.N.A Biomedical Solutions Ltd.) holdings consists of 3,732,540 Ordinary Shares. Israel Canada Hotels Ltd.’s address is at 2 Hamanofim St., Herzeliya, Israel.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Schedule 13G filed with the SEC on April 2, 2025 regarding OPKO Health, Inc. holdings which consists of 3,685,226 Ordinary Shares. OPKO Health, Inc.’s address is at 4400 Biscayne Blvd., Miami, FL 33137.</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426,575 Ordinary Shares, (ii) 23,952 Ordinary Shares underlying warrants to acquire Ordinary Shares, and (iii) 2,039,547 Ordinary Shares underlying options to acquire Ordinary Shares.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90,573 Ordinary Shares, and (ii 637,500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188,098 Ordinary Shares, (ii) 419,687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113,047 Ordinary Shares, and (ii) 462,500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77,416 Ordinary Shares and (ii) 419,683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101,442 Ordinary Shares, and (ii) 350,317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98,479 Ordinary Shares, (ii) 187,233 Ordinary Shares underlying options to acquire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40,000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15,000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1,150,630 Ordinary Shares, (ii) 23,952 Ordinary Shares underlying warrant to acquire Ordinary Shares, and (iii) 4,478,963 Ordinary Shares underlying options to acquire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and the rules thereunder require that our directors and executive officers and persons who beneficially own more than 10% of a registered class of our equity securities (collectively, “reporting persons”) file reports with the SEC relating to their share ownership and changes in such ownership.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upon our review of copies of filings or written representations from the reporting persons, we believe that all reporting persons timely filed all reports required by them under Section 16(a) of the Exchange Act with respect to the year ended December 31, 2025 except for an untimely Form 3 filed by Leslie Gautam, a former executive officer, on May 20, 2025 due to delays in obtaining such person’s EDGAR filing codes.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2025, with respect to our equity compensation plans under which our equity securities are authorized for issuance: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RSUs, warrants and</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 (#)</w:t>
            </w:r>
          </w:p>
        </w:tc>
      </w:tr>
      <w:tr>
        <w:trPr>
          <w:trHeight w:val="210"/>
        </w:trPr>
        <w:tc>
          <w:tcPr>
            <w:tcW w:w="4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2013 Plan</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810,550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2018 Plan</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8,615,707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2,052,375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9,426,257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2,052,375</w:t>
            </w:r>
          </w:p>
        </w:tc>
      </w:tr>
    </w:tbl>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policy was last ratified by our shareholders on July 16, 2025, after having been recommended by our Compensation Committee and approved by our Board. Under the Israeli Companies Law, our compensation policy must be re-approved, amended, or replaced by a new policy no later than 2028, and every three years thereafter. The compensation policy includes, among other matters prescribed by the Israeli Companies Law, a framework for establishing the terms of office and employment of the directors and officers and guidelines with respect to the structure of the variable pay of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measures and targets for receiving the annual bonus are intended to be measurable and quantifiable and may include, without limitation:</w:t>
      </w:r>
    </w:p>
    <w:p>
      <w:pPr>
        <w:spacing w:after="0" w:line="27" w:lineRule="exact"/>
        <w:rPr>
          <w:sz w:val="20"/>
          <w:szCs w:val="20"/>
          <w:color w:val="auto"/>
        </w:rPr>
      </w:pPr>
    </w:p>
    <w:p>
      <w:pPr>
        <w:jc w:val="both"/>
        <w:ind w:firstLine="8"/>
        <w:spacing w:after="0" w:line="253" w:lineRule="auto"/>
        <w:tabs>
          <w:tab w:leader="none" w:pos="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objectives such as capital investment, cash balance relative to equity, obtaining approval from the authorities in the target markets; and (ii) key performance indicators, determined for each Officer separately, according to the Officer’s position. The annual bonus also includes a non-measurable, qualitative component of up to 20% of an Officer’s annual bonus, which is based on an evaluation of such Officer in accordance with qualitative measures provided in the annual bonus grant.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 Under our compensation policy, a special bonus is limited to six times the monthly base salary for a given Officer, other than our CEO, for whom a special bonus is limited to three times the monthly base salary, determined by non-measurable criteria.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policy currently limits the annual value of equity awards granted to an Officer, measured at the applicable grant date, to 25 times the monthly base salary of such Officer. These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483"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Item 402(x)(1) of Regulation S-K, we have not granted new awards of stock options, stock appreciation rights, or similar option-like instruments within four business days before or one business day after the release of a Quarterly Report on Form 10-Q, Annual Report on Form 10-K, or Current Report on Form 8-K that discloses material nonpublic information. While the Company does not have a formal policy in place, it is the Company's practice to typically award equity grants to executive officers and non-employee directors at the beginning of each fiscal year, subject to the Company not being in possession of any material non-public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Perquisites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bio-pharma market, especially among executives. Non-Israeli Officers may receive similar, comparable or customary benefits as applicable in the jurisdiction in which they are employed.</w:t>
      </w: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policy provides that non-employee directors’ compensation packages are determined pursuant to the provisions of the Israeli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May 2021, we elected to be exempt from the Israeli Companies Law requirement that we appoint external directors or otherwise comply with the Israeli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w:t>
      </w:r>
    </w:p>
    <w:p>
      <w:pPr>
        <w:spacing w:after="0" w:line="1" w:lineRule="exact"/>
        <w:rPr>
          <w:sz w:val="20"/>
          <w:szCs w:val="20"/>
          <w:color w:val="auto"/>
        </w:rPr>
      </w:pPr>
    </w:p>
    <w:p>
      <w:pPr>
        <w:jc w:val="both"/>
        <w:ind w:firstLine="8"/>
        <w:spacing w:after="0" w:line="252"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not being a controlling shareholder of our company under the Israeli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election to be exempt from the external director requirement under the Israeli Companies Law, none of our directors are categorized as external directors; therefore, the requirements and restrictions relating to external directors (including certain compensation related provisions) do not apply.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30, 2023, the Board adopted an Executive Officer Clawback Policy (the “Clawback Policy”) in compliance with Rule 10D-1 under the Exchange Act and the appliable Nasdaq rules. In the event of an accounting restatement, under the Clawback Policy, the Board, or another committee designated by the Board, is required to recover certain incentive-based compensation paid to an executive officer of the Company, subject to the terms of the Clawback Policy, to the extent such incentive-based compensation was in excess of the compensation that would have otherwise been payable based upon the restated financials. The clawback period extends for three years prior to the restatement.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as an exhibit to our 2025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and summary below outline the compensation granted to our named executive officers (“Named Executive Officers”) during our fiscal years ended December 31, 2025 and December 31, 2024.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below figures are represented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Miranda Toledano</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490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72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Officer and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419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r>
      <w:tr>
        <w:trPr>
          <w:trHeight w:val="196"/>
        </w:trPr>
        <w:tc>
          <w:tcPr>
            <w:tcW w:w="18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Hillel Galitzer</w:t>
            </w:r>
          </w:p>
        </w:tc>
        <w:tc>
          <w:tcPr>
            <w:tcW w:w="120" w:type="dxa"/>
            <w:vAlign w:val="bottom"/>
          </w:tcPr>
          <w:p>
            <w:pPr>
              <w:spacing w:after="0"/>
              <w:rPr>
                <w:sz w:val="17"/>
                <w:szCs w:val="17"/>
                <w:color w:val="auto"/>
              </w:rPr>
            </w:pPr>
          </w:p>
        </w:tc>
        <w:tc>
          <w:tcPr>
            <w:tcW w:w="1140" w:type="dxa"/>
            <w:vAlign w:val="bottom"/>
          </w:tcPr>
          <w:p>
            <w:pPr>
              <w:jc w:val="right"/>
              <w:ind w:right="25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7"/>
                <w:szCs w:val="17"/>
                <w:color w:val="auto"/>
              </w:rPr>
            </w:pPr>
          </w:p>
        </w:tc>
        <w:tc>
          <w:tcPr>
            <w:tcW w:w="1380" w:type="dxa"/>
            <w:vAlign w:val="bottom"/>
            <w:gridSpan w:val="2"/>
          </w:tcPr>
          <w:p>
            <w:pPr>
              <w:ind w:left="860"/>
              <w:spacing w:after="0" w:line="195" w:lineRule="exact"/>
              <w:rPr>
                <w:sz w:val="20"/>
                <w:szCs w:val="20"/>
                <w:color w:val="auto"/>
              </w:rPr>
            </w:pPr>
            <w:r>
              <w:rPr>
                <w:rFonts w:ascii="Times New Roman" w:cs="Times New Roman" w:eastAsia="Times New Roman" w:hAnsi="Times New Roman"/>
                <w:sz w:val="18"/>
                <w:szCs w:val="18"/>
                <w:color w:val="auto"/>
              </w:rPr>
              <w:t>282</w:t>
            </w:r>
          </w:p>
        </w:tc>
        <w:tc>
          <w:tcPr>
            <w:tcW w:w="136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176</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tcPr>
          <w:p>
            <w:pPr>
              <w:ind w:left="920"/>
              <w:spacing w:after="0" w:line="195" w:lineRule="exact"/>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531</w:t>
            </w:r>
          </w:p>
        </w:tc>
      </w:tr>
      <w:tr>
        <w:trPr>
          <w:trHeight w:val="216"/>
        </w:trPr>
        <w:tc>
          <w:tcPr>
            <w:tcW w:w="18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Chief Operating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259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Burshtein</w:t>
            </w:r>
          </w:p>
        </w:tc>
        <w:tc>
          <w:tcPr>
            <w:tcW w:w="12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Chief of Research</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and Development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bl>
    <w:p>
      <w:pPr>
        <w:spacing w:after="0" w:line="144" w:lineRule="exact"/>
        <w:rPr>
          <w:sz w:val="20"/>
          <w:szCs w:val="20"/>
          <w:color w:val="auto"/>
        </w:rPr>
      </w:pPr>
    </w:p>
    <w:p>
      <w:pPr>
        <w:jc w:val="both"/>
        <w:ind w:left="900" w:hanging="447"/>
        <w:spacing w:after="0" w:line="261"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Topic 718”). The assumptions used in calculating the amounts are discussed in Note 6 to the Company’s audited financial statements for the year ended December 31, 2025 included</w:t>
      </w:r>
    </w:p>
    <w:p>
      <w:pPr>
        <w:sectPr>
          <w:pgSz w:w="11900" w:h="16838" w:orient="portrait"/>
          <w:cols w:equalWidth="0" w:num="1">
            <w:col w:w="11240"/>
          </w:cols>
          <w:pgMar w:left="320" w:top="765" w:right="339" w:bottom="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in our 2025 Annual Report. The fair value amount is recognized as an expense over the course of the vesting period of the options (subject to any applicable accounting adjustments during that period).</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5715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1220" w:top="121" w:right="339" w:bottom="1440" w:gutter="0" w:footer="0" w:header="0"/>
        </w:sectPr>
      </w:pPr>
    </w:p>
    <w:bookmarkStart w:id="27" w:name="page28"/>
    <w:bookmarkEnd w:id="27"/>
    <w:p>
      <w:pPr>
        <w:jc w:val="both"/>
        <w:ind w:left="900" w:hanging="447"/>
        <w:spacing w:after="0" w:line="261"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associate annual expenses for RSUs granted in place of annual bonus in cash recorded in our financial statements based on the fair value of the share-based compensation grant date market computed in accordance with ASC Topic 718. The fair value amount is recognized as an expense over the course of the vesting period of the RSUs in the Company’s audited financial statements for the year ended December 31, 2025 included in our 2025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outstanding equity awards at December 31, 2025 for our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Unexercised Options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52"/>
        </w:trPr>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Unvested RSUs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4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7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Miranda Toledano</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1/17/2029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35,852</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1/1/2032</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107,557</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1/1/2032</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437,500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62,500(1)</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05/16/2032</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487,500</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112,500(2)</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07/15/2032</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218,750</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131,250(3)</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04/24/2033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250,000(4)</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04/19/2034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500,000(5)</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28/04/2035</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90,351(6)</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Burshtein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01/17/2029</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 of Research and Development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18,900</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03/16/2030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51,000</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04/07/2031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39,375</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5,625(7)</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04/28/2032</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40,625</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24,375(8)</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04/24/2033</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75,000(9)</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04/19/2034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200,000(10)</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28/04/2035</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13,158(11)</w:t>
            </w: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Hillel Galitzer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03/16/2030</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04/21/2031</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56,250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3,750(12)</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03/24/2032</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131,250</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78,750(13)</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04/24/2033</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65,000(14)</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04/19/2034</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100,000(15)</w:t>
            </w:r>
          </w:p>
        </w:tc>
        <w:tc>
          <w:tcPr>
            <w:tcW w:w="1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28/04/2035</w:t>
            </w:r>
          </w:p>
        </w:tc>
        <w:tc>
          <w:tcPr>
            <w:tcW w:w="100" w:type="dxa"/>
            <w:vAlign w:val="bottom"/>
            <w:shd w:val="clear" w:color="auto" w:fill="CCEEFF"/>
          </w:tcPr>
          <w:p>
            <w:pPr>
              <w:spacing w:after="0"/>
              <w:rPr>
                <w:sz w:val="18"/>
                <w:szCs w:val="18"/>
                <w:color w:val="auto"/>
              </w:rPr>
            </w:pPr>
          </w:p>
        </w:tc>
      </w:tr>
      <w:tr>
        <w:trPr>
          <w:trHeight w:val="234"/>
        </w:trPr>
        <w:tc>
          <w:tcPr>
            <w:tcW w:w="7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13,158(16)</w:t>
            </w: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62,500 unexercisable options as of December 31, 2025 will vest in two equal quarterly installments beginning on February 16, 2026.</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112,500 unexercisable options as of December 31, 2025 will vest in three equal quarterly installments beginning on January 15, 2026.</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131,250 unexercisable options as of December 31, 2025 will vest in six equal quarterly installments beginning on January 24, 2026.</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250,000 unexercisable options as of December 31, 2025 will vest in six equal quarterly installments beginning on January 19, 2026.</w:t>
      </w:r>
    </w:p>
    <w:p>
      <w:pPr>
        <w:spacing w:after="0" w:line="225" w:lineRule="exact"/>
        <w:rPr>
          <w:rFonts w:ascii="Times New Roman" w:cs="Times New Roman" w:eastAsia="Times New Roman" w:hAnsi="Times New Roman"/>
          <w:sz w:val="18"/>
          <w:szCs w:val="18"/>
          <w:color w:val="auto"/>
        </w:rPr>
      </w:pPr>
    </w:p>
    <w:p>
      <w:pPr>
        <w:ind w:right="500" w:firstLine="8"/>
        <w:spacing w:after="0" w:line="282" w:lineRule="auto"/>
        <w:tabs>
          <w:tab w:leader="none" w:pos="5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500,000 unexercisable options as of December 31, 2025, 33.33% vest on April 28, 2026, the first anniversary of the grant date, and the remaining 66.67% vesting in 8 equal quarterly installments over the following two years.</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90,351 unvested RSUs as of December 31, 2025 will vest in two equal quarterly installments beginning on January 28, 2026.</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5,625 unexercisable options as of December 31, 2025 will vest in two equal quarterly installments beginning on January 28, 2026.</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8" w:name="page29"/>
    <w:bookmarkEnd w:id="28"/>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24,375 unexercisable options as of December 31, 2025 will vest in six equal quarterly installments beginning on January 24, 2026.</w:t>
      </w:r>
    </w:p>
    <w:p>
      <w:pPr>
        <w:spacing w:after="0" w:line="22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75,000 unexercisable options as of December 31, 2025 will vest in six equal quarterly installments beginning on January 19, 2026.</w:t>
      </w:r>
    </w:p>
    <w:p>
      <w:pPr>
        <w:spacing w:after="0" w:line="225" w:lineRule="exact"/>
        <w:rPr>
          <w:rFonts w:ascii="Times New Roman" w:cs="Times New Roman" w:eastAsia="Times New Roman" w:hAnsi="Times New Roman"/>
          <w:sz w:val="18"/>
          <w:szCs w:val="18"/>
          <w:color w:val="auto"/>
        </w:rPr>
      </w:pPr>
    </w:p>
    <w:p>
      <w:pPr>
        <w:ind w:right="400" w:firstLine="8"/>
        <w:spacing w:after="0" w:line="282" w:lineRule="auto"/>
        <w:tabs>
          <w:tab w:leader="none" w:pos="6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200,000 unexercisable options as of December 31, 2025, 33.33% vest on April 28, 2026, the first anniversary of the grant date, and the remaining 66.67% vesting in 8 equal quarterly installments over the following two years.</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13,158 unvested RSUs as of December 31, 2025 will vest in two equal quarterly installments beginning on January 28, 2026.</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3,750 unexercisable options as of December 31, 2025 will vest in one installments on March 31, 2026.</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78,750 unexercisable options as of December 31, 2025 will vest in six equal quarterly installments beginning on March 31, 2026.</w:t>
      </w:r>
    </w:p>
    <w:p>
      <w:pPr>
        <w:spacing w:after="0" w:line="225"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65,000 unexercisable options as of December 31, 2025 will vest in six equal quarterly installments beginning January 19, 2026.</w:t>
      </w:r>
    </w:p>
    <w:p>
      <w:pPr>
        <w:spacing w:after="0" w:line="225" w:lineRule="exact"/>
        <w:rPr>
          <w:rFonts w:ascii="Times New Roman" w:cs="Times New Roman" w:eastAsia="Times New Roman" w:hAnsi="Times New Roman"/>
          <w:sz w:val="18"/>
          <w:szCs w:val="18"/>
          <w:color w:val="auto"/>
        </w:rPr>
      </w:pPr>
    </w:p>
    <w:p>
      <w:pPr>
        <w:ind w:right="400" w:firstLine="8"/>
        <w:spacing w:after="0" w:line="282" w:lineRule="auto"/>
        <w:tabs>
          <w:tab w:leader="none" w:pos="6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100,000 unexercisable options as of December 31, 2024, 33.33% vest on April 28, 2026, the first anniversary of the grant date, and the remaining 66.67% vesting in 8 equal quarterly installments over the following two years.</w:t>
      </w:r>
    </w:p>
    <w:p>
      <w:pPr>
        <w:spacing w:after="0" w:line="16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13,158 unvested RSUs as of December 31, 2025 will vest in two equal quarterly installments beginning on January 28, 2026.</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Israeli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to the extent applicable, in accordance with the provisions of the Israeli Companies Law.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outlines compensation earned by our non-employee directors for the fiscal year ended December 31, 2025, including fees earned in cash and options awarded for services provided as a director. To help the Company maintain sufficient cash for operations, the Company’s shareholders approved a revised compensation structure for non-executive directors, which was implemented to enhance the Company’s financial flexibility and align directors’ interests with those of shareholders. This revised structure involves granting fully vested Ordinary Shares quarterly instead of quarterly cash payments, effective retroactively as of January 1, 2024. Under this arrangement, each non-executive director receives a quarterly grant of fully vested Ordinary Shares. Such quarterly grants for the fiscal year ended December 31, 2025 were granted in a single aggregate grant on January 1, 2026. The value of these shares is equivalent to their respective cash compensation for board and committee services, calculated based on the average daily closing share price of the Ordinary Shares during the applicable fiscal quarter. Directors who serve only part of a quarter receive a pro rata portion of the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or Paid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Lieberman (3)</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Yonatan Malca</w:t>
            </w:r>
          </w:p>
        </w:tc>
        <w:tc>
          <w:tcPr>
            <w:tcW w:w="9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58,505</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103,768</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M. Ostrov (3)</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55,719</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100,982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Ellis</w:t>
            </w:r>
          </w:p>
        </w:tc>
        <w:tc>
          <w:tcPr>
            <w:tcW w:w="98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49,220</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94,483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Haya Taitel</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47,580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51,078</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98,658</w:t>
            </w: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Compensation – Stock Compensation (“ASC Topic 718”). The assumptions used in calculating the amounts are discussed in Note 6 of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associated annual expenses for Ordinary Shares granted in January 2026 in lieu of cash fees earned for services rendered during 2025, based on the grant date market value.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board member that resigned as a director of the Company in February 2026.</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number of options to purchase Ordinary Shares of each non-employee director outstanding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Share Options</w:t>
            </w:r>
          </w:p>
        </w:tc>
      </w:tr>
      <w:tr>
        <w:trPr>
          <w:trHeight w:val="209"/>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Lieberman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Yonatan Malca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402,930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Gerald M. Ostrov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402,930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Ellis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402,930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Haya Taitel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170,480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our 2025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Miranda Toledano</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Toledano has served on the Board of Directors at Entera since September 2018. Between May and July 2022, Ms. Toledano served as Chief Business Officer, Chief Financial Officer and Head of Corporate Strategy at Entera. In July 2022, Ms. Toledano was appointed Chief Executive Officer at Entera.</w:t>
      </w:r>
    </w:p>
    <w:p>
      <w:pPr>
        <w:spacing w:after="0" w:line="20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connection with Ms. Toledano’s appointment as 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Company’s 2018 Equity Incentive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Ms. Toledano’s appointment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Company’s 2018 Equity Incentive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Company’s 2018 Equity Incentive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2024 and April 19, 2024, the Compensation Committee and the Board, respectively, voted to approve, and on July 31, 2024, the shareholders of the Company ratified and confirmed, the following one-time grants of compensation for Ms. Toledano: (i) a one-time grant of options to purchase 500,000 Ordinary Shares (the "2024 Options"), at an exercise price of $1.99 per Ordinary Share, under the 2018 Plan, and subject to the requirements of applicable laws and regulations. The 2024 Options vest over a three (3) year period, with a third of the 2024 Options vesting at the end of a 12-month period following April 19, 2024, and the remaining two-thirds of the 2024 Options vesting in eight substantially equal portions over the next two (2) year period thereafter, on a quarterly basis, subject to Ms. Toledano's continued employment (i.e., such that one hundred percent (100%) of the 2024 Options shall become fully vested on April 19, 2027); and (ii) a one-time grant of 124,121 RSUs in lieu of cash bonus (the "2024 RSUs") under the 2018 Plan, and subject to the requirements of applicable laws and regulations. The 2024 RSUs vest over a one (1) year period, with 100% of the 2024 RSUs vesting in four substantially equal portions over the 12 month period following April 19, 2024, on a quarterly basis (i.e., such that one hundred percent (100%) of the 2024 RSUs shall become fully vested on April 19, 2025). In the event of a Change in Control (as defined in the 2018 Plan) in which Ms. Toledano continues to provide services to the Company on the date of consummation of such Change in Control, 100% of any unvested 2024 Options and 2024 RSUs at the time of the consummation of such Change in Control shall become fully vested (and, in the case of options, exercisable).</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631"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2025 and April 28, 2025, the Compensation Committee and the Board, respectively, voted to approve, and on July 16, 2025, the shareholders of the Company ratified and confirmed for Ms. Toledano: (i) a salary increase for Ms. Toledano, according to which her annual salary would be increased to $600,000, as of April 1, 2025 (while with respect to the 12-month period beginning April 1, 2025, in order to preserve Company cash, Ms. Toledano is entitled to receive a one-time grant of 43,860 RSUs in place of $100,000 of her Updated Salary in lieu of cash payment for such one (1) year period (the “2025 Salary RSUs”), under the 2018 Plan and subject to the requirements of applicable laws and regulations. the 2025 Salary RSUs shall vest over a one</w:t>
      </w:r>
    </w:p>
    <w:p>
      <w:pPr>
        <w:spacing w:after="0" w:line="3" w:lineRule="exact"/>
        <w:rPr>
          <w:sz w:val="20"/>
          <w:szCs w:val="20"/>
          <w:color w:val="auto"/>
        </w:rPr>
      </w:pPr>
    </w:p>
    <w:p>
      <w:pPr>
        <w:jc w:val="both"/>
        <w:ind w:firstLine="8"/>
        <w:spacing w:after="0" w:line="251" w:lineRule="auto"/>
        <w:tabs>
          <w:tab w:leader="none" w:pos="2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with 100% of the 2025 Salary RSUs vesting in four substantially equal portions over the 12 month period and (ii) a one-time grant of options to purchase an additional 500,000 Ordinary Shares (the “2025 Options”), at an exercise price of $2.28 per Ordinary Share, under the 2018 Plan, and subject to the requirements of applicable laws and regulations, (iii) a one-time grant of 136,842 RSUs in lieu of cash bonus for 2024 (the “2025 Bonus RSUs”) under the 2018 Plan, subject to the requirements of applicable laws and regulations. The 2025 Bonus RSUs shall vest over a one (1) year period, with 100% of the 2025 RSUs vesting in four substantially equal portions over the 12 month period following April 28, 2025, on a quarterly basis, rounded down to the nearest whole share, provided, that with respect to the last such quarterly installment, the number of 2025 RSUs that vest in the installment shall be such that Ms. Toledano will be fully vested in the total number of 2025 RSUs listed above as of such applicable quarterly anniversary (i.e., such that one hundred percent (100%) of the 2025 RSUs shall become fully vested on April 28, 2026. In addition, in the event of a Change in Control (as defined in the 2018 Plan) in which Ms. Toledano continues to provide services to the Company on the date of consummation of such Change in Control, 100% of any unvested 2025 Options, 2025 Bonus RSUs and 2025 Salary RSUs at the time of the consummation of such Change in Control shall become fully vested (and, in the case of options, exercisable).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Hillel Galitzer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2014, we entered into an employment agreement with our Chief Operating Officer, Mr. Hillel Galitzer. Pursuant to the terms of his employment, and within the discretion granted to the Board, Mr. Galitzer was entitled to an annual gross base salary of $230,725 for both 2022 and 2023, which represents an increase in base salary from the original terms of the employment agreement approved by the Board. In April 2023, the Compensation Committee and the Board voted to approve a one-time grant of options to Mr. Galitzer to purchase 210,000 Ordinary Shares (the “Galitzer 2023 Options”), at an exercise price of $0.795 per Ordinary Share, under the 2018 Plan, and subject to the requirements of applicable laws and regulations, which was deemed by the Board to be inside the respective ranges set in the Company’s compensation policy. The Galitzer 2023 Options vest over a four (4) year period, with 25% of the Galitzer 2023 Options vesting on April 24, 2024, and the remaining 75% vesting in twelve equal quarterly installments over the remaining three-year period, subject to Mr. Galitzer’s continued employment (i.e., such that one hundred percent (100%) of the Galitzer 2023 Options shall become fully vested on April 24, 2027).</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19, 2024 the Board, approved the following compensation terms for Mr. Galitzer: (i) an increase to Mr. Galitzer’s annual salary to $246,000 (ii) a one-time grant of options to purchase 130,000 Ordinary Shares (the “Galitzer 2024 Options”), at an exercise price of $1.99 per Ordinary Share, under the 2018 Plan, and subject to the requirements of applicable laws and regulations. The Galitzer 2024 Options vest over a three (3) year period, with a third of the Galitzer 2024 Options vesting at the end of a 12-month period following April 19, 2024, and the remaining two-thirds of the Galitzer 2024 Options vesting in eight substantially equal portions over the next two (2) year period thereafter, on a quarterly basis, subject to Mr. Galitzer’s continued employment (i.e., such that one hundred percent (100%) of the Galitzer 2024 Options shall become fully vested on April 19, 2027); and (iii) a one-time grant of 30,151 RSUs in lieu of cash bonus for 2023 (the “Galitzer 2024 Bonus RSUs”) under the 2018 Plan, and subject to the requirements of applicable laws and regulations. The Galitzer 2024 Bonus RSUs vest over a one (1) year period, with 100% of the Galitzer 2024 Bonus RSUs vesting in four substantially equal portions over the 12-month period following April 19, 2024, on a quarterly basis (i.e., such that one hundred percent (100%) of the Galitzer 2024 Bonus RSUs shall become fully vested on April 19, 2025). In addition, in the event of a Change in Control (as defined in the 2018 Plan) in which Mr. Galitzer continues to provide services to the Company on the date of consummation of such Change in Control, 100% of any unvested Galitzer 2024 Options and Galitzer 2024 Bonus RSUs at the time of the consummation of such Change in Control shall become fully vested (and, in the case of options, exercisable).</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Effective April 1, 2025, the Board approved an additional increase to Mr. Galitzer’s annual salary, increasing his annual gross base salary to $254,000. In April 2025, the Board voted to approve the following one-time grants of compensation for Mr. Galitzer: (i) a one-time grant of options to purchase 100,000 Ordinary Shares (the “Galitzer 2025 Options”), at an exercise price of $2.28 per Ordinary Share, under the 2018 Plan, and subject to the requirements of applicable laws and regulations. The Galitzer 2025 Options vest over a three (3) year period, with a third of the Galitzer 2025 Options vesting at the end of a 12-month period following April 28, 2025, and the remaining two-thirds of the Galitzer 2025 Options vesting in eight substantially equal portions over the next two (2) year period thereafter, on a quarterly basis, subject to Mr. Galitzer’s continued employment (i.e., such that one hundred percent (100%) of the Galitzer 2025 Options shall become fully vested on April 28, 2028); and (ii) a one-time grant of 26,316 RSUs in lieu of cash bonus for 2024 (the “Galitzer 2025 Bonus RSUs”) under the 2018 Plan, and subject to the requirements of applicable laws and regulations. The Galitzer 2025 Bonus RSUs vest over a one (1) year period, with 100% of the Galitzer 2025 Bonus RSUs vesting in four substantially equal portions over the 12- month period following April 28, 2025, on a quarterly basis (i.e., such that one hundred percent (100%) of the Galitzer 2025 Bonus RSUs shall become fully vested on April 28, 2026). In addition, in the event of a Change in Control (as defined in the 2018 Plan) in which Mr. Galitzer continues to provide services to the Company on the date of consummation of such Change in Control, 100% of any unvested Galitzer 2025 Options and Galitzer 2025 Bonus RSUs at the time of the consummation of such Change in Control shall become fully vested (and, in the case of options, exercisable).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2026 and May 7, 2026, the Compensation Committee and the Board, respectively, approved the following revised compensation terms for Mr. Galitzer, which were deemed by the Board to be inside the respective ranges set in the Company's compensation policy: (i) an increase to Mr. Galitzer’s annual salary, effective May 1, 2026, to an annual gross base salary of 961,796 NIS (approximately $330,855 as of May 7, 2026), (ii) subject to the filing by the Company of a Registration Statement on Form S-8 registering the shares underlying the grant, a one-time grant of options to purchase 200,000 Ordinary Shares (the “Galitzer 2026 Options”), at an exercise price of $1.37 per Ordinary Share, under the 2018 Plan, subject to the requirements of applicable laws and regulations, (iii) a one-time grant of 72,933 RSUs in lieu of cash bonus for 2025 (the "Galitzer 2026 Bonus RSUs") under the 2018 Plan, subject to the requirements of applicable laws and regulations. The Galitzer 2026 Bonus RSUs shall vest over a one (1) year period, with 100% of the Galitzer 2026 Bonus RSUs vesting in four substantially equal portions over the 12 month period following the grant date, on a quarterly basis, rounded down to the nearest whole share, provided, that with respect to the last such quarterly installment, the number of Galitzer 2026 Bonus RSUs that vest in the installment shall be such that Mr. Galitzer will be fully vested in the total number of Galitzer 2026 Bonus RSUs listed above as of such applicable quarterly anniversary. In addition, in the event of a Change in Control (as defined in the 2018 Plan) in which Mr. Galitzer continues to provide services to the Company on the date of consummation of such Change in Control, 100% of any unvested Galitzer 2026 Options and Galitzer 2026 Bonus RSUs at the time of the consummation of such Change in Control shall become fully vested (and, in the case of options, exercisable).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pursuant to the terms of his employment agreement, Mr. Galitzer is eligible to participate in the Company’s standard full-time employment benefits that are offered by the Company from time to time, which currently include short-term disability and pension fund benefits. Mr. Galitzer is also generally entitled to reimbursement for travel and other business expenses and other benefits, including vacation, holidays, company car and sick leave. Subject to applicable law, Mr. Galitzer is also covered by our D&amp;O insurance policy. Pursuant to the terms of his employment agreement, Mr. Galitzer is eligible to receive equity awards under the Company’s existing and future incentive plans, on such amount and terms as shall be approved by the Board. Pursuant to the terms of his employment agreement, Mr. Galitzer also agreed to customary non-disclosure and non-competition covenants.</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Gregory Burshtein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Dr. Burshtein currently serves as the Company's Chief of Research and Development. Pursuant to the terms of his employment, and within the discretion granted to the Board, Dr. Burshtein was entitled to an annual gross base salary of $157,000 for 2024, increasing to $200,000 effective as of April 1, 2025. In April 2023, the Board approved a one-time grant of 65,000 options to purchase Ordinary Shares (the “Gregory’s 2023 Options”), at an exercise price of $0.795 per Ordinary Share, under the 2018 Plan, and subject to the requirements of applicable laws and regulations. Gregory’s 2023 Options shall vest over a four (4) year period, with 25% of Gregory’s 2023 Options vesting on April 24, 2024, and the remaining 75% vesting in twelve equal quarterly installments over the remaining three-year period, subject to Dr. Burshtein's continued employment (i.e., such that one hundred percent (100%) of Gregory’s 2023 Options shall become fully vested on April 24, 2027). On April, 2024, the Board voted to approve the following one-time grants of compensation for Dr. Burshtein, which were deemed by the Board to be inside the respective ranges set in the Company’s compensation policy: (i) a one-time grant of options to purchase 150,000 Ordinary Shares (the “Gregory’s 2024 Options”), at an exercise price of $1.99 per Ordinary Share, under the 2018 Plan, and subject to the requirements of applicable laws and regulations. Gregory’s 2024 Options vest over a three (3) year period, with a third of Gregory’s 2024 Options vesting at the end of a 12-month period following April 19, 2024, and the remaining two-thirds of Gregory’s 2024 Options vesting in eight substantially equal portions over the next two (2) year period thereafter, on a quarterly basis, subject to Dr. Burshtein’s continued employment (i.e., such that one hundred percent (100%) of Gregory’s 2024 Options shall become fully vested on April 19, 2027); and (ii) a one-time grant of 25,126 RSUs in lieu of cash bonus for 2023 (the “Gregory’s 2024 RSUs”) under the 2018 Plan, and subject to the requirements of applicable laws and regulations. Gregory’s 2024 RSUs vest over a one (1) year period, with 100% of Gregory’s 2024 RSUs vesting in four substantially equal portions over the 12 month period following April 19, 2024, on a quarterly basis (i.e., such that one hundred percent (100%) of Gregory’s 2024 RSUs shall become fully vested on April 19, 2025). Additionally, pursuant to the terms of his employment agreement, Mr. Burshtein is eligible to participate in the Company's standard full-time employment benefits that are offered by the Company from time to time, which currently include pension fund benefits. Mr. Burshtein is also generally entitled to reimbursement for travel and other business expenses and other benefits, including, vacation, holidays, travel expenses and sick leave. Subject to applicable law, Mr. Burshtein is also covered by our D&amp;O insurance policy. Pursuant to the terms of his employment agreement, Mr. Burshtein also agreed to customary non-disclosure and non-competition covenants.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28, 2025, the Board voted to approve revised compensation terms and a one-time grant of compensation for Dr. Burshtein, including (i) options to purchase 200,000 Ordinary Shares (the “Gregory's 2025 Options”), at an exercise price of $2.28 per Ordinary Share, under the 2018 Plan, and (ii) a one-time grant of 26,316 RSUs in lieu of a cash bonus for 2024 (the “Gregory's 2025 RSUs”) under the 2018 Plan. Gregory's 2025 Options shall vest over a three (3) year period, with a third of the Gregory's 2025 Options vesting at the end of a 12-month period following April 28, 2025, and the remaining two-thirds of Gregory's 2025 Options shall vest in eight substantially equal portions over the next two (2) year period thereafter, on a quarterly basis, rounded down to the nearest whole share, provided, that with respect to the last such quarterly installment, the number of Gregory's 2025 Options that vest in the installment shall be such that Dr. Burshtein will be fully vested in the total number of Gregory's 2025 Options listed above as of such applicable quarterly anniversary (i.e., such that one hundred percent (100%) of Gregory's 2025 Options shall become fully vested on April 28, 2028). Gregory's 2025 RSUs shall vest over a one (1) year period, with 100% of Gregory's 2025 RSUs vesting in four substantially equal portions over the 12 month period following April 28, 2025, on a quarterly basis, rounded down to the nearest whole share, provided, that with respect to the last such quarterly installment, the number of Gregory's 2025 RSUs that vest in the installment shall be such that Dr. Burshtein will be fully vested in the total number of Gregory's 2025 RSUs listed above as of such applicable quarterly anniversary (i.e., such that one hundred percent (100%) of Gregory's 2025 RSUs shall become fully vested on April 28, 2026).</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2026 and May 7, 2026, the Compensation Committee and the Board, respectively, approved the following revised compensation terms for Dr. Burshtein, which were deemed by the Board to be inside the respective ranges set in the Company's compensation policy: (i) an increase to Dr. Burshtein's annual gross base salary to 756,000 NIS (approximately $260,062 equal as of May 7, 2026); (ii) subject to the filing by the Company of a Registration Statement on Form S-8 registering the shares underlying the grant, a one-time grant of options to purchase 180,000 Ordinary Shares (the “Burshtein 2026 Options”), at an exercise price of $1.37 per Ordinary Share, under the 2018 Plan, subject to the requirements of applicable laws and regulations; and (iii) a one-time grant of 87,591 RSUs in lieu of cash bonus for 2025 (the “Burshtein 2026 Bonus RSUs”) under the 2018 Plan, subject to the requirements of applicable laws and regulations. The Burshtein 2026 Bonus RSUs shall vest over a one (1) year period, with 100% of the Burshtein 2026 Bonus RSUs vesting in four substantially equal portions over the 12 month period following the grant date, on a quarterly basis, rounded down to the nearest whole share, provided, that with respect to the last such quarterly installment, the number of Burshtein 2026 Bonus RSUs that vest in the installment shall be such that Dr. Burshtein will be fully vested in the total number of Burshtein 2026 Bonus RSUs listed above as of such applicable quarterly anniversary. In addition, in the event of a Change in Control (as defined in the 2018 Plan) in which Dr. Burshtein continues to provide services to the Company on the date of consummation of such Change in Control, 100% of any unvested Burshtein 2026 Options and Burshtein 2026 Bonus RSUs at the time of the consummation of such Change in Control shall become fully vested (and, in the case of options, exercisable).</w:t>
      </w: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Employee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Share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2025, 810,550 Ordinary Shares were issuable upon the exercise of outstanding awards under the 2013 Plan, at a weighted-average exercise price of $6.31 per share. As of December 31, 2025,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In our shareholders meeting held July 31, 2024, our shareholders approved an amendment to the 2018 Plan to increase the number of Ordinary Shares issuable under the 2018 Plan by a one-time additional amount of 1,788,515 Ordinary Shares. On January 1, 2025, pursuant to the annual evergreen provision and following the approval of our Board, an additional 1,941,859 Ordinary Shares, equal to 5% of the total outstanding shares as of January 1, 2025, became available for issuance under the 2018 Plan. As of December 31, 2025, a total of 2,052,375 Ordinary Shares representing 4.4% of the total outstanding shares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 As of December 31, 2025, 8,615,707 Ordinary Shares were issuable upon the exercise of outstanding awards under the 2018 Plan, at a weighted-average exercise price of $1.95 per share. Of the foregoing outstanding awards, as of December 31, 2025, options to purchase 5,496,836 Ordinary Shares, in the aggregate, had vested under the 2018 Plan, with a weighted-average exercise price of $1.90 per share. In addition, as of December 31, 2025, 78,071 Ordinary Shares are issuable upon the vesting of outstanding RSUs under the 2018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Proposal Seven of this Proxy Statement, the Company is seeking shareholder approval of an amendment to the 2018 Plan to increase the number of Ordinary Shares issuable thereunder by 2,500,000 Ordinary Shares. The Board believes that the proposed pool increase is necessary to ensure that a sufficient reserve of Ordinary Shares remains available to make competitive equity-based grants to the Company's employees, directors, officers and consultants. See Proposal Seven.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vesting conditions for grants under the 2018 Plan will be determined by the administrator and, in the case of restricted shares and restricted share units, will be set forth in the applicable award documentation.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The 2018 Plan is administered by the Board, provided that the Board may delegate its authority to the Compensation Committee to administer the 2018 Plan.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2018 Plan provides for granting awards in compliance with Section 102 of the Israeli Income Tax Ordinance, 5721-1961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by SEC rules to disclose the following information regarding compensation paid to our Principal Executive Officer (the “PEO”) and our other Named Executive Officers (such other Named Executive Officers collectively referred to hereinafter as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two years of data and are not including a peer group total shareholder return or company-selected measure, as contemplated under Item 402(v) of Regulation S-K. For further information concerning our executive compensation philosophy and how executive compensation is aligned with the Company’s performance, refer to the section entitled “Executive Compensation” included in this proxy statement.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PEO and Non-PEO NEOs’ compensation is designed to provide a mix of compensation to reward Officers for individual and company performance as well as to align their interests with the interests of shareholders. To achieve our goal of appropriately rewarding our Officers for their efforts, the compensation generally includes: (i) annual base salary, benefits and perquisites; (ii) annual bonus based on target and above-target performance; and (iii) equity-based compensation and retirement benefits.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2024 and 2025, in order to preserve Company’s cash, PEO and Non-PEO NEOs were granted RSUs in lieu of an annual cash bonus and a portion of their respective salary increase.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the PEO and Non-PEO NEOs total compensation is “at-risk” in the form of equity compensation and is directly tied to the Company’s share performance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 result, this component of compensation aligns the PEO and Non-PEO NEOs interests with those of shareholders by linking potential rewards to long-term stock price appreciation.</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additional compensation information of our PEO and Non-PEO NEOs, along with total shareholder return, and net loss results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PEO</w:t>
            </w:r>
          </w:p>
        </w:tc>
        <w:tc>
          <w:tcPr>
            <w:tcW w:w="140" w:type="dxa"/>
            <w:vAlign w:val="bottom"/>
          </w:tcPr>
          <w:p>
            <w:pPr>
              <w:spacing w:after="0"/>
              <w:rPr>
                <w:sz w:val="19"/>
                <w:szCs w:val="19"/>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to PEO</w:t>
            </w: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Net Loss</w:t>
            </w:r>
          </w:p>
        </w:tc>
      </w:tr>
      <w:tr>
        <w:trPr>
          <w:trHeight w:val="275"/>
        </w:trPr>
        <w:tc>
          <w:tcPr>
            <w:tcW w:w="1480" w:type="dxa"/>
            <w:vAlign w:val="bottom"/>
          </w:tcPr>
          <w:p>
            <w:pPr>
              <w:spacing w:after="0" w:line="276" w:lineRule="exact"/>
              <w:rPr>
                <w:sz w:val="20"/>
                <w:szCs w:val="20"/>
                <w:color w:val="auto"/>
              </w:rPr>
            </w:pPr>
            <w:r>
              <w:rPr>
                <w:rFonts w:ascii="Times New Roman" w:cs="Times New Roman" w:eastAsia="Times New Roman" w:hAnsi="Times New Roman"/>
                <w:sz w:val="18"/>
                <w:szCs w:val="18"/>
                <w:b w:val="1"/>
                <w:bCs w:val="1"/>
                <w:color w:val="auto"/>
              </w:rPr>
              <w:t>Year</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gridSpan w:val="2"/>
          </w:tcPr>
          <w:p>
            <w:pPr>
              <w:jc w:val="center"/>
              <w:ind w:right="3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 000s)</w:t>
            </w:r>
            <w:r>
              <w:rPr>
                <w:rFonts w:ascii="Times New Roman" w:cs="Times New Roman" w:eastAsia="Times New Roman" w:hAnsi="Times New Roman"/>
                <w:sz w:val="29"/>
                <w:szCs w:val="29"/>
                <w:b w:val="1"/>
                <w:bCs w:val="1"/>
                <w:color w:val="auto"/>
                <w:w w:val="95"/>
                <w:vertAlign w:val="superscript"/>
              </w:rPr>
              <w:t>(2)</w:t>
            </w:r>
          </w:p>
        </w:tc>
        <w:tc>
          <w:tcPr>
            <w:tcW w:w="140" w:type="dxa"/>
            <w:vAlign w:val="bottom"/>
          </w:tcPr>
          <w:p>
            <w:pPr>
              <w:spacing w:after="0"/>
              <w:rPr>
                <w:sz w:val="23"/>
                <w:szCs w:val="23"/>
                <w:color w:val="auto"/>
              </w:rPr>
            </w:pPr>
          </w:p>
        </w:tc>
        <w:tc>
          <w:tcPr>
            <w:tcW w:w="1560" w:type="dxa"/>
            <w:vAlign w:val="bottom"/>
            <w:gridSpan w:val="2"/>
          </w:tcPr>
          <w:p>
            <w:pPr>
              <w:jc w:val="center"/>
              <w:ind w:right="380"/>
              <w:spacing w:after="0" w:line="276" w:lineRule="exact"/>
              <w:rPr>
                <w:sz w:val="20"/>
                <w:szCs w:val="20"/>
                <w:color w:val="auto"/>
              </w:rPr>
            </w:pPr>
            <w:r>
              <w:rPr>
                <w:rFonts w:ascii="Times New Roman" w:cs="Times New Roman" w:eastAsia="Times New Roman" w:hAnsi="Times New Roman"/>
                <w:sz w:val="18"/>
                <w:szCs w:val="18"/>
                <w:b w:val="1"/>
                <w:bCs w:val="1"/>
                <w:color w:val="auto"/>
                <w:w w:val="93"/>
              </w:rPr>
              <w:t>(in 000s)</w:t>
            </w:r>
            <w:r>
              <w:rPr>
                <w:rFonts w:ascii="Times New Roman" w:cs="Times New Roman" w:eastAsia="Times New Roman" w:hAnsi="Times New Roman"/>
                <w:sz w:val="29"/>
                <w:szCs w:val="29"/>
                <w:b w:val="1"/>
                <w:bCs w:val="1"/>
                <w:color w:val="auto"/>
                <w:w w:val="93"/>
                <w:vertAlign w:val="superscript"/>
              </w:rPr>
              <w:t>(3)</w:t>
            </w:r>
          </w:p>
        </w:tc>
        <w:tc>
          <w:tcPr>
            <w:tcW w:w="100" w:type="dxa"/>
            <w:vAlign w:val="bottom"/>
          </w:tcPr>
          <w:p>
            <w:pPr>
              <w:spacing w:after="0"/>
              <w:rPr>
                <w:sz w:val="23"/>
                <w:szCs w:val="23"/>
                <w:color w:val="auto"/>
              </w:rPr>
            </w:pPr>
          </w:p>
        </w:tc>
        <w:tc>
          <w:tcPr>
            <w:tcW w:w="1340" w:type="dxa"/>
            <w:vAlign w:val="bottom"/>
            <w:gridSpan w:val="2"/>
          </w:tcPr>
          <w:p>
            <w:pPr>
              <w:jc w:val="center"/>
              <w:ind w:right="200"/>
              <w:spacing w:after="0" w:line="276" w:lineRule="exact"/>
              <w:rPr>
                <w:sz w:val="20"/>
                <w:szCs w:val="20"/>
                <w:color w:val="auto"/>
              </w:rPr>
            </w:pPr>
            <w:r>
              <w:rPr>
                <w:rFonts w:ascii="Times New Roman" w:cs="Times New Roman" w:eastAsia="Times New Roman" w:hAnsi="Times New Roman"/>
                <w:sz w:val="18"/>
                <w:szCs w:val="18"/>
                <w:b w:val="1"/>
                <w:bCs w:val="1"/>
                <w:color w:val="auto"/>
                <w:w w:val="93"/>
              </w:rPr>
              <w:t>(in 000s)</w:t>
            </w:r>
            <w:r>
              <w:rPr>
                <w:rFonts w:ascii="Times New Roman" w:cs="Times New Roman" w:eastAsia="Times New Roman" w:hAnsi="Times New Roman"/>
                <w:sz w:val="29"/>
                <w:szCs w:val="29"/>
                <w:b w:val="1"/>
                <w:bCs w:val="1"/>
                <w:color w:val="auto"/>
                <w:w w:val="93"/>
                <w:vertAlign w:val="superscript"/>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 000s)</w:t>
            </w:r>
            <w:r>
              <w:rPr>
                <w:rFonts w:ascii="Times New Roman" w:cs="Times New Roman" w:eastAsia="Times New Roman" w:hAnsi="Times New Roman"/>
                <w:sz w:val="29"/>
                <w:szCs w:val="29"/>
                <w:b w:val="1"/>
                <w:bCs w:val="1"/>
                <w:color w:val="auto"/>
                <w:w w:val="95"/>
                <w:vertAlign w:val="superscript"/>
              </w:rPr>
              <w:t>(3)</w:t>
            </w:r>
          </w:p>
        </w:tc>
        <w:tc>
          <w:tcPr>
            <w:tcW w:w="140" w:type="dxa"/>
            <w:vAlign w:val="bottom"/>
          </w:tcPr>
          <w:p>
            <w:pPr>
              <w:spacing w:after="0"/>
              <w:rPr>
                <w:sz w:val="23"/>
                <w:szCs w:val="23"/>
                <w:color w:val="auto"/>
              </w:rPr>
            </w:pPr>
          </w:p>
        </w:tc>
        <w:tc>
          <w:tcPr>
            <w:tcW w:w="130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Return</w:t>
            </w:r>
            <w:r>
              <w:rPr>
                <w:rFonts w:ascii="Times New Roman" w:cs="Times New Roman" w:eastAsia="Times New Roman" w:hAnsi="Times New Roman"/>
                <w:sz w:val="29"/>
                <w:szCs w:val="29"/>
                <w:b w:val="1"/>
                <w:bCs w:val="1"/>
                <w:color w:val="auto"/>
                <w:w w:val="95"/>
                <w:vertAlign w:val="superscript"/>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360"/>
              <w:spacing w:after="0" w:line="276" w:lineRule="exact"/>
              <w:rPr>
                <w:sz w:val="20"/>
                <w:szCs w:val="20"/>
                <w:color w:val="auto"/>
              </w:rPr>
            </w:pPr>
            <w:r>
              <w:rPr>
                <w:rFonts w:ascii="Times New Roman" w:cs="Times New Roman" w:eastAsia="Times New Roman" w:hAnsi="Times New Roman"/>
                <w:sz w:val="18"/>
                <w:szCs w:val="18"/>
                <w:b w:val="1"/>
                <w:bCs w:val="1"/>
                <w:color w:val="auto"/>
              </w:rPr>
              <w:t>(in 000s)</w:t>
            </w:r>
            <w:r>
              <w:rPr>
                <w:rFonts w:ascii="Times New Roman" w:cs="Times New Roman" w:eastAsia="Times New Roman" w:hAnsi="Times New Roman"/>
                <w:sz w:val="29"/>
                <w:szCs w:val="29"/>
                <w:b w:val="1"/>
                <w:bCs w:val="1"/>
                <w:color w:val="auto"/>
                <w:vertAlign w:val="superscript"/>
              </w:rPr>
              <w:t>(6)</w:t>
            </w:r>
          </w:p>
        </w:tc>
      </w:tr>
      <w:tr>
        <w:trPr>
          <w:trHeight w:val="210"/>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3"/>
              </w:rPr>
              <w:t>1,351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437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(9,541)</w:t>
            </w:r>
          </w:p>
        </w:tc>
      </w:tr>
    </w:tbl>
    <w:p>
      <w:pPr>
        <w:spacing w:after="0" w:line="355" w:lineRule="exact"/>
        <w:rPr>
          <w:sz w:val="20"/>
          <w:szCs w:val="20"/>
          <w:color w:val="auto"/>
        </w:rPr>
      </w:pPr>
    </w:p>
    <w:p>
      <w:pPr>
        <w:ind w:left="840" w:hanging="691"/>
        <w:spacing w:after="0"/>
        <w:tabs>
          <w:tab w:leader="none" w:pos="8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Non-PEO NEOs for 2024 are Hillel Galitzer and Dana Yaacov-Garbeli. The non-PEO NEOs for 2025 are Hillel Galitzer and Gregory</w:t>
      </w:r>
    </w:p>
    <w:p>
      <w:pPr>
        <w:spacing w:after="0" w:line="27"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Burstein.</w:t>
      </w:r>
    </w:p>
    <w:p>
      <w:pPr>
        <w:spacing w:after="0" w:line="206" w:lineRule="exact"/>
        <w:rPr>
          <w:rFonts w:ascii="Times New Roman" w:cs="Times New Roman" w:eastAsia="Times New Roman" w:hAnsi="Times New Roman"/>
          <w:sz w:val="18"/>
          <w:szCs w:val="18"/>
          <w:color w:val="auto"/>
        </w:rPr>
      </w:pPr>
    </w:p>
    <w:p>
      <w:pPr>
        <w:ind w:left="140" w:right="140" w:firstLine="9"/>
        <w:spacing w:after="0" w:line="282" w:lineRule="auto"/>
        <w:tabs>
          <w:tab w:leader="none" w:pos="7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herein represent the amount of total compensation reported for each covered fiscal year in the “Total” column of the Summary Compensation Table for each applicable year.</w:t>
      </w:r>
    </w:p>
    <w:p>
      <w:pPr>
        <w:spacing w:after="0" w:line="161" w:lineRule="exact"/>
        <w:rPr>
          <w:rFonts w:ascii="Times New Roman" w:cs="Times New Roman" w:eastAsia="Times New Roman" w:hAnsi="Times New Roman"/>
          <w:sz w:val="18"/>
          <w:szCs w:val="18"/>
          <w:color w:val="auto"/>
        </w:rPr>
      </w:pPr>
    </w:p>
    <w:p>
      <w:pPr>
        <w:jc w:val="both"/>
        <w:ind w:left="140" w:right="140" w:firstLine="9"/>
        <w:spacing w:after="0" w:line="254" w:lineRule="auto"/>
        <w:tabs>
          <w:tab w:leader="none" w:pos="7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 For purposes of the equity award adjustments shown below, no equity awards were cancelled due to a failure to meet vesting conditions and no dividends or other earnings paid on share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the determine “compensation actually paid” (all amounts are averages for Non-PEO NEOs).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figures are represented in thousands.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ind w:left="140" w:right="140" w:firstLine="9"/>
        <w:spacing w:after="0" w:line="282" w:lineRule="auto"/>
        <w:tabs>
          <w:tab w:leader="none" w:pos="7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herein represent the average of the amounts of total compensation reported for our Non-PEO NEOs as a group for each covered fiscal year in the “Total” column of the Summary Compensation Table for each applicable year.</w:t>
      </w:r>
    </w:p>
    <w:p>
      <w:pPr>
        <w:spacing w:after="0" w:line="161" w:lineRule="exact"/>
        <w:rPr>
          <w:rFonts w:ascii="Times New Roman" w:cs="Times New Roman" w:eastAsia="Times New Roman" w:hAnsi="Times New Roman"/>
          <w:sz w:val="18"/>
          <w:szCs w:val="18"/>
          <w:color w:val="auto"/>
        </w:rPr>
      </w:pPr>
    </w:p>
    <w:p>
      <w:pPr>
        <w:jc w:val="both"/>
        <w:ind w:left="140" w:right="140" w:firstLine="9"/>
        <w:spacing w:after="0" w:line="258" w:lineRule="auto"/>
        <w:tabs>
          <w:tab w:leader="none" w:pos="8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stockholder return (“TSR”) assumes $100 was invested on December 31, 2023 and is calculated by dividing the sum of the cumulative amount of dividends for the measurement period, assuming dividend reinvestment, and the difference between our share price at the end and the beginning of the measurement period (December 31, 2023) by our stock price at the beginning of the measurement period. At December 31, 2025, 2024 and 2023, the per share closing prices for our Ordinary Shares were $1.94, $2.28 and $0.60, respectively. No dividends were paid on share or option awards for all periods presented.</w:t>
      </w:r>
    </w:p>
    <w:p>
      <w:pPr>
        <w:spacing w:after="0" w:line="183" w:lineRule="exact"/>
        <w:rPr>
          <w:rFonts w:ascii="Times New Roman" w:cs="Times New Roman" w:eastAsia="Times New Roman" w:hAnsi="Times New Roman"/>
          <w:sz w:val="18"/>
          <w:szCs w:val="18"/>
          <w:color w:val="auto"/>
        </w:rPr>
      </w:pPr>
    </w:p>
    <w:p>
      <w:pPr>
        <w:ind w:left="720" w:hanging="571"/>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is reflected as reported in our audited consolidated financial statements for the applicable fiscal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PEO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Non-PEO NEO Average</w:t>
            </w: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fair value of equity awards granted that are reported in the Summary</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Table</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Fair value as of the end of all awards granted during the covered fiscal year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that are outstanding and unvested at the end of the covered year</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the end of the covered fiscal year (from the end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prior fiscal year) of any awards granted in any prior fiscal year that 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unvested as of the end of the covered fiscal year</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Vesting Date of Equity Awards Granted and Vested in the Year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the vesting date (from</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end of the prior fiscal year) of any awards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 in any prior fiscal year for which all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applicable vesting conditions were satisfied at the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 of or during the covered fiscal year</w:t>
            </w:r>
          </w:p>
        </w:tc>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Comparative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SEC rules, the Company is providing the following narrative disclosure regarding the relationships between information presented in the pay versus performance tables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Total Shareholder Return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and 2025, compensation actually paid (“CAP”) to our PEO decreased from $2,187 thousand in fiscal year 2024 to $1,351 thousands in fiscal year 2025. Average compensation actually paid to our Non-PEO NEOs decreased from $849 in fiscal year 2024 to $437 thousand in fiscal year 2025. Over the same period, the value of an investment of $100 in our Ordinary Shares on the last trading day of 2023 increased by $280 to $380 during fiscal 2024 and decreased by $57 to $323 during fiscal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to our PEO, the average of CAP to our Non-PEO NEOs, and our cumulative TSR over the three most recently completed fiscal years.</w:t>
      </w: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1296670</wp:posOffset>
            </wp:positionH>
            <wp:positionV relativeFrom="page">
              <wp:posOffset>500380</wp:posOffset>
            </wp:positionV>
            <wp:extent cx="4954905" cy="2297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95490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and 2025, CAP to our PEO decreased from $2,187 thousand in fiscal year 2024 to $1,351 thousands in fiscal year 2025. Average compensation actually paid to our Non-PEO NEOs decreased from $849 in fiscal year 2024 to $437 thousand in fiscal year 2025. Over the same period, our net loss increased by $1,898 thousand during fiscal year 2025 (from a net loss in fiscal year 2024 of $9,541 thousand to a net loss in fiscal year 2025 of $11,439 thousand).</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Israeli Companies Law and without derogating from the appointment requirements listed above, each of the nominees has certified to us that he meets all the requirements of the Israeli Companies Law for election as a director of a public company, possesses the necessary qualifications and has sufficient time in order to fulfill his duties as our director, taking into account our size and special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elect the director nominees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 Expires</w:t>
            </w:r>
          </w:p>
        </w:tc>
      </w:tr>
      <w:tr>
        <w:trPr>
          <w:trHeight w:val="42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Ellis</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2029 Annual Meeting of shareholders</w:t>
            </w:r>
          </w:p>
        </w:tc>
      </w:tr>
      <w:tr>
        <w:trPr>
          <w:trHeight w:val="432"/>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D. Rubin</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2029 Annual Meeting of shareholders</w:t>
            </w:r>
          </w:p>
        </w:tc>
      </w:tr>
      <w:tr>
        <w:trPr>
          <w:trHeight w:val="432"/>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Geno J. Germano</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2029 Annual Meeting of shareholders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instructed, the proxy holders will vote the proxies received by them for the director nominees listed above. In the event that any nominee is unable or declines to serve as a director at the time of the Annual Meeting, the proxies will be voted for any nominee who shall be designated by the present Board to fill the vacancy. It is not expected that any nominee will be unable or will decline to serve as a director.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 titled “Directors &amp; Executive Officers” of this proxy contains more information about the leadership skills and other experience that caused the Nominating and Corporate Governance Committee and the Board to determine that Mr. Ellis, Mr. Rubin and Mr. Germano should serve as Class III directors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Mr. Ellis, Mr. Rubin and Mr. Germano possess the experience, skills, and qualities to perform their duties as a directors and contribute to our success. Mr. Ellis, Mr. Rubin and Mr. Germano have been nominated because they possess the highest standards of personal integrity, interpersonal and communication skills, are highly accomplished in their respective fields, they understand the interests and issues that are important to our shareholders, and they are able to dedicate sufficient time to fulfilling their obligations as directors. Our directors complement each other with their respective experiences, skills, and qualities. Our directors make up a diverse group in terms of age, gender and professional experience, and they together comprise a cohesive body in terms of Board process and collaboration.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resolutions:</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Mr. Sean Ellis is hereby elected to serve as a Class III member of the Board until the 2029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Mr. Steven D. Rubin is hereby elected to serve as a Class III member of the Board until the 2029 Annual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Mr. Geno J. Germano is hereby elected to serve as a Class III member of the Board until the 2029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Election of the above-named director nominees requires the affirmative vote of a simple majority of our Ordinary Shares voted in person or by proxy, meaning that more votes must be cast “for” than “against” each director nominee in Proposal One. Each director nominee shall be voted separately. Abstentions and broker non-votes will have no effect on the outcome of Proposal 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election of each of the directors nominated for service under this proposal.</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PROPOSAL TWO — APPROVAL OF AMENDED COMPENSATION TERMS FOR THE COMPANY’S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annual general meeting of the shareholders held on October 4, 2021, our shareholders approved a compensation framework for the Company's non-executive directors, whether currently in office or appointed in the future, providing for, among other things, an annual grant of options to purchase Ordinary Shares pursuant to the Company's 2018 Plan on January 1 of each calendar year (the “2021 Resolution”). The 2026 annual options grant under the 2021 Resolution was approved by the Board and granted to the Company’s then-serving non-executive directors on January 1, 2026, in accordance with the existing terms. In addition, at the annual general meeting of the shareholders held on July 31, 2024, our shareholders approved a revised compensation structure for the Company's non-executive directors, pursuant to which each non-executive director receives a quarterly grant of fully vested Ordinary Shares in lieu of his or her quarterly cash compensation, with the number of Ordinary Shares determined based on the average daily closing share price of the Ordinary Shares during the applicable fiscal quarter. The terms of the quarterly share grant program approved in 2024 are not being amended pursuant to this Proposal Two and shall remain unchanged. To the extent that this Proposal Two is not approved by the shareholders at the Annual Meeting, the terms of the annual equity grant shall remain unchanged and shall continue to be made in accordance with the terms in effect prior to the Annual Meeting.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Proposal Two seeks to amend (a) the timing of the annual options grant under the 2021 Resolution and (b) the addition of the acceleration upon a Change in Control (as defined in the 2018 Plan) with respect to the annual options grants to non-executive directors. In order to align the grant date with the Company's annual general meeting cycle, to streamline the administration of director compensation, and to provide appropriate protections upon a Change in Control of the Company, on April 30, 2026 and May 7, 2026, the Compensation Committee and the Board, respectively, approved to amend the terms of the annual options grant under the 2021 Resolution, subject to the Company’s shareholders approval of this Proposal Two, as follows:</w:t>
      </w:r>
    </w:p>
    <w:p>
      <w:pPr>
        <w:spacing w:after="0" w:line="183" w:lineRule="exact"/>
        <w:rPr>
          <w:sz w:val="20"/>
          <w:szCs w:val="20"/>
          <w:color w:val="auto"/>
        </w:rPr>
      </w:pPr>
    </w:p>
    <w:p>
      <w:pPr>
        <w:jc w:val="both"/>
        <w:ind w:left="1000" w:hanging="641"/>
        <w:spacing w:after="0" w:line="25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Grant Timing</w:t>
      </w:r>
      <w:r>
        <w:rPr>
          <w:rFonts w:ascii="Times New Roman" w:cs="Times New Roman" w:eastAsia="Times New Roman" w:hAnsi="Times New Roman"/>
          <w:sz w:val="18"/>
          <w:szCs w:val="18"/>
          <w:color w:val="auto"/>
        </w:rPr>
        <w:t>: Effective as of January 1, 2027, the annual grant of options to purchase Ordinary Shares to each non-executive director shall be made on the date of each annual general meeting of the Company's shareholders (or such other date as may be determined by the Board), in lieu of the previously approved grant date of January 1 of each calendar year. Each such annual grant shall cover the twelve (12) month period commencing on January 1 of the calendar year in which the applicable annual general meeting is held, with the vesting commencement date being January 1 of such calendar year. For the avoidance of doubt, the vesting commencement date for each annual grant shall remain January 1 of the applicable calendar year, regardless of the date on which the grant is made.</w:t>
      </w:r>
    </w:p>
    <w:p>
      <w:pPr>
        <w:spacing w:after="0" w:line="187" w:lineRule="exact"/>
        <w:rPr>
          <w:rFonts w:ascii="Times New Roman" w:cs="Times New Roman" w:eastAsia="Times New Roman" w:hAnsi="Times New Roman"/>
          <w:sz w:val="18"/>
          <w:szCs w:val="18"/>
          <w:color w:val="auto"/>
        </w:rPr>
      </w:pPr>
    </w:p>
    <w:p>
      <w:pPr>
        <w:jc w:val="both"/>
        <w:ind w:left="1000" w:hanging="641"/>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upon Change in Control</w:t>
      </w:r>
      <w:r>
        <w:rPr>
          <w:rFonts w:ascii="Times New Roman" w:cs="Times New Roman" w:eastAsia="Times New Roman" w:hAnsi="Times New Roman"/>
          <w:sz w:val="18"/>
          <w:szCs w:val="18"/>
          <w:color w:val="auto"/>
        </w:rPr>
        <w:t xml:space="preserve"> : Effective as of the approval of this Proposal Two, any annual options grant made to any non-executive director following the Annual Meeting shall be subject to full acceleration of vesting upon the consummation of a “Change in Control” (as such term is defined in the 2018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of the annual options grant under the 2021 Resolution shall remain unchanged.</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2026 annual grant, since the grant was already approved on January 1, 2026 and made to the then-serving non-executive directors, the amendment to the grant date shall take effect commencing as of January 1, 2027. With respect to the 2026 annual options grant of Mr. Steven D. Rubin and Mr. Geno J. Germano, who were not serving on the Board on January 1, 2026 and therefore did not receive the 2026 annual grant, their pro rata annual equity grants for 2026 shall be made as described in Proposals Three and Four,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effective as of the approval of this Proposal Two, any non-executive director who joins the Board after the date of the applicable annual general meeting shall be entitled to receive a pro rata portion of the annual options grant for the remainder of the applicable year, calculated based on the number of days from the date of such director's appointment to December 31 of such calendar year as a fraction of 365 days. Such pro rata grant shall be made on, or promptly following, the date of the director's appointment to the Board, with the vesting commencement date being the date of such director's appointment. Any such pro rata grant shall also be subject to the full acceleration upon a Change in Control as described above.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Board believe that it is in the best interest of our shareholders and the Company to approve the amendments to the compensation terms of our non-executive directors, as described above. We are now seeking shareholder approval, as required under the Israeli Companies Law, by Special Majority approval, of the amended compensation terms, as described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"RESOLVED, that the amendments to the compensation terms of the Company's non-executive directors, as described in Proposal Two of the Company's Proxy Statement for the Company's 2026 Annual Meeting, be, and hereby are, ratified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 Two requires the affirmative vote of a simple majority of our Ordinary Shares voted in person or by proxy, meaning that more votes must be cast "for" than "against" for Proposal Two, and abstentions and broker non-votes have no effect on the outcome of Proposal Two.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PROPOSAL THREE — APPROVAL OF SHARE-BASED COMPENSATION FOR STEVEN D. RUBIN,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annual general meeting of the shareholders held on October 4, 2021, our shareholders approved a compensation framework for the Company’s non-executive directors, whether currently in office or appointed in the future, providing for: (i) an annual cash payment with respect to service on the Board and respective committees of the Board; and (ii) an annual grant of options to purchase Ordinary Shares pursuant to the Company’s 2018 Plan on January 1 of each calendar year. At the annual general meeting of the shareholders held on July 31, 2024, our shareholders approved an amendment to the foregoing framework, pursuant to which each non-executive director receives a quarterly grant of fully vested Ordinary Shares in lieu of his or her quarterly cash compensation, with the number of Ordinary Shares determined based on the average daily closing share price of the Ordinary Shares during the applicable fiscal quarter (collectively, the “Existing Director Compensation Framework”), as further proposed to be amended pursuant to Proposal Two of this Proxy Statement.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Mr. Rubin’s election as a Class III director of the Company at the Annual Meeting pursuant to Proposal One, Mr. Rubin shall be entitled to receive the cash and equity compensation due to him as a member of the Board and the applicable committees under the Existing Director Compensation Framework, in each case as may be modified from time to time and as approved by the Company’s shareholders.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incentivize Mr. Rubin to join as a new member of the Board and in line with the Company’s previous grants to non-executive directors, on April 30, 2026 and May 7, 2026, the Compensation Committee and the Board, respectively, approved, subject to the approval of this Proposal Three as well as the filing by the Company of a Registration Statement on Form S-8 registering the Ordinary Shares underlying the option grants, a one-time equity grant (in addition to the cash and equity compensation due to him under the Existing Director Compensation Framework) as well as a pro rata annual equity grant to Mr. Rubin for 2026 in order to align his equity compensation with that of the other non-executive directors given he was appointed to the Board following January 1. A description of the equity grants that are subject to this Proposal Three are as follows:</w:t>
      </w:r>
    </w:p>
    <w:p>
      <w:pPr>
        <w:spacing w:after="0" w:line="187" w:lineRule="exact"/>
        <w:rPr>
          <w:sz w:val="20"/>
          <w:szCs w:val="20"/>
          <w:color w:val="auto"/>
        </w:rPr>
      </w:pPr>
    </w:p>
    <w:p>
      <w:pPr>
        <w:jc w:val="both"/>
        <w:ind w:left="1000" w:hanging="641"/>
        <w:spacing w:after="0" w:line="254"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Grant</w:t>
      </w:r>
      <w:r>
        <w:rPr>
          <w:rFonts w:ascii="Times New Roman" w:cs="Times New Roman" w:eastAsia="Times New Roman" w:hAnsi="Times New Roman"/>
          <w:sz w:val="18"/>
          <w:szCs w:val="18"/>
          <w:color w:val="auto"/>
        </w:rPr>
        <w:t>. A one-time grant of options to purchase 33,368 Ordinary Shares under the 2018 Plan, subject to the requirements of applicable laws and regulations. The options will have an exercise price of 1.37 and will vest in twelve (12) substantially equal quarterly installments beginning on February 1, 2026, so long as Mr. Rubin has not undergone a Termination of Service (as defined in the 2018 Plan) prior to the applicable vesting date. Notwithstanding the foregoing, in the event of a Change in Control (as defined in the 2018 Plan) in which Mr. Rubin continues to provide services to the Company on the date of consummation of such Change in Control, 100% of any unvested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p>
      <w:pPr>
        <w:spacing w:after="0" w:line="191" w:lineRule="exact"/>
        <w:rPr>
          <w:rFonts w:ascii="Times New Roman" w:cs="Times New Roman" w:eastAsia="Times New Roman" w:hAnsi="Times New Roman"/>
          <w:sz w:val="18"/>
          <w:szCs w:val="18"/>
          <w:color w:val="auto"/>
        </w:rPr>
      </w:pPr>
    </w:p>
    <w:p>
      <w:pPr>
        <w:jc w:val="both"/>
        <w:ind w:left="1000" w:hanging="641"/>
        <w:spacing w:after="0" w:line="254"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Options</w:t>
      </w:r>
      <w:r>
        <w:rPr>
          <w:rFonts w:ascii="Times New Roman" w:cs="Times New Roman" w:eastAsia="Times New Roman" w:hAnsi="Times New Roman"/>
          <w:sz w:val="18"/>
          <w:szCs w:val="18"/>
          <w:color w:val="auto"/>
        </w:rPr>
        <w:t>. A grant of options to purchase 43,405 Ordinary Shares under the 2018 Plan, subject to the requirements of applicable laws and regulations. The options will have an exercise price of 1.37 and shall vest in four (4) substantially equal quarterly installments at the end of each calendar quarter in 2026 (such that all options shall be fully vested on December 31, 2026), so long as Mr. Rubin has not undergone a Termination of Service (as defined in the 2018 Plan) prior to the applicable vesting date; provided further, however, that in the event of a Change in Control (as defined in the 2018 Plan) in which Mr. Rubin continues to provide services to the Company on the date of consummation of such Change in Control, 100% of any unvested 2026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Board believe that it is in the best interest of our shareholders and the Company to approve the share-based compensation to Mr. Rubin, including the one-time grant and the annual equity grant, as described above. We are now seeking shareholder approval, as required under the Israeli Companies Law, by a Special Majority approval, of the share-based compensation to Mr. Rubin, as described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“RESOLVED, that the share-based compensation to Mr. Steven D. Rubin, including the one-time grant and the 2026 option grant, as described in Proposal Three of the Company’s Proxy Statement for the Company’s 2026 Annual Meeting, be, and hereby is,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 Three requires the affirmative vote of a simple majority of our Ordinary Shares voted in person or by proxy, meaning that more votes must be cast “for” than “against” for Proposal Three, and abstentions and broker non-votes have no effect on the outcome of Proposal Three.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ectPr>
          <w:pgSz w:w="11900" w:h="16838" w:orient="portrait"/>
          <w:cols w:equalWidth="0" w:num="1">
            <w:col w:w="11240"/>
          </w:cols>
          <w:pgMar w:left="320" w:top="765" w:right="339" w:bottom="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445" w:right="339" w:bottom="1440" w:gutter="0" w:footer="0" w:header="0"/>
        </w:sectPr>
      </w:pPr>
    </w:p>
    <w:bookmarkStart w:id="44" w:name="page45"/>
    <w:bookmarkEnd w:id="4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PROPOSAL FOUR — APPROVAL OF SHARE-BASED COMPENSATION FOR GENO J. GERMANO, THE CHAIRMAN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general meeting of the shareholders held on October 4, 2021, our shareholders approved a compensation framework for the Company’s non-executive directors, whether currently in office or appointed in the future, providing for: (i) an annual cash payment with respect to service on the Board and respective committees of the Board; and (ii) an annual grant of options to purchase Ordinary Shares pursuant to the Company’s 2018 Plan on January 1 of each calendar year. At the annual general meeting of the shareholders held on July 31, 2024, our shareholders approved the Existing Director Compensation Framework, as further proposed to be amended pursuant to Proposal Two of this Proxy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Mr. Germano’s election as a Class III director of the Company at the Annual Meeting pursuant to Proposal One, Mr. Germano shall be entitled to receive the cash and equity compensation due to him as a member of the Board and the applicable committees under the Existing Director Compensation Framework, in each case as may be modified from time to time and as approved by the Company’s shareholders.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incentivize Mr. Germano to join as the new Chairman of the Board and in recognition of the additional responsibilities associated with his role as Chairman, on April 30, 2026 and May 7, 2026, the Compensation Committee and the Board, respectively, approved, subject to the approval of this Proposal Four as well as the filing by the Company of a Registration Statement on Form S-8 registering the Ordinary Shares underlying the option grants, a one-time equity grant (in addition to the cash and equity compensation due to him under the Existing Director Compensation Framework) as well as a pro rata annual equity grant to Mr. Germano for 2026 in order to align his equity compensation with that of the other non-executive directors given he was appointed to the Board following January 1. A description of the equity grants that are subject to this Proposal Four are as follows:</w:t>
      </w:r>
    </w:p>
    <w:p>
      <w:pPr>
        <w:spacing w:after="0" w:line="187" w:lineRule="exact"/>
        <w:rPr>
          <w:sz w:val="20"/>
          <w:szCs w:val="20"/>
          <w:color w:val="auto"/>
        </w:rPr>
      </w:pPr>
    </w:p>
    <w:p>
      <w:pPr>
        <w:jc w:val="both"/>
        <w:ind w:left="1000" w:hanging="641"/>
        <w:spacing w:after="0" w:line="254"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Grant</w:t>
      </w:r>
      <w:r>
        <w:rPr>
          <w:rFonts w:ascii="Times New Roman" w:cs="Times New Roman" w:eastAsia="Times New Roman" w:hAnsi="Times New Roman"/>
          <w:sz w:val="18"/>
          <w:szCs w:val="18"/>
          <w:color w:val="auto"/>
        </w:rPr>
        <w:t>. A one-time grant of options to purchase 50,000 Ordinary Shares under the 2018 Plan, subject to the requirements of applicable laws and regulations. The options will have an exercise price of 1.37 and will in twelve (12) substantially equal quarterly installments beginning on February 4, 2026, so long as Mr. Germano has not undergone a Termination of Service (as defined in the 2018 Plan) prior to the applicable vesting date. Notwithstanding the foregoing, in the event of a Change in Control (as defined in the 2018 Plan) in which Mr. Germano continues to provide services to the Company on the date of consummation of such Change in Control, 100% of any unvested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p>
      <w:pPr>
        <w:spacing w:after="0" w:line="191" w:lineRule="exact"/>
        <w:rPr>
          <w:rFonts w:ascii="Times New Roman" w:cs="Times New Roman" w:eastAsia="Times New Roman" w:hAnsi="Times New Roman"/>
          <w:sz w:val="18"/>
          <w:szCs w:val="18"/>
          <w:color w:val="auto"/>
        </w:rPr>
      </w:pPr>
    </w:p>
    <w:p>
      <w:pPr>
        <w:jc w:val="both"/>
        <w:ind w:left="1000" w:hanging="641"/>
        <w:spacing w:after="0" w:line="254"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Options</w:t>
      </w:r>
      <w:r>
        <w:rPr>
          <w:rFonts w:ascii="Times New Roman" w:cs="Times New Roman" w:eastAsia="Times New Roman" w:hAnsi="Times New Roman"/>
          <w:sz w:val="18"/>
          <w:szCs w:val="18"/>
          <w:color w:val="auto"/>
        </w:rPr>
        <w:t>. A grant of options to purchase 43,014 Ordinary Shares under the 2018 Plan, subject to the requirements of applicable laws and regulations. The options will have an exercise price of 1.37 and shall vest in four (4) substantially equal quarterly installments at the end of each calendar quarter in 2026 (such that all options shall be fully vested on December 31, 2026), so long as Mr. Germano has not undergone a Termination of Service (as defined in the 2018 Plan) prior to the applicable vesting date, provided further, however, that in the event of a Change in Control (as defined in the 2018 Plan) in which Mr. Germano continues to provide services to the Company on the date of consummation of such Change in Control, 100% of any unvested 2026 options at the time of the consummation of such Change in Control shall become fully vested and exercisable. The expiration date of the options shall be ten (10) years from the date of grant, or such earlier date in accordance with the 2018 Plan or the Company’s option agreement.</w:t>
      </w: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and Board believe that it is in the best interest of our shareholders and the Company to approve the share-based compensation to Mr. Germano, including the one-time Chairman grant and the annual equity grant, as described above. We are now seeking shareholder approval, as required under the Israeli Companies Law, by a Special Majority approval, of the share-based compensation to Mr. Germano, as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“RESOLVED, that the share-based compensation to Mr. Geno J. Germano, including the one-time grant and the 2026 option grant, as described in Proposal Four of the Company’s Proxy Statement for the Company’s 2026 Annual Meeting, be, and hereby is,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 Four requires the affirmative vote of a simple majority of our Ordinary Shares voted in person or by proxy, meaning that more votes must be cast “for” than “against” for Proposal Four, and abstentions and broker non-votes have no effect on the outcome of Proposal Four.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PROPOSAL FIVE — APPROVAL OF A ONE-TIME GRANT OF COMPENSATION TO SEAN ELLIS,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Sean Ellis has served as a member of our Board since June 2019.</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recognition of Mr. Ellis's significant contributions to the Company across a range of initiatives, including his support in facilitating a number of key strategic introductions and relationships, on April 30, 2026 and May 7, 2026, the Compensation Committee and the Board, respectively, approved a one-time grant of compensation to Mr. Ellis (in addition to the cash and equity compensation due to him under the Existing Director Compensation Framework), subject to (a) Mr. Ellis's re-election as a director of the Company at the Annual Meeting pursuant to Proposal One and (b) the approval of this Proposal Five, as follows:</w:t>
      </w:r>
    </w:p>
    <w:p>
      <w:pPr>
        <w:spacing w:after="0" w:line="183" w:lineRule="exact"/>
        <w:rPr>
          <w:sz w:val="20"/>
          <w:szCs w:val="20"/>
          <w:color w:val="auto"/>
        </w:rPr>
      </w:pPr>
    </w:p>
    <w:p>
      <w:pPr>
        <w:jc w:val="both"/>
        <w:ind w:left="1000" w:hanging="641"/>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grant of fully vested options to purchase 40,000 Ordinary Shares under the 2018 Plan, subject to the requirements of applicable laws and regulations. The options will have an exercise price of 1.37. The expiration date of the options shall be ten (10) years from the date of grant, or such earlier date in accordance with the 2018 Plan or the Company's option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and Board believe that it is in the best interest of our shareholders and the Company to approve the one-time grant of compensation to Mr. Ellis, as described above. We are now seeking shareholder approval, as required under the Israeli Companies Law, by a Special Majority approval, of the one-time grant of compensation to Mr. Ellis, as described 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of options pursuant to this Proposal Five are also subject to the filing by the Company of a Registration Statement on Form S-8 registering the Ordinary Shares underlying such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subject to Mr. Sean Ellis's re-election as a director of the Company at the Annual Meeting pursuant to Proposal One, that the one-time grant of compensation to Mr. Sean Ellis, as described in Proposal Five of the Company's Proxy Statement for the Company's 2026 Annual Meeting, be, and hereby is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Proposal Five requires the affirmative vote of a simple majority of our Ordinary Shares voted in person or by proxy, meaning that more votes must be cast "for" than "against" for Proposal Five, and abstentions and broker non-votes have no effect on the outcome of Proposal Five. In addition to the simple majority vote described above, the Israeli Companies Law requires further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that Company of such personal interest, you should submit such information in advance of voting to Dana Yaacov-Garbeli, our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SIX — APPROVAL OF A ONE-TIME GRANT OF COMPENSATION TO MIRANDA TOLEDANO, OUR CHIEF EXECUTIVE OFFICER AND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2026 and May 7, 2026, the Compensation Committee and the Board, respectively, voted to approve a one-time grant of compensation for Ms. Toledano in accordance with the terms below, which were deemed by the Board to be within the range set in the Company’s compensation policy and in line with comparable standards as detailed in the 2025 comparative executive compensation benchmark analyses, which included comparative data of the Company’s executive compensation relative to the peer-group companies in Israel and in the United States. In recognition of Ms. Toledano’s significant contributions and achievements during 2025, and in order to further incentivize and retain Ms. Toledano as the Company’s Chief Executive Officer moving forward, the Compensation Committee and Board have determined that the compensation grants described below are appropriate and materially consistent with our compensation policy.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significant portion of the CEO’s total compensation is “at-risk” in the form of equity compensation and is directly tied to the Company’s share performance</w:t>
      </w:r>
      <w:r>
        <w:rPr>
          <w:rFonts w:ascii="Times New Roman" w:cs="Times New Roman" w:eastAsia="Times New Roman" w:hAnsi="Times New Roman"/>
          <w:sz w:val="18"/>
          <w:szCs w:val="18"/>
          <w:color w:val="auto"/>
        </w:rPr>
        <w:t>. As a result, this component of compensation aligns the CEO’s interests with those of shareholders by linking potential rewards to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price appreciation.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any transaction between us and a member of our Board,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One-time Grant of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30, 2026 and May 7, 2026, the Compensation Committee and the Board, respectively, approved for Ms. Toledano (i) an RSU grant in place of a cash bonus, (ii) an option grant and (iii) a one-time RSU grant in place of a portion of Ms. Toledano’s salary, in accordance with the terms below, which, in each case, were deemed by the Board to be within the range set in the Company’s compensation policy and in line with comparable standards as detailed in the 2025 comparative executive compensation benchmark analyses, which included comparative data of the Company’s executive compensation relative to the peer-group companies in Israel and in the United States.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and Board believe that it is in the best interest of the Company and our shareholders to approve the one-time grant of compensation to Ms. Toledano, our Chief Executive Officer, in recognition of her achievements and to support the Company’s retention and incentivization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compensation to Ms. Toledano, effective as of the approval of our shareholders at this Annual Meeting, would be as follows:</w:t>
      </w:r>
    </w:p>
    <w:p>
      <w:pPr>
        <w:spacing w:after="0" w:line="225" w:lineRule="exact"/>
        <w:rPr>
          <w:sz w:val="20"/>
          <w:szCs w:val="20"/>
          <w:color w:val="auto"/>
        </w:rPr>
      </w:pPr>
    </w:p>
    <w:p>
      <w:pPr>
        <w:jc w:val="both"/>
        <w:ind w:left="1000" w:hanging="641"/>
        <w:spacing w:after="0" w:line="25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Option Grant</w:t>
      </w:r>
      <w:r>
        <w:rPr>
          <w:rFonts w:ascii="Times New Roman" w:cs="Times New Roman" w:eastAsia="Times New Roman" w:hAnsi="Times New Roman"/>
          <w:sz w:val="18"/>
          <w:szCs w:val="18"/>
          <w:color w:val="auto"/>
        </w:rPr>
        <w:t>. Ms. Toledano will be entitled to receive an additional one-time grant of options to purchase an additional 500,000 Ordinary Shares (the “2026 Options”), at an exercise price of $1.37 per Ordinary Share, under the 2018 Plan, subject to the requirements of applicable laws and regulations. The 2026 Options shall vest as follows: provided that Ms. Toledano has not undergone a Termination of Service (as defined in the 2018 Plan) prior to the applicable vesting date, the 2026 Options shall vest over a three (3) year period, with a third of the 2026 Options vesting at the end of a 12-month period following May 7, 2026 and the remaining two-thirds of the 2026 Options vesting in eight substantially equal portions over the remaining two (2) year period thereafter, on a quarterly basis, rounded down to the nearest whole share, provided, that with respect to the last such quarterly installment, the number of 2026 Options that vest in the installment shall be such that Ms. Toledano will be fully vested in the total number of 2026 Options listed above as of such applicable quarterly anniversary (i.e., such that one hundred percent (100%) of the 2026 Options shall become fully vested on May 7, 2029); provided further, however, that in the event of a Change in Control (as defined in the 2018 Plan) in which Ms. Toledano continues to provide services to the Company on the date of consummation of such Change in Control, 100% of any unvested 2026 Options at the time of the consummation of such Change in Control shall become fully vested and exercisable. The expiration date of the 2026 Options shall be May 6, 2036, or such earlier date in accordance with the 2018 Plan or the Company’s option agreement. The grant of the 2026 Options are also subject to the filing by the Company of a Registration Statement on Form S-8 registering the Ordinary Shares underlying the 2026 Options.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both"/>
        <w:ind w:left="1000" w:hanging="641"/>
        <w:spacing w:after="0" w:line="25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RSU Grant in Lieu of Cash Bonus</w:t>
      </w:r>
      <w:r>
        <w:rPr>
          <w:rFonts w:ascii="Times New Roman" w:cs="Times New Roman" w:eastAsia="Times New Roman" w:hAnsi="Times New Roman"/>
          <w:sz w:val="18"/>
          <w:szCs w:val="18"/>
          <w:color w:val="auto"/>
        </w:rPr>
        <w:t>. Ms. Toledano will be entitled to receive a one-time grant of 347,567 RSUs in lieu of a cash bonus (the “2026 RSUs”) under the 2018 Plan, subject to the requirements of applicable laws and regulations. The 2026 RSUs shall vest as follows: provided that Ms. Toledano has not undergone a Termination of Service (as defined in the 2018 Plan) prior to the applicable vesting date, the 2026 RSUs shall vest on a quarterly basis in four substantially equal portions over a one (1) year period beginning on May 1, 2026, rounded down to the nearest whole share, provided, that with respect to the last such quarterly installment, the number of 2026 RSUs that vest in the installment shall be such that Ms. Toledano will be fully vested in the total number of 2026 RSUs listed above as of such applicable quarterly anniversary (i.e., such that one hundred percent (100%) of the 2026 RSUs shall become fully vested on May 1, 2027); provided further, however, that in the event of the Change in Control in which Ms. Toledano continues to provide services to the Company on the date of consummation of such Change in Control, 100% of any unvested 2026 RSUs at the time of the consummation of such Change in Control shall become fully vested.</w:t>
      </w:r>
    </w:p>
    <w:p>
      <w:pPr>
        <w:spacing w:after="0" w:line="194" w:lineRule="exact"/>
        <w:rPr>
          <w:rFonts w:ascii="Times New Roman" w:cs="Times New Roman" w:eastAsia="Times New Roman" w:hAnsi="Times New Roman"/>
          <w:sz w:val="18"/>
          <w:szCs w:val="18"/>
          <w:color w:val="auto"/>
        </w:rPr>
      </w:pPr>
    </w:p>
    <w:p>
      <w:pPr>
        <w:jc w:val="both"/>
        <w:ind w:left="1000" w:hanging="641"/>
        <w:spacing w:after="0" w:line="25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Grant in Lieu of Portion of Salary</w:t>
      </w:r>
      <w:r>
        <w:rPr>
          <w:rFonts w:ascii="Times New Roman" w:cs="Times New Roman" w:eastAsia="Times New Roman" w:hAnsi="Times New Roman"/>
          <w:sz w:val="18"/>
          <w:szCs w:val="18"/>
          <w:color w:val="auto"/>
        </w:rPr>
        <w:t>. With respect to the 12-month period beginning May 1, 2026, in order to preserve cash, Ms. Toledano will be entitled to receive a one-time grant of 72,993 RSUs under the 2018 Plan in lieu of $100,000 of her salary otherwise payable in cash during such period (the “2026 Salary RSUs”), subject to the requirements of applicable laws and regulations. The 2026 Salary RSUs shall vest as follows: provided that Ms. Toledano has not undergone a Termination of Service (as defined in the 2018 Plan) prior to the applicable vesting date, the 2026 Salary RSUs shall vest on a quarterly basis in four substantially equal portions over the 12 month period beginning on May 1, 2026, rounded down to the nearest whole share, provided, that with respect to the last such quarterly installment, the number of 2026 Salary RSUs that vest in the installment shall be such that Ms. Toledano will be fully vested in the total number of 2026 Salary RSUs listed above as of such applicable quarterly anniversary (i.e., such that one hundred percent (100%) of the 2026 Salary RSUs shall become fully vested on May 1, 2027); provided further, however, that in the event of the Change in Control in which Ms. Toledano continues to provide services to the Company on the date of consummation of such Change in Control, 100% of any unvested 2026 Salary RSUs at the time of the consummation of such Change in Control shall become fully vested.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“RESOLVED, that the revised compensation terms and one-time grant of compensation to Miranda Toledano, our Chief Executive Officer, as described in Proposal Six of the Company’s Proxy Statement for the Company’s 2026 Annual Meeting, be, and are hereby, ratified and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Proposal Six requires the affirmative vote of a simple majority of our Ordinary Shares voted in person or by proxy, meaning that more votes must be cast “for” than “against” for Proposal Six, and abstentions and broker non-votes have no effect on the outcome of Proposal Six.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PROPOSAL SEVEN — APPROVAL OF AN AMENDMENT TO THE COMPANY'S 2018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become available for issuance under the 2018 Plan (referred to hereinafter as the “Evergreen Provision”). At our shareholders meeting held on September 7, 2022, our shareholders approved an amendment to the 2018 Plan to increase the number of Ordinary Shares issuable under the 2018 Plan by a one-time additional amount of 576,188 Ordinary Shares. At our shareholders meeting held on July 31, 2024, our shareholders approved a further amendment to the 2018 Plan to increase the number of Ordinary Shares issuable under the 2018 Plan by a one-time additional amount of 1,788,515 Ordinary Shares and to delete Section 10 of the 2018 Plan to provide additional flexibility with respect to vesting terms.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 total of 2,052,375 Ordinary Shares, representing 4.4% of the total outstanding shares as of that date,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 As of May 7, 2026, a total of 895,705 Ordinary Shares, representing 1.8% of the total outstanding shares as of that date, remained available for issuance under the 2018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use equity-based compensation as a key tool for attracting, retaining and incentivizing its employees, officers, directors and consultants. In light of the Company’s ongoing clinical development activities, recent strategic initiatives and the equity grants made in connection with the compensation proposals described elsewhere in this proxy statement, the Board has determined that the number of Ordinary Shares currently available for issuance under the 2018 Plan is insufficient to meet the Company’s anticipated needs.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2026 and May 7, 2026, the Compensation Committee and the Board, respectively, approved the increase in the number of Ordinary Shares issuable under the 2018 Plan by a one-time additional amount of 2,500,000 Ordinary Shares (the “Pool Increase”) pursuant to an amendment to the 2018 Plan, subject to shareholder approval (such amendment being referred to hereinafter as the “2018 Plan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the 2018 Plan Amendment is attached to this proxy statement as Appendix 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number of Ordinary Shares issuable under the 2018 Plan increases annually pursuant to the Evergreen Provision, the Company has awarded more Ordinary Shares from the 2018 Plan pool than it would normally by this time of the year due to equity awards granted to officers and directors, predominantly because of the Board’s determination to conserve cash, in part though a reduction in cash compensation and an increase in equity compensation, which we believe more directly aligns our officers’ and directors’ interests with those of our shareholders. Given the circumstances, the Board believes that the 2018 Plan Amendment is necessary to enable the Company to continue to attract and retain qualified directors, officers, employees and consultants.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Board believes that the interests of the Company and its shareholders will be advanced if we can continue to offer our employees, directors, officers and consultants the opportunity to acquire or increase a direct ownership interest in the operations and future success of the Company. By effecting the Pool Increase, the 2018 Plan Amendment would provide the Company increased flexibility to offer such employees, directors, officers and consultants the opportunity to acquire or increase a direct ownership interest in the Company, including through the quarterly grants of fully vested Ordinary Shares as described in the compensation policy, which in turn helps attract qualified employees, directors, officers and consultants.</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Determination of Number of Shares for the Pool Increase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reviewed the number of Ordinary Shares remaining available for issuance under the 2018 Plan and has determined that it is appropriate to increase the number of Ordinary Shares authorized for issuance under the 2018 Plan as proposed by this Proposal Seven. In determining the Pool Increase for which shareholder approval is being sought, the Compensation Committee and the Board considered, among other factors, both the historical number of equity awards granted by the Company and anticipated future grants over the next year. Since approval of the 2018 Plan, the Company has been able to incentivize its workforce and attract qualified employees, directors, officers and consultants. Given the number of Ordinary Shares that currently remain available for issuance under the 2018 Plan, the Company’s ability to use equity-based compensation as a significant component of its overall compensation would be quite limited for the remainder of 2026 if shareholders do not approve the 2018 Plan Amendment, which would make the Pool Increase effective.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equity compensation should be a primary component of our executive compensation program because it aligns the interests of our executive officers with the long-term performance of the Company. In particular, share options awarded under the 2018 Plan are a critical element of our long-term incentive strategy.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believes that the Pool Increase is necessary to ensure that a sufficient reserve of Ordinary Shares is available for potential issuances to make competitive grants through the remainder of 2026. The additional 2,500,000 Ordinary Shares that would be made available for grant if the shareholders approve the 2018 Plan Amendment, together with the remaining shares under the 2018 Plan, represent the shares the Company anticipates needing for the remainder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2018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summary of the material provisions of the 2018 Plan is included in this proxy statement under the section “Executive Compensation—Employee Equity Incentive Plans—2018 Equity Incentive Plan”, and a summary of the effect of the 2018 Plan Amendment is described above in this Proposal Seven. Such summaries do not purport to be complete descriptions of all the provisions of the 2018 Plan and the 2018 Plan Amendment, and they are qualified in their entirety by reference to the complete text of the 2018 Plan, which we filed as Exhibit 10.8 to our 2025 Annual Report, and the 2018 Plan Amendment, the form of which is set forth in Appendix A to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“RESOLVED, that the 2018 Plan Amendment, as described in this Proposal Seven and attached as Appendix A of the Company’s Proxy Statement for the Company’s 2026 Annual Meeting, be, and it hereby is,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requires the affirmative vote of the holders of our Ordinary Shares voted in person or by proxy, meaning that more votes must be cast “for” than “against” for Proposal Seven. Abstentions and broker non-votes will have no effect on outcome of Proposal Seven.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the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EIGHT — APPROVAL OF AMENDMENT TO THE COMPANY'S AMENDED AND RESTATED ARTICLES OF ASSOCIATION TO INCREASE THE COMPANY'S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Israeli Companies Law and the Company's Articles, an increase in the Company's authorized share capital and any related amendment to the Articles requires the approval of the Company's shareholders.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share capital currently consists of NIS 10,770 divided into 140,010,000 Ordinary Shares, par value NIS 0.0000769 per share. As of May 19, 2026, (i) 49,290,234 Ordinary Shares were issued and outstanding, (ii) an additional 38,995,377 Ordinary Shares were reserved for issuance upon the exercise, conversion or settlement of outstanding options, warrants, restricted share units and other convertible or exercisable securities, and (iii) 3,395,705 shares were reserved for issuance under pursuant to the 2018 Plan (not including the Pool Increase described in Proposal Seven.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the Company has only approximately 51.9 million Ordinary Shares that remain unreserved and available for future issuance.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and management believe that the limited number of currently authorized but unissued and unreserved Ordinary Shares may restrict the Company’s ability to respond to its business needs and opportunities. Specifically, the Company may finance its ongoing clinical development programs, strategic initiatives and general working capital requirements through a combination of existing cash on hand and the issuance of equity and equity-linked securities, including potential issuances under the Company's at-the-market offering program, and through other capital-raising transactions.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provide the Company with the flexibility to support its anticipated capital and business needs and to be able to act promptly on financing and other strategic opportunities as they arise, on May 7, 2026, the Board approved, subject to shareholder approval, an amendment to the Articles to increase the Company's authorized share capital from NIS 10,770 divided into 140,010,000 Ordinary Shares to NIS 26,915 divided into 350,000,000 Ordinary Shares (the “Articles Amendment”). Other than the increase in the number of authorized Ordinary Shares, no other terms of the Articles are being amended pursuant to the Articles Amendment in this Proposal Eight.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believes that the Articles Amendment is in the best interests of the Company and its shareholders, as it will provide the Company with the flexibility to issue additional Ordinary Shares in connection with future financing transactions, strategic transactions, equity-based compensation and other corporate purposes, without the delay and expense of seeking further shareholder approval at the time of any such issuance, subject to applicable law and the rules of Nasdaq.</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the Company currently has no plans for the use of the additional authorized Ordinary Shares that would become available upon shareholder approval of the Articles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Effect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form of the Articles Amendment is attached to this Proxy Statement as Appendix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approved by our shareholders at the Annual Meeting, the Articles Amendment will become effective immediately following the Annual Meeting.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additional Ordinary Shares to be authorized by the Articles Amendment would have rights identical to the currently outstanding Ordinary Shares. A description of our Ordinary Shares is contained in Exhibit 4.1 to our 2025 Annual Report. Approval of the Articles Amendment would not affect the rights of the holders of currently outstanding Ordinary Shares. Effects incidental to potential dilution could occur, however, if we were to issue additional Ordinary Shares, and potential downward pressure on the market price of our Ordinary Shares could occur if we were to elect to issue and sell Ordinary Shares into the public market or otherwise.</w:t>
      </w: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If the Articles Amendment is approved, the increased number of authorized Ordinary Shares will be available for issuance, from time to time, for such purposes and consideration, and on such terms, as the Board may approve, and no further vote of the shareholders of the Company will be required, except in certain instances in accordance with the requirements of applicable law and Nasdaq.</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existence of additional authorized shares could have the effect of rendering more difficult or discouraging hostile takeover attempts. The Board is not aware of any existing or planned effort on the part of any party to accumulate material amounts of voting stock, or to acquire or control the Company by means of a merger, tender offer, solicitation of proxies in opposition to management or otherwise, or to change the Company’s management, nor is the Board aware of any person having made any offer to acquire the voting stock or assets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amendments to the Company's Amended and Restated Articles of Association, in the form attached as Appendix B to the Company's Proxy Statement for the Company's 2026 Annual Meeting, authorizing an increase in the Company's authorized share capital from 140,010,000 Ordinary Shares to 350,000,000 Ordinary Shares, be, and hereby are,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 Eight requires the affirmative vote of a simple majority of our Ordinary Shares voted in person or by proxy, meaning that more votes must be cast “for” than “against” for Proposal Eight. Abstentions and broker non-votes will have no effect on the outcome of Proposal Eight.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our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PROPOSAL NINE — ADVISORY RESOLUTION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Section 14A of the Exchange Act, the Board requests your advisory vote to approve the compensation of our Named Executive Officers as described in the section entitled “Executive Compensation” included in this proxy statement. This proposal, commonly referred to as the “say-on-pay” vote, gives our shareholders the opportunity to express their views on the compensation of our Named Executive Officers. Your vote is solely advisory and, therefore, will not be binding on the Company; however, the Board will review the voting results and take them into consideration when making future executive compensation decisions.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encourages shareholders to read the section entitled “Executive Compensation” included in this proxy statement, including the tables included therein, to review the correlation between compensation and performance.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remains committed to sound corporate governance practices and shares the interest of shareholders in maintaining effective executive compensation. The Board believes that our executive compensation, which is focused on the Company’s long-term value, has a proven record of effectively driving the Company’s performance as a result of the continued leadership of these Named Executive Officers and believes that it will assist us in retaining our senior leadership team. Accordingly, we ask our shareholders to approve the compensation of our Named Executive Officers, as disclosed pursuant to Item 402 of Regulation S-K of the Exchange Act in the section entitled “Executive Compensation” of this proxy statement, including the compensation tables and the related narrative disclosure, by casting a non-binding advisory vote “FOR” the following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our Named Executive Officers, as disclosed pursuant to Item 402 of Regulation S-K, including the compensation tables and narrative discussion, be, and it hereby is,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Proposal Nine requires the affirmative vote of a simple majority of our Ordinary Shares voted in person or by proxy, meaning that more votes must be cast “for” than “against” for Proposal Nine, and abstentions and broker non-votes have no effect on the outcome of Proposal Nine. As an advisory vote, the result will not be binding on the Board or the Company. The say-on-pay vote will, however, provide us with important feedback from our shareholders about our executive compensation philosophy, objectives and program. Our Board and Compensation Committee value the opinions of our shareholders and expect to take into account the outcome of the vote when considering future executive compensation decisions and when evaluating our executive compensation program. Following this Annual Meeting, the next advisory vote on named executive officer compensation is expected to occur at the 2026 annual meeting of shareholders, unless the Board modifies its policy on the frequency of holding such advisory 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the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PROPOSAL TEN — APPOINTMENT AND COMPENSATION OF OUR 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Kesselman &amp; Kesselman (a member firm of PricewaterhouseCoopers International Limited, or PwC) as our independent registered public accountants for the fiscal year commencing January 1, 2026, and until the next annual meeting of shareholders and approved its compensation, subject to our shareholders’ approval of the Board’s and Audit Committee’s authorization to set their compensation. Kesselman &amp; Kesselman has served as our principal independent registered public accounting firm for each of the three years ended December 31, 2023, 2024 and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selecting Kesselman &amp; Kesselman as the Company’s independent registered public accounting firm for 2026, the Audit Committee considered several factors, including:</w:t>
      </w:r>
    </w:p>
    <w:p>
      <w:pPr>
        <w:spacing w:after="0" w:line="162" w:lineRule="exact"/>
        <w:rPr>
          <w:sz w:val="20"/>
          <w:szCs w:val="20"/>
          <w:color w:val="auto"/>
        </w:rPr>
      </w:pPr>
    </w:p>
    <w:p>
      <w:pPr>
        <w:ind w:left="680" w:hanging="321"/>
        <w:spacing w:after="0"/>
        <w:tabs>
          <w:tab w:leader="none" w:pos="68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professional qualifications of Kesselman &amp; Kesselman, the lead audit partner, and other key engagement personnel.</w:t>
      </w:r>
    </w:p>
    <w:p>
      <w:pPr>
        <w:spacing w:after="0" w:line="224" w:lineRule="exact"/>
        <w:rPr>
          <w:rFonts w:ascii="Arial" w:cs="Arial" w:eastAsia="Arial" w:hAnsi="Arial"/>
          <w:sz w:val="18"/>
          <w:szCs w:val="18"/>
          <w:b w:val="1"/>
          <w:bCs w:val="1"/>
          <w:color w:val="auto"/>
        </w:rPr>
      </w:pPr>
    </w:p>
    <w:p>
      <w:pPr>
        <w:ind w:left="680" w:hanging="321"/>
        <w:spacing w:after="0"/>
        <w:tabs>
          <w:tab w:leader="none" w:pos="68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Kesselman &amp; Kesselman’s independence and its processes for maintaining its independence.</w:t>
      </w:r>
    </w:p>
    <w:p>
      <w:pPr>
        <w:spacing w:after="0" w:line="224" w:lineRule="exact"/>
        <w:rPr>
          <w:rFonts w:ascii="Arial" w:cs="Arial" w:eastAsia="Arial" w:hAnsi="Arial"/>
          <w:sz w:val="18"/>
          <w:szCs w:val="18"/>
          <w:b w:val="1"/>
          <w:bCs w:val="1"/>
          <w:color w:val="auto"/>
        </w:rPr>
      </w:pPr>
    </w:p>
    <w:p>
      <w:pPr>
        <w:ind w:left="680" w:hanging="321"/>
        <w:spacing w:after="0" w:line="281" w:lineRule="auto"/>
        <w:tabs>
          <w:tab w:leader="none" w:pos="68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Kesselman &amp; Kesselman’s depth of understanding of the Company’s business, accounting policies and practices, and internal control over financial reporting.</w:t>
      </w:r>
    </w:p>
    <w:p>
      <w:pPr>
        <w:spacing w:after="0" w:line="162" w:lineRule="exact"/>
        <w:rPr>
          <w:rFonts w:ascii="Arial" w:cs="Arial" w:eastAsia="Arial" w:hAnsi="Arial"/>
          <w:sz w:val="18"/>
          <w:szCs w:val="18"/>
          <w:b w:val="1"/>
          <w:bCs w:val="1"/>
          <w:color w:val="auto"/>
        </w:rPr>
      </w:pPr>
    </w:p>
    <w:p>
      <w:pPr>
        <w:ind w:left="680" w:hanging="321"/>
        <w:spacing w:after="0"/>
        <w:tabs>
          <w:tab w:leader="none" w:pos="68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appropriateness of Kesselman &amp; Kesselman’s fees for audit and non-audit services.</w:t>
      </w:r>
    </w:p>
    <w:p>
      <w:pPr>
        <w:spacing w:after="0" w:line="224" w:lineRule="exact"/>
        <w:rPr>
          <w:rFonts w:ascii="Arial" w:cs="Arial" w:eastAsia="Arial" w:hAnsi="Arial"/>
          <w:sz w:val="18"/>
          <w:szCs w:val="18"/>
          <w:b w:val="1"/>
          <w:bCs w:val="1"/>
          <w:color w:val="auto"/>
        </w:rPr>
      </w:pPr>
    </w:p>
    <w:p>
      <w:pPr>
        <w:ind w:left="680" w:hanging="321"/>
        <w:spacing w:after="0" w:line="281" w:lineRule="auto"/>
        <w:tabs>
          <w:tab w:leader="none" w:pos="680" w:val="left"/>
        </w:tabs>
        <w:numPr>
          <w:ilvl w:val="0"/>
          <w:numId w:val="6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results of management’s and the Audit Committee’s annual evaluations of the qualifications, performance and independence of Kesselman &amp; Kesselman.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 representative of Kesselman &amp; Kesselman to attend the Annual Meeting. The representative will have an opportunity to make a statement if he or she desires and also will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are being asked to approve the selection of Kesselman &amp; Kesselman, a member firm of PricewaterhouseCoopers International Limited as our independent registered public accountants for the fiscal year ending December 31, 2026, and to authorize the Board and Audit Committee to set the compensation of these auditors. Subject to the shareholders approving such authorization, the Board delegated the authority to set the fees of the auditors to the Audit Committee. The Audit Committee pre-approved all services to be performed by, and compensation to be paid to, the auditors as provided for in the U.S. Sarbanes-Oxley Act of 2002 and the rules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are being asked to adopt the following resolution: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“RESOLVED, that the appointment of Kesselman &amp; Kesselman, a member firm of PwC, an independent registered public accounting firm, as the Company’s independent auditors for the fiscal year ending December 31, 2026, be, and it hereby is, ratified and approved, and that the Board (or the Audit Committee, if authorized by the Board) be and hereby is, authorized to determine the compensation of the auditors in accordance with the volume and nature of their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requires the affirmative vote of the holders of our Ordinary Shares voted in person or by proxy, meaning that more votes must be cast “for” than “against” for Proposal Ten. Abstentions and broker non-votes will have no effect on outcome of Proposal 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the shareholders vote “FOR” the adoption of this resolution.</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 Paid to Kesselman &amp; Kesselman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36"/>
        </w:trPr>
        <w:tc>
          <w:tcPr>
            <w:tcW w:w="86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224,500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196,800</w:t>
            </w: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5,150</w:t>
            </w:r>
          </w:p>
        </w:tc>
        <w:tc>
          <w:tcPr>
            <w:tcW w:w="36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ind w:left="340" w:hanging="332"/>
        <w:spacing w:after="0" w:line="195" w:lineRule="auto"/>
        <w:tabs>
          <w:tab w:leader="none" w:pos="34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professional services rendered in connection with the audit of our annual financial statements and the review of our interim financial statements and services related to the Company’s initial public offering and other registration statements.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7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Tax consulting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pre-approving audit and non-audit services provided to us by our independent registered public accounting firm. All of the non-audit services provided to us by the independent auditors following the formation of our Audit Committee were pre-approved by the Audit Committee.</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should not be deemed filed with the SEC nor shall this information be incorporated by reference into any filing under the Securities Act of 1933 or the Securities Exchange Act of 1934, each as amended, except to the extent that the Company specifically incorporates it by reference into a filing.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consists of Chair, Steven D. Rubin, and members, Yonatan Malca and Sean Ellis. The Board has determined that each Audit Committee member is “independent,” as independence for Audit Committee members is defined in the applicable Nasdaq listing standards and rules of the SEC. The Board also determined that all members of the Audit Committee are financially literate, and Mr. Rubin has been designated as an Audit Committee financial expert, as such term is defined in Item 407 of Regulation S-K. Although designated as Audit Committee financial experts, the Audit Committee Chair and members are not accountants for the Company nor, under SEC rules, an “expert” for purposes of the liability provisions of the Securities Act or for any other purpose.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role of the Audit Committee is to (a) oversee the accounting and financial reporting processes of the Company and the audits of the Company’s financial statements; (b) oversee the Company’s compliance with legal and regulatory requirements; (c) oversee the performance of the Company’s internal audit function; (d) take, or recommend that the Board of the Company take, appropriate action to oversee the qualifications, independence and performance of the Company’s independent auditors; and (e) prepare the report required by the rules of the SEC to be included in the Company’s annual proxy statement.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influences the overall tone for quality financial reporting, sound internal controls, and ethical behavior. Management is responsible for the preparation, presentation and integrity of the Company’s financial statements, for the appropriateness of the accounting and reporting policies that are used by the Company, and for the establishment and effectiveness of internal controls and procedures designed to ensure compliance with accounting standards and applicable laws and regulations. The independent auditors are responsible for auditing the Company’s consolidated financial statements in accordance with the standards of the Public Company Accounting Oversight Board (“PCAOB”), expressing an opinion as to the conformity of such financial statements with generally accepted accounting principles, expressing an opinion on the effectiveness of internal control over financial reporting, and for reviewing the Company’s interim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independent auditors report directly to the Audit Committee. The Audit Committee has the sole authority and responsibility to recommend to the Board the nomination of the independent auditors for approval by the shareholders on an annual basis. The Audit Committee is directly responsible for the appointment, retention, termination, compensation, retention, evaluation and oversight of the work of the independent auditors for the purpose of preparing or issuing an audit report or performing other audit, review or attest services for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the Audit Committee routinely met and held discussions with management and Kesselman &amp; Kesselman, the Company’s independent registered public accounting firm. The Audit Committee discussed with management and Kesselman &amp; Kesselman regarding the Company’s audited consolidated financial statements and policies and procedures designed to reduce the likelihood of events of non-compliance with rules and regulations, including discussions of the quality, not just the acceptability, of accounting policies and principles, significant judgments and estimates, system of internal control over financial reporting, and clarity of disclosures, including items reported as Critical Auditing Matters in the report of the independent auditor (if required). The Audit Committee reviewed the annual plan and scope of work to be performed by Kesselman &amp; Kesselman, and met outside of the presence of management with Kesselman &amp; Kesselman to discuss their respective audit results, evaluations of the Company’s internal controls, and the overall quality of the Company’s financial reporting. Consistent with the requirements of the Sarbanes-Oxley Act of 2002 and the rules promulgated thereunder, the Audit Committee discussed with the Company those matters required to be discussed pursuant to PCAOB Auditing Standard 1301, “Communications with Audit Committees,” and the rules of the SEC, and reviewed a letter from the Company disclosing such matters.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also discussed with Kesselman &amp; Kesselman the firm’s independence from the Company and its management team, and reviewed the written disclosures and letter from Kesselman &amp; Kesselman pursuant to applicable requirements of the PCAOB regarding the independent registered public accounting firm’s communications with the Audit Committee concerning independence, and considered the compatibility of non-audit services, if any, with Kesselman &amp; Kesselman’s independence.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reports and discussions described above, the Audit Committee, in accordance with its responsibilities, recommended to the Board that the audited consolidated financial statements be included in the Company’s 2025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D. Rubin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Yonatan Malca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Ellis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WHERE TO OBTAIN 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internet website at https://investors.enterabio.com/. Copies of the committee charters of each of the Audit Committee, Compensation Committee and Nominating and Governance Committee can be found under the Company — Investors — Corporate Governance section of our website, and such information is also available in print to any shareholder who requests it through our Investor Relations department at the address below.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whose proxy is being solicited, upon request of any such person, a copy of the 2025 Annual Report as filed with the SEC, including the financial statements and schedules thereto, but not the exhibits. In addition, such report is available, free of charge, through the Investors — SEC Filings section of our website at https://investors.enterabio.com/.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request for a copy of such report should be directed to Kiryat Hadassah Minrav Building, 5th Floor, Jerusalem 9122002, Israel. A copy of any exhibit to the 2025 Annual Report will be forwarded following receipt of a written request with respect thereto addressed to Kiryat Hadassah Minrav Building, 5th Floor, Jerusalem 9122002,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RELATING TO THIS PROXY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pay all expenses relating to this proxy solicitation. In addition to this solicitation by mail, our officers, directors, and employees may solicit proxies by personal interview, telephone, facsimile, email or other method without extra compensation for that activity. We may also retain an independent contractor to assist in the solicitation of proxies. If retained for such services, we will pay the related costs. We may reimburse the reasonable charges and expenses of brokerage houses or other nominees or fiduciaries for forwarding proxy materials to, and obtaining authority to execute proxies from, beneficial owners for whose accounts they hold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THE COMPANY FOR THE YEAR ENDED DECEMBER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Section 60(b) of the Israeli Companies Law, shareholders are invited to discuss the audited Consolidated Financial Statements of the Company for the year ended December 31, 2025. The 2025 Annual Report, including our audited Consolidated Financial Statements, is available on the Investors section of our website, at https://investors.enterabio.com. as well as at </w:t>
      </w:r>
      <w:r>
        <w:rPr>
          <w:rFonts w:ascii="Times New Roman" w:cs="Times New Roman" w:eastAsia="Times New Roman" w:hAnsi="Times New Roman"/>
          <w:sz w:val="18"/>
          <w:szCs w:val="18"/>
          <w:b w:val="1"/>
          <w:bCs w:val="1"/>
          <w:i w:val="1"/>
          <w:iCs w:val="1"/>
          <w:color w:val="auto"/>
        </w:rPr>
        <w:t>www.voteproxy.com.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vote is required regarding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knows of no other business to be brought before the Annual Meeting. If, however, any other business should properly come before the Annual Meeting, the persons named as proxies will vote in their discretion as they may deem appropriate.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Geno J. Germano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Geno J. Germano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2026</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Entera Bio Ltd. | 2026 Annual Meeting Proxy Statement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ENTERA BIO LTD. 2018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370205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AMENDMENT TO THE ENTERA BIO LTD. 2018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(the “Amendment”) to the 2018 Equity Incentive Plan (the “2018 Plan”) of Entera Bio Ltd., a company organized under the laws of the State of Israel (the “Company”), is made effective as of July 14, 2026. Unless otherwise specifically defined herein, each capitalized term used herein shall have the meaning afforded such term under the 2018 Plan.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via meeting of the Board held on May 7, 2026, determined it to be in the best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to amend the 2018 Plan to increase the aggregate number of ordinary shares, par value NIS 0.0000769 per share (“Ordinary Shares”) of the Company authorized for issuance thereunder by a one-time additional amount of 2,500,000 Ordinary Shares (the “Share Increase”);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Company’s 2026 annual meeting of shareholders held on July 14, 2026, the Company’s shareholders approved the Share Increase.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be it resolved that the 2018 Plan is hereby amended as follows: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4(a) of the 2018 Plan is hereby deleted in its entirety and replaced with the following: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“Subject to adjustment as provided in Section 4(c), the maximum number of Shares available for issuance under the Plan shall not exceed 12% of the Company’s issued and outstanding share capital as of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starting on January 1, 2019, on January 1 of each year, the total number of Shares available for issuance under the Plan will be increased by an amount equal to the lesser of (i) 5% of the Company’s outstanding Shares on December 31 of the immediately preceding year or (ii) such number of Shares as determined by the Board in its discretion, (b) on September 7, 2022, the total number of Shares available for issuance under the Plan shall also be increased by a one-time amount equal to 576,188 Shares, (c) on July 31, 2024, the total number of Shares available for issuance under the Plan shall also be increased by a one-time amount equal to 1,788,515 Shares and (d) on July 14, 2026 the total number of Shares available for issuance under the Plan shall also be increased by a one-time amount equal to 2,500,000 Shares.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spacing w:after="0" w:line="194" w:lineRule="exact"/>
        <w:rPr>
          <w:sz w:val="20"/>
          <w:szCs w:val="20"/>
          <w:color w:val="auto"/>
        </w:rPr>
      </w:pPr>
    </w:p>
    <w:p>
      <w:pPr>
        <w:ind w:firstLine="8"/>
        <w:spacing w:after="0" w:line="282" w:lineRule="auto"/>
        <w:tabs>
          <w:tab w:leader="none" w:pos="18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the adoption of this Amendment to the 2018 Plan by the Board, and the approval by the Company’s shareholders of this Amendment effective as of July 14, 2026, the Company has caused its authorized officer to execute the same as of the date first set forth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Miranda Toledano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Miranda Toledano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THE COMPANY’S AMENDED AND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COMPANIES LAW, 5759–1999</w:t>
      </w:r>
    </w:p>
    <w:p>
      <w:pPr>
        <w:spacing w:after="0" w:line="225" w:lineRule="exact"/>
        <w:rPr>
          <w:sz w:val="20"/>
          <w:szCs w:val="20"/>
          <w:color w:val="auto"/>
        </w:rPr>
      </w:pPr>
    </w:p>
    <w:p>
      <w:pPr>
        <w:ind w:left="500" w:hanging="49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color w:val="auto"/>
        </w:rPr>
      </w:pPr>
    </w:p>
    <w:p>
      <w:pPr>
        <w:ind w:left="1140" w:right="720" w:hanging="648"/>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1.1.In these Articles, unless the context requires otherwise, the following capitalized terms shall have the meanings set opposite them: “</w:t>
      </w:r>
      <w:r>
        <w:rPr>
          <w:rFonts w:ascii="Times New Roman" w:cs="Times New Roman" w:eastAsia="Times New Roman" w:hAnsi="Times New Roman"/>
          <w:sz w:val="18"/>
          <w:szCs w:val="18"/>
          <w:b w:val="1"/>
          <w:bCs w:val="1"/>
          <w:color w:val="auto"/>
        </w:rPr>
        <w:t>Alternate Nominee</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17.7</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Director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17.12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these Articles of Association, as may be amended from time to time;</w:t>
      </w:r>
    </w:p>
    <w:p>
      <w:pPr>
        <w:spacing w:after="0" w:line="225" w:lineRule="exact"/>
        <w:rPr>
          <w:sz w:val="20"/>
          <w:szCs w:val="20"/>
          <w:color w:val="auto"/>
        </w:rPr>
      </w:pPr>
    </w:p>
    <w:p>
      <w:pPr>
        <w:ind w:left="114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all of the directors of the Company holding office pursuant to these Articles, including Alternate Directors, substitutes or proxies;</w:t>
      </w:r>
    </w:p>
    <w:p>
      <w:pPr>
        <w:spacing w:after="0" w:line="155" w:lineRule="exact"/>
        <w:rPr>
          <w:sz w:val="20"/>
          <w:szCs w:val="20"/>
          <w:color w:val="auto"/>
        </w:rPr>
      </w:pPr>
    </w:p>
    <w:p>
      <w:pPr>
        <w:ind w:left="114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and any day in which banks in Israel are closed or in which the NASDAQ Stock Market is closed.</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xml:space="preserve">” has the meaning set out in in </w:t>
      </w:r>
      <w:r>
        <w:rPr>
          <w:rFonts w:ascii="Times New Roman" w:cs="Times New Roman" w:eastAsia="Times New Roman" w:hAnsi="Times New Roman"/>
          <w:sz w:val="18"/>
          <w:szCs w:val="18"/>
          <w:u w:val="single" w:color="auto"/>
          <w:color w:val="auto"/>
        </w:rPr>
        <w:t>Article 18.4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means the Israeli Companies Law, 5759-1999, as amended from time to time, including the regulations promulgated thereunder, or any other law which may come in its stead, including all amendments made thereto;</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Entera Bio Ltd.;</w:t>
      </w:r>
    </w:p>
    <w:p>
      <w:pPr>
        <w:spacing w:after="0" w:line="225" w:lineRule="exact"/>
        <w:rPr>
          <w:sz w:val="20"/>
          <w:szCs w:val="20"/>
          <w:color w:val="auto"/>
        </w:rPr>
      </w:pPr>
    </w:p>
    <w:p>
      <w:pPr>
        <w:ind w:left="1140" w:right="4480"/>
        <w:spacing w:after="0" w:line="5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has the meaning set out in the Companies Law; “</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14.7</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closing of the initial underwritten public offering of the Company’s ordinary shares, at which time these Articles shall first become effective;</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External Director</w:t>
      </w:r>
      <w:r>
        <w:rPr>
          <w:rFonts w:ascii="Times New Roman" w:cs="Times New Roman" w:eastAsia="Times New Roman" w:hAnsi="Times New Roman"/>
          <w:sz w:val="18"/>
          <w:szCs w:val="18"/>
          <w:color w:val="auto"/>
        </w:rPr>
        <w:t>” has the meaning set out in the Companies Law;</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means either an annual or an extraordinary meeting of the shareholders;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both"/>
        <w:ind w:left="6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Incapacitated Person</w:t>
      </w:r>
      <w:r>
        <w:rPr>
          <w:rFonts w:ascii="Times New Roman" w:cs="Times New Roman" w:eastAsia="Times New Roman" w:hAnsi="Times New Roman"/>
          <w:sz w:val="18"/>
          <w:szCs w:val="18"/>
          <w:color w:val="auto"/>
        </w:rPr>
        <w:t>” as such term is used in the Israeli Legal Capacity and Guardianship Law, 5722-1962, as amended from time to time, and includes a minor who has not yet attained the age of 18 years, a person of unsound mind and a bankrupt person in respect of whom no rehabilitation has been granted;</w:t>
      </w:r>
    </w:p>
    <w:p>
      <w:pPr>
        <w:spacing w:after="0" w:line="171"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Israeli Securities Law</w:t>
      </w:r>
      <w:r>
        <w:rPr>
          <w:rFonts w:ascii="Times New Roman" w:cs="Times New Roman" w:eastAsia="Times New Roman" w:hAnsi="Times New Roman"/>
          <w:sz w:val="18"/>
          <w:szCs w:val="18"/>
          <w:color w:val="auto"/>
        </w:rPr>
        <w:t>” means the Israeli Securities Law, 5728-1968, as amended from time to time, including the regulations promulgated thereunder, or any other law which may come in its stead, including all amendments made thereto;</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17.7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w:t>
      </w:r>
      <w:r>
        <w:rPr>
          <w:rFonts w:ascii="Times New Roman" w:cs="Times New Roman" w:eastAsia="Times New Roman" w:hAnsi="Times New Roman"/>
          <w:sz w:val="18"/>
          <w:szCs w:val="18"/>
          <w:color w:val="auto"/>
        </w:rPr>
        <w:t>” means the registered office of the Company at that time;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 Holder</w:t>
      </w:r>
      <w:r>
        <w:rPr>
          <w:rFonts w:ascii="Times New Roman" w:cs="Times New Roman" w:eastAsia="Times New Roman" w:hAnsi="Times New Roman"/>
          <w:sz w:val="18"/>
          <w:szCs w:val="18"/>
          <w:color w:val="auto"/>
        </w:rPr>
        <w:t>” has the meaning set out in the Companies Law;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 Request</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Proposing Shareholder</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14.5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register of shareholders administered in accordance with the Companies Law;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26.8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Fund</w:t>
      </w:r>
      <w:r>
        <w:rPr>
          <w:rFonts w:ascii="Times New Roman" w:cs="Times New Roman" w:eastAsia="Times New Roman" w:hAnsi="Times New Roman"/>
          <w:sz w:val="18"/>
          <w:szCs w:val="18"/>
          <w:color w:val="auto"/>
        </w:rPr>
        <w:t xml:space="preserve">” has the meaning set out in </w:t>
      </w:r>
      <w:r>
        <w:rPr>
          <w:rFonts w:ascii="Times New Roman" w:cs="Times New Roman" w:eastAsia="Times New Roman" w:hAnsi="Times New Roman"/>
          <w:sz w:val="18"/>
          <w:szCs w:val="18"/>
          <w:u w:val="single" w:color="auto"/>
          <w:color w:val="auto"/>
        </w:rPr>
        <w:t>Article 26.8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Rules</w:t>
      </w:r>
      <w:r>
        <w:rPr>
          <w:rFonts w:ascii="Times New Roman" w:cs="Times New Roman" w:eastAsia="Times New Roman" w:hAnsi="Times New Roman"/>
          <w:sz w:val="18"/>
          <w:szCs w:val="18"/>
          <w:color w:val="auto"/>
        </w:rPr>
        <w:t>” means the applicable rules of the NASDAQ Stock Market and U.S. securities laws, rules and regulations, as amended from time to time; and</w:t>
      </w:r>
    </w:p>
    <w:p>
      <w:pPr>
        <w:spacing w:after="0" w:line="15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Reference to “writing”, “written” or similar expressions in these Articles means handwriting, typewriting, photography, telex, email or any other legible form of writing. Reference to a “person” or “persons” shall also include corporations, companies, cooperative societies, partnerships, trusts of any kind or any other body of persons, whether incorporated or otherwise.</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unless the context necessitates another meaning, terms and expressions in these Articles which have been defined in the Companies Law shall have the meanings ascribed to them therein.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Words in the singular shall also include the plural, and vice versa. Words in the masculine shall include the feminine and vice versa.</w:t>
      </w:r>
    </w:p>
    <w:p>
      <w:pPr>
        <w:spacing w:after="0" w:line="33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5" w:right="339" w:bottom="1440" w:gutter="0" w:footer="0" w:header="0"/>
        </w:sectPr>
      </w:pPr>
    </w:p>
    <w:bookmarkStart w:id="63" w:name="page64"/>
    <w:bookmarkEnd w:id="63"/>
    <w:p>
      <w:pPr>
        <w:ind w:left="1140" w:hanging="647"/>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captions to articles in these Articles are intended for the convenience of the reader only, and no use shall be made thereof in the interpretation of these Articles.</w:t>
      </w:r>
    </w:p>
    <w:p>
      <w:pPr>
        <w:spacing w:after="0" w:line="158"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LIABILITY</w:t>
      </w:r>
    </w:p>
    <w:p>
      <w:pPr>
        <w:spacing w:after="0" w:line="229"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limited liability company and therefore each shareholder’s liability for the Company’s obligations shall be limited to the payment of the nominal value of the shares held by such shareholder, subject to the provisions of the Companies Law.</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OBJECTIVES</w:t>
      </w:r>
    </w:p>
    <w:p>
      <w:pPr>
        <w:spacing w:after="0" w:line="229" w:lineRule="exact"/>
        <w:rPr>
          <w:rFonts w:ascii="Times New Roman" w:cs="Times New Roman" w:eastAsia="Times New Roman" w:hAnsi="Times New Roman"/>
          <w:sz w:val="18"/>
          <w:szCs w:val="18"/>
          <w:color w:val="auto"/>
        </w:rPr>
      </w:pPr>
    </w:p>
    <w:p>
      <w:pPr>
        <w:ind w:left="5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REGISTERED OFFICE</w:t>
      </w:r>
    </w:p>
    <w:p>
      <w:pPr>
        <w:spacing w:after="0" w:line="22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place as decided by the Board from time to time.</w:t>
      </w:r>
    </w:p>
    <w:p>
      <w:pPr>
        <w:spacing w:after="0" w:line="2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rFonts w:ascii="Times New Roman" w:cs="Times New Roman" w:eastAsia="Times New Roman" w:hAnsi="Times New Roman"/>
          <w:sz w:val="18"/>
          <w:szCs w:val="18"/>
          <w:color w:val="auto"/>
        </w:rPr>
      </w:pPr>
    </w:p>
    <w:p>
      <w:pPr>
        <w:ind w:left="5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shall consist of NIS 26,915 divided into 350,000,000 ordinary shares with a nominal value of NIS 0.0000769 each.</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ATTACHING TO THE ORDINARY SHARES</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w:t>
      </w:r>
    </w:p>
    <w:p>
      <w:pPr>
        <w:spacing w:after="0" w:line="17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p>
      <w:pPr>
        <w:spacing w:after="0" w:line="1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OF CLASS RIGHTS</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both"/>
        <w:ind w:left="1140" w:hanging="647"/>
        <w:spacing w:after="0" w:line="284" w:lineRule="auto"/>
        <w:tabs>
          <w:tab w:leader="none" w:pos="11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 xml:space="preserve">The provisions contained in these Articles with regard to General Meetings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the case may be, to every class meeting of the holders of each such class of the Company’s shares.</w:t>
      </w:r>
    </w:p>
    <w:p>
      <w:pPr>
        <w:spacing w:after="0" w:line="160"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 xml:space="preserve">Unless otherwise provided by these Articles, the increase of an authorized class of shares, or the issuance of additional shares thereof out of the authorized and unissued share capital, shall not be deemed, for purposes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to modify or abrogate the rights attached to previously issued shares of such class or of any other class.</w:t>
      </w:r>
    </w:p>
    <w:p>
      <w:pPr>
        <w:spacing w:after="0" w:line="172"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UNISSUED SHARE CAPITAL</w:t>
      </w:r>
    </w:p>
    <w:p>
      <w:pPr>
        <w:spacing w:after="0" w:line="229" w:lineRule="exact"/>
        <w:rPr>
          <w:rFonts w:ascii="Times New Roman" w:cs="Times New Roman" w:eastAsia="Times New Roman" w:hAnsi="Times New Roman"/>
          <w:sz w:val="18"/>
          <w:szCs w:val="18"/>
          <w:color w:val="auto"/>
        </w:rPr>
      </w:pPr>
    </w:p>
    <w:p>
      <w:pPr>
        <w:ind w:left="114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8.1.The unissued shares in the capital of the Company shall be under the control of the Board, which shall be entitled to allot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shall deem fit, subject to the provisions of the Companies Law. The Board shall be entitled,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alia</w:t>
      </w:r>
      <w:r>
        <w:rPr>
          <w:rFonts w:ascii="Times New Roman" w:cs="Times New Roman" w:eastAsia="Times New Roman" w:hAnsi="Times New Roman"/>
          <w:sz w:val="18"/>
          <w:szCs w:val="18"/>
          <w:color w:val="auto"/>
        </w:rPr>
        <w:t>, to differentiate between shareholders with regard to the amounts of calls in respect of the allotment of shares (to the extent that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calls) and with regard to the time for payment thereof. The Board may also issue options or warrants for the purchase of shares of the Company and prescribe the manner of the exercise of such options or warrants, including the time and price for such exercise and any other provision which is relevant to the method for distributing the issued shares of the Company amongst the purchasers thereof.</w:t>
      </w:r>
    </w:p>
    <w:p>
      <w:pPr>
        <w:spacing w:after="0" w:line="191"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8.2.The Board shall be entitled to prescribe the times for the issue of shares of the Company and the conditions therefor and any other matter which may arise in connection with the issue thereof.</w:t>
      </w:r>
    </w:p>
    <w:p>
      <w:pPr>
        <w:spacing w:after="0" w:line="161"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5" w:name="page66"/>
    <w:bookmarkEnd w:id="65"/>
    <w:p>
      <w:pPr>
        <w:ind w:left="500" w:hanging="492"/>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 OF CAPITAL; ALTERATIONS TO CAPITAL</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p>
      <w:pPr>
        <w:spacing w:after="0" w:line="17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p>
      <w:pPr>
        <w:spacing w:after="0" w:line="176"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p>
      <w:pPr>
        <w:spacing w:after="0" w:line="176"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color w:val="auto"/>
        </w:rPr>
        <w:t>By resolution of the shareholders in a General Meeting, the Company may, subject to any applicable provisions of the Companies Law:</w:t>
      </w:r>
    </w:p>
    <w:p>
      <w:pPr>
        <w:spacing w:after="0" w:line="225"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9.4.1.</w:t>
      </w:r>
      <w:r>
        <w:rPr>
          <w:sz w:val="20"/>
          <w:szCs w:val="20"/>
          <w:color w:val="auto"/>
        </w:rPr>
        <w:tab/>
      </w:r>
      <w:r>
        <w:rPr>
          <w:rFonts w:ascii="Times New Roman" w:cs="Times New Roman" w:eastAsia="Times New Roman" w:hAnsi="Times New Roman"/>
          <w:sz w:val="17"/>
          <w:szCs w:val="17"/>
          <w:color w:val="auto"/>
        </w:rPr>
        <w:t>consolidate its existing share capital, or any part thereof, into shares of a larger denomination than the existing shares;</w:t>
      </w:r>
    </w:p>
    <w:p>
      <w:pPr>
        <w:spacing w:after="0" w:line="225" w:lineRule="exact"/>
        <w:rPr>
          <w:sz w:val="20"/>
          <w:szCs w:val="20"/>
          <w:color w:val="auto"/>
        </w:rPr>
      </w:pPr>
    </w:p>
    <w:p>
      <w:pPr>
        <w:jc w:val="both"/>
        <w:ind w:left="1800" w:hanging="647"/>
        <w:spacing w:after="0" w:line="261" w:lineRule="auto"/>
        <w:tabs>
          <w:tab w:leader="none" w:pos="1780" w:val="left"/>
        </w:tabs>
        <w:rPr>
          <w:sz w:val="20"/>
          <w:szCs w:val="20"/>
          <w:color w:val="auto"/>
        </w:rPr>
      </w:pPr>
      <w:r>
        <w:rPr>
          <w:rFonts w:ascii="Times New Roman" w:cs="Times New Roman" w:eastAsia="Times New Roman" w:hAnsi="Times New Roman"/>
          <w:sz w:val="18"/>
          <w:szCs w:val="18"/>
          <w:color w:val="auto"/>
        </w:rPr>
        <w:t>9.4.2.</w:t>
        <w:tab/>
        <w:t>sub-divide its share capital, in whole or in part, into shares of a smaller denomination than the nominal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p>
      <w:pPr>
        <w:spacing w:after="0" w:line="180" w:lineRule="exact"/>
        <w:rPr>
          <w:sz w:val="20"/>
          <w:szCs w:val="20"/>
          <w:color w:val="auto"/>
        </w:rPr>
      </w:pPr>
    </w:p>
    <w:p>
      <w:pPr>
        <w:ind w:left="1140"/>
        <w:spacing w:after="0"/>
        <w:tabs>
          <w:tab w:leader="none" w:pos="1780" w:val="left"/>
        </w:tabs>
        <w:rPr>
          <w:sz w:val="20"/>
          <w:szCs w:val="20"/>
          <w:color w:val="auto"/>
        </w:rPr>
      </w:pPr>
      <w:r>
        <w:rPr>
          <w:rFonts w:ascii="Times New Roman" w:cs="Times New Roman" w:eastAsia="Times New Roman" w:hAnsi="Times New Roman"/>
          <w:sz w:val="18"/>
          <w:szCs w:val="18"/>
          <w:color w:val="auto"/>
        </w:rPr>
        <w:t>9.4.3.</w:t>
      </w:r>
      <w:r>
        <w:rPr>
          <w:sz w:val="20"/>
          <w:szCs w:val="20"/>
          <w:color w:val="auto"/>
        </w:rPr>
        <w:tab/>
      </w:r>
      <w:r>
        <w:rPr>
          <w:rFonts w:ascii="Times New Roman" w:cs="Times New Roman" w:eastAsia="Times New Roman" w:hAnsi="Times New Roman"/>
          <w:sz w:val="17"/>
          <w:szCs w:val="17"/>
          <w:color w:val="auto"/>
        </w:rPr>
        <w:t>reduce its share capital; or</w:t>
      </w:r>
    </w:p>
    <w:p>
      <w:pPr>
        <w:spacing w:after="0" w:line="225" w:lineRule="exact"/>
        <w:rPr>
          <w:sz w:val="20"/>
          <w:szCs w:val="20"/>
          <w:color w:val="auto"/>
        </w:rPr>
      </w:pPr>
    </w:p>
    <w:p>
      <w:pPr>
        <w:jc w:val="both"/>
        <w:ind w:left="1800" w:hanging="647"/>
        <w:spacing w:after="0" w:line="282" w:lineRule="auto"/>
        <w:tabs>
          <w:tab w:leader="none" w:pos="1780" w:val="left"/>
        </w:tabs>
        <w:rPr>
          <w:sz w:val="20"/>
          <w:szCs w:val="20"/>
          <w:color w:val="auto"/>
        </w:rPr>
      </w:pPr>
      <w:r>
        <w:rPr>
          <w:rFonts w:ascii="Times New Roman" w:cs="Times New Roman" w:eastAsia="Times New Roman" w:hAnsi="Times New Roman"/>
          <w:sz w:val="18"/>
          <w:szCs w:val="18"/>
          <w:color w:val="auto"/>
        </w:rPr>
        <w:t>9.4.4.</w:t>
        <w:tab/>
        <w:t>cancel any shares which on the date of passing of the resolution have not been issued and to reduce its share capital by the amount of such shares.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both"/>
        <w:ind w:left="1140" w:hanging="647"/>
        <w:spacing w:after="0" w:line="253" w:lineRule="auto"/>
        <w:tabs>
          <w:tab w:leader="none" w:pos="11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 xml:space="preserve">In the event that the Company’s shareholders shall adopt any of the resolutions described in </w:t>
      </w:r>
      <w:r>
        <w:rPr>
          <w:rFonts w:ascii="Times New Roman" w:cs="Times New Roman" w:eastAsia="Times New Roman" w:hAnsi="Times New Roman"/>
          <w:sz w:val="18"/>
          <w:szCs w:val="18"/>
          <w:u w:val="single" w:color="auto"/>
          <w:color w:val="auto"/>
        </w:rPr>
        <w:t>Article 9.4</w:t>
      </w:r>
      <w:r>
        <w:rPr>
          <w:rFonts w:ascii="Times New Roman" w:cs="Times New Roman" w:eastAsia="Times New Roman" w:hAnsi="Times New Roman"/>
          <w:sz w:val="18"/>
          <w:szCs w:val="18"/>
          <w:color w:val="auto"/>
        </w:rPr>
        <w:t xml:space="preserve"> above, the Board shall be entitled to prescribe arrangements necessary in order to resolve any difficulty arising or that are likely to arise in connection with such resolutions, including, in the event of a consolidation, it shall be entitled to (i) allot, in contemplation of or subsequent to such consolidation or other action, shares or fractional shares sufficient to preclude or remove fractional share holdings; (ii) redeem, in the case of redeemable shares, and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 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rFonts w:ascii="Times New Roman" w:cs="Times New Roman" w:eastAsia="Times New Roman" w:hAnsi="Times New Roman"/>
          <w:sz w:val="18"/>
          <w:szCs w:val="18"/>
          <w:u w:val="single" w:color="auto"/>
          <w:color w:val="auto"/>
        </w:rPr>
        <w:t>Article 9.5</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500" w:hanging="492"/>
        <w:spacing w:after="0"/>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CERTIFICATES</w:t>
      </w:r>
    </w:p>
    <w:p>
      <w:pPr>
        <w:spacing w:after="0" w:line="229" w:lineRule="exact"/>
        <w:rPr>
          <w:rFonts w:ascii="Times New Roman" w:cs="Times New Roman" w:eastAsia="Times New Roman" w:hAnsi="Times New Roman"/>
          <w:sz w:val="18"/>
          <w:szCs w:val="18"/>
          <w:color w:val="auto"/>
        </w:rPr>
      </w:pPr>
    </w:p>
    <w:p>
      <w:pPr>
        <w:ind w:left="11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To the extent shares are certificated, share certificates evidencing title to the shares of the Company shall be issued under the seal or rubber stamp of the Company, and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p>
      <w:pPr>
        <w:spacing w:after="0" w:line="183"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Every shareholder shall be entitled, free of charge, to one certificate in respect of all the shares of a single class registered in his name in the Register.</w:t>
      </w:r>
    </w:p>
    <w:p>
      <w:pPr>
        <w:spacing w:after="0" w:line="161"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The Board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both"/>
        <w:ind w:left="1140" w:hanging="647"/>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10.4.</w:t>
        <w:tab/>
        <w:t>Every share certificate shall specify the number of the shares in respect of which such certificate is issued and also the amounts which have been paid up in respect of each share.</w:t>
      </w:r>
    </w:p>
    <w:p>
      <w:pPr>
        <w:spacing w:after="0" w:line="162" w:lineRule="exact"/>
        <w:rPr>
          <w:sz w:val="20"/>
          <w:szCs w:val="20"/>
          <w:color w:val="auto"/>
        </w:rPr>
      </w:pPr>
    </w:p>
    <w:p>
      <w:pPr>
        <w:jc w:val="both"/>
        <w:ind w:left="1140" w:hanging="647"/>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10.5.</w:t>
        <w:tab/>
        <w:t>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p>
      <w:pPr>
        <w:spacing w:after="0" w:line="183"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10.6.</w:t>
        <w:tab/>
        <w:t>A share certificate registered in the names of two or more persons shall be delivered to one of the joint holders, and the Company shall not be obliged to issue more than one certificate to all the joint holders of shares and the delivery of such certificate to one of the joint holders shall be deemed to be delivery to all of them.</w:t>
      </w:r>
    </w:p>
    <w:p>
      <w:pPr>
        <w:spacing w:after="0" w:line="176"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10.7.</w:t>
        <w:tab/>
        <w:t>If a share certificate should be lost, destroyed or defaced, the Board shall be entitled to issue a new certificate in its place, provided that the certificate is delivered to it and destroyed by it, or it is proved to the satisfaction of the Board that the certificate was lost or destroyed and security has been received to its satisfaction in respect of any possible damages and after payment of such amount as the Board shall prescribe.</w:t>
      </w:r>
    </w:p>
    <w:p>
      <w:pPr>
        <w:spacing w:after="0" w:line="176" w:lineRule="exact"/>
        <w:rPr>
          <w:sz w:val="20"/>
          <w:szCs w:val="20"/>
          <w:color w:val="auto"/>
        </w:rPr>
      </w:pPr>
    </w:p>
    <w:p>
      <w:pPr>
        <w:ind w:left="500" w:hanging="492"/>
        <w:spacing w:after="0"/>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CALLS ON SHARES</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The Board may from time to time, in its discretion, make calls on shareholders in respect of amounts which are still unpaid in respect of the shares held by each of the shareholders (including premiums), if the terms of issue do not prescribe that same be paid at fixed times, and every shareholder shall be obliged to pay the amount of the call made on him, at such time and at such place as stipulated by the Board.</w:t>
      </w:r>
    </w:p>
    <w:p>
      <w:pPr>
        <w:spacing w:after="0" w:line="17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In respect of any such call, prior notice of at least fourteen (14) Business Days shall be given, stating to whom the amount called is to be paid, the time for payment and the place thereof, provided that prior to the due date for payment of such call, the Board may, by written notice to the shareholders to which the call was made, cancel the call or extend the date of payment thereof.</w:t>
      </w:r>
    </w:p>
    <w:p>
      <w:pPr>
        <w:spacing w:after="0" w:line="175"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If according to the terms of issue of any share, or otherwise, any amount is required to be paid at a fixed time or in installments at fixed times, whether the payment is made on account of the nominal value of the share or in form of a premium, every such payment or every such installment shall be paid as if it was a call duly made by the Board, in respect of which notice was duly given, and all the provisions contained in these Articles in regard to calls shall apply to such amount or to such installment.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Joint holders of a share shall be jointly and severally liable for the payment of all installments and calls due in respect of such share.</w:t>
      </w:r>
    </w:p>
    <w:p>
      <w:pPr>
        <w:spacing w:after="0" w:line="225"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In the event that a call or installment due on account of a share is not paid on or before the date fixed for payment thereof, the holder of the share, or the person to whom the share has been allotted, shall be obliged to pay linkage differentials and interest on the amount of the call or the installment, at such rate as shall be determined by the Board, commencing from the date fixed for the payment thereof and until the date of actual payment. The Board may, however, waive the payment of the linkage differentials or the interest or part thereof.</w:t>
      </w:r>
    </w:p>
    <w:p>
      <w:pPr>
        <w:spacing w:after="0" w:line="180"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A shareholder shall not be entitled (i) to receive a dividend and (ii) to exercise any right as a shareholder, including but not limited to, the right to attend and vote at a General Meeting and to transfer the shares to another, unless he has paid all the calls payable from time to time and which apply to any of his shares, whether he holds same alone or jointly with another, plus linkage differentials, interest and expenses, if any.</w:t>
      </w:r>
    </w:p>
    <w:p>
      <w:pPr>
        <w:spacing w:after="0" w:line="180" w:lineRule="exact"/>
        <w:rPr>
          <w:sz w:val="20"/>
          <w:szCs w:val="20"/>
          <w:color w:val="auto"/>
        </w:rPr>
      </w:pPr>
    </w:p>
    <w:p>
      <w:pPr>
        <w:jc w:val="both"/>
        <w:ind w:left="1140" w:hanging="647"/>
        <w:spacing w:after="0" w:line="254" w:lineRule="auto"/>
        <w:tabs>
          <w:tab w:leader="none" w:pos="11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 xml:space="preserve">The Board may, if it deems fit, accept payment from a shareholder wishing to advance the payment of all moneys which remain unpaid on account of his shares, or part thereof which are over and above the amounts which have actually been called, and the Board shall be entitled to pay such shareholder linkage differentials and interest in respect of the amounts paid in advance, or that portion thereof which exceeds the amount called for the time being on account of the shares in respect of which the advance payment is made, at such rate as is agreed upon between the Board and the shareholder, with this being in addition to dividends (if any) payable on the paid-up portion of the share in respect of which the advance payment is made. The Board may, at any time, repay the amount paid in advance as aforesaid, in whole or in part, in its sole discretion, without premium or penalty. Nothing in this </w:t>
      </w:r>
      <w:r>
        <w:rPr>
          <w:rFonts w:ascii="Times New Roman" w:cs="Times New Roman" w:eastAsia="Times New Roman" w:hAnsi="Times New Roman"/>
          <w:sz w:val="18"/>
          <w:szCs w:val="18"/>
          <w:u w:val="single" w:color="auto"/>
          <w:color w:val="auto"/>
        </w:rPr>
        <w:t>Article 11.7</w:t>
      </w:r>
      <w:r>
        <w:rPr>
          <w:rFonts w:ascii="Times New Roman" w:cs="Times New Roman" w:eastAsia="Times New Roman" w:hAnsi="Times New Roman"/>
          <w:sz w:val="18"/>
          <w:szCs w:val="18"/>
          <w:color w:val="auto"/>
        </w:rPr>
        <w:t xml:space="preserve"> shall derogate from the right of the Board to make any call for payment before or after receipt by the Company of any such advance.</w:t>
      </w:r>
    </w:p>
    <w:p>
      <w:pPr>
        <w:spacing w:after="0" w:line="188" w:lineRule="exact"/>
        <w:rPr>
          <w:sz w:val="20"/>
          <w:szCs w:val="20"/>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 AND LIEN</w:t>
      </w:r>
    </w:p>
    <w:p>
      <w:pPr>
        <w:spacing w:after="0" w:line="229"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If a shareholder fails to make payment of any call or other installment on or before the date fixed for the payment thereof, the Board may, at any time thereafter and for as long as the part of the call or installment remains unpaid, serve on such shareholder a notice demanding that he make payment thereof, together with the linkage differentials and interest at such rate as is specified by the Board and all the expenses incurred by the Company in consequence of such non-payment.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12.2.</w:t>
        <w:tab/>
        <w:t>The notice shall specify a further date, which shall be at least fourteen (14) Business Days after the date of the delivery of the notice, and a place or places at which such call or installment is to be paid, together with linkage differentials and interest and expenses as aforesaid. The notice shall further state that, if the amount is not paid on or before the date specified, and at the place mentioned in such notice, the shares in respect of which the call was made, or the installment is due, shall be liable to forfeiture.</w:t>
      </w:r>
    </w:p>
    <w:p>
      <w:pPr>
        <w:spacing w:after="0" w:line="180"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12.3.</w:t>
        <w:tab/>
        <w:t xml:space="preserve">If the demands contained in such notice are not complied with the Board may treat the shares in respect of which the notice referred to in </w:t>
      </w:r>
      <w:r>
        <w:rPr>
          <w:rFonts w:ascii="Times New Roman" w:cs="Times New Roman" w:eastAsia="Times New Roman" w:hAnsi="Times New Roman"/>
          <w:sz w:val="18"/>
          <w:szCs w:val="18"/>
          <w:u w:val="single" w:color="auto"/>
          <w:color w:val="auto"/>
        </w:rPr>
        <w:t>Articles 12.1 and 12.2</w:t>
      </w:r>
      <w:r>
        <w:rPr>
          <w:rFonts w:ascii="Times New Roman" w:cs="Times New Roman" w:eastAsia="Times New Roman" w:hAnsi="Times New Roman"/>
          <w:sz w:val="18"/>
          <w:szCs w:val="18"/>
          <w:color w:val="auto"/>
        </w:rPr>
        <w:t xml:space="preserve"> was given as forfeited. Such forfeiture shall include all dividends, bonus shares and other benefits which have been declared in respect of the forfeited shares which have not actually been paid prior to the forfeiture.</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12.4.</w:t>
        <w:tab/>
        <w:t>Any share so forfeited or waived shall be deemed to be the property of the Company and the Board shall be entitled, subject to the provisions of these Articles and the Companies Law, to sell, re-allot or otherwise dispose thereof, as it deems fit, whether the amount paid previously in respect of that share is credited, in whole or in part.</w:t>
      </w:r>
    </w:p>
    <w:p>
      <w:pPr>
        <w:spacing w:after="0" w:line="176"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12.5.</w:t>
        <w:tab/>
        <w:t>The Board may, at any time before any share forfeited as aforesaid is sold or re-allotted or otherwise disposed of, cancel the forfeiture on such conditions as it deems fit.</w:t>
      </w:r>
    </w:p>
    <w:p>
      <w:pPr>
        <w:spacing w:after="0" w:line="162"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12.6.</w:t>
        <w:tab/>
        <w:t>Any person whose shares have been forfeited shall cease to be a shareholder in respect of the forfeited shares, but shall, nonetheless remain liable for the payment to the Company of all calls, installments, linkage differentials, interest and expenses due on account of or in respect of such shares on the date of forfeiture, in respect of the forfeited shares, together with interest on such amounts reckoned from the date of forfeiture until the date of payment, at such rate as the Board shall from time to time specify. However, such person’s liability shall cease after the Company has received all the amounts called in respect of the shares as well as any expenses incurred by the Company relating to collecting the amounts called. The Board shall be entitled to collect the moneys which have been forfeited, or part thereof, as it shall deem fit, but it shall not be obliged to do so.</w:t>
      </w:r>
    </w:p>
    <w:p>
      <w:pPr>
        <w:spacing w:after="0" w:line="2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70" w:name="page71"/>
    <w:bookmarkEnd w:id="70"/>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12.7.</w:t>
        <w:tab/>
        <w:t>The provisions of these Articles in regard to forfeiture shall also apply to cases of non-payment of any amount, which, according to the terms of issue of the share, or which under the conditions of allotment the due date for payment of which fell on a fixed date, whether this be on account of the nominal value of the share or in the form of a premium, as if such amount was payable pursuant to a call duly made and notified.</w:t>
      </w:r>
    </w:p>
    <w:p>
      <w:pPr>
        <w:spacing w:after="0" w:line="180"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12.8.</w:t>
        <w:tab/>
        <w:t>The Company shall have a first and paramount lien over all the shares which have not been fully paid up and which are registered in the name of any shareholder (whether individually or jointly with others) and also over the proceeds of the sale thereof, as security for the debts and obligations of such shareholder to the Company and his contractual engagements with it, either individually or together with others. This right of lien shall apply whether or not the due date for payment of such debts or the fulfillment or performance of such obligations has arrived, and no rights in equity shall be created in respect of any share over which there is a lien as aforesaid. The aforesaid lien shall apply to all dividends or benefits which may be declared, from time to time, on such shares, unless the Board shall decide otherwise.</w:t>
      </w:r>
    </w:p>
    <w:p>
      <w:pPr>
        <w:spacing w:after="0" w:line="187"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12.9.</w:t>
        <w:tab/>
        <w:t>In order to foreclose on such lien, the Board may sell the shares under lien at such time and in such manner as it shall deem fit, but no share may be sold unless the period referred to below has elapsed and written notice has been given to the shareholder, his trustee, liquidator, receiver, the executors of his estate, or anyone who acquires a right to shares in consequence of the bankruptcy of a shareholder, as the case may be, stating that the Company intends to sell the shares, if he or they should fail to pay the aforesaid debts, or fail to discharge or fulfill the aforesaid obligations within fourteen (14) Business Days from the date of the delivery of the notice.</w:t>
      </w:r>
    </w:p>
    <w:p>
      <w:pPr>
        <w:spacing w:after="0" w:line="183"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12.10.</w:t>
        <w:tab/>
        <w:t xml:space="preserve">The net proceeds of any such sale of shares, as contemplated by </w:t>
      </w:r>
      <w:r>
        <w:rPr>
          <w:rFonts w:ascii="Times New Roman" w:cs="Times New Roman" w:eastAsia="Times New Roman" w:hAnsi="Times New Roman"/>
          <w:sz w:val="18"/>
          <w:szCs w:val="18"/>
          <w:u w:val="single" w:color="auto"/>
          <w:color w:val="auto"/>
        </w:rPr>
        <w:t>Article 12.9</w:t>
      </w:r>
      <w:r>
        <w:rPr>
          <w:rFonts w:ascii="Times New Roman" w:cs="Times New Roman" w:eastAsia="Times New Roman" w:hAnsi="Times New Roman"/>
          <w:sz w:val="18"/>
          <w:szCs w:val="18"/>
          <w:color w:val="auto"/>
        </w:rPr>
        <w:t xml:space="preserve"> above, after deduction of the expenses of the sale, shall serve for the discharge of the debts of such shareholder or for performance of such shareholder’s obligations (including debts, undertakings and contractual engagements the due date for the payment or performance of which has arrived) and the surplus, if any, shall be paid to the shareholder, his trustee, liquidator, receiver, guardians, the executors of his estate, or to his successors-in-title.</w:t>
      </w:r>
    </w:p>
    <w:p>
      <w:pPr>
        <w:spacing w:after="0" w:line="180"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12.11.</w:t>
        <w:tab/>
        <w:t>In every case of a sale following forfeiture or waiver, or for purposes of executing a lien by exercising all of the powers conferred above, the Board shall be entitled to appoint a person to sign an instrument of transfer of the shares sold, and to arrange for the registration of the name of the buyer in the Register in respect of the shares sold.</w:t>
      </w:r>
    </w:p>
    <w:p>
      <w:pPr>
        <w:spacing w:after="0" w:line="28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71" w:name="page72"/>
    <w:bookmarkEnd w:id="71"/>
    <w:p>
      <w:pPr>
        <w:jc w:val="both"/>
        <w:ind w:left="1140" w:hanging="647"/>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12.12.</w:t>
        <w:tab/>
        <w:t>An affidavit signed by the Chairman of the Board that a particular share of the Company was forfeited, waived or sold by the Company by virtue of a lien, shall serve as conclusive evidence of the facts contained therein as against any person claiming a right in the share. The purchaser of a share who relies on such affidavit shall not be obliged to investigate whether the sale, re-allotment or transfer, or the amount of consideration and the manner of application of the proceeds of the sale, were lawfully effected, and after his name has been registered in the Register he shall have a full right of title to the share and such right shall not be adversely affected by a defect or invalidity which occurred in the forfeiture, waiver, sale, re-allotment or transfer of the share.</w:t>
      </w:r>
    </w:p>
    <w:p>
      <w:pPr>
        <w:spacing w:after="0" w:line="183" w:lineRule="exact"/>
        <w:rPr>
          <w:sz w:val="20"/>
          <w:szCs w:val="20"/>
          <w:color w:val="auto"/>
        </w:rPr>
      </w:pPr>
    </w:p>
    <w:p>
      <w:pPr>
        <w:ind w:left="500" w:hanging="492"/>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AND TRANSMISSION OF SHARES</w:t>
      </w:r>
    </w:p>
    <w:p>
      <w:pPr>
        <w:spacing w:after="0" w:line="229"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No transfer of shares shall be registered unless a proper instrument of transfer is delivered to the Company or, in the case of shares registered with a transfer agent, delivered to such transfer agent or to such other place specified for this purpose by the Board. Subject to the provisions of these Articles, an instrument of transfer of a share in the Company shall be signed by the transferor and the transferee. The Board may approve other methods of recognizing the transfer of shares in order to facilitate the trading of the Company’s shares on the Nasdaq Stock Market or on any other stock exchange. The transferor shall be deemed to remain the holder of the share up until the time the name of the transferee is registered in the Register in respect of the transferred share.</w:t>
      </w:r>
    </w:p>
    <w:p>
      <w:pPr>
        <w:spacing w:after="0" w:line="187"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Insofar as the circumstances permit, the instrument of transfer of a share shall be substantially in the form set out below, or in any other form that the Board may approve.</w:t>
      </w:r>
    </w:p>
    <w:p>
      <w:pPr>
        <w:spacing w:after="0" w:line="158" w:lineRule="exact"/>
        <w:rPr>
          <w:sz w:val="20"/>
          <w:szCs w:val="20"/>
          <w:color w:val="auto"/>
        </w:rPr>
      </w:pPr>
    </w:p>
    <w:p>
      <w:pPr>
        <w:ind w:left="1140"/>
        <w:spacing w:after="0"/>
        <w:tabs>
          <w:tab w:leader="none" w:pos="1340" w:val="left"/>
          <w:tab w:leader="none" w:pos="2880" w:val="left"/>
          <w:tab w:leader="none" w:pos="3300" w:val="left"/>
          <w:tab w:leader="none" w:pos="4800" w:val="left"/>
          <w:tab w:leader="none" w:pos="5100" w:val="left"/>
          <w:tab w:leader="none" w:pos="6600" w:val="left"/>
          <w:tab w:leader="none" w:pos="7020" w:val="left"/>
          <w:tab w:leader="none" w:pos="8280" w:val="left"/>
          <w:tab w:leader="none" w:pos="8560" w:val="left"/>
          <w:tab w:leader="none" w:pos="9680" w:val="left"/>
          <w:tab w:leader="none" w:pos="10040" w:val="left"/>
          <w:tab w:leader="none" w:pos="10360" w:val="left"/>
          <w:tab w:leader="none" w:pos="11060" w:val="left"/>
        </w:tabs>
        <w:rPr>
          <w:sz w:val="20"/>
          <w:szCs w:val="20"/>
          <w:color w:val="auto"/>
        </w:rPr>
      </w:pPr>
      <w:r>
        <w:rPr>
          <w:rFonts w:ascii="Times New Roman" w:cs="Times New Roman" w:eastAsia="Times New Roman" w:hAnsi="Times New Roman"/>
          <w:sz w:val="18"/>
          <w:szCs w:val="18"/>
          <w:color w:val="auto"/>
        </w:rPr>
        <w:t>I</w:t>
        <w:tab/>
        <w:t>_______________,</w:t>
        <w:tab/>
        <w:t>I.D.</w:t>
        <w:tab/>
        <w:t>_______________</w:t>
        <w:tab/>
        <w:t>of</w:t>
        <w:tab/>
        <w:t>_______________</w:t>
        <w:tab/>
        <w:t>(the</w:t>
        <w:tab/>
        <w:t>“</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tab/>
        <w:t>in</w:t>
        <w:tab/>
        <w:t>consideration</w:t>
        <w:tab/>
        <w:t>for</w:t>
        <w:tab/>
        <w:t>an</w:t>
        <w:tab/>
        <w:t>amount</w:t>
      </w:r>
      <w:r>
        <w:rPr>
          <w:sz w:val="20"/>
          <w:szCs w:val="20"/>
          <w:color w:val="auto"/>
        </w:rPr>
        <w:tab/>
      </w:r>
      <w:r>
        <w:rPr>
          <w:rFonts w:ascii="Times New Roman" w:cs="Times New Roman" w:eastAsia="Times New Roman" w:hAnsi="Times New Roman"/>
          <w:sz w:val="16"/>
          <w:szCs w:val="16"/>
          <w:color w:val="auto"/>
        </w:rPr>
        <w:t>of</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_______________  (in  words)  paid  to  me  by  _______________  I.D.  _______________  of  _______________  (hereinafter:  the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Transferee</w:t>
      </w:r>
      <w:r>
        <w:rPr>
          <w:rFonts w:ascii="Times New Roman" w:cs="Times New Roman" w:eastAsia="Times New Roman" w:hAnsi="Times New Roman"/>
          <w:sz w:val="17"/>
          <w:szCs w:val="17"/>
          <w:color w:val="auto"/>
        </w:rPr>
        <w:t>”), hereby transfer to the Transferee _______________ ______________ shares of nominal value NIS _______________ each,</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marked with the numbers _______________ to _______________ (inclusive) of Entera Bio Ltd., to be held by the Transferee, the acquirers</w:t>
      </w:r>
    </w:p>
    <w:p>
      <w:pPr>
        <w:spacing w:after="0" w:line="9" w:lineRule="exact"/>
        <w:rPr>
          <w:sz w:val="20"/>
          <w:szCs w:val="20"/>
          <w:color w:val="auto"/>
        </w:rPr>
      </w:pPr>
    </w:p>
    <w:p>
      <w:pPr>
        <w:ind w:left="1140"/>
        <w:spacing w:after="0" w:line="260" w:lineRule="auto"/>
        <w:rPr>
          <w:sz w:val="20"/>
          <w:szCs w:val="20"/>
          <w:color w:val="auto"/>
        </w:rPr>
      </w:pPr>
      <w:r>
        <w:rPr>
          <w:rFonts w:ascii="Times New Roman" w:cs="Times New Roman" w:eastAsia="Times New Roman" w:hAnsi="Times New Roman"/>
          <w:sz w:val="18"/>
          <w:szCs w:val="18"/>
          <w:color w:val="auto"/>
        </w:rPr>
        <w:t>of his rights and his successors-in title, under all the same conditions under which I held same prior to the signing of this instrument, and I, the Transferee, hereby agree to accept the aforementioned shares in accordance with the above mentioned conditions.</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 witness whereof we have hereunto signed this _____ day of _______ 20__.</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Transferor _______________ Transferee _______________</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Witnesses to Signature _______________</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13.3.</w:t>
        <w:tab/>
        <w:t>The Company may close the transfer registers and the Register for such period of time as the Board shall deem fit.</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13.4.</w:t>
        <w:tab/>
        <w:t>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 transfer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p>
      <w:pPr>
        <w:spacing w:after="0" w:line="18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Every instrument of transfer shall relate to one class of shares only, unless the Board shall otherwise agree.</w:t>
      </w:r>
    </w:p>
    <w:p>
      <w:pPr>
        <w:spacing w:after="0" w:line="225"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13.6.</w:t>
        <w:tab/>
        <w:t xml:space="preserve">The executors of the will or administrator of a deceased shareholder’s estate (such shareholder not being one of a joint owners of a share) or, in the absence of an administrator of the estate or executor of the will, the persons specified in </w:t>
      </w:r>
      <w:r>
        <w:rPr>
          <w:rFonts w:ascii="Times New Roman" w:cs="Times New Roman" w:eastAsia="Times New Roman" w:hAnsi="Times New Roman"/>
          <w:sz w:val="18"/>
          <w:szCs w:val="18"/>
          <w:u w:val="single" w:color="auto"/>
          <w:color w:val="auto"/>
        </w:rPr>
        <w:t>Article 13.7</w:t>
      </w:r>
      <w:r>
        <w:rPr>
          <w:rFonts w:ascii="Times New Roman" w:cs="Times New Roman" w:eastAsia="Times New Roman" w:hAnsi="Times New Roman"/>
          <w:sz w:val="18"/>
          <w:szCs w:val="18"/>
          <w:color w:val="auto"/>
        </w:rPr>
        <w:t xml:space="preserve"> below, shall be entitled to demand that the Company recognize them as owners of rights in the share. The provisions of </w:t>
      </w:r>
      <w:r>
        <w:rPr>
          <w:rFonts w:ascii="Times New Roman" w:cs="Times New Roman" w:eastAsia="Times New Roman" w:hAnsi="Times New Roman"/>
          <w:sz w:val="18"/>
          <w:szCs w:val="18"/>
          <w:u w:val="single" w:color="auto"/>
          <w:color w:val="auto"/>
        </w:rPr>
        <w:t>Article 13.4</w:t>
      </w:r>
      <w:r>
        <w:rPr>
          <w:rFonts w:ascii="Times New Roman" w:cs="Times New Roman" w:eastAsia="Times New Roman" w:hAnsi="Times New Roman"/>
          <w:sz w:val="18"/>
          <w:szCs w:val="18"/>
          <w:color w:val="auto"/>
        </w:rPr>
        <w:t xml:space="preserve"> above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also in regard to this Article.</w:t>
      </w:r>
    </w:p>
    <w:p>
      <w:pPr>
        <w:spacing w:after="0" w:line="180"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13.7.</w:t>
        <w:tab/>
        <w:t xml:space="preserve">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a shareholder in accordance with these Articles, and which shall testify to his title to such shares. The provisions of </w:t>
      </w:r>
      <w:r>
        <w:rPr>
          <w:rFonts w:ascii="Times New Roman" w:cs="Times New Roman" w:eastAsia="Times New Roman" w:hAnsi="Times New Roman"/>
          <w:sz w:val="18"/>
          <w:szCs w:val="18"/>
          <w:u w:val="single" w:color="auto"/>
          <w:color w:val="auto"/>
        </w:rPr>
        <w:t>Article 13.4</w:t>
      </w:r>
      <w:r>
        <w:rPr>
          <w:rFonts w:ascii="Times New Roman" w:cs="Times New Roman" w:eastAsia="Times New Roman" w:hAnsi="Times New Roman"/>
          <w:sz w:val="18"/>
          <w:szCs w:val="18"/>
          <w:color w:val="auto"/>
        </w:rPr>
        <w:t xml:space="preserve"> above shall apply, mutatis mutandis, also in regard to this Article.</w:t>
      </w:r>
    </w:p>
    <w:p>
      <w:pPr>
        <w:spacing w:after="0" w:line="30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73" w:name="page74"/>
    <w:bookmarkEnd w:id="73"/>
    <w:p>
      <w:pPr>
        <w:jc w:val="both"/>
        <w:ind w:left="1140" w:hanging="647"/>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13.8.</w:t>
        <w:tab/>
        <w:t xml:space="preserve">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 shares. Furthermore, such shareholder may assign such shares in accordance with the rules prescribed in these Articles. The provisions of </w:t>
      </w:r>
      <w:r>
        <w:rPr>
          <w:rFonts w:ascii="Times New Roman" w:cs="Times New Roman" w:eastAsia="Times New Roman" w:hAnsi="Times New Roman"/>
          <w:sz w:val="18"/>
          <w:szCs w:val="18"/>
          <w:u w:val="single" w:color="auto"/>
          <w:color w:val="auto"/>
        </w:rPr>
        <w:t>Article 13.4</w:t>
      </w:r>
      <w:r>
        <w:rPr>
          <w:rFonts w:ascii="Times New Roman" w:cs="Times New Roman" w:eastAsia="Times New Roman" w:hAnsi="Times New Roman"/>
          <w:sz w:val="18"/>
          <w:szCs w:val="18"/>
          <w:color w:val="auto"/>
        </w:rPr>
        <w:t xml:space="preserve"> above shall apply, </w:t>
      </w:r>
      <w:r>
        <w:rPr>
          <w:rFonts w:ascii="Times New Roman" w:cs="Times New Roman" w:eastAsia="Times New Roman" w:hAnsi="Times New Roman"/>
          <w:sz w:val="18"/>
          <w:szCs w:val="18"/>
          <w:u w:val="single" w:color="auto"/>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mutandis</w:t>
      </w:r>
      <w:r>
        <w:rPr>
          <w:rFonts w:ascii="Times New Roman" w:cs="Times New Roman" w:eastAsia="Times New Roman" w:hAnsi="Times New Roman"/>
          <w:sz w:val="18"/>
          <w:szCs w:val="18"/>
          <w:color w:val="auto"/>
        </w:rPr>
        <w:t>, also in regard to this Article.</w:t>
      </w:r>
    </w:p>
    <w:p>
      <w:pPr>
        <w:spacing w:after="0" w:line="187" w:lineRule="exact"/>
        <w:rPr>
          <w:sz w:val="20"/>
          <w:szCs w:val="20"/>
          <w:color w:val="auto"/>
        </w:rPr>
      </w:pPr>
    </w:p>
    <w:p>
      <w:pPr>
        <w:jc w:val="both"/>
        <w:ind w:left="1140" w:hanging="647"/>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13.9.</w:t>
        <w:tab/>
        <w:t xml:space="preserve">A person entitled to be registered as a shareholder following a transfer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he shall not be entitled to be present or to vote at any General Meeting of the Company or, subject to the provisions of these Articles, to make use of any rights of shareholders, until he has been registered as owner of such shares in the Register.</w:t>
      </w:r>
    </w:p>
    <w:p>
      <w:pPr>
        <w:spacing w:after="0" w:line="179"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MEETING</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A General Meeting shall be held at least once every year, not later than fifteen (15) months after the last General Meeting, at such time and at such place as the Board shall determine. Such General Meeting shall be called an annual meeting, and all other meetings of the shareholders shall be called extraordinary meetings.</w:t>
      </w:r>
    </w:p>
    <w:p>
      <w:pPr>
        <w:spacing w:after="0" w:line="17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   The Board may call an extraordinary meeting whenever it sees fit to do so.</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   The Board shall be obliged to call an extraordinary meeting upon a requisition in writing in accordance with the Companies Law.</w:t>
      </w:r>
    </w:p>
    <w:p>
      <w:pPr>
        <w:spacing w:after="0" w:line="225"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The Company shall provide prior notice in regard to the holding of an annual meeting or an extraordinary meeting in accordance with the requirements of these Articles and the Companies Law. Subject to the provisions of the Companies Law, in counting the number of days of prior notice given, the day of publication of notice shall not be counted, but the day of the meeting shall be counted. The notice shall specify those items and contain such information as shall be required by the Companies Law and any other applicable law and regulations.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14.5.</w:t>
        <w:tab/>
        <w:t>Any shareholder holding at least 1% (one percent) of the outstanding voting rights in the Company requesting to add an item to the agenda of a General Meeting (a “</w:t>
      </w:r>
      <w:r>
        <w:rPr>
          <w:rFonts w:ascii="Times New Roman" w:cs="Times New Roman" w:eastAsia="Times New Roman" w:hAnsi="Times New Roman"/>
          <w:sz w:val="18"/>
          <w:szCs w:val="18"/>
          <w:b w:val="1"/>
          <w:bCs w:val="1"/>
          <w:color w:val="auto"/>
        </w:rPr>
        <w:t>Proposing Shareholder</w:t>
      </w:r>
      <w:r>
        <w:rPr>
          <w:rFonts w:ascii="Times New Roman" w:cs="Times New Roman" w:eastAsia="Times New Roman" w:hAnsi="Times New Roman"/>
          <w:sz w:val="18"/>
          <w:szCs w:val="18"/>
          <w:color w:val="auto"/>
        </w:rPr>
        <w:t>”) may submit such a request in accordance with the Companies Law (a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Subject to any requirements under the Companies Law, to be considered timely and thereby be added to such agenda,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 (120) days prior to such annual meeting and no later than the close of business on the later of ninety (90) days prior to such annual</w:t>
      </w:r>
    </w:p>
    <w:p>
      <w:pPr>
        <w:spacing w:after="0" w:line="6" w:lineRule="exact"/>
        <w:rPr>
          <w:sz w:val="20"/>
          <w:szCs w:val="20"/>
          <w:color w:val="auto"/>
        </w:rPr>
      </w:pPr>
    </w:p>
    <w:p>
      <w:pPr>
        <w:ind w:left="640"/>
        <w:spacing w:after="0" w:line="209" w:lineRule="auto"/>
        <w:rPr>
          <w:sz w:val="20"/>
          <w:szCs w:val="20"/>
          <w:color w:val="auto"/>
        </w:rPr>
      </w:pPr>
      <w:r>
        <w:rPr>
          <w:rFonts w:ascii="Times New Roman" w:cs="Times New Roman" w:eastAsia="Times New Roman" w:hAnsi="Times New Roman"/>
          <w:sz w:val="18"/>
          <w:szCs w:val="18"/>
          <w:color w:val="auto"/>
        </w:rPr>
        <w:t>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and (ii) in the case of a General Meeting that is an extraordinary meeting, no earlier than one-hundred twenty (120) days prior to such extraordinary</w:t>
      </w:r>
    </w:p>
    <w:p>
      <w:pPr>
        <w:spacing w:after="0" w:line="2" w:lineRule="exact"/>
        <w:rPr>
          <w:sz w:val="20"/>
          <w:szCs w:val="20"/>
          <w:color w:val="auto"/>
        </w:rPr>
      </w:pPr>
    </w:p>
    <w:p>
      <w:pPr>
        <w:ind w:left="640"/>
        <w:spacing w:after="0" w:line="209" w:lineRule="auto"/>
        <w:rPr>
          <w:sz w:val="20"/>
          <w:szCs w:val="20"/>
          <w:color w:val="auto"/>
        </w:rPr>
      </w:pPr>
      <w:r>
        <w:rPr>
          <w:rFonts w:ascii="Times New Roman" w:cs="Times New Roman" w:eastAsia="Times New Roman" w:hAnsi="Times New Roman"/>
          <w:sz w:val="18"/>
          <w:szCs w:val="18"/>
          <w:color w:val="auto"/>
        </w:rPr>
        <w:t>meeting and no later than the close of business on the later of sixty (60) days prior to such extraordinary meeting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subject to applicable law.</w:t>
      </w:r>
    </w:p>
    <w:p>
      <w:pPr>
        <w:spacing w:after="0" w:line="200"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14.6.</w:t>
        <w:tab/>
        <w:t xml:space="preserve">Such request to add an item to the agenda of the General Meeting shall also set forth: (i) the name and address of the Proposing Shareholder making the request; (ii) a representation that the Proposing Shareholder is a beneficial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 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w:t>
      </w:r>
      <w:r>
        <w:rPr>
          <w:rFonts w:ascii="Times New Roman" w:cs="Times New Roman" w:eastAsia="Times New Roman" w:hAnsi="Times New Roman"/>
          <w:sz w:val="18"/>
          <w:szCs w:val="18"/>
          <w:u w:val="single" w:color="auto"/>
          <w:color w:val="auto"/>
        </w:rPr>
        <w:t>Article 14.6</w:t>
      </w:r>
      <w:r>
        <w:rPr>
          <w:rFonts w:ascii="Times New Roman" w:cs="Times New Roman" w:eastAsia="Times New Roman" w:hAnsi="Times New Roman"/>
          <w:sz w:val="18"/>
          <w:szCs w:val="18"/>
          <w:color w:val="auto"/>
        </w:rPr>
        <w:t xml:space="preserve"> shall be updated as of the record date of the General Meeting, five (5) Business Days before the General Meeting, and any adjournment or postponement thereof.</w:t>
      </w:r>
    </w:p>
    <w:p>
      <w:pPr>
        <w:spacing w:after="0" w:line="29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75" w:name="page76"/>
    <w:bookmarkEnd w:id="75"/>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14.7.</w:t>
        <w:tab/>
        <w:t>A “</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 (c) 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p>
      <w:pPr>
        <w:spacing w:after="0" w:line="194"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14.8.</w:t>
        <w:tab/>
        <w:t xml:space="preserve">Subject to </w:t>
      </w:r>
      <w:r>
        <w:rPr>
          <w:rFonts w:ascii="Times New Roman" w:cs="Times New Roman" w:eastAsia="Times New Roman" w:hAnsi="Times New Roman"/>
          <w:sz w:val="18"/>
          <w:szCs w:val="18"/>
          <w:u w:val="single" w:color="auto"/>
          <w:color w:val="auto"/>
        </w:rPr>
        <w:t>Article 15.9</w:t>
      </w:r>
      <w:r>
        <w:rPr>
          <w:rFonts w:ascii="Times New Roman" w:cs="Times New Roman" w:eastAsia="Times New Roman" w:hAnsi="Times New Roman"/>
          <w:sz w:val="18"/>
          <w:szCs w:val="18"/>
          <w:color w:val="auto"/>
        </w:rPr>
        <w:t xml:space="preserve"> below, in the event that the Company has established that an adjourned meeting shall be held on such date which is later than the date provided for in Section 78(b) of the Companies Law, such later date shall be included in the notice. The Company may add additional places for shareholders to review the full text of the proposed resolutions, including an internet site. The notice shall be provided in the manner prescribed in </w:t>
      </w:r>
      <w:r>
        <w:rPr>
          <w:rFonts w:ascii="Times New Roman" w:cs="Times New Roman" w:eastAsia="Times New Roman" w:hAnsi="Times New Roman"/>
          <w:sz w:val="18"/>
          <w:szCs w:val="18"/>
          <w:u w:val="single" w:color="auto"/>
          <w:color w:val="auto"/>
        </w:rPr>
        <w:t>Article 29</w:t>
      </w:r>
      <w:r>
        <w:rPr>
          <w:rFonts w:ascii="Times New Roman" w:cs="Times New Roman" w:eastAsia="Times New Roman" w:hAnsi="Times New Roman"/>
          <w:sz w:val="18"/>
          <w:szCs w:val="18"/>
          <w:color w:val="auto"/>
        </w:rPr>
        <w:t xml:space="preserve"> below. In no event shall the public announcement of an adjournment or postponement of a General Meeting commence a new time period (or extend any time period) for the giving of a shareholder’s notice as described above.</w:t>
      </w:r>
    </w:p>
    <w:p>
      <w:pPr>
        <w:spacing w:after="0" w:line="29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5" w:right="339" w:bottom="1440" w:gutter="0" w:footer="0" w:header="0"/>
        </w:sectPr>
      </w:pPr>
    </w:p>
    <w:bookmarkStart w:id="76" w:name="page77"/>
    <w:bookmarkEnd w:id="76"/>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14.9.</w:t>
        <w:tab/>
        <w:t xml:space="preserve">Subject to any requirements under the Companies Law, nominations of persons for election to the Board may be made at an extraordinary meeting only if directors are to be elected at such meeting (a) by or at the direction of the Board, or (b) by any shareholder who is entitled to vote at the meeting and who complies with the notice procedures set forth in </w:t>
      </w:r>
      <w:r>
        <w:rPr>
          <w:rFonts w:ascii="Times New Roman" w:cs="Times New Roman" w:eastAsia="Times New Roman" w:hAnsi="Times New Roman"/>
          <w:sz w:val="18"/>
          <w:szCs w:val="18"/>
          <w:u w:val="single" w:color="auto"/>
          <w:color w:val="auto"/>
        </w:rPr>
        <w:t>Article 14.6</w:t>
      </w:r>
      <w:r>
        <w:rPr>
          <w:rFonts w:ascii="Times New Roman" w:cs="Times New Roman" w:eastAsia="Times New Roman" w:hAnsi="Times New Roman"/>
          <w:sz w:val="18"/>
          <w:szCs w:val="18"/>
          <w:color w:val="auto"/>
        </w:rPr>
        <w:t xml:space="preserve"> above.</w:t>
      </w:r>
    </w:p>
    <w:p>
      <w:pPr>
        <w:spacing w:after="0" w:line="172" w:lineRule="exact"/>
        <w:rPr>
          <w:sz w:val="20"/>
          <w:szCs w:val="20"/>
          <w:color w:val="auto"/>
        </w:rPr>
      </w:pPr>
    </w:p>
    <w:p>
      <w:pPr>
        <w:ind w:left="500" w:hanging="492"/>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AT GENERAL MEETING</w:t>
      </w:r>
    </w:p>
    <w:p>
      <w:pPr>
        <w:spacing w:after="0" w:line="229"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No business shall be conducted at a General Meeting unless a quorum is present, and no resolution shall be passed unless a quorum is present at the time the resolution is voted on. Except in cases where it is otherwise stipulated, a quorum shall be constituted when there are personally present, or represented by proxy, at least two (2) shareholders who hold, in the aggregate, at least 25% of the voting rights in the Company. A proxy may be deemed to be two (2) or more shareholders pursuant to the number of shareholders he represents.</w:t>
      </w:r>
    </w:p>
    <w:p>
      <w:pPr>
        <w:spacing w:after="0" w:line="179"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 If within half an hour from the time appointed for the meeting, a quorum is not present, without there being an obligation to notify the shareholders to that effect, the meeting shall be adjourned to the same day in the following week, at the same hour and at the same place or to a later time and date if so specified in the notice of the meeting, unless such day shall fall on a statutory holiday (either in Israel or in the United States), in which case the meeting will be adjourned to the first Business Day afterwards.</w:t>
      </w:r>
    </w:p>
    <w:p>
      <w:pPr>
        <w:spacing w:after="0" w:line="17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 If the original meeting was convened upon requisition under Section 63 of the Companies Law, one or more shareholders, present in person or by proxy and holding the number of shares required for making such requisition, shall constitute a quorum at the adjourned meeting, but in any other case any two (2) shareholders present in person or by proxy shall constitute a quorum at the adjourned meeting.</w:t>
      </w:r>
    </w:p>
    <w:p>
      <w:pPr>
        <w:spacing w:after="0" w:line="17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The Chairman of the Board, or any other person appointed for this purpose by the Board, shall preside at every General Meeting. If within fifteen (15) minutes from the time appointed for the meeting, the designated chairman for the meeting shall not be present, the shareholders present at the meeting shall elect one of their number to serve as chairman of the meeting.</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15.5.</w:t>
        <w:tab/>
        <w:t>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p>
      <w:pPr>
        <w:spacing w:after="0" w:line="18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15.6.</w:t>
        <w:tab/>
        <w:t>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for which the poll was demanded. A person demanding a poll may withdraw his demand prior to the poll being held.</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15.7.</w:t>
        <w:tab/>
        <w:t>A demand for the holding of a poll shall not prevent the continued business of the meeting on all other questions apart of the question in respect of which a poll was demanded.</w:t>
      </w:r>
    </w:p>
    <w:p>
      <w:pPr>
        <w:spacing w:after="0" w:line="162"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15.8.</w:t>
        <w:tab/>
        <w:t>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p>
      <w:pPr>
        <w:spacing w:after="0" w:line="180"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15.9.</w:t>
        <w:tab/>
        <w:t>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 one (21) days, in which case notice thereof shall be given in the manner required for the meeting as originally called. Where a General Meeting has been adjourned without changing its agenda, to a date which is not more than twenty one</w:t>
      </w:r>
    </w:p>
    <w:p>
      <w:pPr>
        <w:spacing w:after="0" w:line="5" w:lineRule="exact"/>
        <w:rPr>
          <w:sz w:val="20"/>
          <w:szCs w:val="20"/>
          <w:color w:val="auto"/>
        </w:rPr>
      </w:pPr>
    </w:p>
    <w:p>
      <w:pPr>
        <w:ind w:left="640" w:firstLine="2"/>
        <w:spacing w:after="0" w:line="260" w:lineRule="auto"/>
        <w:tabs>
          <w:tab w:leader="none" w:pos="10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notices shall be given for the new date, as early as possible, and by no later than seventy two (72) hours before the General Meeting.</w:t>
      </w:r>
    </w:p>
    <w:p>
      <w:pPr>
        <w:spacing w:after="0" w:line="28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78" w:name="page79"/>
    <w:bookmarkEnd w:id="78"/>
    <w:p>
      <w:pPr>
        <w:ind w:left="500" w:hanging="492"/>
        <w:spacing w:after="0"/>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16.1.   The voting rights of every shareholder entitled to vote at a General Meeting shall be as set forth in </w:t>
      </w:r>
      <w:r>
        <w:rPr>
          <w:rFonts w:ascii="Times New Roman" w:cs="Times New Roman" w:eastAsia="Times New Roman" w:hAnsi="Times New Roman"/>
          <w:sz w:val="18"/>
          <w:szCs w:val="18"/>
          <w:u w:val="single" w:color="auto"/>
          <w:color w:val="auto"/>
        </w:rPr>
        <w:t>Article 6.1</w:t>
      </w:r>
      <w:r>
        <w:rPr>
          <w:rFonts w:ascii="Times New Roman" w:cs="Times New Roman" w:eastAsia="Times New Roman" w:hAnsi="Times New Roman"/>
          <w:sz w:val="18"/>
          <w:szCs w:val="18"/>
          <w:color w:val="auto"/>
        </w:rPr>
        <w:t xml:space="preserve"> of these Articles.</w:t>
      </w:r>
    </w:p>
    <w:p>
      <w:pPr>
        <w:spacing w:after="0" w:line="22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p>
      <w:pPr>
        <w:spacing w:after="0" w:line="175"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A shareholder who is an Incapacitated Person may vote solely through his guardian or other person who fulfills the function of such guardian and who was appointed by a court, and any guardian or other person as aforesaid shall be entitled to vote by way of a proxy, or in such manner as the court directs.</w:t>
      </w:r>
    </w:p>
    <w:p>
      <w:pPr>
        <w:spacing w:after="0" w:line="175"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person as aforesaid shall be entitled, on behalf of the corporation whom he represents, to exercise all of the same powers and authorities which the corporation itself could have exercised had it been a natural person holding shares of the Company.</w:t>
      </w:r>
    </w:p>
    <w:p>
      <w:pPr>
        <w:spacing w:after="0" w:line="187"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Every shareholder who is entitled to attend and vote at a General Meeting of the Company shall be entitled to appoint a proxy. A proxy can be appointed by more than one shareholder and vote in different ways on behalf of each principal.</w:t>
      </w:r>
    </w:p>
    <w:p>
      <w:pPr>
        <w:spacing w:after="0" w:line="161"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16.7.</w:t>
        <w:tab/>
        <w:t>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Notwithstanding the above, the chairman of the meeting shall have the right to waive the time requirement provided above with respect to all instruments of proxies and to accept any and all instruments of proxy until the beginning of a General Meeting. A document appointing a proxy shall be valid for every adjourned meeting of the General Meeting to which the document relates.</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16.8.</w:t>
        <w:tab/>
        <w:t>Every instrument appointing a proxy, whether for a meeting specifically indicated, or otherwise, shall, as far as circumstances permit, be substantially in the following form, or in any other form approved by the Board: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______________ of ______________ being a shareholder holding shares in Entera Bio Ltd., hereby appoint Mr. ______________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______________ or failing him, Mr. ______________ of ______________, or failing him, Mr. ______________ of ______________, to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vote in my name, place and stead at the (annual/extraordinary) General Meeting of the Company to be held on the ____ of ______ 20__,</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at any adjourned meeting thereof.</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I have hereto set my hand on the _____ day of _____.</w:t>
      </w:r>
    </w:p>
    <w:p>
      <w:pPr>
        <w:spacing w:after="0" w:line="225"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16.9.</w:t>
        <w:tab/>
        <w:t>No shareholder shall be entitled to vote at a General Meeting unless he has paid all of the calls and all of the amounts due from him, for the time being, in respect of his shares.</w:t>
      </w:r>
    </w:p>
    <w:p>
      <w:pPr>
        <w:spacing w:after="0" w:line="16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16.10.</w:t>
        <w:tab/>
        <w:t>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p>
      <w:pPr>
        <w:spacing w:after="0" w:line="17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16.11.</w:t>
        <w:tab/>
        <w:t xml:space="preserve">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provided such notice of cancellation or instrument appointing a different proxy were so received at the place and within the time for delivery of the instrument revoked thereby as referred to in </w:t>
      </w:r>
      <w:r>
        <w:rPr>
          <w:rFonts w:ascii="Times New Roman" w:cs="Times New Roman" w:eastAsia="Times New Roman" w:hAnsi="Times New Roman"/>
          <w:sz w:val="18"/>
          <w:szCs w:val="18"/>
          <w:u w:val="single" w:color="auto"/>
          <w:color w:val="auto"/>
        </w:rPr>
        <w:t>Article 16.7</w:t>
      </w:r>
      <w:r>
        <w:rPr>
          <w:rFonts w:ascii="Times New Roman" w:cs="Times New Roman" w:eastAsia="Times New Roman" w:hAnsi="Times New Roman"/>
          <w:sz w:val="18"/>
          <w:szCs w:val="18"/>
          <w:color w:val="auto"/>
        </w:rPr>
        <w:t xml:space="preserve"> above,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w:t>
      </w:r>
      <w:r>
        <w:rPr>
          <w:rFonts w:ascii="Times New Roman" w:cs="Times New Roman" w:eastAsia="Times New Roman" w:hAnsi="Times New Roman"/>
          <w:sz w:val="18"/>
          <w:szCs w:val="18"/>
          <w:u w:val="single" w:color="auto"/>
          <w:color w:val="auto"/>
        </w:rPr>
        <w:t>Article 16.11</w:t>
      </w:r>
      <w:r>
        <w:rPr>
          <w:rFonts w:ascii="Times New Roman" w:cs="Times New Roman" w:eastAsia="Times New Roman" w:hAnsi="Times New Roman"/>
          <w:sz w:val="18"/>
          <w:szCs w:val="18"/>
          <w:color w:val="auto"/>
        </w:rPr>
        <w:t xml:space="preserve"> at or prior to the time such vote was cast.</w:t>
      </w:r>
    </w:p>
    <w:p>
      <w:pPr>
        <w:spacing w:after="0" w:line="30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80" w:name="page81"/>
    <w:bookmarkEnd w:id="80"/>
    <w:p>
      <w:pPr>
        <w:ind w:left="500" w:hanging="492"/>
        <w:spacing w:after="0"/>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Unless otherwise resolved by a resolution of the General Meeting, the prescribed number of directors of the Company shall be between three (3) and ten (10) (including the External Directors), as may be fixed from time to time by the Board. Any director shall be eligible for re-election upon termination of his term of office, subject to applicable law.</w:t>
      </w:r>
    </w:p>
    <w:p>
      <w:pPr>
        <w:spacing w:after="0" w:line="175"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17.2The directors of the Company (other than any External Directors elected pursuant to the Companies Law) shall be divided into three classes, designated class I, class II and class III. Each class of directors shall consist, as nearly as possible as determined by the Board, of one-third of the total number of directors constituting the entire Board (excluding the External Directors). The first term of office of the class I directors shall expire at the annual General Meeting occurring in 2018; the first term of office of the class II directors shall expire at the annual General Meeting in 2019; and the first term of office of the class III directors shall expire at the annual General Meeting in 2020. Any director whose term has expired may be reelected to the Board except as provided by applicable law.</w:t>
      </w:r>
    </w:p>
    <w:p>
      <w:pPr>
        <w:spacing w:after="0" w:line="187" w:lineRule="exact"/>
        <w:rPr>
          <w:rFonts w:ascii="Times New Roman" w:cs="Times New Roman" w:eastAsia="Times New Roman" w:hAnsi="Times New Roman"/>
          <w:sz w:val="18"/>
          <w:szCs w:val="18"/>
          <w:color w:val="auto"/>
        </w:rPr>
      </w:pPr>
    </w:p>
    <w:p>
      <w:pPr>
        <w:ind w:left="11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2018 and forward, each year the term of office of only one class of directors will expire (i.e., the term of office of Class I will initially expire at the annual General Meeting held in 2018 and thereafter at the annual General Meeting in 2021, 2024 etc.). A director shall hold office until the annual General Meeting for the year in which the term of the class to which he belongs expires.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Upon a change in the number of directors (other than as a result of a vacancy), in accordance with the provisions hereof, any increase or decrease shall be apportioned by the Board at their discretion among the classes so as to maintain the number of directors in each class as nearly equal as possible.</w:t>
      </w:r>
    </w:p>
    <w:p>
      <w:pPr>
        <w:spacing w:after="0" w:line="17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8"/>
          <w:szCs w:val="18"/>
          <w:color w:val="auto"/>
        </w:rPr>
        <w:t>Any director shall assume his or her position as director on the date of his or her election to the Board, unless a later date has been designated in the resolution appointing such director.</w:t>
      </w:r>
    </w:p>
    <w:p>
      <w:pPr>
        <w:spacing w:after="0" w:line="162"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 xml:space="preserve">The Board shall have power at any time and from time to time to appoint any person to be a director, either to fill an occasional vacancy or as an addition to the existing Board, so long as the total number of directors shall not at any time exceed the maximum number prescribed by the Articles and shall place any such new director in a class so that each class is as nearly equal as possible. Such Board-appointed director (or directors) shall hold office until replaced in the manner set out in </w:t>
      </w:r>
      <w:r>
        <w:rPr>
          <w:rFonts w:ascii="Times New Roman" w:cs="Times New Roman" w:eastAsia="Times New Roman" w:hAnsi="Times New Roman"/>
          <w:sz w:val="18"/>
          <w:szCs w:val="18"/>
          <w:u w:val="single" w:color="auto"/>
          <w:color w:val="auto"/>
        </w:rPr>
        <w:t>Articles 17.2 and 17.3</w:t>
      </w:r>
      <w:r>
        <w:rPr>
          <w:rFonts w:ascii="Times New Roman" w:cs="Times New Roman" w:eastAsia="Times New Roman" w:hAnsi="Times New Roman"/>
          <w:sz w:val="18"/>
          <w:szCs w:val="18"/>
          <w:color w:val="auto"/>
        </w:rPr>
        <w:t xml:space="preserve"> above. This </w:t>
      </w:r>
      <w:r>
        <w:rPr>
          <w:rFonts w:ascii="Times New Roman" w:cs="Times New Roman" w:eastAsia="Times New Roman" w:hAnsi="Times New Roman"/>
          <w:sz w:val="18"/>
          <w:szCs w:val="18"/>
          <w:u w:val="single" w:color="auto"/>
          <w:color w:val="auto"/>
        </w:rPr>
        <w:t>Article 17.6</w:t>
      </w:r>
      <w:r>
        <w:rPr>
          <w:rFonts w:ascii="Times New Roman" w:cs="Times New Roman" w:eastAsia="Times New Roman" w:hAnsi="Times New Roman"/>
          <w:sz w:val="18"/>
          <w:szCs w:val="18"/>
          <w:color w:val="auto"/>
        </w:rPr>
        <w:t xml:space="preserve"> shall not apply to a vacated office of an External Director, which may be filled only in accordance with </w:t>
      </w:r>
      <w:r>
        <w:rPr>
          <w:rFonts w:ascii="Times New Roman" w:cs="Times New Roman" w:eastAsia="Times New Roman" w:hAnsi="Times New Roman"/>
          <w:sz w:val="18"/>
          <w:szCs w:val="18"/>
          <w:u w:val="single" w:color="auto"/>
          <w:color w:val="auto"/>
        </w:rPr>
        <w:t>Article 17.11</w:t>
      </w:r>
      <w:r>
        <w:rPr>
          <w:rFonts w:ascii="Times New Roman" w:cs="Times New Roman" w:eastAsia="Times New Roman" w:hAnsi="Times New Roman"/>
          <w:sz w:val="18"/>
          <w:szCs w:val="18"/>
          <w:color w:val="auto"/>
        </w:rPr>
        <w:t xml:space="preserve"> below, unless there are two (2) or more External Directors in office at that time in addition to the vacated office.</w:t>
      </w:r>
    </w:p>
    <w:p>
      <w:pPr>
        <w:spacing w:after="0" w:line="187"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17.7.</w:t>
        <w:tab/>
        <w:t>Prior to every annual General Meeting of the Company, the Board (or a committee of the Board) may select, via a resolution adopted by a majority of the Board (or such committee), a number of persons to be proposed to the shareholders for election as directors at such annual General Meeting (the “</w:t>
      </w:r>
      <w:r>
        <w:rPr>
          <w:rFonts w:ascii="Times New Roman" w:cs="Times New Roman" w:eastAsia="Times New Roman" w:hAnsi="Times New Roman"/>
          <w:sz w:val="18"/>
          <w:szCs w:val="18"/>
          <w:b w:val="1"/>
          <w:bCs w:val="1"/>
          <w:color w:val="auto"/>
        </w:rPr>
        <w:t>Nominees</w:t>
      </w:r>
      <w:r>
        <w:rPr>
          <w:rFonts w:ascii="Times New Roman" w:cs="Times New Roman" w:eastAsia="Times New Roman" w:hAnsi="Times New Roman"/>
          <w:sz w:val="18"/>
          <w:szCs w:val="18"/>
          <w:color w:val="auto"/>
        </w:rPr>
        <w:t>”). Any shareholder entitled under applicable law to propose one or more persons as nominees for election as directors at a General Meeting (each such nominee, an “</w:t>
      </w:r>
      <w:r>
        <w:rPr>
          <w:rFonts w:ascii="Times New Roman" w:cs="Times New Roman" w:eastAsia="Times New Roman" w:hAnsi="Times New Roman"/>
          <w:sz w:val="18"/>
          <w:szCs w:val="18"/>
          <w:b w:val="1"/>
          <w:bCs w:val="1"/>
          <w:color w:val="auto"/>
        </w:rPr>
        <w:t>Alternate Nominee</w:t>
      </w:r>
      <w:r>
        <w:rPr>
          <w:rFonts w:ascii="Times New Roman" w:cs="Times New Roman" w:eastAsia="Times New Roman" w:hAnsi="Times New Roman"/>
          <w:sz w:val="18"/>
          <w:szCs w:val="18"/>
          <w:color w:val="auto"/>
        </w:rPr>
        <w:t xml:space="preserve">”) may make such proposal only if a written notice of such shareholder’s intent to that effect has been given to the Secretary of the Company (or, if there is no such Secretary, the Chief Executive Officer) within the periods set out in </w:t>
      </w:r>
      <w:r>
        <w:rPr>
          <w:rFonts w:ascii="Times New Roman" w:cs="Times New Roman" w:eastAsia="Times New Roman" w:hAnsi="Times New Roman"/>
          <w:sz w:val="18"/>
          <w:szCs w:val="18"/>
          <w:u w:val="single" w:color="auto"/>
          <w:color w:val="auto"/>
        </w:rPr>
        <w:t>Article 14.5</w:t>
      </w:r>
      <w:r>
        <w:rPr>
          <w:rFonts w:ascii="Times New Roman" w:cs="Times New Roman" w:eastAsia="Times New Roman" w:hAnsi="Times New Roman"/>
          <w:sz w:val="18"/>
          <w:szCs w:val="18"/>
          <w:color w:val="auto"/>
        </w:rPr>
        <w:t xml:space="preserve"> above. Each such notice shall set forth: (a) the name and address of the shareholder who intends to make the nomination and of the Alternate Nominees; (b) a representation that the shareholder is a beneficial holder of shares of the Company entitled to vote at such meeting (including the number of shares held beneficially by the shareholder) and intends to appear in person or by proxy at the meeting to nominate the Alternate Nominees; (c) a description of all arrangements or understandings between the shareholder and each Alternate Nominee and any other person or persons (naming such person or persons) pursuant to which the nomination or nominations are to be made by the shareholder; (d) the consent of each Alternate Nominee to serve as a director of the Company if so elected and (e) a declaration signed by each Alternate Nominee declaring that there is no limitation under the Companies Law for the appointment of such a nominee and that all of the information that is required under the Companies Law to be provided to the Company in connection with such an appointment has been provided. The Nominees or Alternate Nominees shall be elected by a resolution at the annual General Meeting at which they are subject to election. The Board may refuse to acknowledge the nomination of any person not made in compliance with the foregoing procedure.</w:t>
      </w:r>
    </w:p>
    <w:p>
      <w:pPr>
        <w:spacing w:after="0" w:line="30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82" w:name="page83"/>
    <w:bookmarkEnd w:id="82"/>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17.8.</w:t>
        <w:tab/>
        <w:t>The directors in their capacity as such shall be entitled to receive remuneration as shall be determined in compliance with the Companies Law. The conditions (including remuneration) of the terms of office of members of the Board shall be decided by the Board or any committee thereof, but the same shall be valid only if ratified in the manner required under the Companies Law, if required to be ratified. The remuneration of directors may be fixed as an overall payment or other consideration or as a payment or other consideration in respect of attendance at meetings of the Board,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p>
      <w:pPr>
        <w:spacing w:after="0" w:line="192"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17.9.</w:t>
        <w:tab/>
        <w:t xml:space="preserve">Subject to the provisions of the Companies Law with regard to External Directors and subject to </w:t>
      </w:r>
      <w:r>
        <w:rPr>
          <w:rFonts w:ascii="Times New Roman" w:cs="Times New Roman" w:eastAsia="Times New Roman" w:hAnsi="Times New Roman"/>
          <w:sz w:val="18"/>
          <w:szCs w:val="18"/>
          <w:u w:val="single" w:color="auto"/>
          <w:color w:val="auto"/>
        </w:rPr>
        <w:t>Article 17.2 and 17.3</w:t>
      </w:r>
      <w:r>
        <w:rPr>
          <w:rFonts w:ascii="Times New Roman" w:cs="Times New Roman" w:eastAsia="Times New Roman" w:hAnsi="Times New Roman"/>
          <w:sz w:val="18"/>
          <w:szCs w:val="18"/>
          <w:color w:val="auto"/>
        </w:rPr>
        <w:t xml:space="preserve"> above, the office of a member of the Board shall be vacated in any one of the following events:</w:t>
      </w:r>
    </w:p>
    <w:p>
      <w:pPr>
        <w:spacing w:after="0" w:line="16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7"/>
          <w:szCs w:val="17"/>
          <w:color w:val="auto"/>
        </w:rPr>
        <w:t>if he resigns his office by way of a letter signed by him, lodged at the Office;</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17.9.2.</w:t>
      </w:r>
      <w:r>
        <w:rPr>
          <w:sz w:val="20"/>
          <w:szCs w:val="20"/>
          <w:color w:val="auto"/>
        </w:rPr>
        <w:tab/>
      </w:r>
      <w:r>
        <w:rPr>
          <w:rFonts w:ascii="Times New Roman" w:cs="Times New Roman" w:eastAsia="Times New Roman" w:hAnsi="Times New Roman"/>
          <w:sz w:val="17"/>
          <w:szCs w:val="17"/>
          <w:color w:val="auto"/>
        </w:rPr>
        <w:t>if he is declared bankrupt;</w:t>
      </w:r>
    </w:p>
    <w:p>
      <w:pPr>
        <w:spacing w:after="0" w:line="33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83" w:name="page84"/>
    <w:bookmarkEnd w:id="83"/>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17.9.3.</w:t>
      </w:r>
      <w:r>
        <w:rPr>
          <w:sz w:val="20"/>
          <w:szCs w:val="20"/>
          <w:color w:val="auto"/>
        </w:rPr>
        <w:tab/>
      </w:r>
      <w:r>
        <w:rPr>
          <w:rFonts w:ascii="Times New Roman" w:cs="Times New Roman" w:eastAsia="Times New Roman" w:hAnsi="Times New Roman"/>
          <w:sz w:val="17"/>
          <w:szCs w:val="17"/>
          <w:color w:val="auto"/>
        </w:rPr>
        <w:t>if he becomes insane or unsound of mind;</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17.9.4.</w:t>
      </w:r>
      <w:r>
        <w:rPr>
          <w:sz w:val="20"/>
          <w:szCs w:val="20"/>
          <w:color w:val="auto"/>
        </w:rPr>
        <w:tab/>
      </w:r>
      <w:r>
        <w:rPr>
          <w:rFonts w:ascii="Times New Roman" w:cs="Times New Roman" w:eastAsia="Times New Roman" w:hAnsi="Times New Roman"/>
          <w:sz w:val="17"/>
          <w:szCs w:val="17"/>
          <w:color w:val="auto"/>
        </w:rPr>
        <w:t>upon his death;</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17.9.5.</w:t>
      </w:r>
      <w:r>
        <w:rPr>
          <w:sz w:val="20"/>
          <w:szCs w:val="20"/>
          <w:color w:val="auto"/>
        </w:rPr>
        <w:tab/>
      </w:r>
      <w:r>
        <w:rPr>
          <w:rFonts w:ascii="Times New Roman" w:cs="Times New Roman" w:eastAsia="Times New Roman" w:hAnsi="Times New Roman"/>
          <w:sz w:val="17"/>
          <w:szCs w:val="17"/>
          <w:color w:val="auto"/>
        </w:rPr>
        <w:t>if he is prevented by applicable law from serving as a director of the Company;</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17.9.6.</w:t>
      </w:r>
      <w:r>
        <w:rPr>
          <w:sz w:val="20"/>
          <w:szCs w:val="20"/>
          <w:color w:val="auto"/>
        </w:rPr>
        <w:tab/>
      </w:r>
      <w:r>
        <w:rPr>
          <w:rFonts w:ascii="Times New Roman" w:cs="Times New Roman" w:eastAsia="Times New Roman" w:hAnsi="Times New Roman"/>
          <w:sz w:val="17"/>
          <w:szCs w:val="17"/>
          <w:color w:val="auto"/>
        </w:rPr>
        <w:t>if the Board terminates his office according to Section 231 of the Companies Law;</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17.9.7.</w:t>
      </w:r>
      <w:r>
        <w:rPr>
          <w:sz w:val="20"/>
          <w:szCs w:val="20"/>
          <w:color w:val="auto"/>
        </w:rPr>
        <w:tab/>
      </w:r>
      <w:r>
        <w:rPr>
          <w:rFonts w:ascii="Times New Roman" w:cs="Times New Roman" w:eastAsia="Times New Roman" w:hAnsi="Times New Roman"/>
          <w:sz w:val="17"/>
          <w:szCs w:val="17"/>
          <w:color w:val="auto"/>
        </w:rPr>
        <w:t>if a court order is given in accordance with Section 233 of the Companies Law;</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17.9.8.</w:t>
        <w:tab/>
        <w:t>if he is removed from office by a resolution at a General Meeting of the Company adopted by a majority of the voting power in the Company; or</w:t>
      </w:r>
    </w:p>
    <w:p>
      <w:pPr>
        <w:spacing w:after="0" w:line="16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17.9.9.</w:t>
      </w:r>
      <w:r>
        <w:rPr>
          <w:sz w:val="20"/>
          <w:szCs w:val="20"/>
          <w:color w:val="auto"/>
        </w:rPr>
        <w:tab/>
      </w:r>
      <w:r>
        <w:rPr>
          <w:rFonts w:ascii="Times New Roman" w:cs="Times New Roman" w:eastAsia="Times New Roman" w:hAnsi="Times New Roman"/>
          <w:sz w:val="17"/>
          <w:szCs w:val="17"/>
          <w:color w:val="auto"/>
        </w:rPr>
        <w:t>if his period of office has terminated in accordance with the provisions of these Articles.</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17.10.</w:t>
        <w:tab/>
        <w:t xml:space="preserve">If the office of a member of the Board should be vacated, the remaining members of the Board shall be entitled to continue to act for all purposes for as long as their number does not fall below the minimum, as prescribed in </w:t>
      </w:r>
      <w:r>
        <w:rPr>
          <w:rFonts w:ascii="Times New Roman" w:cs="Times New Roman" w:eastAsia="Times New Roman" w:hAnsi="Times New Roman"/>
          <w:sz w:val="18"/>
          <w:szCs w:val="18"/>
          <w:u w:val="single" w:color="auto"/>
          <w:color w:val="auto"/>
        </w:rPr>
        <w:t>Article 17.1</w:t>
      </w:r>
      <w:r>
        <w:rPr>
          <w:rFonts w:ascii="Times New Roman" w:cs="Times New Roman" w:eastAsia="Times New Roman" w:hAnsi="Times New Roman"/>
          <w:sz w:val="18"/>
          <w:szCs w:val="18"/>
          <w:color w:val="auto"/>
        </w:rPr>
        <w:t xml:space="preserve"> above, without limiting their right to fill the vacancy at any time in accordance with </w:t>
      </w:r>
      <w:r>
        <w:rPr>
          <w:rFonts w:ascii="Times New Roman" w:cs="Times New Roman" w:eastAsia="Times New Roman" w:hAnsi="Times New Roman"/>
          <w:sz w:val="18"/>
          <w:szCs w:val="18"/>
          <w:u w:val="single" w:color="auto"/>
          <w:color w:val="auto"/>
        </w:rPr>
        <w:t>Article 17.6</w:t>
      </w:r>
      <w:r>
        <w:rPr>
          <w:rFonts w:ascii="Times New Roman" w:cs="Times New Roman" w:eastAsia="Times New Roman" w:hAnsi="Times New Roman"/>
          <w:sz w:val="18"/>
          <w:szCs w:val="18"/>
          <w:color w:val="auto"/>
        </w:rPr>
        <w:t xml:space="preserve"> above. Should their number fall below the aforesaid minimum, the directors shall not be entitled to act, except for the appointment of additional directors, or for the purpose of calling a General Meeting for the appointment of additional directors, or for the purpose of calling a General Meeting for the appointment of a new Board.</w:t>
      </w:r>
    </w:p>
    <w:p>
      <w:pPr>
        <w:spacing w:after="0" w:line="18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17.11.</w:t>
        <w:tab/>
        <w:t>The office of an External Director shall be vacated and an External Director may be removed and replaced only in accordance with the provisions for vacation of office, removal and appointment of External Directors under the Companies Law.</w:t>
      </w:r>
    </w:p>
    <w:p>
      <w:pPr>
        <w:spacing w:after="0" w:line="162"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Times New Roman" w:cs="Times New Roman" w:eastAsia="Times New Roman" w:hAnsi="Times New Roman"/>
          <w:sz w:val="18"/>
          <w:szCs w:val="18"/>
          <w:color w:val="auto"/>
        </w:rPr>
        <w:t>17.12</w:t>
        <w:tab/>
        <w:t>Subject to the provisions of the Companies Law, any director may, by written notice to the Company, appoint another person to serve as his or her alternate director subject to the approval of a majority of the members of the Board excluding such director (in these Articles, an “</w:t>
      </w:r>
      <w:r>
        <w:rPr>
          <w:rFonts w:ascii="Times New Roman" w:cs="Times New Roman" w:eastAsia="Times New Roman" w:hAnsi="Times New Roman"/>
          <w:sz w:val="18"/>
          <w:szCs w:val="18"/>
          <w:b w:val="1"/>
          <w:bCs w:val="1"/>
          <w:color w:val="auto"/>
        </w:rPr>
        <w:t>Alternate Director</w:t>
      </w:r>
      <w:r>
        <w:rPr>
          <w:rFonts w:ascii="Times New Roman" w:cs="Times New Roman" w:eastAsia="Times New Roman" w:hAnsi="Times New Roman"/>
          <w:sz w:val="18"/>
          <w:szCs w:val="18"/>
          <w:color w:val="auto"/>
        </w:rPr>
        <w:t xml:space="preserve">”), dismiss such Alternate Director and appoint, in the same manner as provided in this </w:t>
      </w:r>
      <w:r>
        <w:rPr>
          <w:rFonts w:ascii="Times New Roman" w:cs="Times New Roman" w:eastAsia="Times New Roman" w:hAnsi="Times New Roman"/>
          <w:sz w:val="18"/>
          <w:szCs w:val="18"/>
          <w:u w:val="single" w:color="auto"/>
          <w:color w:val="auto"/>
        </w:rPr>
        <w:t>Article 17.12</w:t>
      </w:r>
      <w:r>
        <w:rPr>
          <w:rFonts w:ascii="Times New Roman" w:cs="Times New Roman" w:eastAsia="Times New Roman" w:hAnsi="Times New Roman"/>
          <w:sz w:val="18"/>
          <w:szCs w:val="18"/>
          <w:color w:val="auto"/>
        </w:rPr>
        <w:t xml:space="preserve">, another Alternate Director in his or her place (or in place of any Alternate Director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 Anyone who is not qualified to be appointed as a director and/or anyone serving as a director or as an existing Alternate Director may not be appointed and may not serve as an Alternate Director. Each of an Alternate Director shall have all of the authority of the director who appointed him (except that an Alternate Director may not appoint an alternate for himself, unless the instrument appointing him otherwise expressly provides), provided, however, that an Alternate Director shall have no standing at any meeting of the Board or any committee thereof while the director who appointed him is present. The office of an Alternate Director shall be vacated: (i) under the circumstances,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set forth in this </w:t>
      </w:r>
      <w:r>
        <w:rPr>
          <w:rFonts w:ascii="Times New Roman" w:cs="Times New Roman" w:eastAsia="Times New Roman" w:hAnsi="Times New Roman"/>
          <w:sz w:val="18"/>
          <w:szCs w:val="18"/>
          <w:u w:val="single" w:color="auto"/>
          <w:color w:val="auto"/>
        </w:rPr>
        <w:t>Article 17</w:t>
      </w:r>
      <w:r>
        <w:rPr>
          <w:rFonts w:ascii="Times New Roman" w:cs="Times New Roman" w:eastAsia="Times New Roman" w:hAnsi="Times New Roman"/>
          <w:sz w:val="18"/>
          <w:szCs w:val="18"/>
          <w:color w:val="auto"/>
        </w:rPr>
        <w:t xml:space="preserve">, and such office shall </w:t>
      </w:r>
      <w:r>
        <w:rPr>
          <w:rFonts w:ascii="Times New Roman" w:cs="Times New Roman" w:eastAsia="Times New Roman" w:hAnsi="Times New Roman"/>
          <w:sz w:val="18"/>
          <w:szCs w:val="18"/>
          <w:i w:val="1"/>
          <w:iCs w:val="1"/>
          <w:color w:val="auto"/>
        </w:rPr>
        <w:t>ipso facto</w:t>
      </w:r>
      <w:r>
        <w:rPr>
          <w:rFonts w:ascii="Times New Roman" w:cs="Times New Roman" w:eastAsia="Times New Roman" w:hAnsi="Times New Roman"/>
          <w:sz w:val="18"/>
          <w:szCs w:val="18"/>
          <w:color w:val="auto"/>
        </w:rPr>
        <w:t xml:space="preserve"> be vacated if the director who appointed such Alternate Director ceases to be a director, (ii) at any time, by the Board, and (iii) at any time, by the appointing director.</w:t>
      </w:r>
    </w:p>
    <w:p>
      <w:pPr>
        <w:spacing w:after="0" w:line="3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84" w:name="page85"/>
    <w:bookmarkEnd w:id="84"/>
    <w:p>
      <w:pPr>
        <w:ind w:left="500" w:hanging="492"/>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PROVISIONS REGARDING DIRECTORS</w:t>
      </w:r>
    </w:p>
    <w:p>
      <w:pPr>
        <w:spacing w:after="0" w:line="229" w:lineRule="exact"/>
        <w:rPr>
          <w:rFonts w:ascii="Times New Roman" w:cs="Times New Roman" w:eastAsia="Times New Roman" w:hAnsi="Times New Roman"/>
          <w:sz w:val="18"/>
          <w:szCs w:val="18"/>
          <w:color w:val="auto"/>
        </w:rPr>
      </w:pPr>
    </w:p>
    <w:p>
      <w:pPr>
        <w:ind w:left="114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p>
      <w:pPr>
        <w:spacing w:after="0" w:line="188"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p>
      <w:pPr>
        <w:spacing w:after="0" w:line="17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both"/>
        <w:ind w:left="1140" w:hanging="647"/>
        <w:spacing w:after="0" w:line="259" w:lineRule="auto"/>
        <w:tabs>
          <w:tab w:leader="none" w:pos="1120" w:val="left"/>
        </w:tabs>
        <w:rPr>
          <w:sz w:val="20"/>
          <w:szCs w:val="20"/>
          <w:color w:val="auto"/>
        </w:rPr>
      </w:pPr>
      <w:r>
        <w:rPr>
          <w:rFonts w:ascii="Times New Roman" w:cs="Times New Roman" w:eastAsia="Times New Roman" w:hAnsi="Times New Roman"/>
          <w:sz w:val="18"/>
          <w:szCs w:val="18"/>
          <w:color w:val="auto"/>
        </w:rPr>
        <w:t>18.4.</w:t>
        <w:tab/>
        <w:t>The Board shall elect one (1) or more of its members to serve as chairman (the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provisions of Section 121(c) of the Companies Law, the Chief Executive Officer of the Company shall not serve as Chairman of the Board. The office of Chairman of the Board shall be vacated in each of the cases mentioned in </w:t>
      </w:r>
      <w:r>
        <w:rPr>
          <w:rFonts w:ascii="Times New Roman" w:cs="Times New Roman" w:eastAsia="Times New Roman" w:hAnsi="Times New Roman"/>
          <w:sz w:val="18"/>
          <w:szCs w:val="18"/>
          <w:u w:val="single" w:color="auto"/>
          <w:color w:val="auto"/>
        </w:rPr>
        <w:t>Article 17.9</w:t>
      </w:r>
      <w:r>
        <w:rPr>
          <w:rFonts w:ascii="Times New Roman" w:cs="Times New Roman" w:eastAsia="Times New Roman" w:hAnsi="Times New Roman"/>
          <w:sz w:val="18"/>
          <w:szCs w:val="18"/>
          <w:color w:val="auto"/>
        </w:rPr>
        <w:t xml:space="preserve"> above or by a decision of the Board. The Board may also elect one or more members to serve as Vice Chairman, who shall have such duties and authorities as the Board may assign to him, subject to applicable law.</w:t>
      </w:r>
    </w:p>
    <w:p>
      <w:pPr>
        <w:spacing w:after="0" w:line="183"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color w:val="auto"/>
        </w:rPr>
        <w:t>A director shall not be obliged to hold any shares in the Company.</w:t>
      </w:r>
    </w:p>
    <w:p>
      <w:pPr>
        <w:spacing w:after="0" w:line="221" w:lineRule="exact"/>
        <w:rPr>
          <w:sz w:val="20"/>
          <w:szCs w:val="20"/>
          <w:color w:val="auto"/>
        </w:rPr>
      </w:pPr>
    </w:p>
    <w:p>
      <w:pPr>
        <w:ind w:left="500" w:hanging="492"/>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OF THE BOARD OF DIRECTORS</w:t>
      </w:r>
    </w:p>
    <w:p>
      <w:pPr>
        <w:spacing w:after="0" w:line="22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The Board shall convene for a meeting at least once every calendar quarter.</w:t>
      </w:r>
    </w:p>
    <w:p>
      <w:pPr>
        <w:spacing w:after="0" w:line="225"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w:t>
      </w:r>
    </w:p>
    <w:p>
      <w:pPr>
        <w:spacing w:after="0" w:line="179"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 Should a director or directors be barred from being present and voting at a meeting of the Board pursuant to Section 278 of the Companies Law, the quorum shall be a majority of the directors entitled to be present and to vote at the meeting of the Board.</w:t>
      </w:r>
    </w:p>
    <w:p>
      <w:pPr>
        <w:spacing w:after="0" w:line="161"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19.4. Any director, the Chief Executive Officer or the auditor of the Company in the event stipulated in Section 169 of the Companies Law, may, at any time, demand the convening of a meeting of the Board. The Chairman of the Board shall be obliged, on such demand, to call such meeting on the date requested by the director, the Chief Executive Officer or the auditor of the Company soliciting such a meeting, provided that proper notice pursuant to </w:t>
      </w:r>
      <w:r>
        <w:rPr>
          <w:rFonts w:ascii="Times New Roman" w:cs="Times New Roman" w:eastAsia="Times New Roman" w:hAnsi="Times New Roman"/>
          <w:sz w:val="18"/>
          <w:szCs w:val="18"/>
          <w:u w:val="single" w:color="auto"/>
          <w:color w:val="auto"/>
        </w:rPr>
        <w:t>Article 19.5</w:t>
      </w:r>
      <w:r>
        <w:rPr>
          <w:rFonts w:ascii="Times New Roman" w:cs="Times New Roman" w:eastAsia="Times New Roman" w:hAnsi="Times New Roman"/>
          <w:sz w:val="18"/>
          <w:szCs w:val="18"/>
          <w:color w:val="auto"/>
        </w:rPr>
        <w:t xml:space="preserve"> is given.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19.5.</w:t>
        <w:tab/>
        <w:t xml:space="preserve">Every director shall be entitled to receive notice of meetings of the Board, and such notice may be in writing or by facsimile, or electronic mail, sent to the last address (whether physical or electronic) or facsimile number given by the director for purposes of receiving notices,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notice shall be given at least a reasonable amount of time prior to the meeting and in no event less than forty eight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prior notice, unless the urgency of the matter to be discussed at the meeting reasonably requires a shorter notice period.</w:t>
      </w:r>
    </w:p>
    <w:p>
      <w:pPr>
        <w:spacing w:after="0" w:line="180"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19.6.</w:t>
        <w:tab/>
        <w:t>Every meeting of the Board at which a quorum is present shall have all the powers and authorities vested for the time being in the Board. Any matter discussed in a meeting and brought up for decision by the Chairman of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p>
      <w:pPr>
        <w:spacing w:after="0" w:line="180" w:lineRule="exact"/>
        <w:rPr>
          <w:sz w:val="20"/>
          <w:szCs w:val="20"/>
          <w:color w:val="auto"/>
        </w:rPr>
      </w:pPr>
    </w:p>
    <w:p>
      <w:pPr>
        <w:jc w:val="both"/>
        <w:ind w:left="1140" w:hanging="647"/>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19.7.</w:t>
        <w:tab/>
        <w:t>If the Chairman of the Board is not present within thirty (30) minutes after the time appointed for the meeting, the directors present shall elect one of their members to preside at such meeting.</w:t>
      </w:r>
    </w:p>
    <w:p>
      <w:pPr>
        <w:spacing w:after="0" w:line="162"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19.8.</w:t>
        <w:tab/>
        <w:t xml:space="preserve">The Board may adopt resolutions, without actually convening a meeting of the Board, provided that all the directors entitled to participate in the meeting and to vote on the subject brought for decision agree thereto. If resolutions are made as stated in this </w:t>
      </w:r>
      <w:r>
        <w:rPr>
          <w:rFonts w:ascii="Times New Roman" w:cs="Times New Roman" w:eastAsia="Times New Roman" w:hAnsi="Times New Roman"/>
          <w:sz w:val="18"/>
          <w:szCs w:val="18"/>
          <w:u w:val="single" w:color="auto"/>
          <w:color w:val="auto"/>
        </w:rPr>
        <w:t>Article 19.8</w:t>
      </w:r>
      <w:r>
        <w:rPr>
          <w:rFonts w:ascii="Times New Roman" w:cs="Times New Roman" w:eastAsia="Times New Roman" w:hAnsi="Times New Roman"/>
          <w:sz w:val="18"/>
          <w:szCs w:val="18"/>
          <w:color w:val="auto"/>
        </w:rPr>
        <w:t>, the Chairman of the Board shall record minutes of the decisions stating the manner of voting of each director on the subjects brought for decision, as well as the fact that all the directors agreed to take the decision without actually convening.</w:t>
      </w:r>
    </w:p>
    <w:p>
      <w:pPr>
        <w:spacing w:after="0" w:line="180"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19.9.</w:t>
        <w:tab/>
        <w:t>The Board may hold meetings by use of any means of communication, on condition that all participating directors can hear each other at the same time. In the case of a resolution passed by way of a telephone call or any such other means of communication, a copy of the text of the resolution shall be sent, as soon as possible thereafter, to the directors.</w:t>
      </w:r>
    </w:p>
    <w:p>
      <w:pPr>
        <w:spacing w:after="0" w:line="172" w:lineRule="exact"/>
        <w:rPr>
          <w:sz w:val="20"/>
          <w:szCs w:val="20"/>
          <w:color w:val="auto"/>
        </w:rPr>
      </w:pPr>
    </w:p>
    <w:p>
      <w:pPr>
        <w:ind w:left="500" w:hanging="492"/>
        <w:spacing w:after="0"/>
        <w:tabs>
          <w:tab w:leader="none" w:pos="5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POWERS OF THE BOARD OF DIRECTORS</w:t>
      </w:r>
    </w:p>
    <w:p>
      <w:pPr>
        <w:spacing w:after="0" w:line="229"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supervision of the Company’s affairs shall be in the hands of the Board, which shall be entitled to exercise all of the powers and authorities and to perform any act and deed which the Company is entitled to exercise and to perform in accordance with these Articles, and in respect of which there is no mandatory provision or requirement in the Companies Law or in the U.S. Rules that such powers and authorities be exercised or performed by the shareholders in a General Meeting or by a committee.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20.2.</w:t>
        <w:tab/>
        <w:t>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p>
      <w:pPr>
        <w:spacing w:after="0" w:line="176" w:lineRule="exact"/>
        <w:rPr>
          <w:sz w:val="20"/>
          <w:szCs w:val="20"/>
          <w:color w:val="auto"/>
        </w:rPr>
      </w:pPr>
    </w:p>
    <w:p>
      <w:pPr>
        <w:jc w:val="both"/>
        <w:ind w:left="1140" w:hanging="647"/>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20.3.</w:t>
        <w:tab/>
        <w:t>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p>
      <w:pPr>
        <w:spacing w:after="0" w:line="183" w:lineRule="exact"/>
        <w:rPr>
          <w:sz w:val="20"/>
          <w:szCs w:val="20"/>
          <w:color w:val="auto"/>
        </w:rPr>
      </w:pPr>
    </w:p>
    <w:p>
      <w:pPr>
        <w:ind w:left="500" w:hanging="492"/>
        <w:spacing w:after="0"/>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COMMITTEES</w:t>
      </w:r>
    </w:p>
    <w:p>
      <w:pPr>
        <w:spacing w:after="0" w:line="229"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The Board may, as it deems fit and subject to any applicable law, delegate to a committee certain of its powers and authorities, in whole or in part, as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 Subject to applicable law, a committee may be comprised of one or more directors, and it may comprise persons who are not directors if it is appointed solely for the purpose of advising the Board and is not delegated any of Board’s powers or authorities.</w:t>
      </w:r>
    </w:p>
    <w:p>
      <w:pPr>
        <w:spacing w:after="0" w:line="187"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The meetings and proceedings of every such committee which is comprised of two (2)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p>
      <w:pPr>
        <w:spacing w:after="0" w:line="1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 OF ACTIONS</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 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22.2.</w:t>
        <w:tab/>
        <w:t>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p>
      <w:pPr>
        <w:spacing w:after="0" w:line="176" w:lineRule="exact"/>
        <w:rPr>
          <w:sz w:val="20"/>
          <w:szCs w:val="20"/>
          <w:color w:val="auto"/>
        </w:rPr>
      </w:pPr>
    </w:p>
    <w:p>
      <w:pPr>
        <w:ind w:left="500" w:hanging="492"/>
        <w:spacing w:after="0"/>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SIGNING POWERS</w:t>
      </w:r>
    </w:p>
    <w:p>
      <w:pPr>
        <w:spacing w:after="0" w:line="229"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Subject to any other resolution on the subject passed by the Board, the Company shall be bound only pursuant to a document in writing bearing its seal or its rubber stamp or its printed name, and the signature of whomever may be authorized by the Board, which shall be entitled to empower any person, either alone or jointly with another, even if he is not a shareholder or a director, to sign and act in the name and on behalf of the Company.</w:t>
      </w:r>
    </w:p>
    <w:p>
      <w:pPr>
        <w:spacing w:after="0" w:line="179"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The Board shall be entitled to prescribe separate signing power in regard to different businesses of the Company and in respect of the limit of the amounts in respect of which various persons shall be authorized to sign.</w:t>
      </w:r>
    </w:p>
    <w:p>
      <w:pPr>
        <w:spacing w:after="0" w:line="15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CHIEF EXECUTIVE OFFICER</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The Board shall, from time to time, appoint a Chief Executive Officer and subject to the provisions of the Companies Law delineate his powers and authorities and his remuneration. Subject to any contract between the Chief Executive Officer and the Company, the Board may dismiss him or replace him at any time it deems fit.</w:t>
      </w:r>
    </w:p>
    <w:p>
      <w:pPr>
        <w:spacing w:after="0" w:line="175" w:lineRule="exact"/>
        <w:rPr>
          <w:rFonts w:ascii="Times New Roman" w:cs="Times New Roman" w:eastAsia="Times New Roman" w:hAnsi="Times New Roman"/>
          <w:sz w:val="18"/>
          <w:szCs w:val="18"/>
          <w:color w:val="auto"/>
        </w:rPr>
      </w:pPr>
    </w:p>
    <w:p>
      <w:pPr>
        <w:ind w:left="1140" w:hanging="648"/>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apply to the Company’s other directors.</w:t>
      </w:r>
    </w:p>
    <w:p>
      <w:pPr>
        <w:spacing w:after="0" w:line="399" w:lineRule="exact"/>
        <w:rPr>
          <w:rFonts w:ascii="Times New Roman" w:cs="Times New Roman" w:eastAsia="Times New Roman" w:hAnsi="Times New Roman"/>
          <w:sz w:val="18"/>
          <w:szCs w:val="18"/>
          <w:color w:val="auto"/>
        </w:rPr>
      </w:pPr>
    </w:p>
    <w:p>
      <w:pPr>
        <w:ind w:left="11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 The Board shall be entitled from time to time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24.4.</w:t>
        <w:tab/>
        <w:t xml:space="preserve">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rFonts w:ascii="Times New Roman" w:cs="Times New Roman" w:eastAsia="Times New Roman" w:hAnsi="Times New Roman"/>
          <w:sz w:val="18"/>
          <w:szCs w:val="18"/>
          <w:u w:val="single" w:color="auto"/>
          <w:color w:val="auto"/>
        </w:rPr>
        <w:t>Article 24.4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00" w:hanging="492"/>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SECRETARY, OFFICE-HOLDERS, CLERKS AND REPRESENTATIVES</w:t>
      </w:r>
    </w:p>
    <w:p>
      <w:pPr>
        <w:spacing w:after="0" w:line="229" w:lineRule="exact"/>
        <w:rPr>
          <w:rFonts w:ascii="Times New Roman" w:cs="Times New Roman" w:eastAsia="Times New Roman" w:hAnsi="Times New Roman"/>
          <w:sz w:val="18"/>
          <w:szCs w:val="18"/>
          <w:color w:val="auto"/>
        </w:rPr>
      </w:pPr>
    </w:p>
    <w:p>
      <w:pPr>
        <w:ind w:left="1140"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25.1. The Board shall be entitled, from time to time, to appoint, or to delegate to the Chief Executive Officer, either alone or together with other persons designated by the Board, the ability to appoint Office Holders (other than directors), a Secretary for the Company, employees and agents to such permanent, temporary or special positions, and to specify and change their titles, authorities and duties, and may set, or delegate to the Chief Executive Officer, either alone or together with other persons designated by the Board, the ability to set salaries, bonuses and other compensation of any employee or agent who is not an Office Holder. Salaries, bonuses and compensation of Office Holders who are not directors shall be determined and approved by the Chief Executive Officer, or in such other manner as may be required from time to time under the Companies Law. The Board, or the Chief Executive Officer, either alone or together with other persons designated by the Board (in the case of any Office Holder, employee or agent appointed by the Board), shall be entitled at any time, in its, his or their (as applicable) sole and absolute discretion, to terminate the services of one of more of the foregoing persons (in the case of a director, however, subject to compliance with </w:t>
      </w:r>
      <w:r>
        <w:rPr>
          <w:rFonts w:ascii="Times New Roman" w:cs="Times New Roman" w:eastAsia="Times New Roman" w:hAnsi="Times New Roman"/>
          <w:sz w:val="18"/>
          <w:szCs w:val="18"/>
          <w:u w:val="single" w:color="auto"/>
          <w:color w:val="auto"/>
        </w:rPr>
        <w:t>Article 17.9</w:t>
      </w:r>
      <w:r>
        <w:rPr>
          <w:rFonts w:ascii="Times New Roman" w:cs="Times New Roman" w:eastAsia="Times New Roman" w:hAnsi="Times New Roman"/>
          <w:sz w:val="18"/>
          <w:szCs w:val="18"/>
          <w:color w:val="auto"/>
        </w:rPr>
        <w:t xml:space="preserve"> above), subject to any other requirements under applicable law.</w:t>
      </w:r>
    </w:p>
    <w:p>
      <w:pPr>
        <w:spacing w:after="0" w:line="194"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25.2. 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 subject to such conditions as the Board or the Chief Executive Officer, as the case may be, shall deem appropriate. The Board or Chief Executive Officer may grant such person,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power to further delegate the authority, powers and discretions vested in him, in whole or in part. The Board or the Chief Executive Officer, as the case may be, may revoke, annul, vary or change any such power or authority, or all such powers or authorities collectively.</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ind w:left="500" w:hanging="492"/>
        <w:spacing w:after="0"/>
        <w:tabs>
          <w:tab w:leader="none" w:pos="5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 BONUS SHARES, FUNDS AND CAPITALIZATION OF FUNDS AND PROFITS</w:t>
      </w:r>
    </w:p>
    <w:p>
      <w:pPr>
        <w:spacing w:after="0" w:line="229" w:lineRule="exact"/>
        <w:rPr>
          <w:rFonts w:ascii="Times New Roman" w:cs="Times New Roman" w:eastAsia="Times New Roman" w:hAnsi="Times New Roman"/>
          <w:sz w:val="18"/>
          <w:szCs w:val="18"/>
          <w:color w:val="auto"/>
        </w:rPr>
      </w:pPr>
    </w:p>
    <w:p>
      <w:pPr>
        <w:ind w:left="114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 Unless otherwise permitted by the Companies Law, no dividends shall be paid other than out of the Company’s profits available for distribution as set forth in the Companies Law.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p>
      <w:pPr>
        <w:spacing w:after="0" w:line="191" w:lineRule="exact"/>
        <w:rPr>
          <w:rFonts w:ascii="Times New Roman" w:cs="Times New Roman" w:eastAsia="Times New Roman" w:hAnsi="Times New Roman"/>
          <w:sz w:val="18"/>
          <w:szCs w:val="18"/>
          <w:color w:val="auto"/>
        </w:rPr>
      </w:pPr>
    </w:p>
    <w:p>
      <w:pPr>
        <w:ind w:left="114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 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date of declaration of the dividend, was registered in the Register as the owner of the shares, or in the case of joint holders, by one of the joint holders, shall serve as a discharge with regard to all the payments made in connection with such share.</w:t>
      </w:r>
    </w:p>
    <w:p>
      <w:pPr>
        <w:spacing w:after="0" w:line="187" w:lineRule="exact"/>
        <w:rPr>
          <w:rFonts w:ascii="Times New Roman" w:cs="Times New Roman" w:eastAsia="Times New Roman" w:hAnsi="Times New Roman"/>
          <w:sz w:val="18"/>
          <w:szCs w:val="18"/>
          <w:color w:val="auto"/>
        </w:rPr>
      </w:pPr>
    </w:p>
    <w:p>
      <w:pPr>
        <w:ind w:left="114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26.3. 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 (7) years from the date of declaration of such dividend shall be forfeited and shall revert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at its discretion, cause the Company to pay any such dividend, or any part thereof, to a person who would have been entitled thereto had the same not reverted to the Company.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26.4.</w:t>
        <w:tab/>
        <w:t>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p>
      <w:pPr>
        <w:spacing w:after="0" w:line="180"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26.5.</w:t>
        <w:tab/>
        <w:t>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p>
      <w:pPr>
        <w:spacing w:after="0" w:line="187"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26.6.</w:t>
        <w:tab/>
        <w:t>The Board may decide that a dividend is to be paid, in whole or in part, by way of a distribution of assets of the Company in kind, including by way of debentures of the Company, or shares or debentures of any other company, or in any other way.</w:t>
      </w:r>
    </w:p>
    <w:p>
      <w:pPr>
        <w:spacing w:after="0" w:line="162"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26.7.</w:t>
        <w:tab/>
        <w:t>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p>
      <w:pPr>
        <w:spacing w:after="0" w:line="2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92" w:name="page93"/>
    <w:bookmarkEnd w:id="92"/>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26.8.</w:t>
        <w:tab/>
        <w:t>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Fonts w:ascii="Times New Roman" w:cs="Times New Roman" w:eastAsia="Times New Roman" w:hAnsi="Times New Roman"/>
          <w:sz w:val="18"/>
          <w:szCs w:val="18"/>
          <w:b w:val="1"/>
          <w:bCs w:val="1"/>
          <w:color w:val="auto"/>
        </w:rPr>
        <w:t>Special Fund</w:t>
      </w:r>
      <w:r>
        <w:rPr>
          <w:rFonts w:ascii="Times New Roman" w:cs="Times New Roman" w:eastAsia="Times New Roman" w:hAnsi="Times New Roman"/>
          <w:sz w:val="18"/>
          <w:szCs w:val="18"/>
          <w:color w:val="auto"/>
        </w:rPr>
        <w:t>”) an amount equivalent to the nominal amount of the share capital to which some or all of the Rights holders would have been entitled as a result of the 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p>
      <w:pPr>
        <w:spacing w:after="0" w:line="194"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26.9.</w:t>
        <w:tab/>
        <w:t xml:space="preserve">In the case of the allotment of shares by the Company as a consequence of the exercise of entitlement by the owners of shares in those cases in which the Board has made a transfer to the Special Fund in respect of the Rights pursuant to </w:t>
      </w:r>
      <w:r>
        <w:rPr>
          <w:rFonts w:ascii="Times New Roman" w:cs="Times New Roman" w:eastAsia="Times New Roman" w:hAnsi="Times New Roman"/>
          <w:sz w:val="18"/>
          <w:szCs w:val="18"/>
          <w:u w:val="single" w:color="auto"/>
          <w:color w:val="auto"/>
        </w:rPr>
        <w:t>Article 26.8</w:t>
      </w:r>
      <w:r>
        <w:rPr>
          <w:rFonts w:ascii="Times New Roman" w:cs="Times New Roman" w:eastAsia="Times New Roman" w:hAnsi="Times New Roman"/>
          <w:sz w:val="18"/>
          <w:szCs w:val="18"/>
          <w:color w:val="auto"/>
        </w:rPr>
        <w:t xml:space="preserve"> 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p>
      <w:pPr>
        <w:spacing w:after="0" w:line="187"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26.10.</w:t>
        <w:tab/>
        <w:t>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p>
      <w:pPr>
        <w:spacing w:after="0" w:line="2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93" w:name="page94"/>
    <w:bookmarkEnd w:id="93"/>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26.11.</w:t>
        <w:tab/>
        <w:t>For the implementation of any resolution regarding a distribution of shares or debentures by way of a capitalization of profits as aforesaid, the Board may:</w:t>
      </w:r>
    </w:p>
    <w:p>
      <w:pPr>
        <w:spacing w:after="0" w:line="162"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26.11.1. Resolve any difficulty which arises or may arise in regard to the distribution in such manner as it deems fit and may take all of the steps that it deems appropriate in order to overcome such difficulty.</w:t>
      </w:r>
    </w:p>
    <w:p>
      <w:pPr>
        <w:spacing w:after="0" w:line="162"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26.11.2. 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p>
      <w:pPr>
        <w:spacing w:after="0" w:line="176" w:lineRule="exact"/>
        <w:rPr>
          <w:sz w:val="20"/>
          <w:szCs w:val="20"/>
          <w:color w:val="auto"/>
        </w:rPr>
      </w:pPr>
    </w:p>
    <w:p>
      <w:pPr>
        <w:jc w:val="both"/>
        <w:ind w:left="1300" w:hanging="647"/>
        <w:spacing w:after="0" w:line="266" w:lineRule="auto"/>
        <w:rPr>
          <w:sz w:val="20"/>
          <w:szCs w:val="20"/>
          <w:color w:val="auto"/>
        </w:rPr>
      </w:pPr>
      <w:r>
        <w:rPr>
          <w:rFonts w:ascii="Times New Roman" w:cs="Times New Roman" w:eastAsia="Times New Roman" w:hAnsi="Times New Roman"/>
          <w:sz w:val="18"/>
          <w:szCs w:val="18"/>
          <w:color w:val="auto"/>
        </w:rPr>
        <w:t>26.11.3. 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as referred to in Section 291 of the Companies Law.</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26.11.4. Make any arrangement or other scheme which is required in the opinion of the Board in order to facilitate the distribution.</w:t>
      </w:r>
    </w:p>
    <w:p>
      <w:pPr>
        <w:spacing w:after="0" w:line="22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26.12.</w:t>
        <w:tab/>
        <w:t>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 any such nominees or trustee and any agreement between the Board and a nominee or trustee shall be valid and binding in all respects.</w:t>
      </w:r>
    </w:p>
    <w:p>
      <w:pPr>
        <w:spacing w:after="0" w:line="30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94" w:name="page95"/>
    <w:bookmarkEnd w:id="94"/>
    <w:p>
      <w:pPr>
        <w:ind w:left="500" w:hanging="492"/>
        <w:spacing w:after="0"/>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RECORDS AND REGISTERS</w:t>
      </w:r>
    </w:p>
    <w:p>
      <w:pPr>
        <w:spacing w:after="0" w:line="229"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 The Board shall comply with all the provisions of the Companies Law in regard to the recording of charges and the keeping and maintaining of a register of directors, register of shareholders and register of charges.</w:t>
      </w:r>
    </w:p>
    <w:p>
      <w:pPr>
        <w:spacing w:after="0" w:line="161" w:lineRule="exact"/>
        <w:rPr>
          <w:rFonts w:ascii="Times New Roman" w:cs="Times New Roman" w:eastAsia="Times New Roman" w:hAnsi="Times New Roman"/>
          <w:sz w:val="18"/>
          <w:szCs w:val="18"/>
          <w:color w:val="auto"/>
        </w:rPr>
      </w:pPr>
    </w:p>
    <w:p>
      <w:pPr>
        <w:ind w:left="114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 Any book, register and record that the Company is obliged to keep in accordance with the Companies Law or pursuant to these Articles shall be recorded in a regular book, or by digital, electronic or other means, as the Board shall decide.</w:t>
      </w:r>
    </w:p>
    <w:p>
      <w:pPr>
        <w:spacing w:after="0" w:line="161" w:lineRule="exact"/>
        <w:rPr>
          <w:rFonts w:ascii="Times New Roman" w:cs="Times New Roman" w:eastAsia="Times New Roman" w:hAnsi="Times New Roman"/>
          <w:sz w:val="18"/>
          <w:szCs w:val="18"/>
          <w:color w:val="auto"/>
        </w:rPr>
      </w:pPr>
    </w:p>
    <w:p>
      <w:pPr>
        <w:ind w:left="1140" w:hanging="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 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BOOKS OF ACCOUNT</w:t>
      </w:r>
    </w:p>
    <w:p>
      <w:pPr>
        <w:spacing w:after="0" w:line="229" w:lineRule="exact"/>
        <w:rPr>
          <w:rFonts w:ascii="Times New Roman" w:cs="Times New Roman" w:eastAsia="Times New Roman" w:hAnsi="Times New Roman"/>
          <w:sz w:val="18"/>
          <w:szCs w:val="18"/>
          <w:color w:val="auto"/>
        </w:rPr>
      </w:pPr>
    </w:p>
    <w:p>
      <w:pPr>
        <w:ind w:left="11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 or by the shareholders based on a resolution adopted at a General Meeting.</w:t>
      </w:r>
    </w:p>
    <w:p>
      <w:pPr>
        <w:spacing w:after="0" w:line="183" w:lineRule="exact"/>
        <w:rPr>
          <w:rFonts w:ascii="Times New Roman" w:cs="Times New Roman" w:eastAsia="Times New Roman" w:hAnsi="Times New Roman"/>
          <w:sz w:val="18"/>
          <w:szCs w:val="18"/>
          <w:color w:val="auto"/>
        </w:rPr>
      </w:pPr>
    </w:p>
    <w:p>
      <w:pPr>
        <w:ind w:left="114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 At least once each year the accounts of the Company and the correctness of the statement of income and the balance sheet shall be audited and confirmed by an independent auditor.</w:t>
      </w:r>
    </w:p>
    <w:p>
      <w:pPr>
        <w:spacing w:after="0" w:line="161" w:lineRule="exact"/>
        <w:rPr>
          <w:rFonts w:ascii="Times New Roman" w:cs="Times New Roman" w:eastAsia="Times New Roman" w:hAnsi="Times New Roman"/>
          <w:sz w:val="18"/>
          <w:szCs w:val="18"/>
          <w:color w:val="auto"/>
        </w:rPr>
      </w:pPr>
    </w:p>
    <w:p>
      <w:pPr>
        <w:ind w:left="114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28.3. The Company shall, in an annual General Meeting, appoint an independent auditor who shall hold such position until the next annual General Meeting, and his appointment, remuneration and rights and duties shall be subject to the provisions of the Companies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exercising its authority to fix the remuneration of the auditor, the shareholders in an annual General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a resolution, act (and in the absence of any action in connection therewith shall be deemed to have so acted) to authorize the Board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 By an act appointing such auditor, the Company may appoint the auditor to serve for a period which is longer than the aforementioned period, but no longer than until the third Annual Meeting after the meeting at which the auditor has been appointed.</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both"/>
        <w:ind w:left="1140" w:hanging="647"/>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28.4.</w:t>
        <w:tab/>
        <w:t>The auditor shall be entitled to receive notices of every General Meeting of the Company and to attend such meetings and to express his opinions on all matters pertaining to his function as the auditor of the Company.</w:t>
      </w:r>
    </w:p>
    <w:p>
      <w:pPr>
        <w:spacing w:after="0" w:line="162"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28.5.</w:t>
        <w:tab/>
        <w:t>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p>
      <w:pPr>
        <w:spacing w:after="0" w:line="176"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28.6.</w:t>
        <w:tab/>
        <w:t>For as long as the Company is a public company, as defined in the Companies Law, it shall appoint an internal auditor possessing the authorities set forth in the Companies Law. The internal auditor of the Company shall present all of its proposed work plans to the audit committee of the Board, which shall have the authority to approve them, subject to any modifications in its discretion.</w:t>
      </w:r>
    </w:p>
    <w:p>
      <w:pPr>
        <w:spacing w:after="0" w:line="172" w:lineRule="exact"/>
        <w:rPr>
          <w:sz w:val="20"/>
          <w:szCs w:val="20"/>
          <w:color w:val="auto"/>
        </w:rPr>
      </w:pPr>
    </w:p>
    <w:p>
      <w:pPr>
        <w:ind w:left="500" w:hanging="492"/>
        <w:spacing w:after="0"/>
        <w:tabs>
          <w:tab w:leader="none" w:pos="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rFonts w:ascii="Times New Roman" w:cs="Times New Roman" w:eastAsia="Times New Roman" w:hAnsi="Times New Roman"/>
          <w:sz w:val="18"/>
          <w:szCs w:val="18"/>
          <w:color w:val="auto"/>
        </w:rPr>
      </w:pPr>
    </w:p>
    <w:p>
      <w:pPr>
        <w:ind w:left="114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 The Company may serve any written notice or other document on a shareholder by way of delivery by hand, by facsimile transmission or by dispatch by prepaid registered mail to his address as recorded in the Register, or if there is no such recorded address, to the address given by him to the Company for the sending of notices to 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29.2.</w:t>
        <w:tab/>
        <w:t>Any shareholder may serve any written notice or other document on the Company by way of delivery by hand at the Office, by facsimile or email transmission to the Company or by dispatch by prepaid registered mail to the Company at the Office.</w:t>
      </w:r>
    </w:p>
    <w:p>
      <w:pPr>
        <w:spacing w:after="0" w:line="16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29.3.</w:t>
        <w:tab/>
        <w:t>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29.4.</w:t>
        <w:tab/>
        <w:t>Any such notice or other document shall be deemed to have been served:</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29.4.1.</w:t>
        <w:tab/>
        <w:t>in the case of mailing, forty eight (48) hours after it has been posted, or when actually received by the addressee if sooner than 48 hours after it has been posted;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29.4.2.</w:t>
        <w:tab/>
        <w:t>in the case of overnight air courier, on the next day following the day sent, with receipt confirmed by the courier, or when actually received by the addressee if sooner;</w:t>
      </w:r>
    </w:p>
    <w:p>
      <w:pPr>
        <w:spacing w:after="0" w:line="16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29.4.3.</w:t>
      </w:r>
      <w:r>
        <w:rPr>
          <w:sz w:val="20"/>
          <w:szCs w:val="20"/>
          <w:color w:val="auto"/>
        </w:rPr>
        <w:tab/>
      </w:r>
      <w:r>
        <w:rPr>
          <w:rFonts w:ascii="Times New Roman" w:cs="Times New Roman" w:eastAsia="Times New Roman" w:hAnsi="Times New Roman"/>
          <w:sz w:val="17"/>
          <w:szCs w:val="17"/>
          <w:color w:val="auto"/>
        </w:rPr>
        <w:t>in the case of personal delivery, when actually tendered in person to such shareholder;</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29.4.4.</w:t>
        <w:tab/>
        <w:t>in the case of facsimile or other electronic transmission (including email), the next day following the date on which the sender receives automatic electronic confirmation by the recipient’s facsimile machine or computer or other device that such notice was received by the addressee; or</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29.4.5.</w:t>
        <w:tab/>
        <w:t xml:space="preserve">in the case a notice is, in fact, received by the addressee, when received, notwithstanding that it was defectively addressed or failed, in some other respect, to comply with the provisions of this </w:t>
      </w:r>
      <w:r>
        <w:rPr>
          <w:rFonts w:ascii="Times New Roman" w:cs="Times New Roman" w:eastAsia="Times New Roman" w:hAnsi="Times New Roman"/>
          <w:sz w:val="18"/>
          <w:szCs w:val="18"/>
          <w:u w:val="single" w:color="auto"/>
          <w:color w:val="auto"/>
        </w:rPr>
        <w:t>Article 29.4</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97" w:name="page98"/>
    <w:bookmarkEnd w:id="97"/>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29.5.</w:t>
        <w:tab/>
        <w:t>Any shareholder whose address is not described in the Register, and who shall not have designated in writing an address for the receipt of notices, shall not be entitled to receive any notice from the Company. In the case of joint holders of a share, the Company shall be entitled to deliver a notice by dispatch to the joint holder whose name stands first in the Register in respect of such share.</w:t>
      </w:r>
    </w:p>
    <w:p>
      <w:pPr>
        <w:spacing w:after="0" w:line="176" w:lineRule="exact"/>
        <w:rPr>
          <w:sz w:val="20"/>
          <w:szCs w:val="20"/>
          <w:color w:val="auto"/>
        </w:rPr>
      </w:pPr>
    </w:p>
    <w:p>
      <w:pPr>
        <w:jc w:val="both"/>
        <w:ind w:left="1140" w:hanging="647"/>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29.6.</w:t>
        <w:tab/>
        <w:t>Whenever it is necessary to give notice of a particular number of days or a notice for another period, the day of delivery shall be counted in the number of calendar days or the period, unless otherwise specified.</w:t>
      </w:r>
    </w:p>
    <w:p>
      <w:pPr>
        <w:spacing w:after="0" w:line="162"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29.7.</w:t>
        <w:tab/>
        <w:t>Notwithstanding anything to the contrary contained herein, notice by the Company of a General Meeting, containing the information required to be set forth in such notice under these Articles, which is published, within the time otherwise required for giving notice of such meeting, in:</w:t>
      </w:r>
    </w:p>
    <w:p>
      <w:pPr>
        <w:spacing w:after="0" w:line="176" w:lineRule="exact"/>
        <w:rPr>
          <w:sz w:val="20"/>
          <w:szCs w:val="20"/>
          <w:color w:val="auto"/>
        </w:rPr>
      </w:pPr>
    </w:p>
    <w:p>
      <w:pPr>
        <w:jc w:val="both"/>
        <w:ind w:left="1800" w:hanging="647"/>
        <w:spacing w:after="0" w:line="266" w:lineRule="auto"/>
        <w:tabs>
          <w:tab w:leader="none" w:pos="1780" w:val="left"/>
        </w:tabs>
        <w:rPr>
          <w:sz w:val="20"/>
          <w:szCs w:val="20"/>
          <w:color w:val="auto"/>
        </w:rPr>
      </w:pPr>
      <w:r>
        <w:rPr>
          <w:rFonts w:ascii="Times New Roman" w:cs="Times New Roman" w:eastAsia="Times New Roman" w:hAnsi="Times New Roman"/>
          <w:sz w:val="18"/>
          <w:szCs w:val="18"/>
          <w:color w:val="auto"/>
        </w:rPr>
        <w:t>29.7.1.</w:t>
        <w:tab/>
        <w:t>the Company’s website shall be deemed to be notice of such meeting duly given, for the purposes of these Articles, to any shareholder whose address as registered in the Register (or as designated in writing for the receipt of notices and other documents) is located in the State of Israel; and</w:t>
      </w:r>
    </w:p>
    <w:p>
      <w:pPr>
        <w:spacing w:after="0" w:line="176" w:lineRule="exact"/>
        <w:rPr>
          <w:sz w:val="20"/>
          <w:szCs w:val="20"/>
          <w:color w:val="auto"/>
        </w:rPr>
      </w:pPr>
    </w:p>
    <w:p>
      <w:pPr>
        <w:jc w:val="both"/>
        <w:ind w:left="1800" w:hanging="647"/>
        <w:spacing w:after="0" w:line="261" w:lineRule="auto"/>
        <w:tabs>
          <w:tab w:leader="none" w:pos="1780" w:val="left"/>
        </w:tabs>
        <w:rPr>
          <w:sz w:val="20"/>
          <w:szCs w:val="20"/>
          <w:color w:val="auto"/>
        </w:rPr>
      </w:pPr>
      <w:r>
        <w:rPr>
          <w:rFonts w:ascii="Times New Roman" w:cs="Times New Roman" w:eastAsia="Times New Roman" w:hAnsi="Times New Roman"/>
          <w:sz w:val="18"/>
          <w:szCs w:val="18"/>
          <w:color w:val="auto"/>
        </w:rPr>
        <w:t>29.7.2.</w:t>
        <w:tab/>
        <w:t>one (1) notification by international wire service press release and furnishing of such release on Form 6-K to the U.S. Securities and Exchange Commission shall be deemed to be notice of such meeting duly given, for the purposes of these Articles, to any shareholder whose address as registered in the Register (or as designated in writing for the receipt of notices and other documents) is located outside the State of Israel.</w:t>
      </w:r>
    </w:p>
    <w:p>
      <w:pPr>
        <w:spacing w:after="0" w:line="176"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INDEMNITY AND EXCULPATION</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p>
      <w:pPr>
        <w:spacing w:after="0" w:line="176" w:lineRule="exact"/>
        <w:rPr>
          <w:sz w:val="20"/>
          <w:szCs w:val="20"/>
          <w:color w:val="auto"/>
        </w:rPr>
      </w:pPr>
    </w:p>
    <w:p>
      <w:pPr>
        <w:ind w:left="1800" w:hanging="647"/>
        <w:spacing w:after="0" w:line="282" w:lineRule="auto"/>
        <w:tabs>
          <w:tab w:leader="none" w:pos="1780" w:val="left"/>
        </w:tabs>
        <w:rPr>
          <w:sz w:val="20"/>
          <w:szCs w:val="20"/>
          <w:color w:val="auto"/>
        </w:rPr>
      </w:pPr>
      <w:r>
        <w:rPr>
          <w:rFonts w:ascii="Times New Roman" w:cs="Times New Roman" w:eastAsia="Times New Roman" w:hAnsi="Times New Roman"/>
          <w:sz w:val="18"/>
          <w:szCs w:val="18"/>
          <w:color w:val="auto"/>
        </w:rPr>
        <w:t>30.1.1.</w:t>
        <w:tab/>
        <w:t>The breach of a duty of care to the Company or to any other person, other than with respect to a distribution and excluding a breach committed intentionally or recklessly (other than a breach arising out negligent conduct);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30.1.2.</w:t>
        <w:tab/>
        <w:t>The breach of a fiduciary duty to the Company, provided that the Office Holder acted in good faith and had reasonable grounds for believing that the action would not adversely affect the best interests of the Company;</w:t>
      </w:r>
    </w:p>
    <w:p>
      <w:pPr>
        <w:spacing w:after="0" w:line="16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30.1.3.</w:t>
      </w:r>
      <w:r>
        <w:rPr>
          <w:sz w:val="20"/>
          <w:szCs w:val="20"/>
          <w:color w:val="auto"/>
        </w:rPr>
        <w:tab/>
      </w:r>
      <w:r>
        <w:rPr>
          <w:rFonts w:ascii="Times New Roman" w:cs="Times New Roman" w:eastAsia="Times New Roman" w:hAnsi="Times New Roman"/>
          <w:sz w:val="17"/>
          <w:szCs w:val="17"/>
          <w:color w:val="auto"/>
        </w:rPr>
        <w:t>A pecuniary liability imposed on him in favor of any other person in respect of an act done in his capacity as an Office Holder.</w:t>
      </w:r>
    </w:p>
    <w:p>
      <w:pPr>
        <w:spacing w:after="0" w:line="225"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30.1.4.</w:t>
      </w:r>
      <w:r>
        <w:rPr>
          <w:sz w:val="20"/>
          <w:szCs w:val="20"/>
          <w:color w:val="auto"/>
        </w:rPr>
        <w:tab/>
      </w:r>
      <w:r>
        <w:rPr>
          <w:rFonts w:ascii="Times New Roman" w:cs="Times New Roman" w:eastAsia="Times New Roman" w:hAnsi="Times New Roman"/>
          <w:sz w:val="17"/>
          <w:szCs w:val="17"/>
          <w:color w:val="auto"/>
        </w:rPr>
        <w:t>Any other circumstances arising under the law with respect to which the Company may, or will be able to, insure an Office Holder.</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30.2.</w:t>
        <w:tab/>
        <w:t xml:space="preserve">Subject to the provisions of the Companies Law, the Company shall be entitled to indemnify an Office Holder of the Company, to the fullest extent permitted by applicable law. Subject to the provisions of the Companies Law, including the receipt of all approvals as required therein or under any applicable law, the Company may resolve retroactively to indemnify an Office Holder with respect to the following liabilities or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of the below cases, that such liabilities or expenses were imposed on such Office Holder in such Office Holder’s capacity as an Office Holder of the Company:</w:t>
      </w:r>
    </w:p>
    <w:p>
      <w:pPr>
        <w:spacing w:after="0" w:line="183"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30.2.1.</w:t>
        <w:tab/>
        <w:t xml:space="preserve">a financial liability imposed on him in favor of another person in any judgment, including a judgment imposed on him in a settlement confirmed as judgment or an arbitrator’s decision that was approved by a court of law, in respect of an act performed by the Office Holder by virtue of the Office Holder being an Office Holder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any indemnification undertaking with respect to the foregoing shall be limited (i) to events which, in the opinion of the Board, are foreseeable in light of the Company’s actual operations at the time of the granting of the indemnification undertaking, and (ii) to an amount or by criteria determined by the Board to be reasonable in the given circumstances; and (b) the events that in the opinion of the Board are foreseeable in light of the Company’s actual operations at the time of the granting of the indemnification undertaking are listed in the indemnification undertaking together with the amount or criteria determined by the Board to be reasonable in the given circumstances;</w:t>
      </w:r>
    </w:p>
    <w:p>
      <w:pPr>
        <w:spacing w:after="0" w:line="188"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30.2.2.</w:t>
        <w:tab/>
        <w:t>reasonable legal expenses, including attorney’s fees, expended by the Office Holder as a result of an investigation or proceeding instituted against such Office Holder by a competent authority, and which investigation or proceeding: (i) concluded without the filing of an indictment (as defined in the Companies Law) against such Office Holder and without a financial liability having been imposed against such Office Holder in lieu of a criminal proceeding (as defined in the Companies Law); (ii) concluded without the filing of an indictment against such Office Holder but with a financial liability having been imposed against such Office Holder in lieu of a criminal proceeding but relates to a criminal offense that does not require proof of criminal intent; or (iii) involves financial sanction;</w:t>
      </w:r>
    </w:p>
    <w:p>
      <w:pPr>
        <w:spacing w:after="0" w:line="2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99" w:name="page100"/>
    <w:bookmarkEnd w:id="99"/>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30.2.3.</w:t>
        <w:tab/>
        <w:t>reasonable legal expenses, including attorney’s fees, paid for by the Office Holder, or which the Office Holder was charged by a court of law, in a proceeding brought against the Office Holder by the Company, or by another person on its behalf, or by a third party, or in a criminal prosecution in which the Office Holder was acquitted, or in which he was convicted of an offense that does not require proof of criminal intent; and</w:t>
      </w:r>
    </w:p>
    <w:p>
      <w:pPr>
        <w:spacing w:after="0" w:line="180"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30.2.4.</w:t>
        <w:tab/>
        <w:t>any other event, occurrence or circumstances in respect of which the Company may lawfully indemnify an Office Holder of the Company, including, without limitation: (i) a payment imposed on an Office Holder in favor of an injured party as set forth in Section 52(54)(a)(1)(a) of the Israeli Securities Law; and (ii) reasonable litigation expenses, including attorney fees, incurred by the director or officer in connection with a proceeding under Chapters H’3, H’4 or I’1 of the Israeli Securities Law, or under Article D of the Fourth Chapter, Ninth Part of the Companies Law, if applicable, including reasonable legal expenses, which term includes attorney fees.</w:t>
      </w:r>
    </w:p>
    <w:p>
      <w:pPr>
        <w:spacing w:after="0" w:line="18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30.3.</w:t>
        <w:tab/>
        <w:t>The Company may undertake to indemnify an Office Holder as aforesaid: (i) prospectively, provided that the undertaking is limited to categories of events which in the opinion of the Board can be foreseen when the undertaking to indemnify is given, and to an amount set by the Board as reasonable under the circumstances, and (ii) retroactively.</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30.4.</w:t>
        <w:tab/>
        <w:t>Subject to the provisions of the Companies Law including the receipt of all approvals as required therein or under any applicable law, the Company may, to the maximum extent permitted by the Companies Law, exempt and release, in advance, any Office Holder from any liability for damages arising out of a breach of a duty of care towards the Company, except in connection with distributions.</w:t>
      </w:r>
    </w:p>
    <w:p>
      <w:pPr>
        <w:spacing w:after="0" w:line="28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B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820" w:top="769" w:right="339" w:bottom="1440" w:gutter="0" w:footer="0" w:header="0"/>
        </w:sectPr>
      </w:pPr>
    </w:p>
    <w:bookmarkStart w:id="100" w:name="page101"/>
    <w:bookmarkEnd w:id="100"/>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30.5.</w:t>
        <w:tab/>
        <w:t xml:space="preserve">Any amendment to the Companies Law adversely affecting the right of any Office Holder to be indemnified or insured pursuant to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30‎.1, 30.2 and 30‎.4 and any amendments to such Articles shall be prospective in effect, and shall not affect the Company’s obligation or ability to indemnify or insure an Office Holder for any act or omission occurring prior to such amendment, unless otherwise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-311150</wp:posOffset>
            </wp:positionV>
            <wp:extent cx="9048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spacing w:after="0" w:line="160" w:lineRule="exact"/>
        <w:rPr>
          <w:sz w:val="20"/>
          <w:szCs w:val="20"/>
          <w:color w:val="auto"/>
        </w:rPr>
      </w:pPr>
    </w:p>
    <w:p>
      <w:pPr>
        <w:jc w:val="both"/>
        <w:ind w:left="1140" w:hanging="647"/>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30.6.</w:t>
        <w:tab/>
        <w:t>The provisions of Articles‎ 30‎.1, 30.2 and 30‎.4 are not intended, and shall not be interpreted so as to restrict the Company, in any manner, in respect of the 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-448310</wp:posOffset>
            </wp:positionV>
            <wp:extent cx="1269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56" w:lineRule="exact"/>
        <w:rPr>
          <w:sz w:val="20"/>
          <w:szCs w:val="20"/>
          <w:color w:val="auto"/>
        </w:rPr>
      </w:pPr>
    </w:p>
    <w:p>
      <w:pPr>
        <w:ind w:left="500" w:hanging="492"/>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WINDING-UP AND REORGANIZATION</w:t>
      </w:r>
    </w:p>
    <w:p>
      <w:pPr>
        <w:spacing w:after="0" w:line="229" w:lineRule="exact"/>
        <w:rPr>
          <w:rFonts w:ascii="Times New Roman" w:cs="Times New Roman" w:eastAsia="Times New Roman" w:hAnsi="Times New Roman"/>
          <w:sz w:val="18"/>
          <w:szCs w:val="18"/>
          <w:color w:val="auto"/>
        </w:rPr>
      </w:pPr>
    </w:p>
    <w:p>
      <w:pPr>
        <w:ind w:left="114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 Should the Company be wound up and assets of the Company will remain available for distribution after covering all the Company’s outstanding liabilities, such assets shall be distributed among the shareholders pro rata to the nominal value of the paid-up capital on the shares held by each of them.</w:t>
      </w:r>
    </w:p>
    <w:p>
      <w:pPr>
        <w:spacing w:after="0" w:line="175" w:lineRule="exact"/>
        <w:rPr>
          <w:rFonts w:ascii="Times New Roman" w:cs="Times New Roman" w:eastAsia="Times New Roman" w:hAnsi="Times New Roman"/>
          <w:sz w:val="18"/>
          <w:szCs w:val="18"/>
          <w:color w:val="auto"/>
        </w:rPr>
      </w:pPr>
    </w:p>
    <w:p>
      <w:pPr>
        <w:ind w:left="1140"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 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p>
      <w:pPr>
        <w:spacing w:after="0" w:line="18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TRANSLATION AND BINDING EFFECT</w:t>
      </w:r>
    </w:p>
    <w:p>
      <w:pPr>
        <w:spacing w:after="0" w:line="229"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ENTERA BIO LTD.</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PROXY CARD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FOR 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TO BE HELD ON TUESDAY, JULY 14, 2026</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THIS PROXY IS SOLICITED ON BEHALF OF THE BOARD OF DIRECTORS</w:t>
      </w:r>
    </w:p>
    <w:p>
      <w:pPr>
        <w:spacing w:after="0" w:line="243" w:lineRule="exact"/>
        <w:rPr>
          <w:sz w:val="20"/>
          <w:szCs w:val="20"/>
          <w:color w:val="auto"/>
        </w:rPr>
      </w:pPr>
    </w:p>
    <w:p>
      <w:pPr>
        <w:jc w:val="both"/>
        <w:ind w:firstLine="424"/>
        <w:spacing w:after="0" w:line="270" w:lineRule="auto"/>
        <w:rPr>
          <w:sz w:val="20"/>
          <w:szCs w:val="20"/>
          <w:color w:val="auto"/>
        </w:rPr>
      </w:pPr>
      <w:r>
        <w:rPr>
          <w:rFonts w:ascii="Times New Roman" w:cs="Times New Roman" w:eastAsia="Times New Roman" w:hAnsi="Times New Roman"/>
          <w:sz w:val="18"/>
          <w:szCs w:val="18"/>
          <w:color w:val="auto"/>
        </w:rPr>
        <w:t>The undersigned hereby appoints Ms. Miranda Toledano and Ms. Dana Yaacov-Garbeli as the true and lawful attorneys-in-fact, agents and proxies of the undersigned, with full power of substitution to each of them, to represent and to vote, on behalf of the undersigned, all of the ordinary shares of Entera Bio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held of record in the name of the undersigned at the close of business on Tuesday, May 19, 2026, at the Annual Meeting of Shareholders of the Company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Annual Meeting is scheduled to be held on Tuesday, July 14, 2026, at 08:00 AM Eastern Time at Kiryat Hadassah, Minrav Building – Fifth Floor, Jerusalem Israel 9112002.</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If no direction is made with respect to the proposals described below, this Proxy will be voted identical to the Board of Directors’ recommendation with respect to such proposal and in such manner as the holder of the proxy may determine with respect to any other business as may properly come before the Annual Meeting or all and any adjournments or postponements thereof. Any and all proxies heretofore given by the undersigned are hereby revoked.</w:t>
      </w:r>
    </w:p>
    <w:p>
      <w:pPr>
        <w:spacing w:after="0" w:line="1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undersigned acknowledges receipt of the Notice of the Annual Meeting of Shareholders and Proxy Statement of the Company relating to the Annual Meeting.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21"/>
          <w:szCs w:val="21"/>
          <w:b w:val="1"/>
          <w:bCs w:val="1"/>
          <w:color w:val="231F20"/>
        </w:rPr>
        <w:t>ANNUAL GENERAL MEETING OF SHAREHOLDERS OF</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231F20"/>
        </w:rPr>
        <w:t>ENTERA BIO LTD.</w:t>
      </w: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231F20"/>
        </w:rPr>
        <w:t>Tuesday, July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167640</wp:posOffset>
            </wp:positionV>
            <wp:extent cx="2846070" cy="2311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46070" cy="231140"/>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1F20"/>
        </w:rPr>
        <w:t>PROXY VOTING INSTRUCTIONS</w:t>
      </w:r>
    </w:p>
    <w:p>
      <w:pPr>
        <w:sectPr>
          <w:pgSz w:w="11900" w:h="16838" w:orient="portrait"/>
          <w:cols w:equalWidth="0" w:num="1">
            <w:col w:w="11220"/>
          </w:cols>
          <w:pgMar w:left="320" w:top="354" w:right="359" w:bottom="0" w:gutter="0" w:footer="0" w:header="0"/>
        </w:sectPr>
      </w:pPr>
    </w:p>
    <w:p>
      <w:pPr>
        <w:spacing w:after="0" w:line="2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u w:val="single" w:color="auto"/>
          <w:color w:val="auto"/>
        </w:rPr>
        <w:t>INTERNET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Access</w:t>
      </w:r>
      <w:r>
        <w:rPr>
          <w:rFonts w:ascii="Times New Roman" w:cs="Times New Roman" w:eastAsia="Times New Roman" w:hAnsi="Times New Roman"/>
          <w:sz w:val="18"/>
          <w:szCs w:val="18"/>
          <w:b w:val="1"/>
          <w:bCs w:val="1"/>
          <w:color w:val="auto"/>
        </w:rPr>
        <w:t xml:space="preserve"> www.voteproxy.com </w:t>
      </w:r>
      <w:r>
        <w:rPr>
          <w:rFonts w:ascii="Times New Roman" w:cs="Times New Roman" w:eastAsia="Times New Roman" w:hAnsi="Times New Roman"/>
          <w:sz w:val="18"/>
          <w:szCs w:val="18"/>
          <w:color w:val="auto"/>
        </w:rPr>
        <w:t>and follow the on-screen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or scan the QR code with your smartphone. Have your proxy card available when you access the web page.</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u w:val="single" w:color="auto"/>
          <w:color w:val="231F20"/>
        </w:rPr>
        <w:t>TELEPHONE</w:t>
      </w:r>
      <w:r>
        <w:rPr>
          <w:rFonts w:ascii="Times New Roman" w:cs="Times New Roman" w:eastAsia="Times New Roman" w:hAnsi="Times New Roman"/>
          <w:sz w:val="18"/>
          <w:szCs w:val="18"/>
          <w:b w:val="1"/>
          <w:bCs w:val="1"/>
          <w:color w:val="231F20"/>
        </w:rPr>
        <w:t xml:space="preserve"> - </w:t>
      </w:r>
      <w:r>
        <w:rPr>
          <w:rFonts w:ascii="Times New Roman" w:cs="Times New Roman" w:eastAsia="Times New Roman" w:hAnsi="Times New Roman"/>
          <w:sz w:val="18"/>
          <w:szCs w:val="18"/>
          <w:color w:val="231F20"/>
        </w:rPr>
        <w:t>Call toll-free</w:t>
      </w:r>
      <w:r>
        <w:rPr>
          <w:rFonts w:ascii="Times New Roman" w:cs="Times New Roman" w:eastAsia="Times New Roman" w:hAnsi="Times New Roman"/>
          <w:sz w:val="18"/>
          <w:szCs w:val="18"/>
          <w:b w:val="1"/>
          <w:bCs w:val="1"/>
          <w:color w:val="231F20"/>
        </w:rPr>
        <w:t xml:space="preserve"> 1-800-PROXIES </w:t>
      </w:r>
      <w:r>
        <w:rPr>
          <w:rFonts w:ascii="Times New Roman" w:cs="Times New Roman" w:eastAsia="Times New Roman" w:hAnsi="Times New Roman"/>
          <w:sz w:val="18"/>
          <w:szCs w:val="18"/>
          <w:color w:val="231F20"/>
        </w:rPr>
        <w:t>(1-800-776-9437) in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United States or </w:t>
      </w:r>
      <w:r>
        <w:rPr>
          <w:rFonts w:ascii="Times New Roman" w:cs="Times New Roman" w:eastAsia="Times New Roman" w:hAnsi="Times New Roman"/>
          <w:sz w:val="18"/>
          <w:szCs w:val="18"/>
          <w:b w:val="1"/>
          <w:bCs w:val="1"/>
          <w:color w:val="231F20"/>
        </w:rPr>
        <w:t>+1-201-299-4446</w:t>
      </w:r>
      <w:r>
        <w:rPr>
          <w:rFonts w:ascii="Times New Roman" w:cs="Times New Roman" w:eastAsia="Times New Roman" w:hAnsi="Times New Roman"/>
          <w:sz w:val="18"/>
          <w:szCs w:val="18"/>
          <w:color w:val="231F20"/>
        </w:rPr>
        <w:t xml:space="preserve"> worldwide from any touch-tone telephone and follow the instructions. Have your proxy card available when you call.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Vote online/phone until 11:59 PM EST the day before the meeting.</w:t>
      </w:r>
    </w:p>
    <w:p>
      <w:pPr>
        <w:spacing w:after="0" w:line="3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u w:val="single" w:color="auto"/>
          <w:color w:val="231F20"/>
        </w:rPr>
        <w:t>MAIL</w:t>
      </w:r>
      <w:r>
        <w:rPr>
          <w:rFonts w:ascii="Times New Roman" w:cs="Times New Roman" w:eastAsia="Times New Roman" w:hAnsi="Times New Roman"/>
          <w:sz w:val="18"/>
          <w:szCs w:val="18"/>
          <w:b w:val="1"/>
          <w:bCs w:val="1"/>
          <w:color w:val="231F20"/>
        </w:rPr>
        <w:t xml:space="preserve"> - </w:t>
      </w:r>
      <w:r>
        <w:rPr>
          <w:rFonts w:ascii="Times New Roman" w:cs="Times New Roman" w:eastAsia="Times New Roman" w:hAnsi="Times New Roman"/>
          <w:sz w:val="18"/>
          <w:szCs w:val="18"/>
          <w:color w:val="231F20"/>
        </w:rPr>
        <w:t>Sign, date and mail your proxy card in the envelope provided 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soon as possible.</w:t>
      </w:r>
    </w:p>
    <w:p>
      <w:pPr>
        <w:spacing w:after="0" w:line="16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u w:val="single" w:color="auto"/>
          <w:color w:val="231F20"/>
        </w:rPr>
        <w:t>IN PERSON</w:t>
      </w:r>
      <w:r>
        <w:rPr>
          <w:rFonts w:ascii="Times New Roman" w:cs="Times New Roman" w:eastAsia="Times New Roman" w:hAnsi="Times New Roman"/>
          <w:sz w:val="18"/>
          <w:szCs w:val="18"/>
          <w:b w:val="1"/>
          <w:bCs w:val="1"/>
          <w:color w:val="231F20"/>
        </w:rPr>
        <w:t xml:space="preserve"> - </w:t>
      </w:r>
      <w:r>
        <w:rPr>
          <w:rFonts w:ascii="Times New Roman" w:cs="Times New Roman" w:eastAsia="Times New Roman" w:hAnsi="Times New Roman"/>
          <w:sz w:val="18"/>
          <w:szCs w:val="18"/>
          <w:color w:val="231F20"/>
        </w:rPr>
        <w:t>You may vote your shares in person by attending the Annual</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w:t>
      </w:r>
    </w:p>
    <w:p>
      <w:pPr>
        <w:spacing w:after="0" w:line="1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b w:val="1"/>
          <w:bCs w:val="1"/>
          <w:u w:val="single" w:color="auto"/>
          <w:color w:val="231F20"/>
        </w:rPr>
        <w:t>GO GREEN</w:t>
      </w:r>
      <w:r>
        <w:rPr>
          <w:rFonts w:ascii="Times New Roman" w:cs="Times New Roman" w:eastAsia="Times New Roman" w:hAnsi="Times New Roman"/>
          <w:sz w:val="18"/>
          <w:szCs w:val="18"/>
          <w:b w:val="1"/>
          <w:bCs w:val="1"/>
          <w:color w:val="231F20"/>
        </w:rPr>
        <w:t xml:space="preserve"> - </w:t>
      </w:r>
      <w:r>
        <w:rPr>
          <w:rFonts w:ascii="Times New Roman" w:cs="Times New Roman" w:eastAsia="Times New Roman" w:hAnsi="Times New Roman"/>
          <w:sz w:val="18"/>
          <w:szCs w:val="18"/>
          <w:color w:val="231F20"/>
        </w:rPr>
        <w:t>e-Consent makes it easy to go paperless. With e-Consent,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you can quickly access your proxy material, statements and other eligible documents online, while reducing costs, clutter and paper waste. Enroll today via </w:t>
      </w:r>
      <w:r>
        <w:rPr>
          <w:rFonts w:ascii="Times New Roman" w:cs="Times New Roman" w:eastAsia="Times New Roman" w:hAnsi="Times New Roman"/>
          <w:sz w:val="18"/>
          <w:szCs w:val="18"/>
          <w:b w:val="1"/>
          <w:bCs w:val="1"/>
          <w:color w:val="231F20"/>
        </w:rPr>
        <w:t>equiniti.com/us/ast-access</w:t>
      </w:r>
      <w:r>
        <w:rPr>
          <w:rFonts w:ascii="Times New Roman" w:cs="Times New Roman" w:eastAsia="Times New Roman" w:hAnsi="Times New Roman"/>
          <w:sz w:val="18"/>
          <w:szCs w:val="18"/>
          <w:color w:val="231F20"/>
        </w:rPr>
        <w:t xml:space="preserve">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27875" cy="458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7875" cy="458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-160655</wp:posOffset>
            </wp:positionV>
            <wp:extent cx="3488690" cy="6940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88690" cy="69405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-1437640</wp:posOffset>
            </wp:positionV>
            <wp:extent cx="488950" cy="4883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ACCOUNT NUMBER</w:t>
      </w:r>
    </w:p>
    <w:p>
      <w:pPr>
        <w:spacing w:after="0" w:line="2539" w:lineRule="exact"/>
        <w:rPr>
          <w:sz w:val="20"/>
          <w:szCs w:val="20"/>
          <w:color w:val="auto"/>
        </w:rPr>
      </w:pPr>
    </w:p>
    <w:p>
      <w:pPr>
        <w:sectPr>
          <w:pgSz w:w="11900" w:h="16838" w:orient="portrait"/>
          <w:cols w:equalWidth="0" w:num="2">
            <w:col w:w="5520" w:space="600"/>
            <w:col w:w="5100"/>
          </w:cols>
          <w:pgMar w:left="320" w:top="354" w:right="359" w:bottom="0" w:gutter="0" w:footer="0" w:header="0"/>
          <w:type w:val="continuous"/>
        </w:sectPr>
      </w:pPr>
    </w:p>
    <w:p>
      <w:pPr>
        <w:spacing w:after="0" w:line="63" w:lineRule="exact"/>
        <w:rPr>
          <w:sz w:val="20"/>
          <w:szCs w:val="20"/>
          <w:color w:val="auto"/>
        </w:rPr>
      </w:pPr>
    </w:p>
    <w:p>
      <w:pPr>
        <w:jc w:val="center"/>
        <w:ind w:left="40" w:right="20"/>
        <w:spacing w:after="0" w:line="281" w:lineRule="auto"/>
        <w:rPr>
          <w:sz w:val="20"/>
          <w:szCs w:val="20"/>
          <w:color w:val="auto"/>
        </w:rPr>
      </w:pPr>
      <w:r>
        <w:rPr>
          <w:rFonts w:ascii="Arial" w:cs="Arial" w:eastAsia="Arial" w:hAnsi="Arial"/>
          <w:sz w:val="18"/>
          <w:szCs w:val="18"/>
          <w:b w:val="1"/>
          <w:bCs w:val="1"/>
          <w:u w:val="single" w:color="auto"/>
          <w:color w:val="231F20"/>
        </w:rPr>
        <w:t xml:space="preserve">Important Notice Regarding the Availability of Proxy Materials for the Shareholder Meeting </w:t>
      </w:r>
      <w:r>
        <w:rPr>
          <w:rFonts w:ascii="Times New Roman" w:cs="Times New Roman" w:eastAsia="Times New Roman" w:hAnsi="Times New Roman"/>
          <w:sz w:val="18"/>
          <w:szCs w:val="18"/>
          <w:color w:val="231F20"/>
        </w:rPr>
        <w:t xml:space="preserve">The Notice of Meeting, proxy statement, proxy card and Form 10-K are available at </w:t>
      </w:r>
      <w:r>
        <w:rPr>
          <w:rFonts w:ascii="Times New Roman" w:cs="Times New Roman" w:eastAsia="Times New Roman" w:hAnsi="Times New Roman"/>
          <w:sz w:val="18"/>
          <w:szCs w:val="18"/>
          <w:b w:val="1"/>
          <w:bCs w:val="1"/>
          <w:color w:val="231F20"/>
        </w:rPr>
        <w:t>www.astproxyportal.com/ast/22270</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 xml:space="preserve">↓  Please detach along perforated line and mail in the envelope provided </w:t>
      </w:r>
      <w:r>
        <w:rPr>
          <w:rFonts w:ascii="Times New Roman" w:cs="Times New Roman" w:eastAsia="Times New Roman" w:hAnsi="Times New Roman"/>
          <w:sz w:val="18"/>
          <w:szCs w:val="18"/>
          <w:u w:val="single" w:color="auto"/>
          <w:color w:val="231F20"/>
        </w:rPr>
        <w:t>IF</w:t>
      </w:r>
      <w:r>
        <w:rPr>
          <w:rFonts w:ascii="Times New Roman" w:cs="Times New Roman" w:eastAsia="Times New Roman" w:hAnsi="Times New Roman"/>
          <w:sz w:val="18"/>
          <w:szCs w:val="18"/>
          <w:color w:val="231F20"/>
        </w:rPr>
        <w:t xml:space="preserve"> you are not voting via the Internet.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40" w:right="20"/>
        <w:spacing w:after="0" w:line="232" w:lineRule="exact"/>
        <w:rPr>
          <w:sz w:val="20"/>
          <w:szCs w:val="20"/>
          <w:color w:val="auto"/>
        </w:rPr>
      </w:pPr>
      <w:r>
        <w:rPr>
          <w:rFonts w:ascii="Times New Roman" w:cs="Times New Roman" w:eastAsia="Times New Roman" w:hAnsi="Times New Roman"/>
          <w:sz w:val="18"/>
          <w:szCs w:val="18"/>
          <w:b w:val="1"/>
          <w:bCs w:val="1"/>
          <w:color w:val="231F20"/>
        </w:rPr>
        <w:t xml:space="preserve">THE BOARD OF DIRECTORS RECOMMENDS A VOTE “FOR” EACH OF THE PROPOSALS ON THE AGENDA OF THE MEETING. PLEASE SIGN, DATE AND RETURN PROMPTLY IN THE ENCLOSED ENVELOPE. PLEASE MARK YOUR VOTE IN BLUE OR BLACK INK AS SHOWN HERE </w:t>
      </w:r>
      <w:r>
        <w:rPr>
          <w:rFonts w:ascii="MS PGothic" w:cs="MS PGothic" w:eastAsia="MS PGothic" w:hAnsi="MS PGothic"/>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20"/>
          </w:cols>
          <w:pgMar w:left="320" w:top="354" w:right="359" w:bottom="0" w:gutter="0" w:footer="0" w:header="0"/>
          <w:type w:val="continuous"/>
        </w:sectPr>
      </w:pPr>
    </w:p>
    <w:p>
      <w:pPr>
        <w:spacing w:after="0" w:line="290" w:lineRule="exact"/>
        <w:rPr>
          <w:sz w:val="20"/>
          <w:szCs w:val="20"/>
          <w:color w:val="auto"/>
        </w:rPr>
      </w:pPr>
    </w:p>
    <w:p>
      <w:pPr>
        <w:jc w:val="both"/>
        <w:ind w:left="260" w:right="100"/>
        <w:spacing w:after="0" w:line="264" w:lineRule="auto"/>
        <w:rPr>
          <w:sz w:val="20"/>
          <w:szCs w:val="20"/>
          <w:color w:val="auto"/>
        </w:rPr>
      </w:pPr>
      <w:r>
        <w:rPr>
          <w:rFonts w:ascii="Times New Roman" w:cs="Times New Roman" w:eastAsia="Times New Roman" w:hAnsi="Times New Roman"/>
          <w:sz w:val="18"/>
          <w:szCs w:val="18"/>
          <w:b w:val="1"/>
          <w:bCs w:val="1"/>
          <w:color w:val="231F20"/>
        </w:rPr>
        <w:t xml:space="preserve">Note: </w:t>
      </w:r>
      <w:r>
        <w:rPr>
          <w:rFonts w:ascii="Times New Roman" w:cs="Times New Roman" w:eastAsia="Times New Roman" w:hAnsi="Times New Roman"/>
          <w:sz w:val="18"/>
          <w:szCs w:val="18"/>
          <w:color w:val="231F20"/>
        </w:rPr>
        <w:t>Please sign exactly as your name or names appear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-1158875</wp:posOffset>
            </wp:positionV>
            <wp:extent cx="3334385" cy="3975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34385" cy="3975100"/>
                    </a:xfrm>
                    <a:prstGeom prst="rect">
                      <a:avLst/>
                    </a:prstGeom>
                    <a:noFill/>
                  </pic:spPr>
                </pic:pic>
              </a:graphicData>
            </a:graphic>
          </wp:anchor>
        </w:drawing>
      </w:r>
    </w:p>
    <w:p>
      <w:pPr>
        <w:spacing w:after="0" w:line="305" w:lineRule="exact"/>
        <w:rPr>
          <w:sz w:val="20"/>
          <w:szCs w:val="20"/>
          <w:color w:val="auto"/>
        </w:rPr>
      </w:pPr>
    </w:p>
    <w:p>
      <w:pPr>
        <w:jc w:val="both"/>
        <w:ind w:left="260" w:right="100"/>
        <w:spacing w:after="0" w:line="264" w:lineRule="auto"/>
        <w:rPr>
          <w:sz w:val="20"/>
          <w:szCs w:val="20"/>
          <w:color w:val="auto"/>
        </w:rPr>
      </w:pPr>
      <w:r>
        <w:rPr>
          <w:rFonts w:ascii="Times New Roman" w:cs="Times New Roman" w:eastAsia="Times New Roman" w:hAnsi="Times New Roman"/>
          <w:sz w:val="18"/>
          <w:szCs w:val="18"/>
          <w:b w:val="1"/>
          <w:bCs w:val="1"/>
          <w:color w:val="231F20"/>
        </w:rPr>
        <w:t>PLEASE NOTE that by signing and submitting this proxy card, you declare that you have no personal interest in items 2, 3, 4, 5 and 6 except for a personal interest of which you have notified the Company about in writing, as required under the Israeli Companies Law 5759-1999. For further information, please see the proxy statement.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720"/>
        <w:spacing w:after="0"/>
        <w:tabs>
          <w:tab w:leader="none" w:pos="4300" w:val="left"/>
        </w:tabs>
        <w:rPr>
          <w:sz w:val="20"/>
          <w:szCs w:val="20"/>
          <w:color w:val="auto"/>
        </w:rPr>
      </w:pPr>
      <w:r>
        <w:rPr>
          <w:rFonts w:ascii="Times New Roman" w:cs="Times New Roman" w:eastAsia="Times New Roman" w:hAnsi="Times New Roman"/>
          <w:sz w:val="18"/>
          <w:szCs w:val="18"/>
          <w:color w:val="auto"/>
        </w:rPr>
        <w:t>FOR</w:t>
        <w:tab/>
        <w:t>AGAINST ABSTAIN</w:t>
      </w:r>
    </w:p>
    <w:p>
      <w:pPr>
        <w:spacing w:after="0" w:line="27" w:lineRule="exact"/>
        <w:rPr>
          <w:sz w:val="20"/>
          <w:szCs w:val="20"/>
          <w:color w:val="auto"/>
        </w:rPr>
      </w:pPr>
    </w:p>
    <w:p>
      <w:pPr>
        <w:spacing w:after="0" w:line="207" w:lineRule="exact"/>
        <w:tabs>
          <w:tab w:leader="none" w:pos="3900" w:val="left"/>
          <w:tab w:leader="none" w:pos="4680" w:val="left"/>
          <w:tab w:leader="none" w:pos="5460" w:val="left"/>
        </w:tabs>
        <w:rPr>
          <w:sz w:val="20"/>
          <w:szCs w:val="20"/>
          <w:color w:val="auto"/>
        </w:rPr>
      </w:pP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color w:val="231F20"/>
        </w:rPr>
        <w:t>To elect Mr. Sean Ellis as a Class III</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member of the Board of Directors of the</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Company (the “Board”) until the 2029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Annual Meeting.</w:t>
      </w:r>
    </w:p>
    <w:p>
      <w:pPr>
        <w:spacing w:after="0" w:line="200" w:lineRule="exact"/>
        <w:rPr>
          <w:sz w:val="20"/>
          <w:szCs w:val="20"/>
          <w:color w:val="auto"/>
        </w:rPr>
      </w:pPr>
    </w:p>
    <w:p>
      <w:pPr>
        <w:spacing w:after="0" w:line="385" w:lineRule="exact"/>
        <w:rPr>
          <w:sz w:val="20"/>
          <w:szCs w:val="20"/>
          <w:color w:val="auto"/>
        </w:rPr>
      </w:pPr>
    </w:p>
    <w:p>
      <w:pPr>
        <w:spacing w:after="0" w:line="207" w:lineRule="exact"/>
        <w:tabs>
          <w:tab w:leader="none" w:pos="3900" w:val="left"/>
          <w:tab w:leader="none" w:pos="4660" w:val="left"/>
          <w:tab w:leader="none" w:pos="5460" w:val="left"/>
        </w:tabs>
        <w:rPr>
          <w:sz w:val="20"/>
          <w:szCs w:val="20"/>
          <w:color w:val="auto"/>
        </w:rPr>
      </w:pPr>
      <w:r>
        <w:rPr>
          <w:rFonts w:ascii="Times New Roman" w:cs="Times New Roman" w:eastAsia="Times New Roman" w:hAnsi="Times New Roman"/>
          <w:sz w:val="18"/>
          <w:szCs w:val="18"/>
          <w:color w:val="auto"/>
        </w:rPr>
        <w:t xml:space="preserve">1b. </w:t>
      </w:r>
      <w:r>
        <w:rPr>
          <w:rFonts w:ascii="Times New Roman" w:cs="Times New Roman" w:eastAsia="Times New Roman" w:hAnsi="Times New Roman"/>
          <w:sz w:val="18"/>
          <w:szCs w:val="18"/>
          <w:color w:val="231F20"/>
        </w:rPr>
        <w:t>To elect Mr. Steven D. Rubin as a Class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83" w:lineRule="exact"/>
        <w:rPr>
          <w:sz w:val="20"/>
          <w:szCs w:val="20"/>
          <w:color w:val="auto"/>
        </w:rPr>
      </w:pPr>
    </w:p>
    <w:p>
      <w:pPr>
        <w:ind w:left="300" w:right="2580" w:hanging="10"/>
        <w:spacing w:after="0" w:line="258" w:lineRule="auto"/>
        <w:tabs>
          <w:tab w:leader="none" w:pos="563"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member of the Board until the 2029 Annual Meeting.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To elect Mr. Geno J. Germano as a Class</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6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III member of the Board until the 2029</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Annual Meeting.</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8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To approve the amended compensation</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terms, as described in the accompa-nying</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9"/>
        </w:trPr>
        <w:tc>
          <w:tcPr>
            <w:tcW w:w="260" w:type="dxa"/>
            <w:vAlign w:val="bottom"/>
          </w:tcPr>
          <w:p>
            <w:pPr>
              <w:spacing w:after="0"/>
              <w:rPr>
                <w:sz w:val="19"/>
                <w:szCs w:val="19"/>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proxy statement, for the Company’s non-</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executive directors.</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4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To approve share-based compensation, as</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0" w:type="dxa"/>
            <w:vAlign w:val="bottom"/>
          </w:tcPr>
          <w:p>
            <w:pPr>
              <w:spacing w:after="0"/>
              <w:rPr>
                <w:sz w:val="18"/>
                <w:szCs w:val="18"/>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described  in  the  accompanying  proxy</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statement, for Steven D. Rubin, a Director.</w:t>
            </w: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560" w:space="720"/>
            <w:col w:w="5940"/>
          </w:cols>
          <w:pgMar w:left="320" w:top="354" w:right="359" w:bottom="0" w:gutter="0" w:footer="0" w:header="0"/>
          <w:type w:val="continuous"/>
        </w:sectPr>
      </w:pPr>
    </w:p>
    <w:p>
      <w:pPr>
        <w:spacing w:after="0" w:line="106" w:lineRule="exact"/>
        <w:rPr>
          <w:sz w:val="20"/>
          <w:szCs w:val="20"/>
          <w:color w:val="auto"/>
        </w:rPr>
      </w:pPr>
    </w:p>
    <w:p>
      <w:pPr>
        <w:ind w:left="5280"/>
        <w:spacing w:after="0" w:line="207" w:lineRule="exact"/>
        <w:tabs>
          <w:tab w:leader="none" w:pos="5560" w:val="left"/>
          <w:tab w:leader="none" w:pos="9180" w:val="left"/>
          <w:tab w:leader="none" w:pos="9960" w:val="left"/>
          <w:tab w:leader="none" w:pos="10740" w:val="left"/>
        </w:tabs>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color w:val="231F20"/>
        </w:rPr>
        <w:tab/>
        <w:t>To approve share-based compensation, as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20"/>
          </w:cols>
          <w:pgMar w:left="320" w:top="354" w:right="359"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40"/>
        <w:spacing w:after="0" w:line="270" w:lineRule="auto"/>
        <w:rPr>
          <w:sz w:val="20"/>
          <w:szCs w:val="20"/>
          <w:color w:val="auto"/>
        </w:rPr>
      </w:pPr>
      <w:r>
        <w:rPr>
          <w:rFonts w:ascii="Times New Roman" w:cs="Times New Roman" w:eastAsia="Times New Roman" w:hAnsi="Times New Roman"/>
          <w:sz w:val="18"/>
          <w:szCs w:val="18"/>
          <w:color w:val="231F20"/>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jc w:val="both"/>
        <w:ind w:left="900"/>
        <w:spacing w:after="0" w:line="274" w:lineRule="auto"/>
        <w:rPr>
          <w:sz w:val="20"/>
          <w:szCs w:val="20"/>
          <w:color w:val="auto"/>
        </w:rPr>
      </w:pPr>
      <w:r>
        <w:rPr>
          <w:rFonts w:ascii="Times New Roman" w:cs="Times New Roman" w:eastAsia="Times New Roman" w:hAnsi="Times New Roman"/>
          <w:sz w:val="18"/>
          <w:szCs w:val="18"/>
          <w:color w:val="231F20"/>
        </w:rPr>
        <w:t>described in the accompanying proxy statement, for Geno J. Germano,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-438150</wp:posOffset>
            </wp:positionV>
            <wp:extent cx="7132320" cy="8323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323580"/>
                    </a:xfrm>
                    <a:prstGeom prst="rect">
                      <a:avLst/>
                    </a:prstGeom>
                    <a:noFill/>
                  </pic:spPr>
                </pic:pic>
              </a:graphicData>
            </a:graphic>
          </wp:anchor>
        </w:drawing>
      </w:r>
    </w:p>
    <w:p>
      <w:pPr>
        <w:spacing w:after="0" w:line="270" w:lineRule="exact"/>
        <w:rPr>
          <w:sz w:val="20"/>
          <w:szCs w:val="20"/>
          <w:color w:val="auto"/>
        </w:rPr>
      </w:pPr>
    </w:p>
    <w:p>
      <w:pPr>
        <w:jc w:val="both"/>
        <w:ind w:left="900" w:hanging="294"/>
        <w:spacing w:after="0" w:line="271"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approve a one-time grant of compensation, as described in the accompany-ing proxy statement, for Sean Ellis, a Director</w:t>
      </w:r>
    </w:p>
    <w:p>
      <w:pPr>
        <w:spacing w:after="0" w:line="293" w:lineRule="exact"/>
        <w:rPr>
          <w:rFonts w:ascii="Times New Roman" w:cs="Times New Roman" w:eastAsia="Times New Roman" w:hAnsi="Times New Roman"/>
          <w:sz w:val="18"/>
          <w:szCs w:val="18"/>
          <w:color w:val="auto"/>
        </w:rPr>
      </w:pPr>
    </w:p>
    <w:p>
      <w:pPr>
        <w:jc w:val="both"/>
        <w:ind w:left="900" w:hanging="294"/>
        <w:spacing w:after="0" w:line="270"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one-time grant of compensation, as described in the accompany-ing proxy statement, for Miranda Toledano, the Company’s Chief Executive Officer and a Director</w:t>
      </w:r>
    </w:p>
    <w:p>
      <w:pPr>
        <w:spacing w:after="0" w:line="280" w:lineRule="exact"/>
        <w:rPr>
          <w:rFonts w:ascii="Times New Roman" w:cs="Times New Roman" w:eastAsia="Times New Roman" w:hAnsi="Times New Roman"/>
          <w:sz w:val="18"/>
          <w:szCs w:val="18"/>
          <w:color w:val="auto"/>
        </w:rPr>
      </w:pPr>
    </w:p>
    <w:p>
      <w:pPr>
        <w:jc w:val="both"/>
        <w:ind w:left="900" w:hanging="294"/>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2018 Equity Incentive Plan (the “2018 Plan”) to increase the number of shares issuable thereunder by 2,500,000 shares, as described in the accompanying proxy statement and attached as Appendix A thereto.</w:t>
      </w:r>
    </w:p>
    <w:p>
      <w:pPr>
        <w:spacing w:after="0" w:line="297" w:lineRule="exact"/>
        <w:rPr>
          <w:rFonts w:ascii="Times New Roman" w:cs="Times New Roman" w:eastAsia="Times New Roman" w:hAnsi="Times New Roman"/>
          <w:sz w:val="18"/>
          <w:szCs w:val="18"/>
          <w:color w:val="auto"/>
        </w:rPr>
      </w:pPr>
    </w:p>
    <w:p>
      <w:pPr>
        <w:jc w:val="both"/>
        <w:ind w:left="900" w:hanging="294"/>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Articles of Association to effect an increase in the Company’s authorized share capital, as described in the accompanying proxy statement and attached as Appendix B thereto.</w:t>
      </w:r>
    </w:p>
    <w:p>
      <w:pPr>
        <w:spacing w:after="0" w:line="297" w:lineRule="exact"/>
        <w:rPr>
          <w:rFonts w:ascii="Times New Roman" w:cs="Times New Roman" w:eastAsia="Times New Roman" w:hAnsi="Times New Roman"/>
          <w:sz w:val="18"/>
          <w:szCs w:val="18"/>
          <w:color w:val="auto"/>
        </w:rPr>
      </w:pPr>
    </w:p>
    <w:p>
      <w:pPr>
        <w:jc w:val="both"/>
        <w:ind w:left="900" w:hanging="294"/>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paid to the Company’s named executive officers, including the compensation tables and narrative discussion, as described in the accompanying proxy statement.</w:t>
      </w:r>
    </w:p>
    <w:p>
      <w:pPr>
        <w:spacing w:after="0" w:line="297" w:lineRule="exact"/>
        <w:rPr>
          <w:rFonts w:ascii="Times New Roman" w:cs="Times New Roman" w:eastAsia="Times New Roman" w:hAnsi="Times New Roman"/>
          <w:sz w:val="18"/>
          <w:szCs w:val="18"/>
          <w:color w:val="auto"/>
        </w:rPr>
      </w:pPr>
    </w:p>
    <w:p>
      <w:pPr>
        <w:jc w:val="both"/>
        <w:ind w:left="900" w:hanging="294"/>
        <w:spacing w:after="0" w:line="284" w:lineRule="auto"/>
        <w:tabs>
          <w:tab w:leader="none" w:pos="9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appointment of Kesselman &amp; Kesselman, a member firm of</w:t>
      </w:r>
    </w:p>
    <w:p>
      <w:pPr>
        <w:spacing w:after="0" w:line="1" w:lineRule="exact"/>
        <w:rPr>
          <w:rFonts w:ascii="Times New Roman" w:cs="Times New Roman" w:eastAsia="Times New Roman" w:hAnsi="Times New Roman"/>
          <w:sz w:val="17"/>
          <w:szCs w:val="17"/>
          <w:color w:val="auto"/>
        </w:rPr>
      </w:pPr>
    </w:p>
    <w:p>
      <w:pPr>
        <w:jc w:val="both"/>
        <w:ind w:left="90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w:t>
      </w:r>
    </w:p>
    <w:p>
      <w:pPr>
        <w:spacing w:after="0" w:line="200" w:lineRule="exact"/>
        <w:rPr>
          <w:sz w:val="20"/>
          <w:szCs w:val="20"/>
          <w:color w:val="auto"/>
        </w:rPr>
      </w:pPr>
    </w:p>
    <w:p>
      <w:pPr>
        <w:spacing w:after="0" w:line="26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81" w:lineRule="exact"/>
        <w:tabs>
          <w:tab w:leader="none" w:pos="760" w:val="left"/>
          <w:tab w:leader="none" w:pos="15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line="181" w:lineRule="exact"/>
        <w:tabs>
          <w:tab w:leader="none" w:pos="740" w:val="left"/>
          <w:tab w:leader="none" w:pos="1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line="181" w:lineRule="exact"/>
        <w:tabs>
          <w:tab w:leader="none" w:pos="780" w:val="left"/>
          <w:tab w:leader="none" w:pos="1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line="181" w:lineRule="exact"/>
        <w:tabs>
          <w:tab w:leader="none" w:pos="780" w:val="left"/>
          <w:tab w:leader="none" w:pos="1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line="181" w:lineRule="exact"/>
        <w:tabs>
          <w:tab w:leader="none" w:pos="780" w:val="left"/>
          <w:tab w:leader="none" w:pos="1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line="181" w:lineRule="exact"/>
        <w:tabs>
          <w:tab w:leader="none" w:pos="780" w:val="left"/>
          <w:tab w:leader="none" w:pos="1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4005" w:lineRule="exact"/>
        <w:rPr>
          <w:sz w:val="20"/>
          <w:szCs w:val="20"/>
          <w:color w:val="auto"/>
        </w:rPr>
      </w:pPr>
    </w:p>
    <w:p>
      <w:pPr>
        <w:sectPr>
          <w:pgSz w:w="11900" w:h="16838" w:orient="portrait"/>
          <w:cols w:equalWidth="0" w:num="3">
            <w:col w:w="4240" w:space="220"/>
            <w:col w:w="3960" w:space="560"/>
            <w:col w:w="2040"/>
          </w:cols>
          <w:pgMar w:left="540" w:top="121" w:right="339" w:bottom="1440" w:gutter="0" w:footer="0" w:header="0"/>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231F20"/>
              </w:rPr>
              <w:t>Name &amp; Signature</w:t>
            </w:r>
          </w:p>
        </w:tc>
        <w:tc>
          <w:tcPr>
            <w:tcW w:w="2000" w:type="dxa"/>
            <w:vAlign w:val="bottom"/>
            <w:tcBorders>
              <w:top w:val="single" w:sz="8" w:color="auto"/>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ind w:left="220"/>
              <w:spacing w:after="0" w:line="198" w:lineRule="exact"/>
              <w:rPr>
                <w:sz w:val="20"/>
                <w:szCs w:val="20"/>
                <w:color w:val="auto"/>
              </w:rPr>
            </w:pPr>
            <w:r>
              <w:rPr>
                <w:rFonts w:ascii="Times New Roman" w:cs="Times New Roman" w:eastAsia="Times New Roman" w:hAnsi="Times New Roman"/>
                <w:sz w:val="18"/>
                <w:szCs w:val="18"/>
                <w:color w:val="auto"/>
              </w:rPr>
              <w:t>Name &amp; Signature</w:t>
            </w:r>
          </w:p>
        </w:tc>
        <w:tc>
          <w:tcPr>
            <w:tcW w:w="2040" w:type="dxa"/>
            <w:vAlign w:val="bottom"/>
            <w:tcBorders>
              <w:top w:val="single" w:sz="8" w:color="auto"/>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Borders>
              <w:right w:val="single" w:sz="8" w:color="auto"/>
            </w:tcBorders>
            <w:vMerge w:val="continue"/>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of shareholder (if</w:t>
            </w:r>
          </w:p>
        </w:tc>
        <w:tc>
          <w:tcPr>
            <w:tcW w:w="204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231F20"/>
              </w:rPr>
              <w:t>of shareholder</w:t>
            </w:r>
          </w:p>
        </w:tc>
        <w:tc>
          <w:tcPr>
            <w:tcW w:w="2000" w:type="dxa"/>
            <w:vAlign w:val="bottom"/>
            <w:tcBorders>
              <w:bottom w:val="single" w:sz="8" w:color="auto"/>
              <w:right w:val="single" w:sz="8" w:color="auto"/>
            </w:tcBorders>
          </w:tcPr>
          <w:p>
            <w:pPr>
              <w:spacing w:after="0"/>
              <w:rPr>
                <w:sz w:val="22"/>
                <w:szCs w:val="22"/>
                <w:color w:val="auto"/>
              </w:rPr>
            </w:pPr>
          </w:p>
        </w:tc>
        <w:tc>
          <w:tcPr>
            <w:tcW w:w="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1360" w:type="dxa"/>
            <w:vAlign w:val="bottom"/>
            <w:tcBorders>
              <w:bottom w:val="single" w:sz="8" w:color="auto"/>
              <w:right w:val="single" w:sz="8" w:color="auto"/>
            </w:tcBorders>
          </w:tcPr>
          <w:p>
            <w:pPr>
              <w:spacing w:after="0"/>
              <w:rPr>
                <w:sz w:val="22"/>
                <w:szCs w:val="22"/>
                <w:color w:val="auto"/>
              </w:rPr>
            </w:pPr>
          </w:p>
        </w:tc>
        <w:tc>
          <w:tcPr>
            <w:tcW w:w="16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joint)</w:t>
            </w:r>
          </w:p>
        </w:tc>
        <w:tc>
          <w:tcPr>
            <w:tcW w:w="2040" w:type="dxa"/>
            <w:vAlign w:val="bottom"/>
            <w:tcBorders>
              <w:bottom w:val="single" w:sz="8" w:color="auto"/>
              <w:right w:val="single" w:sz="8" w:color="auto"/>
            </w:tcBorders>
          </w:tcPr>
          <w:p>
            <w:pPr>
              <w:spacing w:after="0"/>
              <w:rPr>
                <w:sz w:val="22"/>
                <w:szCs w:val="22"/>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6108065</wp:posOffset>
            </wp:positionH>
            <wp:positionV relativeFrom="paragraph">
              <wp:posOffset>-425450</wp:posOffset>
            </wp:positionV>
            <wp:extent cx="887095" cy="424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7095" cy="424180"/>
                    </a:xfrm>
                    <a:prstGeom prst="rect">
                      <a:avLst/>
                    </a:prstGeom>
                    <a:noFill/>
                  </pic:spPr>
                </pic:pic>
              </a:graphicData>
            </a:graphic>
          </wp:anchor>
        </w:drawing>
      </w:r>
    </w:p>
    <w:p>
      <w:pPr>
        <w:spacing w:after="0" w:line="174" w:lineRule="exact"/>
        <w:rPr>
          <w:sz w:val="20"/>
          <w:szCs w:val="20"/>
          <w:color w:val="auto"/>
        </w:rPr>
      </w:pPr>
    </w:p>
    <w:p>
      <w:pPr>
        <w:jc w:val="both"/>
        <w:ind w:left="700" w:hanging="444"/>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31F20"/>
        </w:rPr>
        <w:t>Please sign exactly as your name or names appear on this Proxy. When shares are held jointly, each holder should sign. When signing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182245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276225</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20"/>
      </w:cols>
      <w:pgMar w:left="54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
    <w:nsid w:val="1BA026FA"/>
    <w:multiLevelType w:val="hybridMultilevel"/>
    <w:lvl w:ilvl="0">
      <w:lvlJc w:val="left"/>
      <w:lvlText w:val="%1:"/>
      <w:numFmt w:val="upperLetter"/>
      <w:start w:val="17"/>
    </w:lvl>
  </w:abstractNum>
  <w:abstractNum w:abstractNumId="5">
    <w:nsid w:val="79A1DEAA"/>
    <w:multiLevelType w:val="hybridMultilevel"/>
    <w:lvl w:ilvl="0">
      <w:lvlJc w:val="left"/>
      <w:lvlText w:val="%1:"/>
      <w:numFmt w:val="upperLetter"/>
      <w:start w:val="1"/>
    </w:lvl>
  </w:abstractNum>
  <w:abstractNum w:abstractNumId="6">
    <w:nsid w:val="75C6C33A"/>
    <w:multiLevelType w:val="hybridMultilevel"/>
    <w:lvl w:ilvl="0">
      <w:lvlJc w:val="left"/>
      <w:lvlText w:val="%1:"/>
      <w:numFmt w:val="upperLetter"/>
      <w:start w:val="17"/>
    </w:lvl>
  </w:abstractNum>
  <w:abstractNum w:abstractNumId="7">
    <w:nsid w:val="12E685FB"/>
    <w:multiLevelType w:val="hybridMultilevel"/>
    <w:lvl w:ilvl="0">
      <w:lvlJc w:val="left"/>
      <w:lvlText w:val="%1:"/>
      <w:numFmt w:val="upperLetter"/>
      <w:start w:val="1"/>
    </w:lvl>
  </w:abstractNum>
  <w:abstractNum w:abstractNumId="8">
    <w:nsid w:val="70C6A529"/>
    <w:multiLevelType w:val="hybridMultilevel"/>
    <w:lvl w:ilvl="0">
      <w:lvlJc w:val="left"/>
      <w:lvlText w:val="%1:"/>
      <w:numFmt w:val="upperLetter"/>
      <w:start w:val="17"/>
    </w:lvl>
  </w:abstractNum>
  <w:abstractNum w:abstractNumId="9">
    <w:nsid w:val="520EEDD1"/>
    <w:multiLevelType w:val="hybridMultilevel"/>
    <w:lvl w:ilvl="0">
      <w:lvlJc w:val="left"/>
      <w:lvlText w:val="%1:"/>
      <w:numFmt w:val="upperLetter"/>
      <w:start w:val="1"/>
    </w:lvl>
  </w:abstractNum>
  <w:abstractNum w:abstractNumId="10">
    <w:nsid w:val="374A3FE6"/>
    <w:multiLevelType w:val="hybridMultilevel"/>
    <w:lvl w:ilvl="0">
      <w:lvlJc w:val="left"/>
      <w:lvlText w:val="%1:"/>
      <w:numFmt w:val="upperLetter"/>
      <w:start w:val="17"/>
    </w:lvl>
  </w:abstractNum>
  <w:abstractNum w:abstractNumId="11">
    <w:nsid w:val="4F4EF005"/>
    <w:multiLevelType w:val="hybridMultilevel"/>
    <w:lvl w:ilvl="0">
      <w:lvlJc w:val="left"/>
      <w:lvlText w:val="%1:"/>
      <w:numFmt w:val="upperLetter"/>
      <w:start w:val="1"/>
    </w:lvl>
  </w:abstractNum>
  <w:abstractNum w:abstractNumId="12">
    <w:nsid w:val="23F9C13C"/>
    <w:multiLevelType w:val="hybridMultilevel"/>
    <w:lvl w:ilvl="0">
      <w:lvlJc w:val="left"/>
      <w:lvlText w:val="%1:"/>
      <w:numFmt w:val="upperLetter"/>
      <w:start w:val="17"/>
    </w:lvl>
  </w:abstractNum>
  <w:abstractNum w:abstractNumId="13">
    <w:nsid w:val="649BB77C"/>
    <w:multiLevelType w:val="hybridMultilevel"/>
    <w:lvl w:ilvl="0">
      <w:lvlJc w:val="left"/>
      <w:lvlText w:val="%1:"/>
      <w:numFmt w:val="upperLetter"/>
      <w:start w:val="1"/>
    </w:lvl>
    <w:lvl w:ilvl="1">
      <w:lvlJc w:val="left"/>
      <w:lvlText w:val="•"/>
      <w:numFmt w:val="bullet"/>
      <w:start w:val="1"/>
    </w:lvl>
  </w:abstractNum>
  <w:abstractNum w:abstractNumId="14">
    <w:nsid w:val="275AC794"/>
    <w:multiLevelType w:val="hybridMultilevel"/>
    <w:lvl w:ilvl="0">
      <w:lvlJc w:val="left"/>
      <w:lvlText w:val="%1:"/>
      <w:numFmt w:val="upperLetter"/>
      <w:start w:val="17"/>
    </w:lvl>
  </w:abstractNum>
  <w:abstractNum w:abstractNumId="15">
    <w:nsid w:val="39386575"/>
    <w:multiLevelType w:val="hybridMultilevel"/>
    <w:lvl w:ilvl="0">
      <w:lvlJc w:val="left"/>
      <w:lvlText w:val="%1:"/>
      <w:numFmt w:val="upperLetter"/>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upperLetter"/>
      <w:start w:val="17"/>
    </w:lvl>
  </w:abstractNum>
  <w:abstractNum w:abstractNumId="18">
    <w:nsid w:val="235BA861"/>
    <w:multiLevelType w:val="hybridMultilevel"/>
    <w:lvl w:ilvl="0">
      <w:lvlJc w:val="left"/>
      <w:lvlText w:val="%1:"/>
      <w:numFmt w:val="upperLetter"/>
      <w:start w:val="1"/>
    </w:lvl>
  </w:abstractNum>
  <w:abstractNum w:abstractNumId="19">
    <w:nsid w:val="47398C89"/>
    <w:multiLevelType w:val="hybridMultilevel"/>
    <w:lvl w:ilvl="0">
      <w:lvlJc w:val="left"/>
      <w:lvlText w:val="%1:"/>
      <w:numFmt w:val="upperLetter"/>
      <w:start w:val="17"/>
    </w:lvl>
  </w:abstractNum>
  <w:abstractNum w:abstractNumId="20">
    <w:nsid w:val="354FE9F9"/>
    <w:multiLevelType w:val="hybridMultilevel"/>
    <w:lvl w:ilvl="0">
      <w:lvlJc w:val="left"/>
      <w:lvlText w:val="%1:"/>
      <w:numFmt w:val="upperLetter"/>
      <w:start w:val="1"/>
    </w:lvl>
  </w:abstractNum>
  <w:abstractNum w:abstractNumId="21">
    <w:nsid w:val="15B5AF5C"/>
    <w:multiLevelType w:val="hybridMultilevel"/>
    <w:lvl w:ilvl="0">
      <w:lvlJc w:val="left"/>
      <w:lvlText w:val="%1:"/>
      <w:numFmt w:val="upperLetter"/>
      <w:start w:val="17"/>
    </w:lvl>
  </w:abstractNum>
  <w:abstractNum w:abstractNumId="22">
    <w:nsid w:val="741226BB"/>
    <w:multiLevelType w:val="hybridMultilevel"/>
    <w:lvl w:ilvl="0">
      <w:lvlJc w:val="left"/>
      <w:lvlText w:val="%1:"/>
      <w:numFmt w:val="upperLetter"/>
      <w:start w:val="1"/>
    </w:lvl>
  </w:abstractNum>
  <w:abstractNum w:abstractNumId="23">
    <w:nsid w:val="D34B6A8"/>
    <w:multiLevelType w:val="hybridMultilevel"/>
    <w:lvl w:ilvl="0">
      <w:lvlJc w:val="left"/>
      <w:lvlText w:val="%1:"/>
      <w:numFmt w:val="upperLetter"/>
      <w:start w:val="17"/>
    </w:lvl>
  </w:abstractNum>
  <w:abstractNum w:abstractNumId="24">
    <w:nsid w:val="10233C99"/>
    <w:multiLevelType w:val="hybridMultilevel"/>
    <w:lvl w:ilvl="0">
      <w:lvlJc w:val="left"/>
      <w:lvlText w:val="%1:"/>
      <w:numFmt w:val="upperLetter"/>
      <w:start w:val="1"/>
    </w:lvl>
  </w:abstractNum>
  <w:abstractNum w:abstractNumId="25">
    <w:nsid w:val="3F6AB60F"/>
    <w:multiLevelType w:val="hybridMultilevel"/>
    <w:lvl w:ilvl="0">
      <w:lvlJc w:val="left"/>
      <w:lvlText w:val="%1:"/>
      <w:numFmt w:val="upperLetter"/>
      <w:start w:val="17"/>
    </w:lvl>
  </w:abstractNum>
  <w:abstractNum w:abstractNumId="26">
    <w:nsid w:val="61574095"/>
    <w:multiLevelType w:val="hybridMultilevel"/>
    <w:lvl w:ilvl="0">
      <w:lvlJc w:val="left"/>
      <w:lvlText w:val="%1:"/>
      <w:numFmt w:val="upperLetter"/>
      <w:start w:val="1"/>
    </w:lvl>
  </w:abstractNum>
  <w:abstractNum w:abstractNumId="27">
    <w:nsid w:val="7E0C57B1"/>
    <w:multiLevelType w:val="hybridMultilevel"/>
    <w:lvl w:ilvl="0">
      <w:lvlJc w:val="left"/>
      <w:lvlText w:val="%1:"/>
      <w:numFmt w:val="upperLetter"/>
      <w:start w:val="17"/>
    </w:lvl>
  </w:abstractNum>
  <w:abstractNum w:abstractNumId="28">
    <w:nsid w:val="77AE35EB"/>
    <w:multiLevelType w:val="hybridMultilevel"/>
    <w:lvl w:ilvl="0">
      <w:lvlJc w:val="left"/>
      <w:lvlText w:val="%1:"/>
      <w:numFmt w:val="upperLetter"/>
      <w:start w:val="1"/>
    </w:lvl>
  </w:abstractNum>
  <w:abstractNum w:abstractNumId="29">
    <w:nsid w:val="579BE4F1"/>
    <w:multiLevelType w:val="hybridMultilevel"/>
    <w:lvl w:ilvl="0">
      <w:lvlJc w:val="left"/>
      <w:lvlText w:val="%1:"/>
      <w:numFmt w:val="upperLetter"/>
      <w:start w:val="17"/>
    </w:lvl>
  </w:abstractNum>
  <w:abstractNum w:abstractNumId="30">
    <w:nsid w:val="310C50B3"/>
    <w:multiLevelType w:val="hybridMultilevel"/>
    <w:lvl w:ilvl="0">
      <w:lvlJc w:val="left"/>
      <w:lvlText w:val="%1:"/>
      <w:numFmt w:val="upperLetter"/>
      <w:start w:val="1"/>
    </w:lvl>
  </w:abstractNum>
  <w:abstractNum w:abstractNumId="31">
    <w:nsid w:val="5FF87E05"/>
    <w:multiLevelType w:val="hybridMultilevel"/>
    <w:lvl w:ilvl="0">
      <w:lvlJc w:val="left"/>
      <w:lvlText w:val="%1:"/>
      <w:numFmt w:val="upperLetter"/>
      <w:start w:val="17"/>
    </w:lvl>
  </w:abstractNum>
  <w:abstractNum w:abstractNumId="32">
    <w:nsid w:val="2F305DEF"/>
    <w:multiLevelType w:val="hybridMultilevel"/>
    <w:lvl w:ilvl="0">
      <w:lvlJc w:val="left"/>
      <w:lvlText w:val="%1:"/>
      <w:numFmt w:val="upperLetter"/>
      <w:start w:val="1"/>
    </w:lvl>
    <w:lvl w:ilvl="1">
      <w:lvlJc w:val="left"/>
      <w:lvlText w:val="(%2)"/>
      <w:numFmt w:val="lowerRoman"/>
      <w:start w:val="2"/>
    </w:lvl>
  </w:abstractNum>
  <w:abstractNum w:abstractNumId="33">
    <w:nsid w:val="25A70BF7"/>
    <w:multiLevelType w:val="hybridMultilevel"/>
    <w:lvl w:ilvl="0">
      <w:lvlJc w:val="left"/>
      <w:lvlText w:val="(%1)"/>
      <w:numFmt w:val="lowerRoman"/>
      <w:start w:val="2"/>
    </w:lvl>
  </w:abstractNum>
  <w:abstractNum w:abstractNumId="34">
    <w:nsid w:val="1DBABF00"/>
    <w:multiLevelType w:val="hybridMultilevel"/>
    <w:lvl w:ilvl="0">
      <w:lvlJc w:val="left"/>
      <w:lvlText w:val="%1:"/>
      <w:numFmt w:val="upperLetter"/>
      <w:start w:val="17"/>
    </w:lvl>
  </w:abstractNum>
  <w:abstractNum w:abstractNumId="35">
    <w:nsid w:val="4AD084E9"/>
    <w:multiLevelType w:val="hybridMultilevel"/>
    <w:lvl w:ilvl="0">
      <w:lvlJc w:val="left"/>
      <w:lvlText w:val="%1:"/>
      <w:numFmt w:val="upperLetter"/>
      <w:start w:val="1"/>
    </w:lvl>
  </w:abstractNum>
  <w:abstractNum w:abstractNumId="36">
    <w:nsid w:val="1F48EAA1"/>
    <w:multiLevelType w:val="hybridMultilevel"/>
    <w:lvl w:ilvl="0">
      <w:lvlJc w:val="left"/>
      <w:lvlText w:val="%1."/>
      <w:numFmt w:val="upperLetter"/>
      <w:start w:val="17"/>
    </w:lvl>
  </w:abstractNum>
  <w:abstractNum w:abstractNumId="37">
    <w:nsid w:val="1381823A"/>
    <w:multiLevelType w:val="hybridMultilevel"/>
    <w:lvl w:ilvl="0">
      <w:lvlJc w:val="left"/>
      <w:lvlText w:val="%1:"/>
      <w:numFmt w:val="upperLetter"/>
      <w:start w:val="1"/>
    </w:lvl>
  </w:abstractNum>
  <w:abstractNum w:abstractNumId="38">
    <w:nsid w:val="5DB70AE5"/>
    <w:multiLevelType w:val="hybridMultilevel"/>
    <w:lvl w:ilvl="0">
      <w:lvlJc w:val="left"/>
      <w:lvlText w:val="%1:"/>
      <w:numFmt w:val="upperLetter"/>
      <w:start w:val="17"/>
    </w:lvl>
  </w:abstractNum>
  <w:abstractNum w:abstractNumId="39">
    <w:nsid w:val="100F8FCA"/>
    <w:multiLevelType w:val="hybridMultilevel"/>
    <w:lvl w:ilvl="0">
      <w:lvlJc w:val="left"/>
      <w:lvlText w:val="%1:"/>
      <w:numFmt w:val="upperLetter"/>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lowerLetter"/>
      <w:start w:val="8"/>
    </w:lvl>
  </w:abstractNum>
  <w:abstractNum w:abstractNumId="46">
    <w:nsid w:val="42C296BD"/>
    <w:multiLevelType w:val="hybridMultilevel"/>
    <w:lvl w:ilvl="0">
      <w:lvlJc w:val="left"/>
      <w:lvlText w:val="(%1)"/>
      <w:numFmt w:val="lowerLetter"/>
      <w:start w:val="5"/>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5"/>
    </w:lvl>
  </w:abstractNum>
  <w:abstractNum w:abstractNumId="51">
    <w:nsid w:val="540A471C"/>
    <w:multiLevelType w:val="hybridMultilevel"/>
    <w:lvl w:ilvl="0">
      <w:lvlJc w:val="left"/>
      <w:lvlText w:val="(%1)"/>
      <w:numFmt w:val="lowerRoman"/>
      <w:start w:val="1"/>
    </w:lvl>
  </w:abstractNum>
  <w:abstractNum w:abstractNumId="52">
    <w:nsid w:val="7BD3EE7B"/>
    <w:multiLevelType w:val="hybridMultilevel"/>
    <w:lvl w:ilvl="0">
      <w:lvlJc w:val="left"/>
      <w:lvlText w:val="(%1)"/>
      <w:numFmt w:val="lowerRoman"/>
      <w:start w:val="2"/>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2"/>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8"/>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4"/>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Roman"/>
      <w:start w:val="1"/>
    </w:lvl>
  </w:abstractNum>
  <w:abstractNum w:abstractNumId="63">
    <w:nsid w:val="4962813B"/>
    <w:multiLevelType w:val="hybridMultilevel"/>
    <w:lvl w:ilvl="0">
      <w:lvlJc w:val="left"/>
      <w:lvlText w:val="(%1)"/>
      <w:numFmt w:val="lowerRoman"/>
      <w:start w:val="1"/>
    </w:lvl>
  </w:abstractNum>
  <w:abstractNum w:abstractNumId="64">
    <w:nsid w:val="60B6DF70"/>
    <w:multiLevelType w:val="hybridMultilevel"/>
    <w:lvl w:ilvl="0">
      <w:lvlJc w:val="left"/>
      <w:lvlText w:val="(%1)"/>
      <w:numFmt w:val="lowerRoman"/>
      <w:start w:val="1"/>
    </w:lvl>
  </w:abstractNum>
  <w:abstractNum w:abstractNumId="65">
    <w:nsid w:val="6A5EE64"/>
    <w:multiLevelType w:val="hybridMultilevel"/>
    <w:lvl w:ilvl="0">
      <w:lvlJc w:val="left"/>
      <w:lvlText w:val="(%1)"/>
      <w:numFmt w:val="lowerRoman"/>
      <w:start w:val="1"/>
    </w:lvl>
  </w:abstractNum>
  <w:abstractNum w:abstractNumId="66">
    <w:nsid w:val="14330624"/>
    <w:multiLevelType w:val="hybridMultilevel"/>
    <w:lvl w:ilvl="0">
      <w:lvlJc w:val="left"/>
      <w:lvlText w:val="(%1)"/>
      <w:numFmt w:val="lowerRoman"/>
      <w:start w:val="1"/>
    </w:lvl>
  </w:abstractNum>
  <w:abstractNum w:abstractNumId="67">
    <w:nsid w:val="7FFFCA11"/>
    <w:multiLevelType w:val="hybridMultilevel"/>
    <w:lvl w:ilvl="0">
      <w:lvlJc w:val="left"/>
      <w:lvlText w:val="(%1)"/>
      <w:numFmt w:val="lowerRoman"/>
      <w:start w:val="2"/>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2"/>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2"/>
    </w:lvl>
  </w:abstractNum>
  <w:abstractNum w:abstractNumId="73">
    <w:nsid w:val="6F6DD9AC"/>
    <w:multiLevelType w:val="hybridMultilevel"/>
    <w:lvl w:ilvl="0">
      <w:lvlJc w:val="left"/>
      <w:lvlText w:val="%1."/>
      <w:numFmt w:val="decimal"/>
      <w:start w:val="8"/>
    </w:lvl>
  </w:abstractNum>
  <w:abstractNum w:abstractNumId="74">
    <w:nsid w:val="94211F2"/>
    <w:multiLevelType w:val="hybridMultilevel"/>
    <w:lvl w:ilvl="0">
      <w:lvlJc w:val="left"/>
      <w:lvlText w:val="%1."/>
      <w:numFmt w:val="decimal"/>
      <w:start w:val="9"/>
    </w:lvl>
  </w:abstractNum>
  <w:abstractNum w:abstractNumId="75">
    <w:nsid w:val="885E1B"/>
    <w:multiLevelType w:val="hybridMultilevel"/>
    <w:lvl w:ilvl="0">
      <w:lvlJc w:val="left"/>
      <w:lvlText w:val="%1."/>
      <w:numFmt w:val="decimal"/>
      <w:start w:val="10"/>
    </w:lvl>
  </w:abstractNum>
  <w:abstractNum w:abstractNumId="76">
    <w:nsid w:val="76272110"/>
    <w:multiLevelType w:val="hybridMultilevel"/>
    <w:lvl w:ilvl="0">
      <w:lvlJc w:val="left"/>
      <w:lvlText w:val="%1."/>
      <w:numFmt w:val="decimal"/>
      <w:start w:val="11"/>
    </w:lvl>
  </w:abstractNum>
  <w:abstractNum w:abstractNumId="77">
    <w:nsid w:val="4C04A8AF"/>
    <w:multiLevelType w:val="hybridMultilevel"/>
    <w:lvl w:ilvl="0">
      <w:lvlJc w:val="left"/>
      <w:lvlText w:val="%1."/>
      <w:numFmt w:val="decimal"/>
      <w:start w:val="12"/>
    </w:lvl>
  </w:abstractNum>
  <w:abstractNum w:abstractNumId="78">
    <w:nsid w:val="1716703B"/>
    <w:multiLevelType w:val="hybridMultilevel"/>
    <w:lvl w:ilvl="0">
      <w:lvlJc w:val="left"/>
      <w:lvlText w:val="%1."/>
      <w:numFmt w:val="decimal"/>
      <w:start w:val="13"/>
    </w:lvl>
  </w:abstractNum>
  <w:abstractNum w:abstractNumId="79">
    <w:nsid w:val="14E17E33"/>
    <w:multiLevelType w:val="hybridMultilevel"/>
    <w:lvl w:ilvl="0">
      <w:lvlJc w:val="left"/>
      <w:lvlText w:val="%1."/>
      <w:numFmt w:val="decimal"/>
      <w:start w:val="14"/>
    </w:lvl>
  </w:abstractNum>
  <w:abstractNum w:abstractNumId="80">
    <w:nsid w:val="3222E7CD"/>
    <w:multiLevelType w:val="hybridMultilevel"/>
    <w:lvl w:ilvl="0">
      <w:lvlJc w:val="left"/>
      <w:lvlText w:val="%1."/>
      <w:numFmt w:val="decimal"/>
      <w:start w:val="15"/>
    </w:lvl>
  </w:abstractNum>
  <w:abstractNum w:abstractNumId="81">
    <w:nsid w:val="74DE0EE3"/>
    <w:multiLevelType w:val="hybridMultilevel"/>
    <w:lvl w:ilvl="0">
      <w:lvlJc w:val="left"/>
      <w:lvlText w:val="(%1)"/>
      <w:numFmt w:val="decimal"/>
      <w:start w:val="21"/>
    </w:lvl>
  </w:abstractNum>
  <w:abstractNum w:abstractNumId="82">
    <w:nsid w:val="68EBC550"/>
    <w:multiLevelType w:val="hybridMultilevel"/>
    <w:lvl w:ilvl="0">
      <w:lvlJc w:val="left"/>
      <w:lvlText w:val="%1."/>
      <w:numFmt w:val="decimal"/>
      <w:start w:val="16"/>
    </w:lvl>
  </w:abstractNum>
  <w:abstractNum w:abstractNumId="83">
    <w:nsid w:val="2DF6D648"/>
    <w:multiLevelType w:val="hybridMultilevel"/>
    <w:lvl w:ilvl="0">
      <w:lvlJc w:val="left"/>
      <w:lvlText w:val="%1."/>
      <w:numFmt w:val="decimal"/>
      <w:start w:val="17"/>
    </w:lvl>
  </w:abstractNum>
  <w:abstractNum w:abstractNumId="84">
    <w:nsid w:val="46B7D447"/>
    <w:multiLevelType w:val="hybridMultilevel"/>
    <w:lvl w:ilvl="0">
      <w:lvlJc w:val="left"/>
      <w:lvlText w:val="%1."/>
      <w:numFmt w:val="decimal"/>
      <w:start w:val="18"/>
    </w:lvl>
  </w:abstractNum>
  <w:abstractNum w:abstractNumId="85">
    <w:nsid w:val="4A2AC315"/>
    <w:multiLevelType w:val="hybridMultilevel"/>
    <w:lvl w:ilvl="0">
      <w:lvlJc w:val="left"/>
      <w:lvlText w:val="%1."/>
      <w:numFmt w:val="decimal"/>
      <w:start w:val="19"/>
    </w:lvl>
  </w:abstractNum>
  <w:abstractNum w:abstractNumId="86">
    <w:nsid w:val="39EE015C"/>
    <w:multiLevelType w:val="hybridMultilevel"/>
    <w:lvl w:ilvl="0">
      <w:lvlJc w:val="left"/>
      <w:lvlText w:val="%1."/>
      <w:numFmt w:val="decimal"/>
      <w:start w:val="20"/>
    </w:lvl>
  </w:abstractNum>
  <w:abstractNum w:abstractNumId="87">
    <w:nsid w:val="57FC4FBB"/>
    <w:multiLevelType w:val="hybridMultilevel"/>
    <w:lvl w:ilvl="0">
      <w:lvlJc w:val="left"/>
      <w:lvlText w:val="%1."/>
      <w:numFmt w:val="decimal"/>
      <w:start w:val="21"/>
    </w:lvl>
  </w:abstractNum>
  <w:abstractNum w:abstractNumId="88">
    <w:nsid w:val="CC1016F"/>
    <w:multiLevelType w:val="hybridMultilevel"/>
    <w:lvl w:ilvl="0">
      <w:lvlJc w:val="left"/>
      <w:lvlText w:val="%1."/>
      <w:numFmt w:val="decimal"/>
      <w:start w:val="23"/>
    </w:lvl>
  </w:abstractNum>
  <w:abstractNum w:abstractNumId="89">
    <w:nsid w:val="43F18422"/>
    <w:multiLevelType w:val="hybridMultilevel"/>
    <w:lvl w:ilvl="0">
      <w:lvlJc w:val="left"/>
      <w:lvlText w:val="%1."/>
      <w:numFmt w:val="decimal"/>
      <w:start w:val="25"/>
    </w:lvl>
  </w:abstractNum>
  <w:abstractNum w:abstractNumId="90">
    <w:nsid w:val="60EF0119"/>
    <w:multiLevelType w:val="hybridMultilevel"/>
    <w:lvl w:ilvl="0">
      <w:lvlJc w:val="left"/>
      <w:lvlText w:val="%1."/>
      <w:numFmt w:val="decimal"/>
      <w:start w:val="26"/>
    </w:lvl>
  </w:abstractNum>
  <w:abstractNum w:abstractNumId="91">
    <w:nsid w:val="26F324BA"/>
    <w:multiLevelType w:val="hybridMultilevel"/>
    <w:lvl w:ilvl="0">
      <w:lvlJc w:val="left"/>
      <w:lvlText w:val="%1."/>
      <w:numFmt w:val="decimal"/>
      <w:start w:val="27"/>
    </w:lvl>
  </w:abstractNum>
  <w:abstractNum w:abstractNumId="92">
    <w:nsid w:val="7F01579B"/>
    <w:multiLevelType w:val="hybridMultilevel"/>
    <w:lvl w:ilvl="0">
      <w:lvlJc w:val="left"/>
      <w:lvlText w:val="%1."/>
      <w:numFmt w:val="decimal"/>
      <w:start w:val="29"/>
    </w:lvl>
  </w:abstractNum>
  <w:abstractNum w:abstractNumId="93">
    <w:nsid w:val="49DA307D"/>
    <w:multiLevelType w:val="hybridMultilevel"/>
    <w:lvl w:ilvl="0">
      <w:lvlJc w:val="left"/>
      <w:lvlText w:val="%1."/>
      <w:numFmt w:val="decimal"/>
      <w:start w:val="30"/>
    </w:lvl>
  </w:abstractNum>
  <w:abstractNum w:abstractNumId="94">
    <w:nsid w:val="7055A5F5"/>
    <w:multiLevelType w:val="hybridMultilevel"/>
    <w:lvl w:ilvl="0">
      <w:lvlJc w:val="left"/>
      <w:lvlText w:val="%1."/>
      <w:numFmt w:val="decimal"/>
      <w:start w:val="31"/>
    </w:lvl>
  </w:abstractNum>
  <w:abstractNum w:abstractNumId="95">
    <w:nsid w:val="5FB8370B"/>
    <w:multiLevelType w:val="hybridMultilevel"/>
    <w:lvl w:ilvl="0">
      <w:lvlJc w:val="left"/>
      <w:lvlText w:val="%1"/>
      <w:numFmt w:val="upperLetter"/>
      <w:start w:val="61"/>
    </w:lvl>
  </w:abstractNum>
  <w:abstractNum w:abstractNumId="96">
    <w:nsid w:val="50801EE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2026-06-03T15:15:34Z</dcterms:created>
  <dcterms:modified xsi:type="dcterms:W3CDTF">2026-06-03T15:15:34Z</dcterms:modified>
</cp:coreProperties>
</file>